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048" w:rsidRDefault="005E3A8B" w:rsidP="005E3A8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5E0901E-0C1F-41B2-B746-B7175C8AD16A" style="width:451.05pt;height:482.8pt">
            <v:imagedata r:id="rId9" o:title=""/>
          </v:shape>
        </w:pict>
      </w:r>
    </w:p>
    <w:bookmarkEnd w:id="0"/>
    <w:p w:rsidR="00E91048" w:rsidRDefault="00E91048">
      <w:pPr>
        <w:rPr>
          <w:noProof/>
        </w:rPr>
        <w:sectPr w:rsidR="00E91048" w:rsidSect="005E3A8B">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E91048" w:rsidRPr="005E3A8B" w:rsidRDefault="005E3A8B">
      <w:pPr>
        <w:keepNext/>
        <w:spacing w:after="480" w:line="240" w:lineRule="auto"/>
        <w:jc w:val="center"/>
        <w:rPr>
          <w:rFonts w:ascii="Times New Roman" w:eastAsia="Times New Roman" w:hAnsi="Times New Roman" w:cs="Times New Roman"/>
          <w:b/>
          <w:smallCaps/>
          <w:noProof/>
          <w:sz w:val="28"/>
          <w:szCs w:val="20"/>
          <w:lang w:val="fr-FR"/>
        </w:rPr>
      </w:pPr>
      <w:bookmarkStart w:id="1" w:name="_GoBack"/>
      <w:bookmarkEnd w:id="1"/>
      <w:r w:rsidRPr="005E3A8B">
        <w:rPr>
          <w:rFonts w:ascii="Times New Roman" w:hAnsi="Times New Roman"/>
          <w:b/>
          <w:smallCaps/>
          <w:noProof/>
          <w:sz w:val="28"/>
          <w:lang w:val="fr-FR"/>
        </w:rPr>
        <w:lastRenderedPageBreak/>
        <w:t>Section 1 – Contexte et principes généraux</w:t>
      </w:r>
    </w:p>
    <w:p w:rsidR="00E91048" w:rsidRPr="005E3A8B" w:rsidRDefault="005E3A8B">
      <w:pPr>
        <w:pStyle w:val="Heading1"/>
        <w:rPr>
          <w:noProof/>
          <w:lang w:val="fr-FR"/>
        </w:rPr>
      </w:pPr>
      <w:r w:rsidRPr="005E3A8B">
        <w:rPr>
          <w:noProof/>
          <w:lang w:val="fr-FR"/>
        </w:rPr>
        <w:t>1.</w:t>
      </w:r>
      <w:r w:rsidRPr="005E3A8B">
        <w:rPr>
          <w:noProof/>
          <w:lang w:val="fr-FR"/>
        </w:rPr>
        <w:tab/>
        <w:t>Base juridique</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Le présent rapport traite du niveau de représentation des ressortissants de chaque État </w:t>
      </w:r>
      <w:r w:rsidRPr="005E3A8B">
        <w:rPr>
          <w:rFonts w:ascii="Times New Roman" w:hAnsi="Times New Roman"/>
          <w:noProof/>
          <w:sz w:val="24"/>
          <w:lang w:val="fr-FR"/>
        </w:rPr>
        <w:t>membre parmi le personnel des institutions auxquelles s'applique le statut des fonctionnaires de l’Union européenne (ci-après le «statut»). Il est présenté en vertu de l'article 27, troisième alinéa, du statut et de l’article 12, paragraphe 1, quatrième al</w:t>
      </w:r>
      <w:r w:rsidRPr="005E3A8B">
        <w:rPr>
          <w:rFonts w:ascii="Times New Roman" w:hAnsi="Times New Roman"/>
          <w:noProof/>
          <w:sz w:val="24"/>
          <w:lang w:val="fr-FR"/>
        </w:rPr>
        <w:t>inéa, du régime applicable aux autres agents de l’Union européenne (RAA). Sauf disposition contraire, toute référence à l’article 27 du statut vaut également référence à l’article 12 du RAA.</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En règle générale, toute discrimination exercée en raison de la n</w:t>
      </w:r>
      <w:r w:rsidRPr="005E3A8B">
        <w:rPr>
          <w:rFonts w:ascii="Times New Roman" w:hAnsi="Times New Roman"/>
          <w:noProof/>
          <w:sz w:val="24"/>
          <w:lang w:val="fr-FR"/>
        </w:rPr>
        <w:t>ationalité est interdite par les traités, la Charte des droits fondamentaux et le statut</w:t>
      </w:r>
      <w:r>
        <w:rPr>
          <w:rFonts w:ascii="Times New Roman" w:hAnsi="Times New Roman"/>
          <w:noProof/>
          <w:sz w:val="24"/>
          <w:vertAlign w:val="superscript"/>
        </w:rPr>
        <w:footnoteReference w:id="1"/>
      </w:r>
      <w:r w:rsidRPr="005E3A8B">
        <w:rPr>
          <w:rFonts w:ascii="Times New Roman" w:hAnsi="Times New Roman"/>
          <w:noProof/>
          <w:sz w:val="24"/>
          <w:lang w:val="fr-FR"/>
        </w:rPr>
        <w:t>. Parallèlement, le statut impose que les institutions de l’UE recrutent leurs fonctionnaires sur une base géographique la plus large possible (article 27 du statut)</w:t>
      </w:r>
      <w:r>
        <w:rPr>
          <w:rFonts w:ascii="Times New Roman" w:hAnsi="Times New Roman"/>
          <w:noProof/>
          <w:sz w:val="24"/>
          <w:vertAlign w:val="superscript"/>
        </w:rPr>
        <w:footnoteReference w:id="2"/>
      </w:r>
      <w:r w:rsidRPr="005E3A8B">
        <w:rPr>
          <w:rFonts w:ascii="Times New Roman" w:hAnsi="Times New Roman"/>
          <w:noProof/>
          <w:sz w:val="24"/>
          <w:lang w:val="fr-FR"/>
        </w:rPr>
        <w:t>.</w:t>
      </w:r>
      <w:r w:rsidRPr="005E3A8B">
        <w:rPr>
          <w:rFonts w:ascii="Times New Roman" w:hAnsi="Times New Roman"/>
          <w:noProof/>
          <w:sz w:val="24"/>
          <w:lang w:val="fr-FR"/>
        </w:rPr>
        <w:t xml:space="preserve"> L'équilibre entre ces deux éléments permet d’ores et déjà aux institutions de tenir compte de la nationalité, même pour pourvoir des postes déterminés, «au cas où les titres des différents candidats sont sensiblement équivalents»</w:t>
      </w:r>
      <w:r>
        <w:rPr>
          <w:rFonts w:ascii="Times New Roman" w:hAnsi="Times New Roman"/>
          <w:noProof/>
          <w:sz w:val="24"/>
          <w:vertAlign w:val="superscript"/>
        </w:rPr>
        <w:footnoteReference w:id="3"/>
      </w:r>
      <w:r w:rsidRPr="005E3A8B">
        <w:rPr>
          <w:rFonts w:ascii="Times New Roman" w:hAnsi="Times New Roman"/>
          <w:noProof/>
          <w:sz w:val="24"/>
          <w:lang w:val="fr-FR"/>
        </w:rPr>
        <w:t xml:space="preserve">.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Avec la réforme du sta</w:t>
      </w:r>
      <w:r w:rsidRPr="005E3A8B">
        <w:rPr>
          <w:rFonts w:ascii="Times New Roman" w:hAnsi="Times New Roman"/>
          <w:noProof/>
          <w:sz w:val="24"/>
          <w:lang w:val="fr-FR"/>
        </w:rPr>
        <w:t>tut en 2013, qui y a inscrit le principe de l'égalité des citoyens de l'Union, les colégislateurs ont instauré une nouvelle base juridique qui permet à chaque institution d'adopter des mesures appropriées si les nationalités parmi les fonctionnaires présen</w:t>
      </w:r>
      <w:r w:rsidRPr="005E3A8B">
        <w:rPr>
          <w:rFonts w:ascii="Times New Roman" w:hAnsi="Times New Roman"/>
          <w:noProof/>
          <w:sz w:val="24"/>
          <w:lang w:val="fr-FR"/>
        </w:rPr>
        <w:t>tent un déséquilibre important qui ne se justifie pas par des critères objectifs. L’objectif de cette modification était de prévoir les moyens juridiques nécessaires pour faire face à des situations de déséquilibre important, qui seraient contraires au pri</w:t>
      </w:r>
      <w:r w:rsidRPr="005E3A8B">
        <w:rPr>
          <w:rFonts w:ascii="Times New Roman" w:hAnsi="Times New Roman"/>
          <w:noProof/>
          <w:sz w:val="24"/>
          <w:lang w:val="fr-FR"/>
        </w:rPr>
        <w:t xml:space="preserve">ncipe même d'égalité des citoyens de l’Union. </w:t>
      </w:r>
    </w:p>
    <w:p w:rsidR="00E91048" w:rsidRPr="005E3A8B" w:rsidRDefault="005E3A8B">
      <w:pPr>
        <w:spacing w:after="0" w:line="240" w:lineRule="auto"/>
        <w:rPr>
          <w:rFonts w:ascii="Times New Roman" w:eastAsia="Times New Roman" w:hAnsi="Times New Roman" w:cs="Times New Roman"/>
          <w:noProof/>
          <w:sz w:val="24"/>
          <w:szCs w:val="20"/>
          <w:lang w:val="fr-FR"/>
        </w:rPr>
      </w:pPr>
      <w:r w:rsidRPr="005E3A8B">
        <w:rPr>
          <w:noProof/>
          <w:lang w:val="fr-FR"/>
        </w:rPr>
        <w:br w:type="page"/>
      </w:r>
    </w:p>
    <w:p w:rsidR="00E91048" w:rsidRPr="005E3A8B" w:rsidRDefault="00E91048">
      <w:pPr>
        <w:spacing w:after="240" w:line="240" w:lineRule="auto"/>
        <w:jc w:val="both"/>
        <w:rPr>
          <w:rFonts w:ascii="Times New Roman" w:eastAsia="Times New Roman" w:hAnsi="Times New Roman" w:cs="Times New Roman"/>
          <w:noProof/>
          <w:sz w:val="24"/>
          <w:szCs w:val="20"/>
          <w:lang w:val="fr-FR"/>
        </w:rPr>
      </w:pPr>
    </w:p>
    <w:p w:rsidR="00E91048" w:rsidRPr="005E3A8B" w:rsidRDefault="005E3A8B">
      <w:pPr>
        <w:pStyle w:val="Heading1"/>
        <w:rPr>
          <w:noProof/>
          <w:lang w:val="fr-FR"/>
        </w:rPr>
      </w:pPr>
      <w:r w:rsidRPr="005E3A8B">
        <w:rPr>
          <w:noProof/>
          <w:lang w:val="fr-FR"/>
        </w:rPr>
        <w:t>2.</w:t>
      </w:r>
      <w:r w:rsidRPr="005E3A8B">
        <w:rPr>
          <w:noProof/>
          <w:lang w:val="fr-FR"/>
        </w:rPr>
        <w:tab/>
        <w:t>Portée du rapport</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L’article 27 du statut prévoit que la Commission rende compte au Parlement européen et au Conseil sur la mise en œuvre dudit article. Aux fins de ce rapport, les définitions suivantes </w:t>
      </w:r>
      <w:r w:rsidRPr="005E3A8B">
        <w:rPr>
          <w:rFonts w:ascii="Times New Roman" w:hAnsi="Times New Roman"/>
          <w:noProof/>
          <w:sz w:val="24"/>
          <w:lang w:val="fr-FR"/>
        </w:rPr>
        <w:t>s’appliquent:</w:t>
      </w:r>
    </w:p>
    <w:p w:rsidR="00E91048" w:rsidRPr="005E3A8B" w:rsidRDefault="005E3A8B">
      <w:pPr>
        <w:tabs>
          <w:tab w:val="num" w:pos="283"/>
        </w:tabs>
        <w:spacing w:after="240" w:line="240" w:lineRule="auto"/>
        <w:ind w:left="283" w:hanging="283"/>
        <w:jc w:val="both"/>
        <w:rPr>
          <w:rFonts w:ascii="Times New Roman" w:eastAsia="Times New Roman" w:hAnsi="Times New Roman" w:cs="Times New Roman"/>
          <w:noProof/>
          <w:sz w:val="24"/>
          <w:szCs w:val="20"/>
          <w:lang w:val="fr-FR"/>
        </w:rPr>
      </w:pPr>
      <w:r w:rsidRPr="005E3A8B">
        <w:rPr>
          <w:rFonts w:ascii="Times New Roman" w:hAnsi="Times New Roman"/>
          <w:b/>
          <w:noProof/>
          <w:sz w:val="24"/>
          <w:lang w:val="fr-FR"/>
        </w:rPr>
        <w:t xml:space="preserve">Institutions: </w:t>
      </w:r>
      <w:r w:rsidRPr="005E3A8B">
        <w:rPr>
          <w:rFonts w:ascii="Times New Roman" w:hAnsi="Times New Roman"/>
          <w:noProof/>
          <w:sz w:val="24"/>
          <w:lang w:val="fr-FR"/>
        </w:rPr>
        <w:t>les institutions concernées sont celles auxquelles s'applique le statut. La Commission a demandé la contribution de toutes les institutions et agences décentralisées. Une section spécifique est consacrée aux institutions et agen</w:t>
      </w:r>
      <w:r w:rsidRPr="005E3A8B">
        <w:rPr>
          <w:rFonts w:ascii="Times New Roman" w:hAnsi="Times New Roman"/>
          <w:noProof/>
          <w:sz w:val="24"/>
          <w:lang w:val="fr-FR"/>
        </w:rPr>
        <w:t>ces participantes.</w:t>
      </w:r>
    </w:p>
    <w:p w:rsidR="00E91048" w:rsidRPr="005E3A8B" w:rsidRDefault="005E3A8B">
      <w:pPr>
        <w:tabs>
          <w:tab w:val="num" w:pos="283"/>
        </w:tabs>
        <w:spacing w:after="240" w:line="240" w:lineRule="auto"/>
        <w:ind w:left="283" w:hanging="283"/>
        <w:jc w:val="both"/>
        <w:rPr>
          <w:rFonts w:ascii="Times New Roman" w:eastAsia="Times New Roman" w:hAnsi="Times New Roman" w:cs="Times New Roman"/>
          <w:noProof/>
          <w:sz w:val="24"/>
          <w:szCs w:val="20"/>
          <w:lang w:val="fr-FR"/>
        </w:rPr>
      </w:pPr>
      <w:r w:rsidRPr="005E3A8B">
        <w:rPr>
          <w:rFonts w:ascii="Times New Roman" w:hAnsi="Times New Roman"/>
          <w:b/>
          <w:noProof/>
          <w:sz w:val="24"/>
          <w:lang w:val="fr-FR"/>
        </w:rPr>
        <w:t>Membres du personnel</w:t>
      </w:r>
      <w:r w:rsidRPr="005E3A8B">
        <w:rPr>
          <w:rFonts w:ascii="Times New Roman" w:hAnsi="Times New Roman"/>
          <w:noProof/>
          <w:sz w:val="24"/>
          <w:lang w:val="fr-FR"/>
        </w:rPr>
        <w:t>: la base juridique couvre les fonctionnaires (article 27 du statut) et les agents temporaires (article 12 du RAA). Ces deux catégories de personnel sont examinées ensemble.</w:t>
      </w:r>
    </w:p>
    <w:p w:rsidR="00E91048" w:rsidRPr="005E3A8B" w:rsidRDefault="005E3A8B">
      <w:pPr>
        <w:tabs>
          <w:tab w:val="num" w:pos="283"/>
        </w:tabs>
        <w:spacing w:after="240" w:line="240" w:lineRule="auto"/>
        <w:ind w:left="283" w:hanging="283"/>
        <w:jc w:val="both"/>
        <w:rPr>
          <w:rFonts w:ascii="Times New Roman" w:eastAsia="Times New Roman" w:hAnsi="Times New Roman" w:cs="Times New Roman"/>
          <w:noProof/>
          <w:sz w:val="24"/>
          <w:szCs w:val="20"/>
          <w:lang w:val="fr-FR"/>
        </w:rPr>
      </w:pPr>
      <w:r w:rsidRPr="005E3A8B">
        <w:rPr>
          <w:rFonts w:ascii="Times New Roman" w:hAnsi="Times New Roman"/>
          <w:b/>
          <w:noProof/>
          <w:sz w:val="24"/>
          <w:lang w:val="fr-FR"/>
        </w:rPr>
        <w:t xml:space="preserve">Groupe de fonctions: </w:t>
      </w:r>
      <w:r w:rsidRPr="005E3A8B">
        <w:rPr>
          <w:rFonts w:ascii="Times New Roman" w:hAnsi="Times New Roman"/>
          <w:noProof/>
          <w:sz w:val="24"/>
          <w:lang w:val="fr-FR"/>
        </w:rPr>
        <w:t>la base juridique n’im</w:t>
      </w:r>
      <w:r w:rsidRPr="005E3A8B">
        <w:rPr>
          <w:rFonts w:ascii="Times New Roman" w:hAnsi="Times New Roman"/>
          <w:noProof/>
          <w:sz w:val="24"/>
          <w:lang w:val="fr-FR"/>
        </w:rPr>
        <w:t xml:space="preserve">pose pas d'opérer une distinction par groupe de fonctions. Cependant, vu l’objectif sous-jacent au rapport, l’analyse concernant la Commission portera sur le groupe de fonctions AD. </w:t>
      </w:r>
    </w:p>
    <w:p w:rsidR="00E91048" w:rsidRPr="005E3A8B" w:rsidRDefault="00E91048">
      <w:pPr>
        <w:spacing w:after="240" w:line="240" w:lineRule="auto"/>
        <w:jc w:val="both"/>
        <w:rPr>
          <w:rFonts w:ascii="Times New Roman" w:eastAsia="Times New Roman" w:hAnsi="Times New Roman" w:cs="Times New Roman"/>
          <w:noProof/>
          <w:sz w:val="24"/>
          <w:szCs w:val="20"/>
          <w:lang w:val="fr-FR"/>
        </w:rPr>
      </w:pPr>
    </w:p>
    <w:p w:rsidR="00E91048" w:rsidRDefault="005E3A8B">
      <w:pPr>
        <w:keepNext/>
        <w:spacing w:after="480" w:line="240" w:lineRule="auto"/>
        <w:jc w:val="center"/>
        <w:rPr>
          <w:rFonts w:ascii="Times New Roman" w:eastAsia="Times New Roman" w:hAnsi="Times New Roman" w:cs="Times New Roman"/>
          <w:b/>
          <w:smallCaps/>
          <w:noProof/>
          <w:sz w:val="28"/>
          <w:szCs w:val="20"/>
        </w:rPr>
      </w:pPr>
      <w:r>
        <w:rPr>
          <w:rFonts w:ascii="Times New Roman" w:hAnsi="Times New Roman"/>
          <w:b/>
          <w:smallCaps/>
          <w:noProof/>
          <w:sz w:val="28"/>
        </w:rPr>
        <w:t>Section 2 – Commission européenne</w:t>
      </w:r>
    </w:p>
    <w:p w:rsidR="00E91048" w:rsidRDefault="005E3A8B">
      <w:pPr>
        <w:keepNext/>
        <w:numPr>
          <w:ilvl w:val="0"/>
          <w:numId w:val="19"/>
        </w:numPr>
        <w:spacing w:before="240" w:after="240" w:line="240" w:lineRule="auto"/>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Méthode</w:t>
      </w:r>
    </w:p>
    <w:p w:rsidR="00E91048" w:rsidRDefault="005E3A8B">
      <w:pPr>
        <w:keepNext/>
        <w:numPr>
          <w:ilvl w:val="1"/>
          <w:numId w:val="0"/>
        </w:numPr>
        <w:tabs>
          <w:tab w:val="num" w:pos="567"/>
        </w:tabs>
        <w:spacing w:after="240" w:line="240" w:lineRule="auto"/>
        <w:ind w:left="567" w:hanging="567"/>
        <w:jc w:val="both"/>
        <w:outlineLvl w:val="1"/>
        <w:rPr>
          <w:rFonts w:ascii="Times New Roman" w:eastAsia="Times New Roman" w:hAnsi="Times New Roman" w:cs="Times New Roman"/>
          <w:b/>
          <w:noProof/>
          <w:sz w:val="24"/>
          <w:szCs w:val="20"/>
        </w:rPr>
      </w:pPr>
      <w:r>
        <w:rPr>
          <w:rFonts w:ascii="Times New Roman" w:hAnsi="Times New Roman"/>
          <w:b/>
          <w:noProof/>
          <w:sz w:val="24"/>
        </w:rPr>
        <w:t>1.1.</w:t>
      </w:r>
      <w:r>
        <w:rPr>
          <w:noProof/>
        </w:rPr>
        <w:tab/>
      </w:r>
      <w:r>
        <w:rPr>
          <w:rFonts w:ascii="Times New Roman" w:hAnsi="Times New Roman"/>
          <w:b/>
          <w:noProof/>
          <w:sz w:val="24"/>
        </w:rPr>
        <w:t>Contexte</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Avant l’entrée </w:t>
      </w:r>
      <w:r w:rsidRPr="005E3A8B">
        <w:rPr>
          <w:rFonts w:ascii="Times New Roman" w:hAnsi="Times New Roman"/>
          <w:noProof/>
          <w:sz w:val="24"/>
          <w:lang w:val="fr-FR"/>
        </w:rPr>
        <w:t>en vigueur de l’article 27 du statut dans son libellé actuel, la question de l’équilibre géographique était principalement abordée lors des élargissements de l’Union à de nouveaux États membres. Dans chaque cas, l’objectif était d’atteindre, dans un laps d</w:t>
      </w:r>
      <w:r w:rsidRPr="005E3A8B">
        <w:rPr>
          <w:rFonts w:ascii="Times New Roman" w:hAnsi="Times New Roman"/>
          <w:noProof/>
          <w:sz w:val="24"/>
          <w:lang w:val="fr-FR"/>
        </w:rPr>
        <w:t>e temps limité, un niveau de représentation adéquat des ressortissants des nouveaux États membres en tenant compte de l’importance relative de l’élargissement par rapport à la situation existante.</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La Commission a adopté plusieurs communications établissant</w:t>
      </w:r>
      <w:r w:rsidRPr="005E3A8B">
        <w:rPr>
          <w:rFonts w:ascii="Times New Roman" w:hAnsi="Times New Roman"/>
          <w:noProof/>
          <w:sz w:val="24"/>
          <w:lang w:val="fr-FR"/>
        </w:rPr>
        <w:t xml:space="preserve"> la méthode à appliquer pour définir l’objectif à atteindre, que ce soit sous la forme de «taux de référence» avant 2003</w:t>
      </w:r>
      <w:r>
        <w:rPr>
          <w:rFonts w:ascii="Times New Roman" w:hAnsi="Times New Roman"/>
          <w:noProof/>
          <w:sz w:val="24"/>
          <w:vertAlign w:val="superscript"/>
        </w:rPr>
        <w:footnoteReference w:id="4"/>
      </w:r>
      <w:r w:rsidRPr="005E3A8B">
        <w:rPr>
          <w:rFonts w:ascii="Times New Roman" w:hAnsi="Times New Roman"/>
          <w:noProof/>
          <w:sz w:val="24"/>
          <w:lang w:val="fr-FR"/>
        </w:rPr>
        <w:t xml:space="preserve"> ou d’«objectifs indicatifs de recrutement» depuis 2003</w:t>
      </w:r>
      <w:r>
        <w:rPr>
          <w:rFonts w:ascii="Times New Roman" w:hAnsi="Times New Roman"/>
          <w:noProof/>
          <w:sz w:val="24"/>
          <w:vertAlign w:val="superscript"/>
        </w:rPr>
        <w:footnoteReference w:id="5"/>
      </w:r>
      <w:r w:rsidRPr="005E3A8B">
        <w:rPr>
          <w:rFonts w:ascii="Times New Roman" w:hAnsi="Times New Roman"/>
          <w:noProof/>
          <w:sz w:val="24"/>
          <w:lang w:val="fr-FR"/>
        </w:rPr>
        <w:t xml:space="preserve">. La Commission a fait régulièrement rapport sur les progrès accomplis dans la </w:t>
      </w:r>
      <w:r w:rsidRPr="005E3A8B">
        <w:rPr>
          <w:rFonts w:ascii="Times New Roman" w:hAnsi="Times New Roman"/>
          <w:noProof/>
          <w:sz w:val="24"/>
          <w:lang w:val="fr-FR"/>
        </w:rPr>
        <w:t>réalisation des objectifs de recrutement et a, au besoin, adopté des mesures correctives.</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Une synthèse détaillée de l’évolution des «taux de référence» applicables avant 2003 figure à l’annexe 2, ainsi qu’un tableau indiquant les objectifs de recrutement a</w:t>
      </w:r>
      <w:r w:rsidRPr="005E3A8B">
        <w:rPr>
          <w:rFonts w:ascii="Times New Roman" w:hAnsi="Times New Roman"/>
          <w:noProof/>
          <w:sz w:val="24"/>
          <w:lang w:val="fr-FR"/>
        </w:rPr>
        <w:t xml:space="preserve">doptés depuis 2003. </w:t>
      </w:r>
    </w:p>
    <w:p w:rsidR="00E91048" w:rsidRPr="005E3A8B" w:rsidRDefault="005E3A8B">
      <w:pPr>
        <w:spacing w:after="12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La méthode appliquée pour fixer les taux de référence et les objectifs indicatifs de recrutement en 2003 devait être transitoire, la dernière phase de transition se terminant en 2018 à la suite de l’élargissement à la Croatie. Aussi le</w:t>
      </w:r>
      <w:r w:rsidRPr="005E3A8B">
        <w:rPr>
          <w:rFonts w:ascii="Times New Roman" w:hAnsi="Times New Roman"/>
          <w:noProof/>
          <w:sz w:val="24"/>
          <w:lang w:val="fr-FR"/>
        </w:rPr>
        <w:t>s conditions sont-elles à présent réunies pour définir les «taux de référence» pour les États membres sur la base d’une méthode unique.</w:t>
      </w:r>
    </w:p>
    <w:p w:rsidR="00E91048" w:rsidRPr="005E3A8B" w:rsidRDefault="00E91048">
      <w:pPr>
        <w:spacing w:after="240" w:line="240" w:lineRule="auto"/>
        <w:jc w:val="both"/>
        <w:rPr>
          <w:rFonts w:ascii="Times New Roman" w:eastAsia="Times New Roman" w:hAnsi="Times New Roman" w:cs="Times New Roman"/>
          <w:noProof/>
          <w:sz w:val="24"/>
          <w:szCs w:val="20"/>
          <w:lang w:val="fr-FR"/>
        </w:rPr>
      </w:pPr>
    </w:p>
    <w:p w:rsidR="00E91048" w:rsidRPr="005E3A8B" w:rsidRDefault="005E3A8B">
      <w:pPr>
        <w:keepNext/>
        <w:numPr>
          <w:ilvl w:val="1"/>
          <w:numId w:val="0"/>
        </w:numPr>
        <w:tabs>
          <w:tab w:val="num" w:pos="567"/>
        </w:tabs>
        <w:spacing w:after="240" w:line="240" w:lineRule="auto"/>
        <w:ind w:left="567" w:hanging="567"/>
        <w:jc w:val="both"/>
        <w:outlineLvl w:val="1"/>
        <w:rPr>
          <w:rFonts w:ascii="Times New Roman" w:eastAsia="Times New Roman" w:hAnsi="Times New Roman" w:cs="Times New Roman"/>
          <w:b/>
          <w:noProof/>
          <w:sz w:val="24"/>
          <w:szCs w:val="20"/>
          <w:lang w:val="fr-FR"/>
        </w:rPr>
      </w:pPr>
      <w:r w:rsidRPr="005E3A8B">
        <w:rPr>
          <w:rFonts w:ascii="Times New Roman" w:hAnsi="Times New Roman"/>
          <w:b/>
          <w:noProof/>
          <w:sz w:val="24"/>
          <w:lang w:val="fr-FR"/>
        </w:rPr>
        <w:t>1.2.</w:t>
      </w:r>
      <w:r w:rsidRPr="005E3A8B">
        <w:rPr>
          <w:noProof/>
          <w:lang w:val="fr-FR"/>
        </w:rPr>
        <w:tab/>
      </w:r>
      <w:r w:rsidRPr="005E3A8B">
        <w:rPr>
          <w:rFonts w:ascii="Times New Roman" w:hAnsi="Times New Roman"/>
          <w:b/>
          <w:noProof/>
          <w:sz w:val="24"/>
          <w:lang w:val="fr-FR"/>
        </w:rPr>
        <w:t>Niveau de représentation des nationalités</w:t>
      </w:r>
    </w:p>
    <w:p w:rsidR="00E91048" w:rsidRDefault="005E3A8B">
      <w:pPr>
        <w:keepNext/>
        <w:numPr>
          <w:ilvl w:val="2"/>
          <w:numId w:val="0"/>
        </w:numPr>
        <w:tabs>
          <w:tab w:val="num" w:pos="709"/>
        </w:tabs>
        <w:spacing w:after="240" w:line="240" w:lineRule="auto"/>
        <w:ind w:left="709" w:hanging="709"/>
        <w:jc w:val="both"/>
        <w:outlineLvl w:val="2"/>
        <w:rPr>
          <w:rFonts w:ascii="Times New Roman" w:eastAsia="Times New Roman" w:hAnsi="Times New Roman" w:cs="Times New Roman"/>
          <w:i/>
          <w:noProof/>
          <w:sz w:val="24"/>
          <w:szCs w:val="20"/>
        </w:rPr>
      </w:pPr>
      <w:r w:rsidRPr="005E3A8B">
        <w:rPr>
          <w:rFonts w:ascii="Times New Roman" w:hAnsi="Times New Roman"/>
          <w:i/>
          <w:noProof/>
          <w:sz w:val="24"/>
          <w:lang w:val="fr-FR"/>
        </w:rPr>
        <w:t>1.2.1.</w:t>
      </w:r>
      <w:r w:rsidRPr="005E3A8B">
        <w:rPr>
          <w:noProof/>
          <w:lang w:val="fr-FR"/>
        </w:rPr>
        <w:tab/>
      </w:r>
      <w:r>
        <w:rPr>
          <w:rFonts w:ascii="Times New Roman" w:hAnsi="Times New Roman"/>
          <w:i/>
          <w:noProof/>
          <w:sz w:val="24"/>
        </w:rPr>
        <w:t>Nationalité</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Conformément à l’article 28, point a), du statut, un fonctionnaire ne peut être nommé qu’à la condition d’être ressortissant d’un État membre de l’Union, sauf dérogation accordée par l'autorité investie du pouvoir de nomination.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Dès lors, chaque fonctionn</w:t>
      </w:r>
      <w:r w:rsidRPr="005E3A8B">
        <w:rPr>
          <w:rFonts w:ascii="Times New Roman" w:hAnsi="Times New Roman"/>
          <w:noProof/>
          <w:sz w:val="24"/>
          <w:lang w:val="fr-FR"/>
        </w:rPr>
        <w:t>aire est tenu de déclarer au moins une nationalité au moment de sa nomination. Cette nationalité est encodée dans le système d’information en tant que «première nationalité» et demeure constante, à moins qu’un changement ne soit demandé par le fonctionnair</w:t>
      </w:r>
      <w:r w:rsidRPr="005E3A8B">
        <w:rPr>
          <w:rFonts w:ascii="Times New Roman" w:hAnsi="Times New Roman"/>
          <w:noProof/>
          <w:sz w:val="24"/>
          <w:lang w:val="fr-FR"/>
        </w:rPr>
        <w:t>e.</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La «première nationalité» sert de base pour l’établissement du présent rapport.</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Les fonctionnaires peuvent</w:t>
      </w:r>
      <w:r>
        <w:rPr>
          <w:rFonts w:ascii="Times New Roman" w:hAnsi="Times New Roman"/>
          <w:noProof/>
          <w:sz w:val="24"/>
          <w:vertAlign w:val="superscript"/>
        </w:rPr>
        <w:footnoteReference w:id="6"/>
      </w:r>
      <w:r w:rsidRPr="005E3A8B">
        <w:rPr>
          <w:rFonts w:ascii="Times New Roman" w:hAnsi="Times New Roman"/>
          <w:noProof/>
          <w:sz w:val="24"/>
          <w:lang w:val="fr-FR"/>
        </w:rPr>
        <w:t xml:space="preserve"> déclarer d'autres nationalités soit au moment de leur nomination, soit en cours de carrière.  Toute nationalité qui s'ajoute à la «première natio</w:t>
      </w:r>
      <w:r w:rsidRPr="005E3A8B">
        <w:rPr>
          <w:rFonts w:ascii="Times New Roman" w:hAnsi="Times New Roman"/>
          <w:noProof/>
          <w:sz w:val="24"/>
          <w:lang w:val="fr-FR"/>
        </w:rPr>
        <w:t xml:space="preserve">nalité» est encodée dans le système d'information en tant que «deuxième nationalité», «troisième nationalité», etc.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Au 1.1.2018, 1041 fonctionnaires et agents temporaires avaient déclaré plus d'une nationalité. Une synthèse détaillée des premières et deux</w:t>
      </w:r>
      <w:r w:rsidRPr="005E3A8B">
        <w:rPr>
          <w:rFonts w:ascii="Times New Roman" w:hAnsi="Times New Roman"/>
          <w:noProof/>
          <w:sz w:val="24"/>
          <w:lang w:val="fr-FR"/>
        </w:rPr>
        <w:t>ièmes nationalités figure à l’annexe 7 </w:t>
      </w:r>
      <w:r w:rsidRPr="005E3A8B">
        <w:rPr>
          <w:rFonts w:ascii="Times New Roman" w:hAnsi="Times New Roman"/>
          <w:i/>
          <w:noProof/>
          <w:sz w:val="24"/>
          <w:lang w:val="fr-FR"/>
        </w:rPr>
        <w:t>quinquies</w:t>
      </w:r>
      <w:r w:rsidRPr="005E3A8B">
        <w:rPr>
          <w:rFonts w:ascii="Times New Roman" w:hAnsi="Times New Roman"/>
          <w:noProof/>
          <w:sz w:val="24"/>
          <w:lang w:val="fr-FR"/>
        </w:rPr>
        <w:t>.</w:t>
      </w:r>
    </w:p>
    <w:p w:rsidR="00E91048" w:rsidRPr="005E3A8B" w:rsidRDefault="00E91048">
      <w:pPr>
        <w:spacing w:after="240" w:line="240" w:lineRule="auto"/>
        <w:jc w:val="both"/>
        <w:rPr>
          <w:rFonts w:ascii="Times New Roman" w:eastAsia="Times New Roman" w:hAnsi="Times New Roman" w:cs="Times New Roman"/>
          <w:noProof/>
          <w:sz w:val="24"/>
          <w:szCs w:val="20"/>
          <w:lang w:val="fr-FR"/>
        </w:rPr>
      </w:pPr>
    </w:p>
    <w:p w:rsidR="00E91048" w:rsidRDefault="005E3A8B">
      <w:pPr>
        <w:keepNext/>
        <w:numPr>
          <w:ilvl w:val="2"/>
          <w:numId w:val="0"/>
        </w:numPr>
        <w:tabs>
          <w:tab w:val="num" w:pos="709"/>
        </w:tabs>
        <w:spacing w:after="240" w:line="240" w:lineRule="auto"/>
        <w:ind w:left="709" w:hanging="709"/>
        <w:jc w:val="both"/>
        <w:outlineLvl w:val="2"/>
        <w:rPr>
          <w:rFonts w:ascii="Times New Roman" w:eastAsia="Times New Roman" w:hAnsi="Times New Roman" w:cs="Times New Roman"/>
          <w:i/>
          <w:noProof/>
          <w:sz w:val="24"/>
          <w:szCs w:val="20"/>
        </w:rPr>
      </w:pPr>
      <w:r>
        <w:rPr>
          <w:rFonts w:ascii="Times New Roman" w:hAnsi="Times New Roman"/>
          <w:i/>
          <w:noProof/>
          <w:sz w:val="24"/>
        </w:rPr>
        <w:t>1.2.2.</w:t>
      </w:r>
      <w:r>
        <w:rPr>
          <w:noProof/>
        </w:rPr>
        <w:tab/>
      </w:r>
      <w:r>
        <w:rPr>
          <w:rFonts w:ascii="Times New Roman" w:hAnsi="Times New Roman"/>
          <w:i/>
          <w:noProof/>
          <w:sz w:val="24"/>
        </w:rPr>
        <w:t>Taux de référence</w:t>
      </w:r>
    </w:p>
    <w:p w:rsidR="00E91048" w:rsidRDefault="005E3A8B">
      <w:pPr>
        <w:keepNext/>
        <w:numPr>
          <w:ilvl w:val="3"/>
          <w:numId w:val="0"/>
        </w:numPr>
        <w:tabs>
          <w:tab w:val="num" w:pos="851"/>
        </w:tabs>
        <w:spacing w:after="240" w:line="240" w:lineRule="auto"/>
        <w:ind w:left="851" w:hanging="851"/>
        <w:jc w:val="both"/>
        <w:outlineLvl w:val="3"/>
        <w:rPr>
          <w:rFonts w:ascii="Times New Roman" w:eastAsia="Times New Roman" w:hAnsi="Times New Roman" w:cs="Times New Roman"/>
          <w:noProof/>
          <w:sz w:val="24"/>
          <w:szCs w:val="20"/>
        </w:rPr>
      </w:pPr>
      <w:r>
        <w:rPr>
          <w:rFonts w:ascii="Times New Roman" w:hAnsi="Times New Roman"/>
          <w:noProof/>
          <w:sz w:val="24"/>
        </w:rPr>
        <w:t>1.2.2.1.</w:t>
      </w:r>
      <w:r>
        <w:rPr>
          <w:noProof/>
        </w:rPr>
        <w:tab/>
      </w:r>
      <w:r>
        <w:rPr>
          <w:rFonts w:ascii="Times New Roman" w:hAnsi="Times New Roman"/>
          <w:noProof/>
          <w:sz w:val="24"/>
        </w:rPr>
        <w:t>Royaume-Uni</w:t>
      </w:r>
    </w:p>
    <w:p w:rsidR="00E91048" w:rsidRPr="005E3A8B" w:rsidRDefault="005E3A8B">
      <w:pPr>
        <w:tabs>
          <w:tab w:val="left" w:pos="8364"/>
        </w:tabs>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Étant donné la notification par le Royaume-Uni au Conseil, le 29 mars 2017, de son intention de se retirer de l’Union, aucun taux de référence n’est défini pou</w:t>
      </w:r>
      <w:r w:rsidRPr="005E3A8B">
        <w:rPr>
          <w:rFonts w:ascii="Times New Roman" w:hAnsi="Times New Roman"/>
          <w:noProof/>
          <w:sz w:val="24"/>
          <w:lang w:val="fr-FR"/>
        </w:rPr>
        <w:t xml:space="preserve">r le Royaume-Uni. De fait, l’analyse réalisée dans le présent rapport servira de base pour de futures mesures. Par conséquent, tout en reconnaissant entièrement que le Royaume-Uni est un État membre au moment de l’adoption du présent rapport, il ne semble </w:t>
      </w:r>
      <w:r w:rsidRPr="005E3A8B">
        <w:rPr>
          <w:rFonts w:ascii="Times New Roman" w:hAnsi="Times New Roman"/>
          <w:noProof/>
          <w:sz w:val="24"/>
          <w:lang w:val="fr-FR"/>
        </w:rPr>
        <w:t xml:space="preserve">pas approprié à ce stade de fixer un taux de référence pour la future représentation des ressortissants du Royaume-Uni. </w:t>
      </w:r>
    </w:p>
    <w:p w:rsidR="00E91048" w:rsidRPr="005E3A8B" w:rsidRDefault="005E3A8B">
      <w:pPr>
        <w:tabs>
          <w:tab w:val="left" w:pos="8364"/>
        </w:tabs>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Afin de tenir pleinement compte du fait que le Royaume-Uni reste un État membre jusqu’au jour où il quittera l’Union, et afin d'aborder</w:t>
      </w:r>
      <w:r w:rsidRPr="005E3A8B">
        <w:rPr>
          <w:rFonts w:ascii="Times New Roman" w:hAnsi="Times New Roman"/>
          <w:noProof/>
          <w:sz w:val="24"/>
          <w:lang w:val="fr-FR"/>
        </w:rPr>
        <w:t xml:space="preserve"> la question sans préjuger de l’issue des négociations en cours, il est proposé de recalculer tout chiffre pertinent sans y inclure les valeurs pour le Royaume-Uni. Le rapport offre une vue détaillée de la présence actuelle des ressortissants du Royaume-Un</w:t>
      </w:r>
      <w:r w:rsidRPr="005E3A8B">
        <w:rPr>
          <w:rFonts w:ascii="Times New Roman" w:hAnsi="Times New Roman"/>
          <w:noProof/>
          <w:sz w:val="24"/>
          <w:lang w:val="fr-FR"/>
        </w:rPr>
        <w:t>i parmi le personnel AD de la Commission (voir annexe 7 </w:t>
      </w:r>
      <w:r w:rsidRPr="005E3A8B">
        <w:rPr>
          <w:rFonts w:ascii="Times New Roman" w:hAnsi="Times New Roman"/>
          <w:i/>
          <w:noProof/>
          <w:sz w:val="24"/>
          <w:lang w:val="fr-FR"/>
        </w:rPr>
        <w:t>quater</w:t>
      </w:r>
      <w:r w:rsidRPr="005E3A8B">
        <w:rPr>
          <w:rFonts w:ascii="Times New Roman" w:hAnsi="Times New Roman"/>
          <w:noProof/>
          <w:sz w:val="24"/>
          <w:lang w:val="fr-FR"/>
        </w:rPr>
        <w:t>). Les ressortissants du Royaume-Uni occupent de façon prépondérante des grades supérieurs au grade AD9. La moitié d’entre eux étaient âgés de plus de 50,5 ans au 1.1.2017.</w:t>
      </w:r>
    </w:p>
    <w:p w:rsidR="00E91048" w:rsidRPr="005E3A8B" w:rsidRDefault="005E3A8B">
      <w:pPr>
        <w:tabs>
          <w:tab w:val="left" w:pos="8364"/>
        </w:tabs>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La Commission a pris </w:t>
      </w:r>
      <w:r w:rsidRPr="005E3A8B">
        <w:rPr>
          <w:rFonts w:ascii="Times New Roman" w:hAnsi="Times New Roman"/>
          <w:noProof/>
          <w:sz w:val="24"/>
          <w:lang w:val="fr-FR"/>
        </w:rPr>
        <w:t xml:space="preserve">note du fait qu’un certain nombre de ressortissants du Royaume-Uni parmi son personnel ont demandé un changement de leur première nationalité ou pourraient le faire. </w:t>
      </w:r>
    </w:p>
    <w:p w:rsidR="00E91048" w:rsidRPr="005E3A8B" w:rsidRDefault="005E3A8B">
      <w:pPr>
        <w:tabs>
          <w:tab w:val="left" w:pos="8364"/>
        </w:tabs>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Ces changements sont de nature exceptionnelle et méritent donc un traitement particulier.</w:t>
      </w:r>
    </w:p>
    <w:p w:rsidR="00E91048" w:rsidRPr="005E3A8B" w:rsidRDefault="005E3A8B">
      <w:pPr>
        <w:tabs>
          <w:tab w:val="left" w:pos="8364"/>
        </w:tabs>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Par conséquent, aux fins de la représentation équilibrée du personnel de la Commission, notamment au niveau de l’encadrement intermédiaire et supérieur, les membres du personnel du Royaume-Uni qui déclarent un changement de nationalité après le 29 mars 20</w:t>
      </w:r>
      <w:r w:rsidRPr="005E3A8B">
        <w:rPr>
          <w:rFonts w:ascii="Times New Roman" w:hAnsi="Times New Roman"/>
          <w:noProof/>
          <w:sz w:val="24"/>
          <w:lang w:val="fr-FR"/>
        </w:rPr>
        <w:t>17 seront considérés comme ayant gardé la nationalité britannique comme première nationalité</w:t>
      </w:r>
      <w:r>
        <w:rPr>
          <w:rFonts w:ascii="Times New Roman" w:hAnsi="Times New Roman"/>
          <w:noProof/>
          <w:sz w:val="24"/>
          <w:vertAlign w:val="superscript"/>
        </w:rPr>
        <w:footnoteReference w:id="7"/>
      </w:r>
      <w:r w:rsidRPr="005E3A8B">
        <w:rPr>
          <w:rFonts w:ascii="Times New Roman" w:hAnsi="Times New Roman"/>
          <w:noProof/>
          <w:sz w:val="24"/>
          <w:lang w:val="fr-FR"/>
        </w:rPr>
        <w:t xml:space="preserve">.  </w:t>
      </w:r>
    </w:p>
    <w:p w:rsidR="00E91048" w:rsidRPr="005E3A8B" w:rsidRDefault="00E91048">
      <w:pPr>
        <w:tabs>
          <w:tab w:val="left" w:pos="8364"/>
        </w:tabs>
        <w:spacing w:after="240" w:line="240" w:lineRule="auto"/>
        <w:jc w:val="both"/>
        <w:rPr>
          <w:rFonts w:ascii="Times New Roman" w:eastAsia="Times New Roman" w:hAnsi="Times New Roman" w:cs="Times New Roman"/>
          <w:noProof/>
          <w:sz w:val="24"/>
          <w:szCs w:val="20"/>
          <w:lang w:val="fr-FR"/>
        </w:rPr>
      </w:pPr>
    </w:p>
    <w:p w:rsidR="00E91048" w:rsidRPr="005E3A8B" w:rsidRDefault="005E3A8B">
      <w:pPr>
        <w:keepNext/>
        <w:numPr>
          <w:ilvl w:val="3"/>
          <w:numId w:val="0"/>
        </w:numPr>
        <w:tabs>
          <w:tab w:val="num" w:pos="851"/>
        </w:tabs>
        <w:spacing w:after="240" w:line="240" w:lineRule="auto"/>
        <w:ind w:left="851" w:hanging="851"/>
        <w:jc w:val="both"/>
        <w:outlineLvl w:val="3"/>
        <w:rPr>
          <w:rFonts w:ascii="Times New Roman" w:eastAsia="Times New Roman" w:hAnsi="Times New Roman" w:cs="Times New Roman"/>
          <w:noProof/>
          <w:sz w:val="24"/>
          <w:szCs w:val="20"/>
          <w:lang w:val="fr-FR"/>
        </w:rPr>
      </w:pPr>
      <w:r w:rsidRPr="005E3A8B">
        <w:rPr>
          <w:rFonts w:ascii="Times New Roman" w:hAnsi="Times New Roman"/>
          <w:noProof/>
          <w:sz w:val="24"/>
          <w:lang w:val="fr-FR"/>
        </w:rPr>
        <w:t>1.2.2.2.</w:t>
      </w:r>
      <w:r w:rsidRPr="005E3A8B">
        <w:rPr>
          <w:noProof/>
          <w:lang w:val="fr-FR"/>
        </w:rPr>
        <w:tab/>
      </w:r>
      <w:r w:rsidRPr="005E3A8B">
        <w:rPr>
          <w:rFonts w:ascii="Times New Roman" w:hAnsi="Times New Roman"/>
          <w:noProof/>
          <w:sz w:val="24"/>
          <w:lang w:val="fr-FR"/>
        </w:rPr>
        <w:t>Définition des taux de référence pour les 27 autres États membres</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Il y a lieu de définir une méthode pour harmoniser les pondérations des États membr</w:t>
      </w:r>
      <w:r w:rsidRPr="005E3A8B">
        <w:rPr>
          <w:rFonts w:ascii="Times New Roman" w:hAnsi="Times New Roman"/>
          <w:noProof/>
          <w:sz w:val="24"/>
          <w:lang w:val="fr-FR"/>
        </w:rPr>
        <w:t>es. L'indicateur adopté en 2003 afin de définir des objectifs indicatifs de recrutement se fonde sur des critères objectifs, permet un équilibre juste entre la nécessité de refléter la composition de la population de l’UE et le besoin d'assurer une représe</w:t>
      </w:r>
      <w:r w:rsidRPr="005E3A8B">
        <w:rPr>
          <w:rFonts w:ascii="Times New Roman" w:hAnsi="Times New Roman"/>
          <w:noProof/>
          <w:sz w:val="24"/>
          <w:lang w:val="fr-FR"/>
        </w:rPr>
        <w:t>ntation minimale des petits États membres, et il est facile à appliquer</w:t>
      </w:r>
      <w:r>
        <w:rPr>
          <w:rFonts w:ascii="Times New Roman" w:hAnsi="Times New Roman"/>
          <w:noProof/>
          <w:sz w:val="24"/>
          <w:vertAlign w:val="superscript"/>
        </w:rPr>
        <w:footnoteReference w:id="8"/>
      </w:r>
      <w:r w:rsidRPr="005E3A8B">
        <w:rPr>
          <w:rFonts w:ascii="Times New Roman" w:hAnsi="Times New Roman"/>
          <w:noProof/>
          <w:sz w:val="24"/>
          <w:lang w:val="fr-FR"/>
        </w:rPr>
        <w:t xml:space="preserve">.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Les services de la Commission utilisent de facto cet indicateur depuis 2003 lorsqu’ils réalisent des analyses de la situation sur le plan de l'équilibre géographique, et il est prop</w:t>
      </w:r>
      <w:r w:rsidRPr="005E3A8B">
        <w:rPr>
          <w:rFonts w:ascii="Times New Roman" w:hAnsi="Times New Roman"/>
          <w:noProof/>
          <w:sz w:val="24"/>
          <w:lang w:val="fr-FR"/>
        </w:rPr>
        <w:t>osé de conserver ce même indicateur, sans le Royaume-Uni, aux fins du présent rapport. L'indicateur sera régulièrement actualisé afin de rendre compte de l'évolution de ses composantes.</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Les taux de référence sont actuellement les suivants (calcul à l’annex</w:t>
      </w:r>
      <w:r w:rsidRPr="005E3A8B">
        <w:rPr>
          <w:rFonts w:ascii="Times New Roman" w:hAnsi="Times New Roman"/>
          <w:noProof/>
          <w:sz w:val="24"/>
          <w:lang w:val="fr-FR"/>
        </w:rPr>
        <w:t>e 5):</w:t>
      </w:r>
    </w:p>
    <w:tbl>
      <w:tblPr>
        <w:tblW w:w="6819" w:type="dxa"/>
        <w:tblInd w:w="93" w:type="dxa"/>
        <w:tblLook w:val="04A0" w:firstRow="1" w:lastRow="0" w:firstColumn="1" w:lastColumn="0" w:noHBand="0" w:noVBand="1"/>
      </w:tblPr>
      <w:tblGrid>
        <w:gridCol w:w="1500"/>
        <w:gridCol w:w="1280"/>
        <w:gridCol w:w="960"/>
        <w:gridCol w:w="1804"/>
        <w:gridCol w:w="1275"/>
      </w:tblGrid>
      <w:tr w:rsidR="00E91048">
        <w:trPr>
          <w:trHeight w:val="720"/>
        </w:trPr>
        <w:tc>
          <w:tcPr>
            <w:tcW w:w="1500" w:type="dxa"/>
            <w:tcBorders>
              <w:top w:val="single" w:sz="4" w:space="0" w:color="000000"/>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État membre</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048" w:rsidRDefault="005E3A8B">
            <w:pPr>
              <w:spacing w:after="0" w:line="240" w:lineRule="auto"/>
              <w:jc w:val="center"/>
              <w:rPr>
                <w:rFonts w:ascii="Calibri" w:eastAsia="Times New Roman" w:hAnsi="Calibri" w:cs="Times New Roman"/>
                <w:b/>
                <w:bCs/>
                <w:noProof/>
                <w:color w:val="000000"/>
              </w:rPr>
            </w:pPr>
            <w:r>
              <w:rPr>
                <w:rFonts w:ascii="Calibri" w:hAnsi="Calibri"/>
                <w:b/>
                <w:noProof/>
                <w:color w:val="000000"/>
              </w:rPr>
              <w:t>Taux de référence</w:t>
            </w:r>
          </w:p>
        </w:tc>
        <w:tc>
          <w:tcPr>
            <w:tcW w:w="96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804" w:type="dxa"/>
            <w:tcBorders>
              <w:top w:val="single" w:sz="4" w:space="0" w:color="000000"/>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État membre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048" w:rsidRDefault="005E3A8B">
            <w:pPr>
              <w:spacing w:after="0" w:line="240" w:lineRule="auto"/>
              <w:jc w:val="center"/>
              <w:rPr>
                <w:rFonts w:ascii="Calibri" w:eastAsia="Times New Roman" w:hAnsi="Calibri" w:cs="Times New Roman"/>
                <w:b/>
                <w:bCs/>
                <w:noProof/>
                <w:color w:val="000000"/>
              </w:rPr>
            </w:pPr>
            <w:r>
              <w:rPr>
                <w:rFonts w:ascii="Calibri" w:hAnsi="Calibri"/>
                <w:b/>
                <w:noProof/>
                <w:color w:val="000000"/>
              </w:rPr>
              <w:t>Taux de référence</w:t>
            </w:r>
          </w:p>
        </w:tc>
      </w:tr>
      <w:tr w:rsidR="00E91048">
        <w:trPr>
          <w:trHeight w:val="300"/>
        </w:trPr>
        <w:tc>
          <w:tcPr>
            <w:tcW w:w="15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Malte</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0,6 %</w:t>
            </w:r>
          </w:p>
        </w:tc>
        <w:tc>
          <w:tcPr>
            <w:tcW w:w="96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Hongrie</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3,0 %</w:t>
            </w:r>
          </w:p>
        </w:tc>
      </w:tr>
      <w:tr w:rsidR="00E91048">
        <w:trPr>
          <w:trHeight w:val="300"/>
        </w:trPr>
        <w:tc>
          <w:tcPr>
            <w:tcW w:w="15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Luxembourg</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0,8 %</w:t>
            </w:r>
          </w:p>
        </w:tc>
        <w:tc>
          <w:tcPr>
            <w:tcW w:w="96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Portugal</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3,1 %</w:t>
            </w:r>
          </w:p>
        </w:tc>
      </w:tr>
      <w:tr w:rsidR="00E91048">
        <w:trPr>
          <w:trHeight w:val="300"/>
        </w:trPr>
        <w:tc>
          <w:tcPr>
            <w:tcW w:w="15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Chypre</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0,8 %</w:t>
            </w:r>
          </w:p>
        </w:tc>
        <w:tc>
          <w:tcPr>
            <w:tcW w:w="96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République tchèque</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3,1 %</w:t>
            </w:r>
          </w:p>
        </w:tc>
      </w:tr>
      <w:tr w:rsidR="00E91048">
        <w:trPr>
          <w:trHeight w:val="300"/>
        </w:trPr>
        <w:tc>
          <w:tcPr>
            <w:tcW w:w="15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Estonie</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0,8 %</w:t>
            </w:r>
          </w:p>
        </w:tc>
        <w:tc>
          <w:tcPr>
            <w:tcW w:w="96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Grèce</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3,1 %</w:t>
            </w:r>
          </w:p>
        </w:tc>
      </w:tr>
      <w:tr w:rsidR="00E91048">
        <w:trPr>
          <w:trHeight w:val="300"/>
        </w:trPr>
        <w:tc>
          <w:tcPr>
            <w:tcW w:w="15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Lettonie</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1,0 %</w:t>
            </w:r>
          </w:p>
        </w:tc>
        <w:tc>
          <w:tcPr>
            <w:tcW w:w="96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Belgique</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3,1 %</w:t>
            </w:r>
          </w:p>
        </w:tc>
      </w:tr>
      <w:tr w:rsidR="00E91048">
        <w:trPr>
          <w:trHeight w:val="300"/>
        </w:trPr>
        <w:tc>
          <w:tcPr>
            <w:tcW w:w="15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Slovénie</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1,0 %</w:t>
            </w:r>
          </w:p>
        </w:tc>
        <w:tc>
          <w:tcPr>
            <w:tcW w:w="96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Pays-Bas</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3,9 %</w:t>
            </w:r>
          </w:p>
        </w:tc>
      </w:tr>
      <w:tr w:rsidR="00E91048">
        <w:trPr>
          <w:trHeight w:val="300"/>
        </w:trPr>
        <w:tc>
          <w:tcPr>
            <w:tcW w:w="15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Lituanie</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1,5 %</w:t>
            </w:r>
          </w:p>
        </w:tc>
        <w:tc>
          <w:tcPr>
            <w:tcW w:w="96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Roumanie</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4,5 %</w:t>
            </w:r>
          </w:p>
        </w:tc>
      </w:tr>
      <w:tr w:rsidR="00E91048">
        <w:trPr>
          <w:trHeight w:val="300"/>
        </w:trPr>
        <w:tc>
          <w:tcPr>
            <w:tcW w:w="15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Croatie</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1,6 %</w:t>
            </w:r>
          </w:p>
        </w:tc>
        <w:tc>
          <w:tcPr>
            <w:tcW w:w="96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Pologne</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8,2 %</w:t>
            </w:r>
          </w:p>
        </w:tc>
      </w:tr>
      <w:tr w:rsidR="00E91048">
        <w:trPr>
          <w:trHeight w:val="300"/>
        </w:trPr>
        <w:tc>
          <w:tcPr>
            <w:tcW w:w="15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Irlande</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1,6 %</w:t>
            </w:r>
          </w:p>
        </w:tc>
        <w:tc>
          <w:tcPr>
            <w:tcW w:w="96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Espagne</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8,9 %</w:t>
            </w:r>
          </w:p>
        </w:tc>
      </w:tr>
      <w:tr w:rsidR="00E91048">
        <w:trPr>
          <w:trHeight w:val="300"/>
        </w:trPr>
        <w:tc>
          <w:tcPr>
            <w:tcW w:w="15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Slovaquie</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1,8 %</w:t>
            </w:r>
          </w:p>
        </w:tc>
        <w:tc>
          <w:tcPr>
            <w:tcW w:w="96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Italie</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11,2 %</w:t>
            </w:r>
          </w:p>
        </w:tc>
      </w:tr>
      <w:tr w:rsidR="00E91048">
        <w:trPr>
          <w:trHeight w:val="300"/>
        </w:trPr>
        <w:tc>
          <w:tcPr>
            <w:tcW w:w="15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Finlande</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1,8 %</w:t>
            </w:r>
          </w:p>
        </w:tc>
        <w:tc>
          <w:tcPr>
            <w:tcW w:w="96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France</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11,6 %</w:t>
            </w:r>
          </w:p>
        </w:tc>
      </w:tr>
      <w:tr w:rsidR="00E91048">
        <w:trPr>
          <w:trHeight w:val="300"/>
        </w:trPr>
        <w:tc>
          <w:tcPr>
            <w:tcW w:w="15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Danemark</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1,8 %</w:t>
            </w:r>
          </w:p>
        </w:tc>
        <w:tc>
          <w:tcPr>
            <w:tcW w:w="96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804"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Allemagne</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13,8 %</w:t>
            </w:r>
          </w:p>
        </w:tc>
      </w:tr>
      <w:tr w:rsidR="00E91048">
        <w:trPr>
          <w:trHeight w:val="300"/>
        </w:trPr>
        <w:tc>
          <w:tcPr>
            <w:tcW w:w="15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Bulgarie</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2,4 %</w:t>
            </w:r>
          </w:p>
        </w:tc>
        <w:tc>
          <w:tcPr>
            <w:tcW w:w="96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804"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275" w:type="dxa"/>
            <w:tcBorders>
              <w:top w:val="nil"/>
              <w:left w:val="nil"/>
              <w:bottom w:val="nil"/>
              <w:right w:val="nil"/>
            </w:tcBorders>
            <w:shd w:val="clear" w:color="auto" w:fill="auto"/>
            <w:noWrap/>
            <w:vAlign w:val="center"/>
            <w:hideMark/>
          </w:tcPr>
          <w:p w:rsidR="00E91048" w:rsidRDefault="00E91048">
            <w:pPr>
              <w:spacing w:after="0" w:line="240" w:lineRule="auto"/>
              <w:jc w:val="center"/>
              <w:rPr>
                <w:rFonts w:ascii="Calibri" w:eastAsia="Times New Roman" w:hAnsi="Calibri" w:cs="Times New Roman"/>
                <w:noProof/>
                <w:color w:val="000000"/>
              </w:rPr>
            </w:pPr>
          </w:p>
        </w:tc>
      </w:tr>
      <w:tr w:rsidR="00E91048">
        <w:trPr>
          <w:trHeight w:val="300"/>
        </w:trPr>
        <w:tc>
          <w:tcPr>
            <w:tcW w:w="15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Autriche</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2,6 %</w:t>
            </w:r>
          </w:p>
        </w:tc>
        <w:tc>
          <w:tcPr>
            <w:tcW w:w="96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804"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275" w:type="dxa"/>
            <w:tcBorders>
              <w:top w:val="nil"/>
              <w:left w:val="nil"/>
              <w:bottom w:val="nil"/>
              <w:right w:val="nil"/>
            </w:tcBorders>
            <w:shd w:val="clear" w:color="auto" w:fill="auto"/>
            <w:noWrap/>
            <w:vAlign w:val="center"/>
            <w:hideMark/>
          </w:tcPr>
          <w:p w:rsidR="00E91048" w:rsidRDefault="00E91048">
            <w:pPr>
              <w:spacing w:after="0" w:line="240" w:lineRule="auto"/>
              <w:jc w:val="center"/>
              <w:rPr>
                <w:rFonts w:ascii="Calibri" w:eastAsia="Times New Roman" w:hAnsi="Calibri" w:cs="Times New Roman"/>
                <w:noProof/>
                <w:color w:val="000000"/>
              </w:rPr>
            </w:pPr>
          </w:p>
        </w:tc>
      </w:tr>
      <w:tr w:rsidR="00E91048">
        <w:trPr>
          <w:trHeight w:val="300"/>
        </w:trPr>
        <w:tc>
          <w:tcPr>
            <w:tcW w:w="15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Suède</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2,7 %</w:t>
            </w:r>
          </w:p>
        </w:tc>
        <w:tc>
          <w:tcPr>
            <w:tcW w:w="96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804" w:type="dxa"/>
            <w:tcBorders>
              <w:top w:val="single" w:sz="4" w:space="0" w:color="000000"/>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Total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100,0 %</w:t>
            </w:r>
          </w:p>
        </w:tc>
      </w:tr>
    </w:tbl>
    <w:p w:rsidR="00E91048" w:rsidRDefault="00E91048">
      <w:pPr>
        <w:spacing w:after="240" w:line="240" w:lineRule="auto"/>
        <w:jc w:val="both"/>
        <w:rPr>
          <w:rFonts w:ascii="Times New Roman" w:eastAsia="Times New Roman" w:hAnsi="Times New Roman" w:cs="Times New Roman"/>
          <w:noProof/>
          <w:sz w:val="24"/>
          <w:szCs w:val="20"/>
        </w:rPr>
      </w:pPr>
    </w:p>
    <w:p w:rsidR="00E91048" w:rsidRPr="005E3A8B" w:rsidRDefault="005E3A8B">
      <w:pPr>
        <w:keepNext/>
        <w:numPr>
          <w:ilvl w:val="2"/>
          <w:numId w:val="0"/>
        </w:numPr>
        <w:tabs>
          <w:tab w:val="num" w:pos="709"/>
        </w:tabs>
        <w:spacing w:after="240" w:line="240" w:lineRule="auto"/>
        <w:ind w:left="709" w:hanging="709"/>
        <w:jc w:val="both"/>
        <w:outlineLvl w:val="2"/>
        <w:rPr>
          <w:rFonts w:ascii="Times New Roman" w:eastAsia="Times New Roman" w:hAnsi="Times New Roman" w:cs="Times New Roman"/>
          <w:i/>
          <w:noProof/>
          <w:sz w:val="24"/>
          <w:szCs w:val="20"/>
          <w:lang w:val="fr-FR"/>
        </w:rPr>
      </w:pPr>
      <w:r w:rsidRPr="005E3A8B">
        <w:rPr>
          <w:rFonts w:ascii="Times New Roman" w:hAnsi="Times New Roman"/>
          <w:i/>
          <w:noProof/>
          <w:sz w:val="24"/>
          <w:lang w:val="fr-FR"/>
        </w:rPr>
        <w:t>1.2.3.</w:t>
      </w:r>
      <w:r w:rsidRPr="005E3A8B">
        <w:rPr>
          <w:noProof/>
          <w:lang w:val="fr-FR"/>
        </w:rPr>
        <w:tab/>
      </w:r>
      <w:r w:rsidRPr="005E3A8B">
        <w:rPr>
          <w:rFonts w:ascii="Times New Roman" w:hAnsi="Times New Roman"/>
          <w:i/>
          <w:noProof/>
          <w:sz w:val="24"/>
          <w:lang w:val="fr-FR"/>
        </w:rPr>
        <w:t>Définition d'une «présence minimale» pour chaque nationalité</w:t>
      </w:r>
    </w:p>
    <w:p w:rsidR="00E91048" w:rsidRPr="005E3A8B" w:rsidRDefault="005E3A8B">
      <w:pPr>
        <w:spacing w:after="12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Les dispositions légales applicables concernant l’équilibre géographique reflètent deux exigences fondamentales. Premièrement, les procédures de sélection et de recrutement devraient être conçues de façon à éviter toute partialité fondée sur la nationalité</w:t>
      </w:r>
      <w:r w:rsidRPr="005E3A8B">
        <w:rPr>
          <w:rFonts w:ascii="Times New Roman" w:hAnsi="Times New Roman"/>
          <w:noProof/>
          <w:sz w:val="24"/>
          <w:lang w:val="fr-FR"/>
        </w:rPr>
        <w:t xml:space="preserve">. Deuxièmement, une représentation géographique équilibrée au sein du personnel est nécessaire pour que la Commission réponde à l’un de ses objectifs fondamentaux, à savoir être proche des citoyens et refléter la diversité des États membres. </w:t>
      </w:r>
    </w:p>
    <w:p w:rsidR="00E91048" w:rsidRDefault="005E3A8B">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Par conséquen</w:t>
      </w:r>
      <w:r>
        <w:rPr>
          <w:rFonts w:ascii="Times New Roman" w:hAnsi="Times New Roman"/>
          <w:noProof/>
          <w:sz w:val="24"/>
        </w:rPr>
        <w:t xml:space="preserve">t, la Commission considère </w:t>
      </w:r>
    </w:p>
    <w:p w:rsidR="00E91048" w:rsidRPr="005E3A8B" w:rsidRDefault="005E3A8B">
      <w:pPr>
        <w:pStyle w:val="ListParagraph"/>
        <w:numPr>
          <w:ilvl w:val="0"/>
          <w:numId w:val="36"/>
        </w:numPr>
        <w:spacing w:after="12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qu'un niveau minimal de présence (au sein du personnel de la Commission) devrait être défini et garanti pour chaque nationalité de l’UE; </w:t>
      </w:r>
    </w:p>
    <w:p w:rsidR="00E91048" w:rsidRPr="005E3A8B" w:rsidRDefault="005E3A8B">
      <w:pPr>
        <w:pStyle w:val="ListParagraph"/>
        <w:numPr>
          <w:ilvl w:val="0"/>
          <w:numId w:val="36"/>
        </w:num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que des écarts limités par rapport aux taux de référence seront tolérés non seulement parc</w:t>
      </w:r>
      <w:r w:rsidRPr="005E3A8B">
        <w:rPr>
          <w:rFonts w:ascii="Times New Roman" w:hAnsi="Times New Roman"/>
          <w:noProof/>
          <w:sz w:val="24"/>
          <w:lang w:val="fr-FR"/>
        </w:rPr>
        <w:t>e qu’ils ne sont pas présumés mettre en péril l'équilibre géographique, mais aussi parce qu’ils sont nécessaires pour prévenir le risque d’inefficacité.</w:t>
      </w:r>
    </w:p>
    <w:p w:rsidR="00E91048" w:rsidRPr="005E3A8B" w:rsidRDefault="005E3A8B">
      <w:pPr>
        <w:spacing w:after="240" w:line="240" w:lineRule="auto"/>
        <w:contextualSpacing/>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En pratique, la Commission considère qu'il existe un déséquilibre important si la part des ressortissan</w:t>
      </w:r>
      <w:r w:rsidRPr="005E3A8B">
        <w:rPr>
          <w:rFonts w:ascii="Times New Roman" w:hAnsi="Times New Roman"/>
          <w:noProof/>
          <w:sz w:val="24"/>
          <w:lang w:val="fr-FR"/>
        </w:rPr>
        <w:t>ts de l'un ou de plusieurs États membres parmi son personnel est inférieure à 80 % du taux de référence pertinent.</w:t>
      </w:r>
    </w:p>
    <w:p w:rsidR="00E91048" w:rsidRPr="005E3A8B" w:rsidRDefault="00E91048">
      <w:pPr>
        <w:spacing w:after="240" w:line="240" w:lineRule="auto"/>
        <w:contextualSpacing/>
        <w:jc w:val="both"/>
        <w:rPr>
          <w:rFonts w:ascii="Times New Roman" w:eastAsia="Times New Roman" w:hAnsi="Times New Roman" w:cs="Times New Roman"/>
          <w:noProof/>
          <w:sz w:val="24"/>
          <w:szCs w:val="20"/>
          <w:lang w:val="fr-FR"/>
        </w:rPr>
      </w:pPr>
    </w:p>
    <w:p w:rsidR="00E91048" w:rsidRDefault="005E3A8B">
      <w:pPr>
        <w:keepNext/>
        <w:numPr>
          <w:ilvl w:val="1"/>
          <w:numId w:val="0"/>
        </w:numPr>
        <w:tabs>
          <w:tab w:val="num" w:pos="567"/>
        </w:tabs>
        <w:spacing w:after="240" w:line="240" w:lineRule="auto"/>
        <w:ind w:left="567" w:hanging="567"/>
        <w:jc w:val="both"/>
        <w:outlineLvl w:val="1"/>
        <w:rPr>
          <w:rFonts w:ascii="Times New Roman" w:eastAsia="Times New Roman" w:hAnsi="Times New Roman" w:cs="Times New Roman"/>
          <w:b/>
          <w:noProof/>
          <w:sz w:val="24"/>
          <w:szCs w:val="20"/>
        </w:rPr>
      </w:pPr>
      <w:r>
        <w:rPr>
          <w:rFonts w:ascii="Times New Roman" w:hAnsi="Times New Roman"/>
          <w:b/>
          <w:noProof/>
          <w:sz w:val="24"/>
        </w:rPr>
        <w:t>1.3.</w:t>
      </w:r>
      <w:r>
        <w:rPr>
          <w:noProof/>
        </w:rPr>
        <w:tab/>
      </w:r>
      <w:r>
        <w:rPr>
          <w:rFonts w:ascii="Times New Roman" w:hAnsi="Times New Roman"/>
          <w:b/>
          <w:noProof/>
          <w:sz w:val="24"/>
        </w:rPr>
        <w:t xml:space="preserve">Champ d'application </w:t>
      </w:r>
    </w:p>
    <w:p w:rsidR="00E91048" w:rsidRDefault="005E3A8B">
      <w:pPr>
        <w:keepNext/>
        <w:numPr>
          <w:ilvl w:val="2"/>
          <w:numId w:val="0"/>
        </w:numPr>
        <w:tabs>
          <w:tab w:val="num" w:pos="709"/>
        </w:tabs>
        <w:spacing w:after="240" w:line="240" w:lineRule="auto"/>
        <w:ind w:left="709" w:hanging="709"/>
        <w:jc w:val="both"/>
        <w:outlineLvl w:val="2"/>
        <w:rPr>
          <w:rFonts w:ascii="Times New Roman" w:eastAsia="Times New Roman" w:hAnsi="Times New Roman" w:cs="Times New Roman"/>
          <w:i/>
          <w:noProof/>
          <w:sz w:val="24"/>
          <w:szCs w:val="20"/>
        </w:rPr>
      </w:pPr>
      <w:r>
        <w:rPr>
          <w:rFonts w:ascii="Times New Roman" w:hAnsi="Times New Roman"/>
          <w:i/>
          <w:noProof/>
          <w:sz w:val="24"/>
        </w:rPr>
        <w:t>1.3.1.</w:t>
      </w:r>
      <w:r>
        <w:rPr>
          <w:noProof/>
        </w:rPr>
        <w:tab/>
      </w:r>
      <w:r>
        <w:rPr>
          <w:rFonts w:ascii="Times New Roman" w:hAnsi="Times New Roman"/>
          <w:i/>
          <w:noProof/>
          <w:sz w:val="24"/>
        </w:rPr>
        <w:t>Groupe de fonctions</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Afin d'assurer la proportionnalité des mesures, le présent rapport sera consacré uniquement au groupe de fonctions AD. L'article 27 du statut s’applique à tous les membres du personnel quel que soit leur groupe de fonctions, mais une marge plus large est t</w:t>
      </w:r>
      <w:r w:rsidRPr="005E3A8B">
        <w:rPr>
          <w:rFonts w:ascii="Times New Roman" w:hAnsi="Times New Roman"/>
          <w:noProof/>
          <w:sz w:val="24"/>
          <w:lang w:val="fr-FR"/>
        </w:rPr>
        <w:t>olérée pour les groupes de fonctions AST et AST-SC. En effet, l’exigence de refléter la diversité de nationalités de l’Union européenne est plus stricte pour les fonctionnaires chargés de fonctions de direction, de conception, d'étude, de fonctions linguis</w:t>
      </w:r>
      <w:r w:rsidRPr="005E3A8B">
        <w:rPr>
          <w:rFonts w:ascii="Times New Roman" w:hAnsi="Times New Roman"/>
          <w:noProof/>
          <w:sz w:val="24"/>
          <w:lang w:val="fr-FR"/>
        </w:rPr>
        <w:t xml:space="preserve">tiques ou scientifiques (les AD) que pour ceux chargés de fonctions d'exécution et de nature technique (les AST) ou de tâches de bureau et de secrétariat (les AST-SC).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En outre, les fonctions d’exécution et les fonctions de nature technique, de bureau et </w:t>
      </w:r>
      <w:r w:rsidRPr="005E3A8B">
        <w:rPr>
          <w:rFonts w:ascii="Times New Roman" w:hAnsi="Times New Roman"/>
          <w:noProof/>
          <w:sz w:val="24"/>
          <w:lang w:val="fr-FR"/>
        </w:rPr>
        <w:t xml:space="preserve">de secrétariat sont généralement exercées par du personnel recruté localement et sont souvent moins attrayantes pour les expatriés.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Pour cette raison, la présente analyse et toute mesure au titre de l’article 27, deuxième alinéa, du statut sont limitées a</w:t>
      </w:r>
      <w:r w:rsidRPr="005E3A8B">
        <w:rPr>
          <w:rFonts w:ascii="Times New Roman" w:hAnsi="Times New Roman"/>
          <w:noProof/>
          <w:sz w:val="24"/>
          <w:lang w:val="fr-FR"/>
        </w:rPr>
        <w:t xml:space="preserve">u groupe de fonctions AD. </w:t>
      </w:r>
    </w:p>
    <w:p w:rsidR="00E91048" w:rsidRPr="005E3A8B" w:rsidRDefault="00E91048">
      <w:pPr>
        <w:spacing w:after="240" w:line="240" w:lineRule="auto"/>
        <w:jc w:val="both"/>
        <w:rPr>
          <w:rFonts w:ascii="Times New Roman" w:eastAsia="Times New Roman" w:hAnsi="Times New Roman" w:cs="Times New Roman"/>
          <w:noProof/>
          <w:sz w:val="24"/>
          <w:szCs w:val="20"/>
          <w:lang w:val="fr-FR"/>
        </w:rPr>
      </w:pPr>
    </w:p>
    <w:p w:rsidR="00E91048" w:rsidRDefault="005E3A8B">
      <w:pPr>
        <w:keepNext/>
        <w:numPr>
          <w:ilvl w:val="2"/>
          <w:numId w:val="0"/>
        </w:numPr>
        <w:tabs>
          <w:tab w:val="num" w:pos="709"/>
        </w:tabs>
        <w:spacing w:after="240" w:line="240" w:lineRule="auto"/>
        <w:ind w:left="709" w:hanging="709"/>
        <w:jc w:val="both"/>
        <w:outlineLvl w:val="2"/>
        <w:rPr>
          <w:rFonts w:ascii="Times New Roman" w:eastAsia="Times New Roman" w:hAnsi="Times New Roman" w:cs="Times New Roman"/>
          <w:i/>
          <w:noProof/>
          <w:sz w:val="24"/>
          <w:szCs w:val="20"/>
        </w:rPr>
      </w:pPr>
      <w:r>
        <w:rPr>
          <w:rFonts w:ascii="Times New Roman" w:hAnsi="Times New Roman"/>
          <w:i/>
          <w:noProof/>
          <w:sz w:val="24"/>
        </w:rPr>
        <w:t>1.3.2.</w:t>
      </w:r>
      <w:r>
        <w:rPr>
          <w:noProof/>
        </w:rPr>
        <w:tab/>
      </w:r>
      <w:r>
        <w:rPr>
          <w:rFonts w:ascii="Times New Roman" w:hAnsi="Times New Roman"/>
          <w:i/>
          <w:noProof/>
          <w:sz w:val="24"/>
        </w:rPr>
        <w:t>Fonctions occupées</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Le présent rapport n’examine que la répartition du personnel occupant des fonctions hors encadrement. À la Commission, la répartition des nationalités parmi le personnel d’encadrement fait l'objet de rè</w:t>
      </w:r>
      <w:r w:rsidRPr="005E3A8B">
        <w:rPr>
          <w:rFonts w:ascii="Times New Roman" w:hAnsi="Times New Roman"/>
          <w:noProof/>
          <w:sz w:val="24"/>
          <w:lang w:val="fr-FR"/>
        </w:rPr>
        <w:t>gles et pratiques distinctes, ainsi que d'un suivi spécifique</w:t>
      </w:r>
      <w:r>
        <w:rPr>
          <w:rFonts w:ascii="Times New Roman" w:hAnsi="Times New Roman"/>
          <w:noProof/>
          <w:sz w:val="24"/>
          <w:vertAlign w:val="superscript"/>
        </w:rPr>
        <w:footnoteReference w:id="9"/>
      </w:r>
      <w:r w:rsidRPr="005E3A8B">
        <w:rPr>
          <w:rFonts w:ascii="Times New Roman" w:hAnsi="Times New Roman"/>
          <w:noProof/>
          <w:sz w:val="24"/>
          <w:lang w:val="fr-FR"/>
        </w:rPr>
        <w:t>.</w:t>
      </w:r>
    </w:p>
    <w:p w:rsidR="00E91048" w:rsidRPr="005E3A8B" w:rsidRDefault="00E91048">
      <w:pPr>
        <w:spacing w:after="240" w:line="240" w:lineRule="auto"/>
        <w:jc w:val="both"/>
        <w:rPr>
          <w:rFonts w:ascii="Times New Roman" w:eastAsia="Times New Roman" w:hAnsi="Times New Roman" w:cs="Times New Roman"/>
          <w:noProof/>
          <w:sz w:val="24"/>
          <w:szCs w:val="20"/>
          <w:lang w:val="fr-FR"/>
        </w:rPr>
      </w:pPr>
    </w:p>
    <w:p w:rsidR="00E91048" w:rsidRDefault="005E3A8B">
      <w:pPr>
        <w:keepNext/>
        <w:numPr>
          <w:ilvl w:val="2"/>
          <w:numId w:val="0"/>
        </w:numPr>
        <w:tabs>
          <w:tab w:val="num" w:pos="709"/>
        </w:tabs>
        <w:spacing w:after="240" w:line="240" w:lineRule="auto"/>
        <w:ind w:left="709" w:hanging="709"/>
        <w:jc w:val="both"/>
        <w:outlineLvl w:val="2"/>
        <w:rPr>
          <w:rFonts w:ascii="Times New Roman" w:eastAsia="Times New Roman" w:hAnsi="Times New Roman" w:cs="Times New Roman"/>
          <w:i/>
          <w:noProof/>
          <w:sz w:val="24"/>
          <w:szCs w:val="20"/>
        </w:rPr>
      </w:pPr>
      <w:r>
        <w:rPr>
          <w:rFonts w:ascii="Times New Roman" w:hAnsi="Times New Roman"/>
          <w:i/>
          <w:noProof/>
          <w:sz w:val="24"/>
        </w:rPr>
        <w:t>1.3.3.</w:t>
      </w:r>
      <w:r>
        <w:rPr>
          <w:noProof/>
        </w:rPr>
        <w:tab/>
      </w:r>
      <w:r>
        <w:rPr>
          <w:rFonts w:ascii="Times New Roman" w:hAnsi="Times New Roman"/>
          <w:i/>
          <w:noProof/>
          <w:sz w:val="24"/>
        </w:rPr>
        <w:t xml:space="preserve">Services linguistiques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L'objectif d'une représentation équilibrée du personnel ne peut pas être poursuivi de la même manière au sein des services linguistiques que des autres services.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En raison de la nature et des objectifs spécifiques des services linguistiques, la politique </w:t>
      </w:r>
      <w:r w:rsidRPr="005E3A8B">
        <w:rPr>
          <w:rFonts w:ascii="Times New Roman" w:hAnsi="Times New Roman"/>
          <w:noProof/>
          <w:sz w:val="24"/>
          <w:lang w:val="fr-FR"/>
        </w:rPr>
        <w:t>du personnel y suit une logique propre. Premièrement, le nombre requis de membres du personnel maîtrisant la langue cible est fixé à l'avance et il est indépendant de la taille de l’État membre correspondant. Deuxièmement, si les recrutements dans les serv</w:t>
      </w:r>
      <w:r w:rsidRPr="005E3A8B">
        <w:rPr>
          <w:rFonts w:ascii="Times New Roman" w:hAnsi="Times New Roman"/>
          <w:noProof/>
          <w:sz w:val="24"/>
          <w:lang w:val="fr-FR"/>
        </w:rPr>
        <w:t>ices linguistiques ne sont pas dictés par la nationalité, mais par les compétences linguistiques, il existe néanmoins une forte corrélation entre ces deux éléments. Troisièmement, un certain nombre de langues sont les langues officielles de plusieurs États</w:t>
      </w:r>
      <w:r w:rsidRPr="005E3A8B">
        <w:rPr>
          <w:rFonts w:ascii="Times New Roman" w:hAnsi="Times New Roman"/>
          <w:noProof/>
          <w:sz w:val="24"/>
          <w:lang w:val="fr-FR"/>
        </w:rPr>
        <w:t xml:space="preserve"> membres. Par conséquent, en fonction de la langue en question, la répartition par nationalité du personnel des services linguistiques suit un schéma qui n’est pas comparable à celui utilisé pour les services autres que linguistiques.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Il n’est ni pertinen</w:t>
      </w:r>
      <w:r w:rsidRPr="005E3A8B">
        <w:rPr>
          <w:rFonts w:ascii="Times New Roman" w:hAnsi="Times New Roman"/>
          <w:noProof/>
          <w:sz w:val="24"/>
          <w:lang w:val="fr-FR"/>
        </w:rPr>
        <w:t>t ni souhaitable d'appliquer les «taux de référence» décrits à la section 1.2 ci-dessus aux services linguistiques. Le tableau figurant à l'annexe 6 montre la répartition de tout le personnel AD hors encadrement dans les services linguistiques de la Commis</w:t>
      </w:r>
      <w:r w:rsidRPr="005E3A8B">
        <w:rPr>
          <w:rFonts w:ascii="Times New Roman" w:hAnsi="Times New Roman"/>
          <w:noProof/>
          <w:sz w:val="24"/>
          <w:lang w:val="fr-FR"/>
        </w:rPr>
        <w:t>sion (à savoir la DGT et le SCIC). Ce tableau montre que la majorité des grands États membres, ainsi que les États membres qui «partagent» leur(s) langue(s) officielle(s) avec d'autres États membres, sont sous-représentés. Les déséquilibres sont d'autant p</w:t>
      </w:r>
      <w:r w:rsidRPr="005E3A8B">
        <w:rPr>
          <w:rFonts w:ascii="Times New Roman" w:hAnsi="Times New Roman"/>
          <w:noProof/>
          <w:sz w:val="24"/>
          <w:lang w:val="fr-FR"/>
        </w:rPr>
        <w:t xml:space="preserve">lus évidents si l’on examine séparément les catégories AD5-AD8 et AD9-AD12, mais il est clair qu’un recrutement ciblé, sur cette base, pour les nationalités en question ne répondrait à aucune exigence opérationnelle.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Par conséquent, étant donné les contra</w:t>
      </w:r>
      <w:r w:rsidRPr="005E3A8B">
        <w:rPr>
          <w:rFonts w:ascii="Times New Roman" w:hAnsi="Times New Roman"/>
          <w:noProof/>
          <w:sz w:val="24"/>
          <w:lang w:val="fr-FR"/>
        </w:rPr>
        <w:t>intes objectives inhérentes à la politique de personnel des services linguistiques, la Commission exclut ces services du champ de l’évaluation de l’équilibre géographique.</w:t>
      </w:r>
    </w:p>
    <w:p w:rsidR="00E91048" w:rsidRPr="005E3A8B" w:rsidRDefault="00E91048">
      <w:pPr>
        <w:spacing w:after="240" w:line="240" w:lineRule="auto"/>
        <w:jc w:val="both"/>
        <w:rPr>
          <w:rFonts w:ascii="Times New Roman" w:eastAsia="Times New Roman" w:hAnsi="Times New Roman" w:cs="Times New Roman"/>
          <w:noProof/>
          <w:sz w:val="24"/>
          <w:szCs w:val="20"/>
          <w:lang w:val="fr-FR"/>
        </w:rPr>
      </w:pPr>
    </w:p>
    <w:p w:rsidR="00E91048" w:rsidRDefault="005E3A8B">
      <w:pPr>
        <w:keepNext/>
        <w:numPr>
          <w:ilvl w:val="2"/>
          <w:numId w:val="0"/>
        </w:numPr>
        <w:tabs>
          <w:tab w:val="num" w:pos="709"/>
        </w:tabs>
        <w:spacing w:after="240" w:line="240" w:lineRule="auto"/>
        <w:ind w:left="709" w:hanging="709"/>
        <w:jc w:val="both"/>
        <w:outlineLvl w:val="2"/>
        <w:rPr>
          <w:rFonts w:ascii="Times New Roman" w:eastAsia="Times New Roman" w:hAnsi="Times New Roman" w:cs="Times New Roman"/>
          <w:i/>
          <w:noProof/>
          <w:sz w:val="24"/>
          <w:szCs w:val="20"/>
        </w:rPr>
      </w:pPr>
      <w:r>
        <w:rPr>
          <w:rFonts w:ascii="Times New Roman" w:hAnsi="Times New Roman"/>
          <w:i/>
          <w:noProof/>
          <w:sz w:val="24"/>
        </w:rPr>
        <w:t>1.3.4.</w:t>
      </w:r>
      <w:r>
        <w:rPr>
          <w:noProof/>
        </w:rPr>
        <w:tab/>
      </w:r>
      <w:r>
        <w:rPr>
          <w:rFonts w:ascii="Times New Roman" w:hAnsi="Times New Roman"/>
          <w:i/>
          <w:noProof/>
          <w:sz w:val="24"/>
        </w:rPr>
        <w:t>Grades</w:t>
      </w:r>
    </w:p>
    <w:p w:rsidR="00E91048" w:rsidRDefault="005E3A8B">
      <w:pPr>
        <w:spacing w:after="0" w:line="240" w:lineRule="auto"/>
        <w:jc w:val="both"/>
        <w:rPr>
          <w:rFonts w:ascii="Times New Roman" w:eastAsia="Times New Roman" w:hAnsi="Times New Roman" w:cs="Times New Roman"/>
          <w:noProof/>
          <w:sz w:val="24"/>
          <w:szCs w:val="20"/>
        </w:rPr>
      </w:pPr>
      <w:r w:rsidRPr="005E3A8B">
        <w:rPr>
          <w:rFonts w:ascii="Times New Roman" w:hAnsi="Times New Roman"/>
          <w:noProof/>
          <w:sz w:val="24"/>
          <w:lang w:val="fr-FR"/>
        </w:rPr>
        <w:t>L'article 27 du statut est le premier article du chapitre du statut c</w:t>
      </w:r>
      <w:r w:rsidRPr="005E3A8B">
        <w:rPr>
          <w:rFonts w:ascii="Times New Roman" w:hAnsi="Times New Roman"/>
          <w:noProof/>
          <w:sz w:val="24"/>
          <w:lang w:val="fr-FR"/>
        </w:rPr>
        <w:t xml:space="preserve">onsacré au recrutement. En application de l’article 31 du statut, les fonctionnaires du groupe de fonctions AD sont recrutés uniquement aux grades AD 5 à AD 8 et, le cas échéant, aux grades AD 9, AD 10, AD 11 ou, exceptionnellement, AD 12. </w:t>
      </w:r>
      <w:r>
        <w:rPr>
          <w:rFonts w:ascii="Times New Roman" w:hAnsi="Times New Roman"/>
          <w:noProof/>
          <w:sz w:val="24"/>
        </w:rPr>
        <w:t>Étant donné cett</w:t>
      </w:r>
      <w:r>
        <w:rPr>
          <w:rFonts w:ascii="Times New Roman" w:hAnsi="Times New Roman"/>
          <w:noProof/>
          <w:sz w:val="24"/>
        </w:rPr>
        <w:t xml:space="preserve">e distinction, le rapport examine séparément les fourchettes </w:t>
      </w:r>
    </w:p>
    <w:p w:rsidR="00E91048" w:rsidRPr="005E3A8B" w:rsidRDefault="005E3A8B">
      <w:pPr>
        <w:pStyle w:val="ListParagraph"/>
        <w:numPr>
          <w:ilvl w:val="0"/>
          <w:numId w:val="37"/>
        </w:numPr>
        <w:spacing w:after="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AD9-AD12 (pour lesquels le nombre de nominations ne peut pas excéder 20 % du nombre total des nominations dans le groupe de fonctions AD pour une année donnée) et</w:t>
      </w:r>
    </w:p>
    <w:p w:rsidR="00E91048" w:rsidRPr="005E3A8B" w:rsidRDefault="005E3A8B">
      <w:pPr>
        <w:pStyle w:val="ListParagraph"/>
        <w:numPr>
          <w:ilvl w:val="0"/>
          <w:numId w:val="37"/>
        </w:num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AD5-AD8 (qui sont les grades le</w:t>
      </w:r>
      <w:r w:rsidRPr="005E3A8B">
        <w:rPr>
          <w:rFonts w:ascii="Times New Roman" w:hAnsi="Times New Roman"/>
          <w:noProof/>
          <w:sz w:val="24"/>
          <w:lang w:val="fr-FR"/>
        </w:rPr>
        <w:t>s plus habituels de nomination).</w:t>
      </w:r>
    </w:p>
    <w:p w:rsidR="00E91048" w:rsidRPr="005E3A8B" w:rsidRDefault="005E3A8B">
      <w:pPr>
        <w:tabs>
          <w:tab w:val="num" w:pos="709"/>
        </w:tabs>
        <w:spacing w:after="0" w:line="240" w:lineRule="auto"/>
        <w:jc w:val="both"/>
        <w:rPr>
          <w:rFonts w:ascii="Times New Roman" w:eastAsia="Times New Roman" w:hAnsi="Times New Roman" w:cs="Times New Roman"/>
          <w:noProof/>
          <w:sz w:val="24"/>
          <w:szCs w:val="20"/>
          <w:lang w:val="fr-FR" w:eastAsia="en-US" w:bidi="ar-SA"/>
        </w:rPr>
      </w:pPr>
      <w:r w:rsidRPr="005E3A8B">
        <w:rPr>
          <w:rFonts w:ascii="Times New Roman" w:hAnsi="Times New Roman"/>
          <w:noProof/>
          <w:sz w:val="24"/>
          <w:lang w:val="fr-FR"/>
        </w:rPr>
        <w:t>Il convient également de faire observer que les grades AD13-AD14 ne sont, en règle générale, pas des grades de recrutement (et sont dès lors exclus du champ de l'analyse) et que, de surcroît, depuis l’entrée en vigueur de l</w:t>
      </w:r>
      <w:r w:rsidRPr="005E3A8B">
        <w:rPr>
          <w:rFonts w:ascii="Times New Roman" w:hAnsi="Times New Roman"/>
          <w:noProof/>
          <w:sz w:val="24"/>
          <w:lang w:val="fr-FR"/>
        </w:rPr>
        <w:t>a révision de 2014 du statut, ils sont réservés aux fonctions d’encadrement ou de conseil. Le volume de personnel hors encadrement dans cette fourchette de grades est un héritage du passé, et il s’agit pour l’essentiel de ressortissants des États membres a</w:t>
      </w:r>
      <w:r w:rsidRPr="005E3A8B">
        <w:rPr>
          <w:rFonts w:ascii="Times New Roman" w:hAnsi="Times New Roman"/>
          <w:noProof/>
          <w:sz w:val="24"/>
          <w:lang w:val="fr-FR"/>
        </w:rPr>
        <w:t>yant adhéré avant 2004; ce volume diminuera considérablement au fil du temps, étant donné que sa ventilation par âge laisse supposer que la grande majorité du personnel concerné partira à la retraite au cours des dix à quinze prochaines années. Ainsi, un c</w:t>
      </w:r>
      <w:r w:rsidRPr="005E3A8B">
        <w:rPr>
          <w:rFonts w:ascii="Times New Roman" w:hAnsi="Times New Roman"/>
          <w:noProof/>
          <w:sz w:val="24"/>
          <w:lang w:val="fr-FR"/>
        </w:rPr>
        <w:t>ertain nombre de nationalités des États membres d’avant 2004 seront plus touchées par les départs à la retraite à venir.</w:t>
      </w:r>
    </w:p>
    <w:p w:rsidR="00E91048" w:rsidRPr="005E3A8B" w:rsidRDefault="005E3A8B">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lang w:val="fr-FR"/>
        </w:rPr>
      </w:pPr>
      <w:r w:rsidRPr="005E3A8B">
        <w:rPr>
          <w:rFonts w:ascii="Times New Roman" w:hAnsi="Times New Roman"/>
          <w:b/>
          <w:smallCaps/>
          <w:noProof/>
          <w:sz w:val="24"/>
          <w:lang w:val="fr-FR"/>
        </w:rPr>
        <w:t>2.</w:t>
      </w:r>
      <w:r w:rsidRPr="005E3A8B">
        <w:rPr>
          <w:noProof/>
          <w:lang w:val="fr-FR"/>
        </w:rPr>
        <w:tab/>
      </w:r>
      <w:r w:rsidRPr="005E3A8B">
        <w:rPr>
          <w:rFonts w:ascii="Times New Roman" w:hAnsi="Times New Roman"/>
          <w:b/>
          <w:smallCaps/>
          <w:noProof/>
          <w:sz w:val="24"/>
          <w:lang w:val="fr-FR"/>
        </w:rPr>
        <w:t>Constatations et analyse</w:t>
      </w:r>
    </w:p>
    <w:p w:rsidR="00E91048" w:rsidRPr="005E3A8B" w:rsidRDefault="005E3A8B">
      <w:pPr>
        <w:spacing w:after="240" w:line="240" w:lineRule="auto"/>
        <w:jc w:val="both"/>
        <w:rPr>
          <w:rFonts w:ascii="Times New Roman" w:eastAsia="Times New Roman" w:hAnsi="Times New Roman" w:cs="Times New Roman"/>
          <w:noProof/>
          <w:sz w:val="24"/>
          <w:szCs w:val="20"/>
          <w:lang w:val="fr-FR" w:eastAsia="en-US" w:bidi="ar-SA"/>
        </w:rPr>
      </w:pPr>
      <w:r w:rsidRPr="005E3A8B">
        <w:rPr>
          <w:rFonts w:ascii="Times New Roman" w:hAnsi="Times New Roman"/>
          <w:b/>
          <w:noProof/>
          <w:sz w:val="24"/>
          <w:lang w:val="fr-FR"/>
        </w:rPr>
        <w:t>2.1.</w:t>
      </w:r>
      <w:r w:rsidRPr="005E3A8B">
        <w:rPr>
          <w:noProof/>
          <w:lang w:val="fr-FR"/>
        </w:rPr>
        <w:tab/>
      </w:r>
      <w:r w:rsidRPr="005E3A8B">
        <w:rPr>
          <w:rFonts w:ascii="Times New Roman" w:hAnsi="Times New Roman"/>
          <w:b/>
          <w:noProof/>
          <w:sz w:val="24"/>
          <w:lang w:val="fr-FR"/>
        </w:rPr>
        <w:t>Situation au 1</w:t>
      </w:r>
      <w:r w:rsidRPr="005E3A8B">
        <w:rPr>
          <w:rFonts w:ascii="Times New Roman" w:hAnsi="Times New Roman"/>
          <w:b/>
          <w:noProof/>
          <w:sz w:val="24"/>
          <w:vertAlign w:val="superscript"/>
          <w:lang w:val="fr-FR"/>
        </w:rPr>
        <w:t>er</w:t>
      </w:r>
      <w:r w:rsidRPr="005E3A8B">
        <w:rPr>
          <w:rFonts w:ascii="Times New Roman" w:hAnsi="Times New Roman"/>
          <w:b/>
          <w:noProof/>
          <w:sz w:val="24"/>
          <w:lang w:val="fr-FR"/>
        </w:rPr>
        <w:t xml:space="preserve"> janvier 2017</w:t>
      </w:r>
    </w:p>
    <w:p w:rsidR="00E91048" w:rsidRDefault="005E3A8B">
      <w:pPr>
        <w:keepNext/>
        <w:numPr>
          <w:ilvl w:val="2"/>
          <w:numId w:val="0"/>
        </w:numPr>
        <w:tabs>
          <w:tab w:val="num" w:pos="709"/>
        </w:tabs>
        <w:spacing w:after="240" w:line="240" w:lineRule="auto"/>
        <w:ind w:left="709" w:hanging="709"/>
        <w:jc w:val="both"/>
        <w:outlineLvl w:val="2"/>
        <w:rPr>
          <w:rFonts w:ascii="Times New Roman" w:eastAsia="Times New Roman" w:hAnsi="Times New Roman" w:cs="Times New Roman"/>
          <w:i/>
          <w:noProof/>
          <w:sz w:val="24"/>
          <w:szCs w:val="20"/>
        </w:rPr>
      </w:pPr>
      <w:r>
        <w:rPr>
          <w:rFonts w:ascii="Times New Roman" w:hAnsi="Times New Roman"/>
          <w:i/>
          <w:noProof/>
          <w:sz w:val="24"/>
        </w:rPr>
        <w:t>2.1.1.</w:t>
      </w:r>
      <w:r>
        <w:rPr>
          <w:noProof/>
        </w:rPr>
        <w:tab/>
      </w:r>
      <w:r>
        <w:rPr>
          <w:rFonts w:ascii="Times New Roman" w:hAnsi="Times New Roman"/>
          <w:i/>
          <w:noProof/>
          <w:sz w:val="24"/>
        </w:rPr>
        <w:t xml:space="preserve">Fourchette des grades AD9-AD12 </w:t>
      </w:r>
    </w:p>
    <w:p w:rsidR="00E91048" w:rsidRDefault="005E3A8B">
      <w:pPr>
        <w:spacing w:after="120" w:line="240" w:lineRule="auto"/>
        <w:jc w:val="both"/>
        <w:rPr>
          <w:rFonts w:ascii="Times New Roman" w:eastAsia="Times New Roman" w:hAnsi="Times New Roman" w:cs="Times New Roman"/>
          <w:noProof/>
          <w:sz w:val="24"/>
          <w:szCs w:val="20"/>
        </w:rPr>
      </w:pPr>
      <w:r w:rsidRPr="005E3A8B">
        <w:rPr>
          <w:rFonts w:ascii="Times New Roman" w:hAnsi="Times New Roman"/>
          <w:noProof/>
          <w:sz w:val="24"/>
          <w:lang w:val="fr-FR"/>
        </w:rPr>
        <w:t>L’annexe 7</w:t>
      </w:r>
      <w:r w:rsidRPr="005E3A8B">
        <w:rPr>
          <w:rFonts w:ascii="Times New Roman" w:hAnsi="Times New Roman"/>
          <w:i/>
          <w:noProof/>
          <w:sz w:val="24"/>
          <w:lang w:val="fr-FR"/>
        </w:rPr>
        <w:t>ter</w:t>
      </w:r>
      <w:r w:rsidRPr="005E3A8B">
        <w:rPr>
          <w:rFonts w:ascii="Times New Roman" w:hAnsi="Times New Roman"/>
          <w:noProof/>
          <w:sz w:val="24"/>
          <w:lang w:val="fr-FR"/>
        </w:rPr>
        <w:t xml:space="preserve"> donne une vue d’ensemble de la situation au 1</w:t>
      </w:r>
      <w:r w:rsidRPr="005E3A8B">
        <w:rPr>
          <w:rFonts w:ascii="Times New Roman" w:hAnsi="Times New Roman"/>
          <w:noProof/>
          <w:sz w:val="24"/>
          <w:vertAlign w:val="superscript"/>
          <w:lang w:val="fr-FR"/>
        </w:rPr>
        <w:t>er</w:t>
      </w:r>
      <w:r w:rsidRPr="005E3A8B">
        <w:rPr>
          <w:rFonts w:ascii="Times New Roman" w:hAnsi="Times New Roman"/>
          <w:noProof/>
          <w:sz w:val="24"/>
          <w:lang w:val="fr-FR"/>
        </w:rPr>
        <w:t xml:space="preserve"> janvier 2017. </w:t>
      </w:r>
      <w:r>
        <w:rPr>
          <w:rFonts w:ascii="Times New Roman" w:hAnsi="Times New Roman"/>
          <w:noProof/>
          <w:sz w:val="24"/>
        </w:rPr>
        <w:t>Les principales conclusions sont qu’à cette date,</w:t>
      </w:r>
    </w:p>
    <w:p w:rsidR="00E91048" w:rsidRPr="005E3A8B" w:rsidRDefault="005E3A8B">
      <w:pPr>
        <w:pStyle w:val="ListParagraph"/>
        <w:numPr>
          <w:ilvl w:val="0"/>
          <w:numId w:val="38"/>
        </w:numPr>
        <w:spacing w:after="12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quatorze nationalités sont fortement sous-représentées: tous les États membres ayant adhéré à partir de 2004 et le Luxembourg.</w:t>
      </w:r>
    </w:p>
    <w:p w:rsidR="00E91048" w:rsidRPr="005E3A8B" w:rsidRDefault="005E3A8B">
      <w:pPr>
        <w:pStyle w:val="ListParagraph"/>
        <w:numPr>
          <w:ilvl w:val="0"/>
          <w:numId w:val="38"/>
        </w:numPr>
        <w:spacing w:after="12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En chiffres abso</w:t>
      </w:r>
      <w:r w:rsidRPr="005E3A8B">
        <w:rPr>
          <w:rFonts w:ascii="Times New Roman" w:hAnsi="Times New Roman"/>
          <w:noProof/>
          <w:sz w:val="24"/>
          <w:lang w:val="fr-FR"/>
        </w:rPr>
        <w:t>lus, les déficits les plus importants concernent les Polonais (160 personnes) et les Roumains (155).</w:t>
      </w:r>
    </w:p>
    <w:p w:rsidR="00E91048" w:rsidRPr="005E3A8B" w:rsidRDefault="005E3A8B">
      <w:pPr>
        <w:pStyle w:val="ListParagraph"/>
        <w:numPr>
          <w:ilvl w:val="0"/>
          <w:numId w:val="38"/>
        </w:num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En chiffres relatifs, les déficits les plus importants concernent les Croates (qui atteignent 5 % de leur taux de référence), les Bulgares (8 %) et les Rou</w:t>
      </w:r>
      <w:r w:rsidRPr="005E3A8B">
        <w:rPr>
          <w:rFonts w:ascii="Times New Roman" w:hAnsi="Times New Roman"/>
          <w:noProof/>
          <w:sz w:val="24"/>
          <w:lang w:val="fr-FR"/>
        </w:rPr>
        <w:t>mains (13 %).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La sous-représentation dans la fourchette des grades AD9-AD12 des ressortissants des États membres ayant adhéré à partir de 2004 était dans une certaine mesure prévisible, étant donné qu’aucun concours n’avait été organisé à ces grades dans l</w:t>
      </w:r>
      <w:r w:rsidRPr="005E3A8B">
        <w:rPr>
          <w:rFonts w:ascii="Times New Roman" w:hAnsi="Times New Roman"/>
          <w:noProof/>
          <w:sz w:val="24"/>
          <w:lang w:val="fr-FR"/>
        </w:rPr>
        <w:t>e cadre spécifique des mesures dérogatoires pour l’élargissement (sauf pour les postes d’encadrement). L’objectif était de pourvoir progressivement tous les grades, en partant des grades les plus bas. C’est la raison pour laquelle tous les États membres ay</w:t>
      </w:r>
      <w:r w:rsidRPr="005E3A8B">
        <w:rPr>
          <w:rFonts w:ascii="Times New Roman" w:hAnsi="Times New Roman"/>
          <w:noProof/>
          <w:sz w:val="24"/>
          <w:lang w:val="fr-FR"/>
        </w:rPr>
        <w:t xml:space="preserve">ant adhéré à partir de 2004 sont concernés.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L’évolution de la situation correspond à ce qui était prévu. Toutes les nationalités de l’élargissement de 2004 ont à présent atteint entre 50 % et 70 % de leur objectif. En ce qui concerne les nationalités des </w:t>
      </w:r>
      <w:r w:rsidRPr="005E3A8B">
        <w:rPr>
          <w:rFonts w:ascii="Times New Roman" w:hAnsi="Times New Roman"/>
          <w:noProof/>
          <w:sz w:val="24"/>
          <w:lang w:val="fr-FR"/>
        </w:rPr>
        <w:t>élargissements de 2007 et de 2013, il est encore trop tôt</w:t>
      </w:r>
      <w:r>
        <w:rPr>
          <w:rFonts w:ascii="Times New Roman" w:hAnsi="Times New Roman"/>
          <w:noProof/>
          <w:sz w:val="24"/>
          <w:vertAlign w:val="superscript"/>
        </w:rPr>
        <w:footnoteReference w:id="10"/>
      </w:r>
      <w:r w:rsidRPr="005E3A8B">
        <w:rPr>
          <w:rFonts w:ascii="Times New Roman" w:hAnsi="Times New Roman"/>
          <w:noProof/>
          <w:sz w:val="24"/>
          <w:lang w:val="fr-FR"/>
        </w:rPr>
        <w:t xml:space="preserve"> pour en voir une présence notable à ces grades. En revanche, leur niveau de représentation dans la fourchette des grades AD5-AD8 (respectivement de plus de 200 % et de 140 % de l’objectif, voir ann</w:t>
      </w:r>
      <w:r w:rsidRPr="005E3A8B">
        <w:rPr>
          <w:rFonts w:ascii="Times New Roman" w:hAnsi="Times New Roman"/>
          <w:noProof/>
          <w:sz w:val="24"/>
          <w:lang w:val="fr-FR"/>
        </w:rPr>
        <w:t>exe 7a) donne une assurance raisonnable du fait que le processus est en bonne voie. La Commission continuera à suivre de près l’évolution de leur niveau de représentation à ces grades afin de vérifier que celle-ci suive toujours la tendance actuelle.</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Seule</w:t>
      </w:r>
      <w:r w:rsidRPr="005E3A8B">
        <w:rPr>
          <w:rFonts w:ascii="Times New Roman" w:hAnsi="Times New Roman"/>
          <w:noProof/>
          <w:sz w:val="24"/>
          <w:lang w:val="fr-FR"/>
        </w:rPr>
        <w:t xml:space="preserve"> l’importante sous-représentation des ressortissants luxembourgeois dans cette fourchette de grades ne paraît pas justifiée. Toutefois, il convient également de mentionner que cette sous-représentation peut être liée aux effectifs réduits qui sont en jeu: </w:t>
      </w:r>
      <w:r w:rsidRPr="005E3A8B">
        <w:rPr>
          <w:rFonts w:ascii="Times New Roman" w:hAnsi="Times New Roman"/>
          <w:noProof/>
          <w:sz w:val="24"/>
          <w:lang w:val="fr-FR"/>
        </w:rPr>
        <w:t>avec seulement quatre ressortissants de plus aux grades concernés, le Luxembourg ne figurerait pas parmi les nationalités sous-représentées.</w:t>
      </w:r>
    </w:p>
    <w:p w:rsidR="00E91048" w:rsidRPr="005E3A8B" w:rsidRDefault="00E91048">
      <w:pPr>
        <w:spacing w:after="240" w:line="240" w:lineRule="auto"/>
        <w:jc w:val="both"/>
        <w:rPr>
          <w:rFonts w:ascii="Times New Roman" w:eastAsia="Times New Roman" w:hAnsi="Times New Roman" w:cs="Times New Roman"/>
          <w:noProof/>
          <w:sz w:val="24"/>
          <w:szCs w:val="20"/>
          <w:lang w:val="fr-FR"/>
        </w:rPr>
      </w:pPr>
    </w:p>
    <w:p w:rsidR="00E91048" w:rsidRDefault="005E3A8B">
      <w:pPr>
        <w:keepNext/>
        <w:numPr>
          <w:ilvl w:val="2"/>
          <w:numId w:val="0"/>
        </w:numPr>
        <w:tabs>
          <w:tab w:val="num" w:pos="709"/>
        </w:tabs>
        <w:spacing w:after="240" w:line="240" w:lineRule="auto"/>
        <w:ind w:left="709" w:hanging="709"/>
        <w:jc w:val="both"/>
        <w:outlineLvl w:val="2"/>
        <w:rPr>
          <w:rFonts w:ascii="Times New Roman" w:eastAsia="Times New Roman" w:hAnsi="Times New Roman" w:cs="Times New Roman"/>
          <w:i/>
          <w:noProof/>
          <w:sz w:val="24"/>
          <w:szCs w:val="20"/>
        </w:rPr>
      </w:pPr>
      <w:r>
        <w:rPr>
          <w:rFonts w:ascii="Times New Roman" w:hAnsi="Times New Roman"/>
          <w:i/>
          <w:noProof/>
          <w:sz w:val="24"/>
        </w:rPr>
        <w:t>2.1.2.</w:t>
      </w:r>
      <w:r>
        <w:rPr>
          <w:noProof/>
        </w:rPr>
        <w:tab/>
      </w:r>
      <w:r>
        <w:rPr>
          <w:rFonts w:ascii="Times New Roman" w:hAnsi="Times New Roman"/>
          <w:i/>
          <w:noProof/>
          <w:sz w:val="24"/>
        </w:rPr>
        <w:t xml:space="preserve">Fourchette des grades AD5-AD8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La fourchette des grades AD5-AD8 mérite une attention particulière dans une </w:t>
      </w:r>
      <w:r w:rsidRPr="005E3A8B">
        <w:rPr>
          <w:rFonts w:ascii="Times New Roman" w:hAnsi="Times New Roman"/>
          <w:noProof/>
          <w:sz w:val="24"/>
          <w:lang w:val="fr-FR"/>
        </w:rPr>
        <w:t>perspective dynamique. En effet, conformément aux exigences du statut, il s’agit de la fourchette de grades où doivent s’opérer au moins 80 % des nominations. Le niveau de représentation des nationalités à l’intérieur de cette fourchette de grades détermin</w:t>
      </w:r>
      <w:r w:rsidRPr="005E3A8B">
        <w:rPr>
          <w:rFonts w:ascii="Times New Roman" w:hAnsi="Times New Roman"/>
          <w:noProof/>
          <w:sz w:val="24"/>
          <w:lang w:val="fr-FR"/>
        </w:rPr>
        <w:t>era celui des nationalités dans la fourchette des grades AD9-AD12 d'ici une décennie. C’est donc dans ces effectifs que le personnel d’encadrement (et, plus particulièrement, le personnel d’encadrement intermédiaire) sera choisi au cours de la même période</w:t>
      </w:r>
      <w:r w:rsidRPr="005E3A8B">
        <w:rPr>
          <w:rFonts w:ascii="Times New Roman" w:hAnsi="Times New Roman"/>
          <w:noProof/>
          <w:sz w:val="24"/>
          <w:lang w:val="fr-FR"/>
        </w:rPr>
        <w:t>. Une représentation équilibrée dans la fourchette des grades AD5-AD8 aujourd’hui constitue une condition préalable à une représentation équilibrée des nationalités aux grades supérieurs à plus long terme.</w:t>
      </w:r>
    </w:p>
    <w:p w:rsidR="00E91048" w:rsidRPr="005E3A8B" w:rsidRDefault="00E91048">
      <w:pPr>
        <w:spacing w:after="0" w:line="240" w:lineRule="auto"/>
        <w:rPr>
          <w:rFonts w:ascii="Times New Roman" w:eastAsia="Times New Roman" w:hAnsi="Times New Roman" w:cs="Times New Roman"/>
          <w:noProof/>
          <w:sz w:val="24"/>
          <w:szCs w:val="20"/>
          <w:lang w:val="fr-FR"/>
        </w:rPr>
      </w:pPr>
    </w:p>
    <w:p w:rsidR="00E91048" w:rsidRDefault="005E3A8B">
      <w:pPr>
        <w:spacing w:after="120" w:line="240" w:lineRule="auto"/>
        <w:jc w:val="both"/>
        <w:rPr>
          <w:rFonts w:ascii="Times New Roman" w:eastAsia="Times New Roman" w:hAnsi="Times New Roman" w:cs="Times New Roman"/>
          <w:noProof/>
          <w:sz w:val="24"/>
          <w:szCs w:val="20"/>
        </w:rPr>
      </w:pPr>
      <w:r w:rsidRPr="005E3A8B">
        <w:rPr>
          <w:rFonts w:ascii="Times New Roman" w:hAnsi="Times New Roman"/>
          <w:noProof/>
          <w:sz w:val="24"/>
          <w:lang w:val="fr-FR"/>
        </w:rPr>
        <w:t>L’annexe 7</w:t>
      </w:r>
      <w:r w:rsidRPr="005E3A8B">
        <w:rPr>
          <w:rFonts w:ascii="Times New Roman" w:hAnsi="Times New Roman"/>
          <w:i/>
          <w:noProof/>
          <w:sz w:val="24"/>
          <w:lang w:val="fr-FR"/>
        </w:rPr>
        <w:t>bis</w:t>
      </w:r>
      <w:r w:rsidRPr="005E3A8B">
        <w:rPr>
          <w:rFonts w:ascii="Times New Roman" w:hAnsi="Times New Roman"/>
          <w:noProof/>
          <w:sz w:val="24"/>
          <w:lang w:val="fr-FR"/>
        </w:rPr>
        <w:t xml:space="preserve"> donne une vue d’ensemble de la situ</w:t>
      </w:r>
      <w:r w:rsidRPr="005E3A8B">
        <w:rPr>
          <w:rFonts w:ascii="Times New Roman" w:hAnsi="Times New Roman"/>
          <w:noProof/>
          <w:sz w:val="24"/>
          <w:lang w:val="fr-FR"/>
        </w:rPr>
        <w:t>ation au 1</w:t>
      </w:r>
      <w:r w:rsidRPr="005E3A8B">
        <w:rPr>
          <w:rFonts w:ascii="Times New Roman" w:hAnsi="Times New Roman"/>
          <w:noProof/>
          <w:sz w:val="24"/>
          <w:vertAlign w:val="superscript"/>
          <w:lang w:val="fr-FR"/>
        </w:rPr>
        <w:t>er</w:t>
      </w:r>
      <w:r w:rsidRPr="005E3A8B">
        <w:rPr>
          <w:rFonts w:ascii="Times New Roman" w:hAnsi="Times New Roman"/>
          <w:noProof/>
          <w:sz w:val="24"/>
          <w:lang w:val="fr-FR"/>
        </w:rPr>
        <w:t xml:space="preserve"> janvier 2017. </w:t>
      </w:r>
      <w:r>
        <w:rPr>
          <w:rFonts w:ascii="Times New Roman" w:hAnsi="Times New Roman"/>
          <w:noProof/>
          <w:sz w:val="24"/>
        </w:rPr>
        <w:t>Les principales constatations sont qu’à cette date,</w:t>
      </w:r>
    </w:p>
    <w:p w:rsidR="00E91048" w:rsidRPr="005E3A8B" w:rsidRDefault="005E3A8B">
      <w:pPr>
        <w:pStyle w:val="ListParagraph"/>
        <w:numPr>
          <w:ilvl w:val="0"/>
          <w:numId w:val="39"/>
        </w:numPr>
        <w:spacing w:after="12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dix nationalités (les dix États membres ayant adhéré avant 2004</w:t>
      </w:r>
      <w:r>
        <w:rPr>
          <w:rStyle w:val="FootnoteReference"/>
          <w:rFonts w:ascii="Times New Roman" w:hAnsi="Times New Roman"/>
          <w:noProof/>
          <w:sz w:val="24"/>
        </w:rPr>
        <w:footnoteReference w:id="11"/>
      </w:r>
      <w:r w:rsidRPr="005E3A8B">
        <w:rPr>
          <w:rFonts w:ascii="Times New Roman" w:hAnsi="Times New Roman"/>
          <w:noProof/>
          <w:sz w:val="24"/>
          <w:lang w:val="fr-FR"/>
        </w:rPr>
        <w:t xml:space="preserve">) sont nettement sous-représentées: le Danemark, l’Allemagne, l’Irlande, la France, le Luxembourg, les Pays-Bas, </w:t>
      </w:r>
      <w:r w:rsidRPr="005E3A8B">
        <w:rPr>
          <w:rFonts w:ascii="Times New Roman" w:hAnsi="Times New Roman"/>
          <w:noProof/>
          <w:sz w:val="24"/>
          <w:lang w:val="fr-FR"/>
        </w:rPr>
        <w:t>l’Autriche, le Portugal, la Finlande et la Suède.</w:t>
      </w:r>
    </w:p>
    <w:p w:rsidR="00E91048" w:rsidRPr="005E3A8B" w:rsidRDefault="005E3A8B">
      <w:pPr>
        <w:pStyle w:val="ListParagraph"/>
        <w:numPr>
          <w:ilvl w:val="0"/>
          <w:numId w:val="39"/>
        </w:numPr>
        <w:spacing w:after="12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En chiffres absolus, les déficits les plus importants concernent les Allemands (près de 230 personnes) et les Français (près de 140).</w:t>
      </w:r>
    </w:p>
    <w:p w:rsidR="00E91048" w:rsidRPr="005E3A8B" w:rsidRDefault="005E3A8B">
      <w:pPr>
        <w:pStyle w:val="ListParagraph"/>
        <w:numPr>
          <w:ilvl w:val="0"/>
          <w:numId w:val="39"/>
        </w:num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En chiffres relatifs, les déficits les plus importants concernent les Lu</w:t>
      </w:r>
      <w:r w:rsidRPr="005E3A8B">
        <w:rPr>
          <w:rFonts w:ascii="Times New Roman" w:hAnsi="Times New Roman"/>
          <w:noProof/>
          <w:sz w:val="24"/>
          <w:lang w:val="fr-FR"/>
        </w:rPr>
        <w:t>xembourgeois (aucun Luxembourgeois), les Suédois et les Danois (qui n’ont atteint que 30 % environ de leur taux de référence).</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La sous-représentation de la majorité des nationalités de l’UE-14</w:t>
      </w:r>
      <w:r>
        <w:rPr>
          <w:rFonts w:ascii="Times New Roman" w:hAnsi="Times New Roman"/>
          <w:noProof/>
          <w:sz w:val="24"/>
          <w:vertAlign w:val="superscript"/>
        </w:rPr>
        <w:footnoteReference w:id="12"/>
      </w:r>
      <w:r w:rsidRPr="005E3A8B">
        <w:rPr>
          <w:rFonts w:ascii="Times New Roman" w:hAnsi="Times New Roman"/>
          <w:noProof/>
          <w:sz w:val="24"/>
          <w:lang w:val="fr-FR"/>
        </w:rPr>
        <w:t xml:space="preserve"> dans la fourchette des grades AD5-AD8 peut s’expliquer, du moi</w:t>
      </w:r>
      <w:r w:rsidRPr="005E3A8B">
        <w:rPr>
          <w:rFonts w:ascii="Times New Roman" w:hAnsi="Times New Roman"/>
          <w:noProof/>
          <w:sz w:val="24"/>
          <w:lang w:val="fr-FR"/>
        </w:rPr>
        <w:t>ns en partie, par les procédures de recrutement appliquées à partir de 2004. Cela tient au fait que la majorité des postes réservés au recrutement de ressortissants des États membres d’après 2004 se situaient dans la fourchette des grades AD5-AD8. La conce</w:t>
      </w:r>
      <w:r w:rsidRPr="005E3A8B">
        <w:rPr>
          <w:rFonts w:ascii="Times New Roman" w:hAnsi="Times New Roman"/>
          <w:noProof/>
          <w:sz w:val="24"/>
          <w:lang w:val="fr-FR"/>
        </w:rPr>
        <w:t>ntration des recrutements, pour les fonctionnaires des nouveaux États membres, dans les grades de base a, de manière quasi automatique, abouti à une sous-représentation des ressortissants des États membres d’avant 2004.</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Seules quatre nationalités de l’UE-1</w:t>
      </w:r>
      <w:r w:rsidRPr="005E3A8B">
        <w:rPr>
          <w:rFonts w:ascii="Times New Roman" w:hAnsi="Times New Roman"/>
          <w:noProof/>
          <w:sz w:val="24"/>
          <w:lang w:val="fr-FR"/>
        </w:rPr>
        <w:t xml:space="preserve">4 sont suffisamment représentées dans la fourchette des grades AD5-AD8: deux se situent juste au-dessous de leur taux de référence (les nationalités espagnole et italienne) et deux ont atteint leur taux de référence (les nationalités belge et grecque).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Cette situation appelle des mesures ciblées appropriées visant à accroître le niveau de représentation des nationalités qui, autrement, risqueraient d’être confrontées à un «fossé générationnel».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Toutefois, il reste à voir si de telles mesures seraient su</w:t>
      </w:r>
      <w:r w:rsidRPr="005E3A8B">
        <w:rPr>
          <w:rFonts w:ascii="Times New Roman" w:hAnsi="Times New Roman"/>
          <w:noProof/>
          <w:sz w:val="24"/>
          <w:lang w:val="fr-FR"/>
        </w:rPr>
        <w:t>ffisantes pour assurer une représentation équilibrée de toutes les nationalités à long terme. Deux éléments peuvent être mis en avant à cet égard.</w:t>
      </w:r>
    </w:p>
    <w:p w:rsidR="00E91048" w:rsidRPr="005E3A8B" w:rsidRDefault="00E91048">
      <w:pPr>
        <w:spacing w:after="240" w:line="240" w:lineRule="auto"/>
        <w:jc w:val="both"/>
        <w:rPr>
          <w:rFonts w:ascii="Times New Roman" w:eastAsia="Times New Roman" w:hAnsi="Times New Roman" w:cs="Times New Roman"/>
          <w:noProof/>
          <w:sz w:val="24"/>
          <w:szCs w:val="20"/>
          <w:lang w:val="fr-FR"/>
        </w:rPr>
      </w:pPr>
    </w:p>
    <w:p w:rsidR="00E91048" w:rsidRPr="005E3A8B" w:rsidRDefault="005E3A8B">
      <w:pPr>
        <w:keepNext/>
        <w:numPr>
          <w:ilvl w:val="1"/>
          <w:numId w:val="0"/>
        </w:numPr>
        <w:tabs>
          <w:tab w:val="num" w:pos="567"/>
        </w:tabs>
        <w:spacing w:after="240" w:line="240" w:lineRule="auto"/>
        <w:ind w:left="567" w:hanging="567"/>
        <w:jc w:val="both"/>
        <w:outlineLvl w:val="1"/>
        <w:rPr>
          <w:rFonts w:ascii="Times New Roman" w:eastAsia="Times New Roman" w:hAnsi="Times New Roman" w:cs="Times New Roman"/>
          <w:b/>
          <w:noProof/>
          <w:sz w:val="24"/>
          <w:szCs w:val="20"/>
          <w:lang w:val="fr-FR"/>
        </w:rPr>
      </w:pPr>
      <w:r w:rsidRPr="005E3A8B">
        <w:rPr>
          <w:rFonts w:ascii="Times New Roman" w:hAnsi="Times New Roman"/>
          <w:b/>
          <w:noProof/>
          <w:sz w:val="24"/>
          <w:lang w:val="fr-FR"/>
        </w:rPr>
        <w:t>2.2.</w:t>
      </w:r>
      <w:r w:rsidRPr="005E3A8B">
        <w:rPr>
          <w:noProof/>
          <w:lang w:val="fr-FR"/>
        </w:rPr>
        <w:tab/>
      </w:r>
      <w:r w:rsidRPr="005E3A8B">
        <w:rPr>
          <w:rFonts w:ascii="Times New Roman" w:hAnsi="Times New Roman"/>
          <w:b/>
          <w:noProof/>
          <w:sz w:val="24"/>
          <w:lang w:val="fr-FR"/>
        </w:rPr>
        <w:t>Raisons sous-tendant la sous-représentation dans la fourchette des grades AD5-AD8</w:t>
      </w:r>
    </w:p>
    <w:p w:rsidR="00E91048" w:rsidRPr="005E3A8B" w:rsidRDefault="005E3A8B">
      <w:pPr>
        <w:keepNext/>
        <w:numPr>
          <w:ilvl w:val="2"/>
          <w:numId w:val="0"/>
        </w:numPr>
        <w:tabs>
          <w:tab w:val="num" w:pos="709"/>
        </w:tabs>
        <w:spacing w:after="240" w:line="240" w:lineRule="auto"/>
        <w:ind w:left="709" w:hanging="709"/>
        <w:jc w:val="both"/>
        <w:outlineLvl w:val="2"/>
        <w:rPr>
          <w:rFonts w:ascii="Times New Roman" w:eastAsia="Times New Roman" w:hAnsi="Times New Roman" w:cs="Times New Roman"/>
          <w:i/>
          <w:noProof/>
          <w:sz w:val="24"/>
          <w:szCs w:val="20"/>
          <w:lang w:val="fr-FR"/>
        </w:rPr>
      </w:pPr>
      <w:r w:rsidRPr="005E3A8B">
        <w:rPr>
          <w:rFonts w:ascii="Times New Roman" w:hAnsi="Times New Roman"/>
          <w:i/>
          <w:noProof/>
          <w:sz w:val="24"/>
          <w:lang w:val="fr-FR"/>
        </w:rPr>
        <w:t>2.2.1.</w:t>
      </w:r>
      <w:r w:rsidRPr="005E3A8B">
        <w:rPr>
          <w:noProof/>
          <w:lang w:val="fr-FR"/>
        </w:rPr>
        <w:tab/>
      </w:r>
      <w:r w:rsidRPr="005E3A8B">
        <w:rPr>
          <w:rFonts w:ascii="Times New Roman" w:hAnsi="Times New Roman"/>
          <w:i/>
          <w:noProof/>
          <w:sz w:val="24"/>
          <w:lang w:val="fr-FR"/>
        </w:rPr>
        <w:t>Lauréats dispo</w:t>
      </w:r>
      <w:r w:rsidRPr="005E3A8B">
        <w:rPr>
          <w:rFonts w:ascii="Times New Roman" w:hAnsi="Times New Roman"/>
          <w:i/>
          <w:noProof/>
          <w:sz w:val="24"/>
          <w:lang w:val="fr-FR"/>
        </w:rPr>
        <w:t>nibles sur les listes de réserve d’EPSO</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Le fait que quatre nationalités de l’UE-14 soient suffisamment représentées en dépit des procédures de recrutement de ces douze dernières années semble indiquer qu’il existe d’autres raisons au déficit de certaines n</w:t>
      </w:r>
      <w:r w:rsidRPr="005E3A8B">
        <w:rPr>
          <w:rFonts w:ascii="Times New Roman" w:hAnsi="Times New Roman"/>
          <w:noProof/>
          <w:sz w:val="24"/>
          <w:lang w:val="fr-FR"/>
        </w:rPr>
        <w:t xml:space="preserve">ationalités. Un élément d’explication est donné par la ventilation des lauréats des concours EPSO.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Les tableaux figurant aux annexes 8 </w:t>
      </w:r>
      <w:r w:rsidRPr="005E3A8B">
        <w:rPr>
          <w:rFonts w:ascii="Times New Roman" w:hAnsi="Times New Roman"/>
          <w:i/>
          <w:noProof/>
          <w:sz w:val="24"/>
          <w:lang w:val="fr-FR"/>
        </w:rPr>
        <w:t>bis</w:t>
      </w:r>
      <w:r w:rsidRPr="005E3A8B">
        <w:rPr>
          <w:rFonts w:ascii="Times New Roman" w:hAnsi="Times New Roman"/>
          <w:noProof/>
          <w:sz w:val="24"/>
          <w:lang w:val="fr-FR"/>
        </w:rPr>
        <w:t xml:space="preserve"> et 8 </w:t>
      </w:r>
      <w:r w:rsidRPr="005E3A8B">
        <w:rPr>
          <w:rFonts w:ascii="Times New Roman" w:hAnsi="Times New Roman"/>
          <w:i/>
          <w:noProof/>
          <w:sz w:val="24"/>
          <w:lang w:val="fr-FR"/>
        </w:rPr>
        <w:t>ter</w:t>
      </w:r>
      <w:r w:rsidRPr="005E3A8B">
        <w:rPr>
          <w:rFonts w:ascii="Times New Roman" w:hAnsi="Times New Roman"/>
          <w:noProof/>
          <w:sz w:val="24"/>
          <w:lang w:val="fr-FR"/>
        </w:rPr>
        <w:t xml:space="preserve"> montrent que la disponibilité des lauréats depuis 2010 n’a pas toujours correspondu aux taux de référence. </w:t>
      </w:r>
      <w:r w:rsidRPr="005E3A8B">
        <w:rPr>
          <w:rFonts w:ascii="Times New Roman" w:hAnsi="Times New Roman"/>
          <w:noProof/>
          <w:sz w:val="24"/>
          <w:lang w:val="fr-FR"/>
        </w:rPr>
        <w:t>La situation est particulièrement frappante dans le cas des concours de spécialistes AD où 23 nationalités sur 27 sont insuffisamment représentées par rapport à leur taux de référence. Seules quatre nationalités atteignent leur taux de référence: les natio</w:t>
      </w:r>
      <w:r w:rsidRPr="005E3A8B">
        <w:rPr>
          <w:rFonts w:ascii="Times New Roman" w:hAnsi="Times New Roman"/>
          <w:noProof/>
          <w:sz w:val="24"/>
          <w:lang w:val="fr-FR"/>
        </w:rPr>
        <w:t>nalités belge, grecque, italienne et espagnole</w:t>
      </w:r>
      <w:r>
        <w:rPr>
          <w:rFonts w:ascii="Times New Roman" w:hAnsi="Times New Roman"/>
          <w:noProof/>
          <w:sz w:val="24"/>
          <w:vertAlign w:val="superscript"/>
        </w:rPr>
        <w:footnoteReference w:id="13"/>
      </w:r>
      <w:r w:rsidRPr="005E3A8B">
        <w:rPr>
          <w:rFonts w:ascii="Times New Roman" w:hAnsi="Times New Roman"/>
          <w:noProof/>
          <w:sz w:val="24"/>
          <w:lang w:val="fr-FR"/>
        </w:rPr>
        <w:t xml:space="preserve">, c’est-à-dire les quatre nationalités de l’UE-14 suffisamment représentées dans la fourchette des grades AD5-AD8, comme indiqué à la section 2.1.2 ci-dessus.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Dans ce contexte, il importe de signaler que le manque de lauréats pour certaines nationalités n’est pas lié au mérite, mais plutôt à une participation aux concours plus faible que prévu. En effet, les données figurant aux annexes 8 </w:t>
      </w:r>
      <w:r w:rsidRPr="005E3A8B">
        <w:rPr>
          <w:rFonts w:ascii="Times New Roman" w:hAnsi="Times New Roman"/>
          <w:i/>
          <w:noProof/>
          <w:sz w:val="24"/>
          <w:lang w:val="fr-FR"/>
        </w:rPr>
        <w:t>bis</w:t>
      </w:r>
      <w:r w:rsidRPr="005E3A8B">
        <w:rPr>
          <w:rFonts w:ascii="Times New Roman" w:hAnsi="Times New Roman"/>
          <w:noProof/>
          <w:sz w:val="24"/>
          <w:lang w:val="fr-FR"/>
        </w:rPr>
        <w:t xml:space="preserve"> et 8 </w:t>
      </w:r>
      <w:r w:rsidRPr="005E3A8B">
        <w:rPr>
          <w:rFonts w:ascii="Times New Roman" w:hAnsi="Times New Roman"/>
          <w:i/>
          <w:noProof/>
          <w:sz w:val="24"/>
          <w:lang w:val="fr-FR"/>
        </w:rPr>
        <w:t>ter</w:t>
      </w:r>
      <w:r w:rsidRPr="005E3A8B">
        <w:rPr>
          <w:rFonts w:ascii="Times New Roman" w:hAnsi="Times New Roman"/>
          <w:noProof/>
          <w:sz w:val="24"/>
          <w:lang w:val="fr-FR"/>
        </w:rPr>
        <w:t xml:space="preserve"> montrent é</w:t>
      </w:r>
      <w:r w:rsidRPr="005E3A8B">
        <w:rPr>
          <w:rFonts w:ascii="Times New Roman" w:hAnsi="Times New Roman"/>
          <w:noProof/>
          <w:sz w:val="24"/>
          <w:lang w:val="fr-FR"/>
        </w:rPr>
        <w:t>galement que, dans un grand nombre de cas où une sous-représentation importante est observée, les ressortissants des États membres concernés présentent un taux de participation relatif bien plus bas et un taux de réussite relatif bien plus élevé (voir, par</w:t>
      </w:r>
      <w:r w:rsidRPr="005E3A8B">
        <w:rPr>
          <w:rFonts w:ascii="Times New Roman" w:hAnsi="Times New Roman"/>
          <w:noProof/>
          <w:sz w:val="24"/>
          <w:lang w:val="fr-FR"/>
        </w:rPr>
        <w:t xml:space="preserve"> exemple, les Pays-Bas, la France ou l’Allemagne au concours généraliste).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La question de la ventilation par nationalité des listes d’EPSO est également susceptible d’avoir une influence sur l’équilibre géographique futur si aucune mesure n’est prise. En </w:t>
      </w:r>
      <w:r w:rsidRPr="005E3A8B">
        <w:rPr>
          <w:rFonts w:ascii="Times New Roman" w:hAnsi="Times New Roman"/>
          <w:noProof/>
          <w:sz w:val="24"/>
          <w:lang w:val="fr-FR"/>
        </w:rPr>
        <w:t>effet, si les tendances observées ces huit dernières années se confirment à l’avenir, les déséquilibres actuels ne seront pas susceptibles d’être résorbés «naturellement», voire certaines nationalités risquent d’être sous-représentées au cours des générati</w:t>
      </w:r>
      <w:r w:rsidRPr="005E3A8B">
        <w:rPr>
          <w:rFonts w:ascii="Times New Roman" w:hAnsi="Times New Roman"/>
          <w:noProof/>
          <w:sz w:val="24"/>
          <w:lang w:val="fr-FR"/>
        </w:rPr>
        <w:t>ons à venir</w:t>
      </w:r>
      <w:r>
        <w:rPr>
          <w:rFonts w:ascii="Times New Roman" w:hAnsi="Times New Roman"/>
          <w:noProof/>
          <w:sz w:val="24"/>
          <w:vertAlign w:val="superscript"/>
        </w:rPr>
        <w:footnoteReference w:id="14"/>
      </w:r>
      <w:r w:rsidRPr="005E3A8B">
        <w:rPr>
          <w:rFonts w:ascii="Times New Roman" w:hAnsi="Times New Roman"/>
          <w:noProof/>
          <w:sz w:val="24"/>
          <w:lang w:val="fr-FR"/>
        </w:rPr>
        <w:t>: les Tchèques, les Danois, les Estoniens, les Irlandais, les Chypriotes, les Lettons, les Lituaniens, les Luxembourgeois, les Polonais et les Slovènes.</w:t>
      </w:r>
    </w:p>
    <w:p w:rsidR="00E91048" w:rsidRPr="005E3A8B" w:rsidRDefault="00E91048">
      <w:pPr>
        <w:spacing w:after="240" w:line="240" w:lineRule="auto"/>
        <w:jc w:val="both"/>
        <w:rPr>
          <w:rFonts w:ascii="Times New Roman" w:eastAsia="Times New Roman" w:hAnsi="Times New Roman" w:cs="Times New Roman"/>
          <w:noProof/>
          <w:sz w:val="24"/>
          <w:szCs w:val="20"/>
          <w:lang w:val="fr-FR"/>
        </w:rPr>
      </w:pPr>
    </w:p>
    <w:p w:rsidR="00E91048" w:rsidRDefault="005E3A8B">
      <w:pPr>
        <w:keepNext/>
        <w:numPr>
          <w:ilvl w:val="2"/>
          <w:numId w:val="0"/>
        </w:numPr>
        <w:tabs>
          <w:tab w:val="num" w:pos="709"/>
        </w:tabs>
        <w:spacing w:after="240" w:line="240" w:lineRule="auto"/>
        <w:ind w:left="709" w:hanging="709"/>
        <w:jc w:val="both"/>
        <w:outlineLvl w:val="2"/>
        <w:rPr>
          <w:rFonts w:ascii="Times New Roman" w:eastAsia="Times New Roman" w:hAnsi="Times New Roman" w:cs="Times New Roman"/>
          <w:i/>
          <w:noProof/>
          <w:sz w:val="24"/>
          <w:szCs w:val="20"/>
        </w:rPr>
      </w:pPr>
      <w:r>
        <w:rPr>
          <w:rFonts w:ascii="Times New Roman" w:hAnsi="Times New Roman"/>
          <w:i/>
          <w:noProof/>
          <w:sz w:val="24"/>
        </w:rPr>
        <w:t>2.2.2.</w:t>
      </w:r>
      <w:r>
        <w:rPr>
          <w:noProof/>
        </w:rPr>
        <w:tab/>
      </w:r>
      <w:r>
        <w:rPr>
          <w:rFonts w:ascii="Times New Roman" w:hAnsi="Times New Roman"/>
          <w:i/>
          <w:noProof/>
          <w:sz w:val="24"/>
        </w:rPr>
        <w:t>La question de l’attrait</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Un second aspect concerne la capacité de la Commission d’a</w:t>
      </w:r>
      <w:r w:rsidRPr="005E3A8B">
        <w:rPr>
          <w:rFonts w:ascii="Times New Roman" w:hAnsi="Times New Roman"/>
          <w:noProof/>
          <w:sz w:val="24"/>
          <w:lang w:val="fr-FR"/>
        </w:rPr>
        <w:t xml:space="preserve">ttirer un nombre suffisant de candidats hautement qualifiés en provenance de tous les États membres. Le nombre de participants aux concours AD5 par million d’habitants au cours des huit dernières années (voir annexe 8 </w:t>
      </w:r>
      <w:r w:rsidRPr="005E3A8B">
        <w:rPr>
          <w:rFonts w:ascii="Times New Roman" w:hAnsi="Times New Roman"/>
          <w:i/>
          <w:noProof/>
          <w:sz w:val="24"/>
          <w:lang w:val="fr-FR"/>
        </w:rPr>
        <w:t>bis</w:t>
      </w:r>
      <w:r w:rsidRPr="005E3A8B">
        <w:rPr>
          <w:rFonts w:ascii="Times New Roman" w:hAnsi="Times New Roman"/>
          <w:noProof/>
          <w:sz w:val="24"/>
          <w:lang w:val="fr-FR"/>
        </w:rPr>
        <w:t>) révèle des écarts considérables d</w:t>
      </w:r>
      <w:r w:rsidRPr="005E3A8B">
        <w:rPr>
          <w:rFonts w:ascii="Times New Roman" w:hAnsi="Times New Roman"/>
          <w:noProof/>
          <w:sz w:val="24"/>
          <w:lang w:val="fr-FR"/>
        </w:rPr>
        <w:t xml:space="preserve">’un État membre à l’autre. Les ressortissants de trois États membres (l’Allemagne, la France et les Pays-Bas) présentent un niveau de participation inférieur à la moitié de la moyenne de l’UE.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EPSO a déjà essayé d’encourager les ressortissants des États m</w:t>
      </w:r>
      <w:r w:rsidRPr="005E3A8B">
        <w:rPr>
          <w:rFonts w:ascii="Times New Roman" w:hAnsi="Times New Roman"/>
          <w:noProof/>
          <w:sz w:val="24"/>
          <w:lang w:val="fr-FR"/>
        </w:rPr>
        <w:t xml:space="preserve">embres «déficitaires» à participer aux concours AD. Toutefois, ces efforts ne semblent pas avoir, jusqu’à présent, produit les résultats escomptés, ainsi que le montre la ventilation des candidats au dernier concours AD, toujours en cours (voir l’annexe 8 </w:t>
      </w:r>
      <w:r w:rsidRPr="005E3A8B">
        <w:rPr>
          <w:rFonts w:ascii="Times New Roman" w:hAnsi="Times New Roman"/>
          <w:i/>
          <w:noProof/>
          <w:sz w:val="24"/>
          <w:lang w:val="fr-FR"/>
        </w:rPr>
        <w:t>quater</w:t>
      </w:r>
      <w:r w:rsidRPr="005E3A8B">
        <w:rPr>
          <w:rFonts w:ascii="Times New Roman" w:hAnsi="Times New Roman"/>
          <w:noProof/>
          <w:sz w:val="24"/>
          <w:lang w:val="fr-FR"/>
        </w:rPr>
        <w:t>). La participation des ressortissants allemands et français continue de se situer à un niveau inférieur à la moitié du taux moyen. La participation néerlandaise a progressé, mais celle des Suédois et des Polonais a considérablement reculé.</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Ces const</w:t>
      </w:r>
      <w:r w:rsidRPr="005E3A8B">
        <w:rPr>
          <w:rFonts w:ascii="Times New Roman" w:hAnsi="Times New Roman"/>
          <w:noProof/>
          <w:sz w:val="24"/>
          <w:lang w:val="fr-FR"/>
        </w:rPr>
        <w:t>atations mettent en évidence le défi de renforcer l’attrait de la Commission, alors que le «paquet» proposé (c’est-à-dire la combinaison de la rémunération, de la couverture sociale, des droits à pension, de l’équilibre entre vie professionnelle et vie pri</w:t>
      </w:r>
      <w:r w:rsidRPr="005E3A8B">
        <w:rPr>
          <w:rFonts w:ascii="Times New Roman" w:hAnsi="Times New Roman"/>
          <w:noProof/>
          <w:sz w:val="24"/>
          <w:lang w:val="fr-FR"/>
        </w:rPr>
        <w:t>vée, etc.) peut être perçu comme s’étant détérioré en termes relatifs au fil du temps.</w:t>
      </w:r>
    </w:p>
    <w:p w:rsidR="00E91048" w:rsidRPr="005E3A8B" w:rsidRDefault="00E91048">
      <w:pPr>
        <w:spacing w:after="0" w:line="240" w:lineRule="auto"/>
        <w:rPr>
          <w:rFonts w:ascii="Times New Roman" w:eastAsia="Times New Roman" w:hAnsi="Times New Roman" w:cs="Times New Roman"/>
          <w:b/>
          <w:smallCaps/>
          <w:noProof/>
          <w:sz w:val="24"/>
          <w:szCs w:val="20"/>
          <w:lang w:val="fr-FR"/>
        </w:rPr>
      </w:pPr>
    </w:p>
    <w:p w:rsidR="00E91048" w:rsidRPr="005E3A8B" w:rsidRDefault="005E3A8B">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lang w:val="fr-FR"/>
        </w:rPr>
      </w:pPr>
      <w:r w:rsidRPr="005E3A8B">
        <w:rPr>
          <w:rFonts w:ascii="Times New Roman" w:hAnsi="Times New Roman"/>
          <w:b/>
          <w:smallCaps/>
          <w:noProof/>
          <w:sz w:val="24"/>
          <w:lang w:val="fr-FR"/>
        </w:rPr>
        <w:t>3.</w:t>
      </w:r>
      <w:r w:rsidRPr="005E3A8B">
        <w:rPr>
          <w:noProof/>
          <w:lang w:val="fr-FR"/>
        </w:rPr>
        <w:tab/>
      </w:r>
      <w:r w:rsidRPr="005E3A8B">
        <w:rPr>
          <w:rFonts w:ascii="Times New Roman" w:hAnsi="Times New Roman"/>
          <w:b/>
          <w:smallCaps/>
          <w:noProof/>
          <w:sz w:val="24"/>
          <w:lang w:val="fr-FR"/>
        </w:rPr>
        <w:t xml:space="preserve">Conclusion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Quatre enseignements peuvent être tirés de l’analyse exposée ci-dessus.</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En premier lieu, la situation de la fourchette des grades AD5-AD8 et celle de la </w:t>
      </w:r>
      <w:r w:rsidRPr="005E3A8B">
        <w:rPr>
          <w:rFonts w:ascii="Times New Roman" w:hAnsi="Times New Roman"/>
          <w:noProof/>
          <w:sz w:val="24"/>
          <w:lang w:val="fr-FR"/>
        </w:rPr>
        <w:t>fourchette des grades AD9-AD12 diffèrent considérablement l’une de l’autre. Dans les deux cas, on constate des sous-représentations importantes, mais ni les États membres concernés, ni la dynamique ne sont les mêmes.</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Deuxièmement, bien qu’il existe un lien clair entre les déséquilibres observés et les procédures de recrutement de ces dix à quinze dernières années, il semble également qu’une source importante de déséquilibre réside dans la composition des listes d'EPSO.</w:t>
      </w:r>
      <w:r w:rsidRPr="005E3A8B">
        <w:rPr>
          <w:rFonts w:ascii="Times New Roman" w:hAnsi="Times New Roman"/>
          <w:noProof/>
          <w:sz w:val="24"/>
          <w:lang w:val="fr-FR"/>
        </w:rPr>
        <w:t xml:space="preserve"> Or, ce déséquilibre ne semble pas tenir à des raisons objectives, et notamment pas au mérite.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Troisièmement, les déséquilibres dans les listes d’EPSO sont susceptibles de générer de nouveaux déséquilibres à l’avenir.</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Quatrièmement, les tentatives visant,</w:t>
      </w:r>
      <w:r w:rsidRPr="005E3A8B">
        <w:rPr>
          <w:rFonts w:ascii="Times New Roman" w:hAnsi="Times New Roman"/>
          <w:noProof/>
          <w:sz w:val="24"/>
          <w:lang w:val="fr-FR"/>
        </w:rPr>
        <w:t xml:space="preserve"> par des actions de communication, à encourager la participation aux concours d’EPSO dans leur forme actuelle n’ont pas permis d’accroître suffisamment les niveaux de participation des ressortissants des États membres concernés.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Parallèlement, une attenti</w:t>
      </w:r>
      <w:r w:rsidRPr="005E3A8B">
        <w:rPr>
          <w:rFonts w:ascii="Times New Roman" w:hAnsi="Times New Roman"/>
          <w:noProof/>
          <w:sz w:val="24"/>
          <w:lang w:val="fr-FR"/>
        </w:rPr>
        <w:t>on constante devrait être accordée au renforcement de l’attrait des institutions européennes en tant qu’employeurs.</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Dans ce contexte, la Commission s’emploie à recenser les mesures susceptibles de servir l’objectif de corriger les tendances décrites ci-des</w:t>
      </w:r>
      <w:r w:rsidRPr="005E3A8B">
        <w:rPr>
          <w:rFonts w:ascii="Times New Roman" w:hAnsi="Times New Roman"/>
          <w:noProof/>
          <w:sz w:val="24"/>
          <w:lang w:val="fr-FR"/>
        </w:rPr>
        <w:t>sus, dans le plein respect du cadre juridique en vigueur. Elle envisage ensuite d’élaborer des dispositions générales d’exécution pour donner effet à l’article 27, deuxième alinéa, du statut, en vue de les adopter conformément à l’article 110. Ces disposit</w:t>
      </w:r>
      <w:r w:rsidRPr="005E3A8B">
        <w:rPr>
          <w:rFonts w:ascii="Times New Roman" w:hAnsi="Times New Roman"/>
          <w:noProof/>
          <w:sz w:val="24"/>
          <w:lang w:val="fr-FR"/>
        </w:rPr>
        <w:t>ions devraient viser à mieux aligner la répartition par nationalité des lauréats disponibles sur les listes de réserve, afin de veiller à ce que le personnel de la Commission reflète de manière adéquate la répartition par nationalité des citoyens de l’Unio</w:t>
      </w:r>
      <w:r w:rsidRPr="005E3A8B">
        <w:rPr>
          <w:rFonts w:ascii="Times New Roman" w:hAnsi="Times New Roman"/>
          <w:noProof/>
          <w:sz w:val="24"/>
          <w:lang w:val="fr-FR"/>
        </w:rPr>
        <w:t xml:space="preserve">n. </w:t>
      </w:r>
    </w:p>
    <w:p w:rsidR="00E91048" w:rsidRPr="005E3A8B" w:rsidRDefault="00E91048">
      <w:pPr>
        <w:spacing w:after="240" w:line="240" w:lineRule="auto"/>
        <w:jc w:val="both"/>
        <w:rPr>
          <w:rFonts w:ascii="Times New Roman" w:eastAsia="Times New Roman" w:hAnsi="Times New Roman" w:cs="Times New Roman"/>
          <w:noProof/>
          <w:sz w:val="24"/>
          <w:szCs w:val="20"/>
          <w:lang w:val="fr-FR"/>
        </w:rPr>
      </w:pPr>
    </w:p>
    <w:p w:rsidR="00E91048" w:rsidRPr="005E3A8B" w:rsidRDefault="005E3A8B">
      <w:pPr>
        <w:spacing w:after="0" w:line="240" w:lineRule="auto"/>
        <w:rPr>
          <w:rFonts w:ascii="Times New Roman" w:eastAsia="Times New Roman" w:hAnsi="Times New Roman" w:cs="Times New Roman"/>
          <w:noProof/>
          <w:sz w:val="24"/>
          <w:szCs w:val="20"/>
          <w:lang w:val="fr-FR"/>
        </w:rPr>
        <w:sectPr w:rsidR="00E91048" w:rsidRPr="005E3A8B">
          <w:headerReference w:type="even" r:id="rId16"/>
          <w:headerReference w:type="default" r:id="rId17"/>
          <w:footerReference w:type="even" r:id="rId18"/>
          <w:footerReference w:type="default" r:id="rId19"/>
          <w:headerReference w:type="first" r:id="rId20"/>
          <w:footerReference w:type="first" r:id="rId21"/>
          <w:pgSz w:w="11906" w:h="16838"/>
          <w:pgMar w:top="1021" w:right="1701" w:bottom="1021" w:left="1588" w:header="601" w:footer="1077" w:gutter="0"/>
          <w:pgNumType w:start="1"/>
          <w:cols w:space="720"/>
          <w:titlePg/>
          <w:docGrid w:linePitch="299"/>
        </w:sectPr>
      </w:pPr>
      <w:r w:rsidRPr="005E3A8B">
        <w:rPr>
          <w:noProof/>
          <w:lang w:val="fr-FR"/>
        </w:rPr>
        <w:br w:type="page"/>
      </w:r>
    </w:p>
    <w:p w:rsidR="00E91048" w:rsidRPr="005E3A8B" w:rsidRDefault="00E91048">
      <w:pPr>
        <w:spacing w:after="0" w:line="240" w:lineRule="auto"/>
        <w:rPr>
          <w:rFonts w:ascii="Times New Roman" w:eastAsia="Times New Roman" w:hAnsi="Times New Roman" w:cs="Times New Roman"/>
          <w:noProof/>
          <w:sz w:val="24"/>
          <w:szCs w:val="20"/>
          <w:lang w:val="fr-FR"/>
        </w:rPr>
      </w:pPr>
    </w:p>
    <w:p w:rsidR="00E91048" w:rsidRPr="005E3A8B" w:rsidRDefault="005E3A8B">
      <w:pPr>
        <w:keepNext/>
        <w:spacing w:after="480" w:line="240" w:lineRule="auto"/>
        <w:jc w:val="center"/>
        <w:rPr>
          <w:rFonts w:ascii="Times New Roman" w:eastAsia="Times New Roman" w:hAnsi="Times New Roman" w:cs="Times New Roman"/>
          <w:b/>
          <w:smallCaps/>
          <w:noProof/>
          <w:sz w:val="28"/>
          <w:szCs w:val="20"/>
          <w:lang w:val="fr-FR"/>
        </w:rPr>
      </w:pPr>
      <w:r w:rsidRPr="005E3A8B">
        <w:rPr>
          <w:rFonts w:ascii="Times New Roman" w:hAnsi="Times New Roman"/>
          <w:b/>
          <w:smallCaps/>
          <w:noProof/>
          <w:sz w:val="28"/>
          <w:lang w:val="fr-FR"/>
        </w:rPr>
        <w:t xml:space="preserve">Section 3 – Autres institutions de l’Union </w:t>
      </w:r>
      <w:r w:rsidRPr="005E3A8B">
        <w:rPr>
          <w:rFonts w:ascii="Times New Roman" w:eastAsia="Times New Roman" w:hAnsi="Times New Roman" w:cs="Times New Roman"/>
          <w:b/>
          <w:smallCaps/>
          <w:noProof/>
          <w:sz w:val="28"/>
          <w:szCs w:val="20"/>
          <w:lang w:val="fr-FR"/>
        </w:rPr>
        <w:br/>
      </w:r>
      <w:r w:rsidRPr="005E3A8B">
        <w:rPr>
          <w:rFonts w:ascii="Times New Roman" w:hAnsi="Times New Roman"/>
          <w:b/>
          <w:smallCaps/>
          <w:noProof/>
          <w:sz w:val="28"/>
          <w:lang w:val="fr-FR"/>
        </w:rPr>
        <w:t>auxquelles le statut s’applique</w:t>
      </w:r>
    </w:p>
    <w:p w:rsidR="00E91048" w:rsidRPr="005E3A8B" w:rsidRDefault="00E91048">
      <w:pPr>
        <w:spacing w:after="0" w:line="240" w:lineRule="auto"/>
        <w:rPr>
          <w:rFonts w:ascii="Times New Roman" w:eastAsia="Times New Roman" w:hAnsi="Times New Roman" w:cs="Times New Roman"/>
          <w:noProof/>
          <w:sz w:val="24"/>
          <w:szCs w:val="20"/>
          <w:lang w:val="fr-FR"/>
        </w:rPr>
      </w:pPr>
    </w:p>
    <w:p w:rsidR="00E91048" w:rsidRDefault="005E3A8B">
      <w:pPr>
        <w:keepNext/>
        <w:numPr>
          <w:ilvl w:val="0"/>
          <w:numId w:val="40"/>
        </w:numPr>
        <w:spacing w:before="240" w:after="240" w:line="240" w:lineRule="auto"/>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Introduction</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En vertu de l’article 27 du statut,</w:t>
      </w:r>
      <w:r w:rsidRPr="005E3A8B">
        <w:rPr>
          <w:rFonts w:ascii="Times New Roman" w:hAnsi="Times New Roman"/>
          <w:noProof/>
          <w:sz w:val="24"/>
          <w:lang w:val="fr-FR"/>
        </w:rPr>
        <w:t xml:space="preserve"> la Commission est tenue de rendre compte au Parlement européen et au Conseil sur la mise en œuvre du deuxième alinéa dudit article. À cette fin, la Commission a recueilli les informations pertinentes auprès des institutions concernées.</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Les contributions d</w:t>
      </w:r>
      <w:r w:rsidRPr="005E3A8B">
        <w:rPr>
          <w:rFonts w:ascii="Times New Roman" w:hAnsi="Times New Roman"/>
          <w:noProof/>
          <w:sz w:val="24"/>
          <w:lang w:val="fr-FR"/>
        </w:rPr>
        <w:t>es différentes institutions sont résumées dans les tableaux figurant aux annexes 9 et 12, tandis que les données chiffrées pertinentes figurent aux annexes 10, 11, 13 et 14.</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Le rapport résume les contributions des différentes institutions, sans les </w:t>
      </w:r>
      <w:r w:rsidRPr="005E3A8B">
        <w:rPr>
          <w:rFonts w:ascii="Times New Roman" w:hAnsi="Times New Roman"/>
          <w:noProof/>
          <w:sz w:val="24"/>
          <w:lang w:val="fr-FR"/>
        </w:rPr>
        <w:t>commenter.</w:t>
      </w:r>
    </w:p>
    <w:p w:rsidR="00E91048" w:rsidRPr="005E3A8B" w:rsidRDefault="005E3A8B">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lang w:val="fr-FR"/>
        </w:rPr>
      </w:pPr>
      <w:r w:rsidRPr="005E3A8B">
        <w:rPr>
          <w:rFonts w:ascii="Times New Roman" w:hAnsi="Times New Roman"/>
          <w:b/>
          <w:smallCaps/>
          <w:noProof/>
          <w:sz w:val="24"/>
          <w:lang w:val="fr-FR"/>
        </w:rPr>
        <w:t>2.</w:t>
      </w:r>
      <w:r w:rsidRPr="005E3A8B">
        <w:rPr>
          <w:noProof/>
          <w:lang w:val="fr-FR"/>
        </w:rPr>
        <w:tab/>
      </w:r>
      <w:r w:rsidRPr="005E3A8B">
        <w:rPr>
          <w:rFonts w:ascii="Times New Roman" w:hAnsi="Times New Roman"/>
          <w:b/>
          <w:smallCaps/>
          <w:noProof/>
          <w:sz w:val="24"/>
          <w:lang w:val="fr-FR"/>
        </w:rPr>
        <w:t>Institutions et organismes assimilés à des institutions en vertu de l’article 1</w:t>
      </w:r>
      <w:r w:rsidRPr="005E3A8B">
        <w:rPr>
          <w:rFonts w:ascii="Times New Roman" w:hAnsi="Times New Roman"/>
          <w:b/>
          <w:smallCaps/>
          <w:noProof/>
          <w:sz w:val="24"/>
          <w:vertAlign w:val="superscript"/>
          <w:lang w:val="fr-FR"/>
        </w:rPr>
        <w:t>er</w:t>
      </w:r>
      <w:r w:rsidRPr="005E3A8B">
        <w:rPr>
          <w:rFonts w:ascii="Times New Roman" w:hAnsi="Times New Roman"/>
          <w:b/>
          <w:smallCaps/>
          <w:noProof/>
          <w:sz w:val="24"/>
          <w:lang w:val="fr-FR"/>
        </w:rPr>
        <w:t> ter du statut (Institutions)</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La Commission a reçu des contributions de la part de toutes les institutions concernées.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À l’exception du service européen pour </w:t>
      </w:r>
      <w:r w:rsidRPr="005E3A8B">
        <w:rPr>
          <w:rFonts w:ascii="Times New Roman" w:hAnsi="Times New Roman"/>
          <w:noProof/>
          <w:sz w:val="24"/>
          <w:lang w:val="fr-FR"/>
        </w:rPr>
        <w:t>l’action extérieure (SEAE), aucune de ces institutions n’a adopté formellement de définition d’équilibre géographique, de déséquilibre géographique ou de déséquilibre géographique important. La plupart d’entre elles suivent néanmoins la représentation géog</w:t>
      </w:r>
      <w:r w:rsidRPr="005E3A8B">
        <w:rPr>
          <w:rFonts w:ascii="Times New Roman" w:hAnsi="Times New Roman"/>
          <w:noProof/>
          <w:sz w:val="24"/>
          <w:lang w:val="fr-FR"/>
        </w:rPr>
        <w:t>raphique de leur personnel et la comparent soit à la population de l’État membre concerné, soit à l’indicateur composite mis au point par la Commission pour les pays ayant adhéré à partir de 2004 (la moyenne de la part dans la population, la pondération de</w:t>
      </w:r>
      <w:r w:rsidRPr="005E3A8B">
        <w:rPr>
          <w:rFonts w:ascii="Times New Roman" w:hAnsi="Times New Roman"/>
          <w:noProof/>
          <w:sz w:val="24"/>
          <w:lang w:val="fr-FR"/>
        </w:rPr>
        <w:t>s membres du Parlement européen et pré-Lisbonne au sein du Conseil).</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Ce suivi est destiné à refléter les besoins et les contraintes de l’institution concernée.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La plupart des institutions font face à des déséquilibres géographiques dans la composition de </w:t>
      </w:r>
      <w:r w:rsidRPr="005E3A8B">
        <w:rPr>
          <w:rFonts w:ascii="Times New Roman" w:hAnsi="Times New Roman"/>
          <w:noProof/>
          <w:sz w:val="24"/>
          <w:lang w:val="fr-FR"/>
        </w:rPr>
        <w:t>leur personnel; dans certains cas, le déséquilibre est considéré comme important. Cependant, toutes les institutions ont estimé que les déséquilibres (importants) observés étaient justifiés par des raisons objectives. Les justifications invoquées le plus s</w:t>
      </w:r>
      <w:r w:rsidRPr="005E3A8B">
        <w:rPr>
          <w:rFonts w:ascii="Times New Roman" w:hAnsi="Times New Roman"/>
          <w:noProof/>
          <w:sz w:val="24"/>
          <w:lang w:val="fr-FR"/>
        </w:rPr>
        <w:t>ouvent ont été l’effet dit du «siège»</w:t>
      </w:r>
      <w:r>
        <w:rPr>
          <w:rFonts w:ascii="Times New Roman" w:hAnsi="Times New Roman"/>
          <w:noProof/>
          <w:sz w:val="24"/>
          <w:vertAlign w:val="superscript"/>
        </w:rPr>
        <w:footnoteReference w:id="15"/>
      </w:r>
      <w:r w:rsidRPr="005E3A8B">
        <w:rPr>
          <w:rFonts w:ascii="Times New Roman" w:hAnsi="Times New Roman"/>
          <w:noProof/>
          <w:sz w:val="24"/>
          <w:lang w:val="fr-FR"/>
        </w:rPr>
        <w:t>, la composition des listes d’EPSO, la capacité d’attirer du personnel de certains États membres et la taille relative des services linguistiques.</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Dans la mesure où tous les déséquilibres sont considérés comme objectiv</w:t>
      </w:r>
      <w:r w:rsidRPr="005E3A8B">
        <w:rPr>
          <w:rFonts w:ascii="Times New Roman" w:hAnsi="Times New Roman"/>
          <w:noProof/>
          <w:sz w:val="24"/>
          <w:lang w:val="fr-FR"/>
        </w:rPr>
        <w:t>ement justifiés, aucune institution n’a pris l’initiative d’adopter des dispositions générales d’exécution pour donner effet à l’article 27, deuxième alinéa, du statut.</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De même, aucune institution ne prévoyant de déséquilibre important à l’avenir (du moins</w:t>
      </w:r>
      <w:r w:rsidRPr="005E3A8B">
        <w:rPr>
          <w:rFonts w:ascii="Times New Roman" w:hAnsi="Times New Roman"/>
          <w:noProof/>
          <w:sz w:val="24"/>
          <w:lang w:val="fr-FR"/>
        </w:rPr>
        <w:t>, pas dans le groupe de fonctions AD), aucune d’entre elles n’élabore actuellement de dispositions générales d’exécution.</w:t>
      </w:r>
    </w:p>
    <w:p w:rsidR="00E91048" w:rsidRPr="005E3A8B" w:rsidRDefault="00E91048">
      <w:pPr>
        <w:spacing w:after="240" w:line="240" w:lineRule="auto"/>
        <w:jc w:val="both"/>
        <w:rPr>
          <w:rFonts w:ascii="Times New Roman" w:eastAsia="Times New Roman" w:hAnsi="Times New Roman" w:cs="Times New Roman"/>
          <w:noProof/>
          <w:sz w:val="24"/>
          <w:szCs w:val="20"/>
          <w:lang w:val="fr-FR"/>
        </w:rPr>
      </w:pPr>
    </w:p>
    <w:p w:rsidR="00E91048" w:rsidRPr="005E3A8B" w:rsidRDefault="005E3A8B">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lang w:val="fr-FR"/>
        </w:rPr>
      </w:pPr>
      <w:r w:rsidRPr="005E3A8B">
        <w:rPr>
          <w:rFonts w:ascii="Times New Roman" w:hAnsi="Times New Roman"/>
          <w:b/>
          <w:smallCaps/>
          <w:noProof/>
          <w:sz w:val="24"/>
          <w:lang w:val="fr-FR"/>
        </w:rPr>
        <w:t>3.</w:t>
      </w:r>
      <w:r w:rsidRPr="005E3A8B">
        <w:rPr>
          <w:noProof/>
          <w:lang w:val="fr-FR"/>
        </w:rPr>
        <w:tab/>
      </w:r>
      <w:r w:rsidRPr="005E3A8B">
        <w:rPr>
          <w:rFonts w:ascii="Times New Roman" w:hAnsi="Times New Roman"/>
          <w:b/>
          <w:smallCaps/>
          <w:noProof/>
          <w:sz w:val="24"/>
          <w:lang w:val="fr-FR"/>
        </w:rPr>
        <w:t>Agences décentralisées</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La Commission a reçu les contributions de 19 agences décentralisées.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Les agences sont, en moyenne, de plus</w:t>
      </w:r>
      <w:r w:rsidRPr="005E3A8B">
        <w:rPr>
          <w:rFonts w:ascii="Times New Roman" w:hAnsi="Times New Roman"/>
          <w:noProof/>
          <w:sz w:val="24"/>
          <w:lang w:val="fr-FR"/>
        </w:rPr>
        <w:t xml:space="preserve"> petite taille que les institutions visées au chapitre précédent. Elles sont souvent établies dans d’autres États membres, plus précisément dans des villes qui sont éloignées des principaux sièges des grandes institutions de l’Union. Elles sont spécialisée</w:t>
      </w:r>
      <w:r w:rsidRPr="005E3A8B">
        <w:rPr>
          <w:rFonts w:ascii="Times New Roman" w:hAnsi="Times New Roman"/>
          <w:noProof/>
          <w:sz w:val="24"/>
          <w:lang w:val="fr-FR"/>
        </w:rPr>
        <w:t>s dans un domaine d’activités donné. Elles peuvent présenter des différences importantes entre elles, tant en ce qui concerne leur taille, le champ de leurs activités et leur lieu d’implantation. C’est la raison pour laquelle ni la Commission ni les agence</w:t>
      </w:r>
      <w:r w:rsidRPr="005E3A8B">
        <w:rPr>
          <w:rFonts w:ascii="Times New Roman" w:hAnsi="Times New Roman"/>
          <w:noProof/>
          <w:sz w:val="24"/>
          <w:lang w:val="fr-FR"/>
        </w:rPr>
        <w:t>s elles-mêmes n’ont jugé opportun d’adopter une approche commune sur la question de l’équilibre géographique.</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Il ressort du tableau figurant à l’annexe 12 qu’il n’existe pas de définition uniforme de ce que l’équilibre géographique devrait être. Néanmoins,</w:t>
      </w:r>
      <w:r w:rsidRPr="005E3A8B">
        <w:rPr>
          <w:rFonts w:ascii="Times New Roman" w:hAnsi="Times New Roman"/>
          <w:noProof/>
          <w:sz w:val="24"/>
          <w:lang w:val="fr-FR"/>
        </w:rPr>
        <w:t xml:space="preserve"> compte tenu de leurs contraintes respectives, la majorité des agences ont considéré qu’elles ne présentaient pas de déséquilibre géographique important. Aussi n’envisagent-elles pas d’adopter de dispositions générales d’exécution pour donner effet à l’art</w:t>
      </w:r>
      <w:r w:rsidRPr="005E3A8B">
        <w:rPr>
          <w:rFonts w:ascii="Times New Roman" w:hAnsi="Times New Roman"/>
          <w:noProof/>
          <w:sz w:val="24"/>
          <w:lang w:val="fr-FR"/>
        </w:rPr>
        <w:t xml:space="preserve">icle 27 du statut.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Deux agences ont toutefois constaté des déséquilibres importants. Dans les deux cas, les agences estiment que le déséquilibre est dû à plusieurs facteurs, notamment au coefficient correcteur applicable et à la difficulté pour les conjoi</w:t>
      </w:r>
      <w:r w:rsidRPr="005E3A8B">
        <w:rPr>
          <w:rFonts w:ascii="Times New Roman" w:hAnsi="Times New Roman"/>
          <w:noProof/>
          <w:sz w:val="24"/>
          <w:lang w:val="fr-FR"/>
        </w:rPr>
        <w:t>nts de trouver un emploi sur le marché local.</w:t>
      </w:r>
      <w:r w:rsidRPr="005E3A8B">
        <w:rPr>
          <w:noProof/>
          <w:lang w:val="fr-FR"/>
        </w:rPr>
        <w:tab/>
      </w:r>
      <w:r w:rsidRPr="005E3A8B">
        <w:rPr>
          <w:rFonts w:ascii="Times New Roman" w:eastAsia="Times New Roman" w:hAnsi="Times New Roman" w:cs="Times New Roman"/>
          <w:noProof/>
          <w:sz w:val="24"/>
          <w:szCs w:val="20"/>
          <w:lang w:val="fr-FR"/>
        </w:rPr>
        <w:br/>
      </w:r>
      <w:r w:rsidRPr="005E3A8B">
        <w:rPr>
          <w:rFonts w:ascii="Times New Roman" w:hAnsi="Times New Roman"/>
          <w:noProof/>
          <w:sz w:val="24"/>
          <w:lang w:val="fr-FR"/>
        </w:rPr>
        <w:t>Une agence a constaté un déséquilibre croissant aux dépens des ressortissants de l’État membre d’accueil. Cette agence envisage d’arrêter des DGE donnant effet à l’article 27 du statut si ce déséquilibre s’acc</w:t>
      </w:r>
      <w:r w:rsidRPr="005E3A8B">
        <w:rPr>
          <w:rFonts w:ascii="Times New Roman" w:hAnsi="Times New Roman"/>
          <w:noProof/>
          <w:sz w:val="24"/>
          <w:lang w:val="fr-FR"/>
        </w:rPr>
        <w:t>entue encore.</w:t>
      </w:r>
    </w:p>
    <w:p w:rsidR="00E91048" w:rsidRPr="005E3A8B" w:rsidRDefault="00E91048">
      <w:pPr>
        <w:spacing w:after="0" w:line="240" w:lineRule="auto"/>
        <w:rPr>
          <w:rFonts w:ascii="Times New Roman" w:eastAsia="Times New Roman" w:hAnsi="Times New Roman" w:cs="Times New Roman"/>
          <w:noProof/>
          <w:sz w:val="24"/>
          <w:szCs w:val="20"/>
          <w:lang w:val="fr-FR"/>
        </w:rPr>
      </w:pPr>
    </w:p>
    <w:p w:rsidR="00E91048" w:rsidRPr="005E3A8B" w:rsidRDefault="00E91048">
      <w:pPr>
        <w:spacing w:after="0" w:line="240" w:lineRule="auto"/>
        <w:rPr>
          <w:rFonts w:ascii="Times New Roman" w:eastAsia="Times New Roman" w:hAnsi="Times New Roman" w:cs="Times New Roman"/>
          <w:noProof/>
          <w:sz w:val="24"/>
          <w:szCs w:val="20"/>
          <w:lang w:val="fr-FR"/>
        </w:rPr>
      </w:pPr>
    </w:p>
    <w:p w:rsidR="00E91048" w:rsidRPr="005E3A8B" w:rsidRDefault="005E3A8B">
      <w:pPr>
        <w:spacing w:after="0" w:line="240" w:lineRule="auto"/>
        <w:rPr>
          <w:rFonts w:ascii="Times New Roman" w:eastAsia="Times New Roman" w:hAnsi="Times New Roman" w:cs="Times New Roman"/>
          <w:noProof/>
          <w:sz w:val="24"/>
          <w:szCs w:val="20"/>
          <w:lang w:val="fr-FR"/>
        </w:rPr>
      </w:pPr>
      <w:r w:rsidRPr="005E3A8B">
        <w:rPr>
          <w:noProof/>
          <w:lang w:val="fr-FR"/>
        </w:rPr>
        <w:br w:type="page"/>
      </w:r>
    </w:p>
    <w:p w:rsidR="00E91048" w:rsidRPr="005E3A8B" w:rsidRDefault="005E3A8B">
      <w:pPr>
        <w:spacing w:after="0" w:line="240" w:lineRule="auto"/>
        <w:rPr>
          <w:rFonts w:ascii="Times New Roman" w:eastAsia="Times New Roman" w:hAnsi="Times New Roman" w:cs="Times New Roman"/>
          <w:b/>
          <w:noProof/>
          <w:sz w:val="24"/>
          <w:szCs w:val="20"/>
          <w:lang w:val="fr-FR"/>
        </w:rPr>
      </w:pPr>
      <w:r w:rsidRPr="005E3A8B">
        <w:rPr>
          <w:rFonts w:ascii="Times New Roman" w:hAnsi="Times New Roman"/>
          <w:b/>
          <w:noProof/>
          <w:sz w:val="24"/>
          <w:lang w:val="fr-FR"/>
        </w:rPr>
        <w:t>ANNEXE 1: Base juridique</w:t>
      </w:r>
    </w:p>
    <w:p w:rsidR="00E91048" w:rsidRPr="005E3A8B" w:rsidRDefault="00E91048">
      <w:pPr>
        <w:spacing w:after="0" w:line="240" w:lineRule="auto"/>
        <w:rPr>
          <w:rFonts w:ascii="Times New Roman" w:eastAsia="Times New Roman" w:hAnsi="Times New Roman" w:cs="Times New Roman"/>
          <w:noProof/>
          <w:sz w:val="24"/>
          <w:szCs w:val="20"/>
          <w:lang w:val="fr-FR"/>
        </w:rPr>
      </w:pP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b/>
          <w:noProof/>
          <w:sz w:val="24"/>
          <w:lang w:val="fr-FR"/>
        </w:rPr>
        <w:t>Article 9 du traité</w:t>
      </w:r>
      <w:r w:rsidRPr="005E3A8B">
        <w:rPr>
          <w:rFonts w:ascii="Times New Roman" w:hAnsi="Times New Roman"/>
          <w:noProof/>
          <w:sz w:val="24"/>
          <w:lang w:val="fr-FR"/>
        </w:rPr>
        <w:t xml:space="preserve"> </w:t>
      </w:r>
      <w:r w:rsidRPr="005E3A8B">
        <w:rPr>
          <w:rFonts w:ascii="Times New Roman" w:hAnsi="Times New Roman"/>
          <w:b/>
          <w:noProof/>
          <w:sz w:val="24"/>
          <w:lang w:val="fr-FR"/>
        </w:rPr>
        <w:t>sur l’Union européenne:</w:t>
      </w:r>
      <w:r w:rsidRPr="005E3A8B">
        <w:rPr>
          <w:rFonts w:ascii="Times New Roman" w:hAnsi="Times New Roman"/>
          <w:noProof/>
          <w:sz w:val="24"/>
          <w:lang w:val="fr-FR"/>
        </w:rPr>
        <w:t xml:space="preserve"> </w:t>
      </w:r>
      <w:r w:rsidRPr="005E3A8B">
        <w:rPr>
          <w:noProof/>
          <w:lang w:val="fr-FR"/>
        </w:rPr>
        <w:tab/>
      </w:r>
      <w:r w:rsidRPr="005E3A8B">
        <w:rPr>
          <w:rFonts w:ascii="Times New Roman" w:eastAsia="Times New Roman" w:hAnsi="Times New Roman" w:cs="Times New Roman"/>
          <w:noProof/>
          <w:sz w:val="24"/>
          <w:szCs w:val="20"/>
          <w:lang w:val="fr-FR"/>
        </w:rPr>
        <w:br/>
      </w:r>
      <w:r w:rsidRPr="005E3A8B">
        <w:rPr>
          <w:rFonts w:ascii="Times New Roman" w:hAnsi="Times New Roman"/>
          <w:noProof/>
          <w:sz w:val="24"/>
          <w:lang w:val="fr-FR"/>
        </w:rPr>
        <w:t xml:space="preserve">«Dans toutes ses activités, l'Union respecte le principe de l'égalité de ses citoyens». </w:t>
      </w:r>
    </w:p>
    <w:p w:rsidR="00E91048" w:rsidRPr="005E3A8B" w:rsidRDefault="005E3A8B">
      <w:pPr>
        <w:spacing w:after="80" w:line="23" w:lineRule="atLeast"/>
        <w:jc w:val="both"/>
        <w:rPr>
          <w:rFonts w:ascii="Times New Roman" w:eastAsia="Calibri" w:hAnsi="Times New Roman" w:cs="Times New Roman"/>
          <w:noProof/>
          <w:sz w:val="24"/>
          <w:szCs w:val="24"/>
          <w:lang w:val="fr-FR"/>
        </w:rPr>
      </w:pPr>
      <w:r w:rsidRPr="005E3A8B">
        <w:rPr>
          <w:rFonts w:ascii="Times New Roman" w:hAnsi="Times New Roman"/>
          <w:b/>
          <w:noProof/>
          <w:sz w:val="24"/>
          <w:lang w:val="fr-FR"/>
        </w:rPr>
        <w:t>Article 18 du traité sur le fonctionnement de l’Union européenne (TFUE):</w:t>
      </w:r>
      <w:r w:rsidRPr="005E3A8B">
        <w:rPr>
          <w:noProof/>
          <w:lang w:val="fr-FR"/>
        </w:rPr>
        <w:tab/>
      </w:r>
      <w:r w:rsidRPr="005E3A8B">
        <w:rPr>
          <w:rFonts w:ascii="Times New Roman" w:eastAsia="Calibri" w:hAnsi="Times New Roman" w:cs="Times New Roman"/>
          <w:b/>
          <w:noProof/>
          <w:sz w:val="24"/>
          <w:szCs w:val="24"/>
          <w:lang w:val="fr-FR"/>
        </w:rPr>
        <w:br/>
      </w:r>
      <w:r w:rsidRPr="005E3A8B">
        <w:rPr>
          <w:rFonts w:ascii="Times New Roman" w:hAnsi="Times New Roman"/>
          <w:noProof/>
          <w:sz w:val="24"/>
          <w:lang w:val="fr-FR"/>
        </w:rPr>
        <w:t xml:space="preserve">«Dans le domaine d'application des traités, et sans préjudice des dispositions particulières qu'ils prévoient, </w:t>
      </w:r>
      <w:r w:rsidRPr="005E3A8B">
        <w:rPr>
          <w:rFonts w:ascii="Times New Roman" w:hAnsi="Times New Roman"/>
          <w:noProof/>
          <w:sz w:val="24"/>
          <w:u w:val="single"/>
          <w:lang w:val="fr-FR"/>
        </w:rPr>
        <w:t>est interdite toute discrimination exercée en raison de la nationalité</w:t>
      </w:r>
      <w:r w:rsidRPr="005E3A8B">
        <w:rPr>
          <w:rFonts w:ascii="Times New Roman" w:hAnsi="Times New Roman"/>
          <w:noProof/>
          <w:sz w:val="24"/>
          <w:lang w:val="fr-FR"/>
        </w:rPr>
        <w:t>»</w:t>
      </w:r>
    </w:p>
    <w:p w:rsidR="00E91048" w:rsidRPr="005E3A8B" w:rsidRDefault="005E3A8B">
      <w:pPr>
        <w:autoSpaceDE w:val="0"/>
        <w:autoSpaceDN w:val="0"/>
        <w:spacing w:after="80" w:line="23" w:lineRule="atLeast"/>
        <w:jc w:val="both"/>
        <w:rPr>
          <w:rFonts w:ascii="Times New Roman" w:eastAsia="Calibri" w:hAnsi="Times New Roman" w:cs="Times New Roman"/>
          <w:noProof/>
          <w:sz w:val="24"/>
          <w:szCs w:val="24"/>
          <w:lang w:val="fr-FR"/>
        </w:rPr>
      </w:pPr>
      <w:r w:rsidRPr="005E3A8B">
        <w:rPr>
          <w:rFonts w:ascii="Times New Roman" w:hAnsi="Times New Roman"/>
          <w:noProof/>
          <w:sz w:val="24"/>
          <w:lang w:val="fr-FR"/>
        </w:rPr>
        <w:t>[…]»</w:t>
      </w:r>
    </w:p>
    <w:p w:rsidR="00E91048" w:rsidRPr="005E3A8B" w:rsidRDefault="00E91048">
      <w:pPr>
        <w:autoSpaceDE w:val="0"/>
        <w:autoSpaceDN w:val="0"/>
        <w:spacing w:after="80" w:line="23" w:lineRule="atLeast"/>
        <w:jc w:val="both"/>
        <w:rPr>
          <w:rFonts w:ascii="Times New Roman" w:eastAsia="Calibri" w:hAnsi="Times New Roman" w:cs="Times New Roman"/>
          <w:noProof/>
          <w:sz w:val="24"/>
          <w:szCs w:val="24"/>
          <w:lang w:val="fr-FR"/>
        </w:rPr>
      </w:pPr>
    </w:p>
    <w:p w:rsidR="00E91048" w:rsidRPr="005E3A8B" w:rsidRDefault="005E3A8B">
      <w:pPr>
        <w:autoSpaceDE w:val="0"/>
        <w:autoSpaceDN w:val="0"/>
        <w:spacing w:after="80" w:line="23" w:lineRule="atLeast"/>
        <w:jc w:val="both"/>
        <w:rPr>
          <w:rFonts w:ascii="Times New Roman" w:eastAsia="Calibri" w:hAnsi="Times New Roman" w:cs="Times New Roman"/>
          <w:noProof/>
          <w:color w:val="000000"/>
          <w:sz w:val="24"/>
          <w:szCs w:val="24"/>
          <w:lang w:val="fr-FR"/>
        </w:rPr>
      </w:pPr>
      <w:r w:rsidRPr="005E3A8B">
        <w:rPr>
          <w:rFonts w:ascii="Times New Roman" w:hAnsi="Times New Roman"/>
          <w:b/>
          <w:noProof/>
          <w:sz w:val="24"/>
          <w:lang w:val="fr-FR"/>
        </w:rPr>
        <w:t xml:space="preserve">Article 21 de la Charte des droits fondamentaux - Non-discrimination: </w:t>
      </w:r>
    </w:p>
    <w:p w:rsidR="00E91048" w:rsidRPr="005E3A8B" w:rsidRDefault="005E3A8B">
      <w:pPr>
        <w:numPr>
          <w:ilvl w:val="0"/>
          <w:numId w:val="21"/>
        </w:numPr>
        <w:autoSpaceDE w:val="0"/>
        <w:autoSpaceDN w:val="0"/>
        <w:spacing w:after="0" w:line="23" w:lineRule="atLeast"/>
        <w:jc w:val="both"/>
        <w:rPr>
          <w:rFonts w:ascii="Times New Roman" w:hAnsi="Times New Roman" w:cs="Times New Roman"/>
          <w:noProof/>
          <w:sz w:val="24"/>
          <w:szCs w:val="24"/>
          <w:lang w:val="fr-FR"/>
        </w:rPr>
      </w:pPr>
      <w:r w:rsidRPr="005E3A8B">
        <w:rPr>
          <w:rFonts w:ascii="Times New Roman" w:hAnsi="Times New Roman"/>
          <w:noProof/>
          <w:sz w:val="24"/>
          <w:lang w:val="fr-FR"/>
        </w:rPr>
        <w:t>Est interdite, toute discrimination fondée notamment sur le sexe, la race, la couleur, les origines ethniques ou sociales, les caractéristiques génétiques, la langue, la religion ou les</w:t>
      </w:r>
      <w:r w:rsidRPr="005E3A8B">
        <w:rPr>
          <w:rFonts w:ascii="Times New Roman" w:hAnsi="Times New Roman"/>
          <w:noProof/>
          <w:sz w:val="24"/>
          <w:lang w:val="fr-FR"/>
        </w:rPr>
        <w:t xml:space="preserve"> convictions, les opinions politiques ou toute autre opinion, l'appartenance à une minorité nationale, la fortune, la naissance, un handicap, l'âge ou l'orientation sexuelle.</w:t>
      </w:r>
    </w:p>
    <w:p w:rsidR="00E91048" w:rsidRPr="005E3A8B" w:rsidRDefault="005E3A8B">
      <w:pPr>
        <w:numPr>
          <w:ilvl w:val="0"/>
          <w:numId w:val="21"/>
        </w:numPr>
        <w:autoSpaceDE w:val="0"/>
        <w:autoSpaceDN w:val="0"/>
        <w:spacing w:before="60" w:after="60" w:line="23" w:lineRule="atLeast"/>
        <w:jc w:val="both"/>
        <w:rPr>
          <w:rFonts w:ascii="Times New Roman" w:hAnsi="Times New Roman" w:cs="Times New Roman"/>
          <w:noProof/>
          <w:color w:val="000000"/>
          <w:sz w:val="24"/>
          <w:szCs w:val="24"/>
          <w:lang w:val="fr-FR"/>
        </w:rPr>
      </w:pPr>
      <w:r w:rsidRPr="005E3A8B">
        <w:rPr>
          <w:rFonts w:ascii="Times New Roman" w:hAnsi="Times New Roman"/>
          <w:noProof/>
          <w:sz w:val="24"/>
          <w:lang w:val="fr-FR"/>
        </w:rPr>
        <w:t>«Dans le domaine d'application des traités et sans préjudice de leurs disposition</w:t>
      </w:r>
      <w:r w:rsidRPr="005E3A8B">
        <w:rPr>
          <w:rFonts w:ascii="Times New Roman" w:hAnsi="Times New Roman"/>
          <w:noProof/>
          <w:sz w:val="24"/>
          <w:lang w:val="fr-FR"/>
        </w:rPr>
        <w:t xml:space="preserve">s particulières, </w:t>
      </w:r>
      <w:r w:rsidRPr="005E3A8B">
        <w:rPr>
          <w:rFonts w:ascii="Times New Roman" w:hAnsi="Times New Roman"/>
          <w:noProof/>
          <w:color w:val="000000"/>
          <w:sz w:val="24"/>
          <w:u w:val="single"/>
          <w:lang w:val="fr-FR"/>
        </w:rPr>
        <w:t xml:space="preserve"> toute discrimination exercée en raison de la nationalité est interdite</w:t>
      </w:r>
      <w:r w:rsidRPr="005E3A8B">
        <w:rPr>
          <w:rFonts w:ascii="Times New Roman" w:hAnsi="Times New Roman"/>
          <w:noProof/>
          <w:sz w:val="24"/>
          <w:lang w:val="fr-FR"/>
        </w:rPr>
        <w:t>»</w:t>
      </w:r>
    </w:p>
    <w:p w:rsidR="00E91048" w:rsidRPr="005E3A8B" w:rsidRDefault="00E91048">
      <w:pPr>
        <w:spacing w:after="240" w:line="240" w:lineRule="auto"/>
        <w:jc w:val="both"/>
        <w:rPr>
          <w:rFonts w:ascii="Times New Roman" w:eastAsia="Times New Roman" w:hAnsi="Times New Roman" w:cs="Times New Roman"/>
          <w:noProof/>
          <w:sz w:val="24"/>
          <w:szCs w:val="20"/>
          <w:lang w:val="fr-FR"/>
        </w:rPr>
      </w:pP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Il y a lieu de mentionner les principes généraux d’</w:t>
      </w:r>
      <w:r w:rsidRPr="005E3A8B">
        <w:rPr>
          <w:rFonts w:ascii="Times New Roman" w:hAnsi="Times New Roman"/>
          <w:b/>
          <w:noProof/>
          <w:sz w:val="24"/>
          <w:lang w:val="fr-FR"/>
        </w:rPr>
        <w:t>autonomie institutionnelle</w:t>
      </w:r>
      <w:r w:rsidRPr="005E3A8B">
        <w:rPr>
          <w:rFonts w:ascii="Times New Roman" w:hAnsi="Times New Roman"/>
          <w:noProof/>
          <w:sz w:val="24"/>
          <w:lang w:val="fr-FR"/>
        </w:rPr>
        <w:t xml:space="preserve"> et </w:t>
      </w:r>
      <w:r w:rsidRPr="005E3A8B">
        <w:rPr>
          <w:rFonts w:ascii="Times New Roman" w:hAnsi="Times New Roman"/>
          <w:b/>
          <w:noProof/>
          <w:sz w:val="24"/>
          <w:lang w:val="fr-FR"/>
        </w:rPr>
        <w:t>de coopération loyale</w:t>
      </w:r>
      <w:r w:rsidRPr="005E3A8B">
        <w:rPr>
          <w:rFonts w:ascii="Times New Roman" w:hAnsi="Times New Roman"/>
          <w:noProof/>
          <w:sz w:val="24"/>
          <w:lang w:val="fr-FR"/>
        </w:rPr>
        <w:t xml:space="preserve"> inscrits dans le droit constitutionnel de l’Union.</w:t>
      </w:r>
    </w:p>
    <w:p w:rsidR="00E91048" w:rsidRPr="005E3A8B" w:rsidRDefault="00E91048">
      <w:pPr>
        <w:spacing w:after="240" w:line="240" w:lineRule="auto"/>
        <w:jc w:val="both"/>
        <w:rPr>
          <w:rFonts w:ascii="Times New Roman" w:eastAsia="Times New Roman" w:hAnsi="Times New Roman" w:cs="Times New Roman"/>
          <w:noProof/>
          <w:sz w:val="24"/>
          <w:szCs w:val="20"/>
          <w:lang w:val="fr-FR"/>
        </w:rPr>
      </w:pP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Le </w:t>
      </w:r>
      <w:r w:rsidRPr="005E3A8B">
        <w:rPr>
          <w:rFonts w:ascii="Times New Roman" w:hAnsi="Times New Roman"/>
          <w:b/>
          <w:noProof/>
          <w:sz w:val="24"/>
          <w:lang w:val="fr-FR"/>
        </w:rPr>
        <w:t>statut</w:t>
      </w:r>
      <w:r w:rsidRPr="005E3A8B">
        <w:rPr>
          <w:rFonts w:ascii="Times New Roman" w:hAnsi="Times New Roman"/>
          <w:noProof/>
          <w:sz w:val="24"/>
          <w:lang w:val="fr-FR"/>
        </w:rPr>
        <w:t xml:space="preserve"> </w:t>
      </w:r>
      <w:r w:rsidRPr="005E3A8B">
        <w:rPr>
          <w:rFonts w:ascii="Times New Roman" w:hAnsi="Times New Roman"/>
          <w:noProof/>
          <w:sz w:val="24"/>
          <w:lang w:val="fr-FR"/>
        </w:rPr>
        <w:t>contient des prescriptions et des interdictions guidant la prise de décision de l’autorité investie du pouvoir de nomination. Selon un principe général, les décisions de l’autorité investie du pouvoir de nomination ne devraient être fondées que sur l’intér</w:t>
      </w:r>
      <w:r w:rsidRPr="005E3A8B">
        <w:rPr>
          <w:rFonts w:ascii="Times New Roman" w:hAnsi="Times New Roman"/>
          <w:noProof/>
          <w:sz w:val="24"/>
          <w:lang w:val="fr-FR"/>
        </w:rPr>
        <w:t>êt du service et les mérites individuels. En fonction du domaine concerné, le statut prévoit aussi une «liste noire» de critères que l’autorité investie du pouvoir de nomination ne peut pas utiliser. La référence à la nationalité n’est explicitement interd</w:t>
      </w:r>
      <w:r w:rsidRPr="005E3A8B">
        <w:rPr>
          <w:rFonts w:ascii="Times New Roman" w:hAnsi="Times New Roman"/>
          <w:noProof/>
          <w:sz w:val="24"/>
          <w:lang w:val="fr-FR"/>
        </w:rPr>
        <w:t>ite que lorsqu’il s’agit de pourvoir des postes individuels:</w:t>
      </w:r>
    </w:p>
    <w:p w:rsidR="00E91048" w:rsidRPr="005E3A8B" w:rsidRDefault="005E3A8B">
      <w:pPr>
        <w:tabs>
          <w:tab w:val="num" w:pos="765"/>
        </w:tabs>
        <w:spacing w:after="240" w:line="240" w:lineRule="auto"/>
        <w:ind w:left="765" w:hanging="283"/>
        <w:jc w:val="both"/>
        <w:rPr>
          <w:rFonts w:ascii="Times New Roman" w:eastAsia="Times New Roman" w:hAnsi="Times New Roman" w:cs="Times New Roman"/>
          <w:noProof/>
          <w:sz w:val="24"/>
          <w:szCs w:val="20"/>
          <w:lang w:val="fr-FR"/>
        </w:rPr>
      </w:pPr>
      <w:r w:rsidRPr="005E3A8B">
        <w:rPr>
          <w:rFonts w:ascii="Times New Roman" w:hAnsi="Times New Roman"/>
          <w:i/>
          <w:noProof/>
          <w:sz w:val="24"/>
          <w:lang w:val="fr-FR"/>
        </w:rPr>
        <w:t>Selon la règle générale (applicable à l’ensemble du statut)</w:t>
      </w:r>
      <w:r w:rsidRPr="005E3A8B">
        <w:rPr>
          <w:rFonts w:ascii="Times New Roman" w:hAnsi="Times New Roman"/>
          <w:noProof/>
          <w:sz w:val="24"/>
          <w:lang w:val="fr-FR"/>
        </w:rPr>
        <w:t xml:space="preserve">: l’article premier </w:t>
      </w:r>
      <w:r w:rsidRPr="005E3A8B">
        <w:rPr>
          <w:rFonts w:ascii="Times New Roman" w:hAnsi="Times New Roman"/>
          <w:i/>
          <w:noProof/>
          <w:sz w:val="24"/>
          <w:lang w:val="fr-FR"/>
        </w:rPr>
        <w:t>quinquies</w:t>
      </w:r>
      <w:r w:rsidRPr="005E3A8B">
        <w:rPr>
          <w:rFonts w:ascii="Times New Roman" w:hAnsi="Times New Roman"/>
          <w:noProof/>
          <w:sz w:val="24"/>
          <w:lang w:val="fr-FR"/>
        </w:rPr>
        <w:t xml:space="preserve"> du statut interdit «toute discrimination, telle qu'une discrimination fondée sur le sexe, la race, la couleur, les origines ethniques ou sociales, les caractéristiques génétiques, la langue, la religion ou les convictions, les opinions politiques ou toute</w:t>
      </w:r>
      <w:r w:rsidRPr="005E3A8B">
        <w:rPr>
          <w:rFonts w:ascii="Times New Roman" w:hAnsi="Times New Roman"/>
          <w:noProof/>
          <w:sz w:val="24"/>
          <w:lang w:val="fr-FR"/>
        </w:rPr>
        <w:t xml:space="preserve"> autre opinion, l'appartenance à une minorité nationale, la fortune, la naissance, un handicap, l'âge ou l'orientation sexuelle». </w:t>
      </w:r>
      <w:r w:rsidRPr="005E3A8B">
        <w:rPr>
          <w:noProof/>
          <w:lang w:val="fr-FR"/>
        </w:rPr>
        <w:tab/>
      </w:r>
      <w:r>
        <w:rPr>
          <w:rFonts w:ascii="Times New Roman" w:hAnsi="Times New Roman"/>
          <w:noProof/>
          <w:sz w:val="24"/>
          <w:vertAlign w:val="superscript"/>
        </w:rPr>
        <w:footnoteReference w:id="16"/>
      </w:r>
      <w:r w:rsidRPr="005E3A8B">
        <w:rPr>
          <w:rFonts w:ascii="Times New Roman" w:hAnsi="Times New Roman"/>
          <w:noProof/>
          <w:sz w:val="24"/>
          <w:lang w:val="fr-FR"/>
        </w:rPr>
        <w:t>;</w:t>
      </w:r>
    </w:p>
    <w:p w:rsidR="00E91048" w:rsidRPr="005E3A8B" w:rsidRDefault="005E3A8B">
      <w:pPr>
        <w:tabs>
          <w:tab w:val="num" w:pos="765"/>
        </w:tabs>
        <w:spacing w:after="240" w:line="240" w:lineRule="auto"/>
        <w:ind w:left="765" w:hanging="283"/>
        <w:jc w:val="both"/>
        <w:rPr>
          <w:rFonts w:ascii="Times New Roman" w:eastAsia="Times New Roman" w:hAnsi="Times New Roman" w:cs="Times New Roman"/>
          <w:noProof/>
          <w:sz w:val="24"/>
          <w:szCs w:val="20"/>
          <w:lang w:val="fr-FR"/>
        </w:rPr>
      </w:pPr>
      <w:r w:rsidRPr="005E3A8B">
        <w:rPr>
          <w:rFonts w:ascii="Times New Roman" w:hAnsi="Times New Roman"/>
          <w:i/>
          <w:noProof/>
          <w:sz w:val="24"/>
          <w:lang w:val="fr-FR"/>
        </w:rPr>
        <w:t xml:space="preserve">Recrutement: </w:t>
      </w:r>
      <w:r w:rsidRPr="005E3A8B">
        <w:rPr>
          <w:rFonts w:ascii="Times New Roman" w:hAnsi="Times New Roman"/>
          <w:noProof/>
          <w:sz w:val="24"/>
          <w:lang w:val="fr-FR"/>
        </w:rPr>
        <w:t>l’article 27 exige que les fonctionnaires soient «recrutés sur une base géographique la plus large possible p</w:t>
      </w:r>
      <w:r w:rsidRPr="005E3A8B">
        <w:rPr>
          <w:rFonts w:ascii="Times New Roman" w:hAnsi="Times New Roman"/>
          <w:noProof/>
          <w:sz w:val="24"/>
          <w:lang w:val="fr-FR"/>
        </w:rPr>
        <w:t xml:space="preserve">armi les ressortissants des États membres de l'Union». </w:t>
      </w:r>
      <w:r w:rsidRPr="005E3A8B">
        <w:rPr>
          <w:rFonts w:ascii="Times New Roman" w:eastAsia="Times New Roman" w:hAnsi="Times New Roman" w:cs="Times New Roman"/>
          <w:noProof/>
          <w:sz w:val="24"/>
          <w:szCs w:val="20"/>
          <w:lang w:val="fr-FR"/>
        </w:rPr>
        <w:br/>
      </w:r>
      <w:r w:rsidRPr="005E3A8B">
        <w:rPr>
          <w:rFonts w:ascii="Times New Roman" w:hAnsi="Times New Roman"/>
          <w:noProof/>
          <w:sz w:val="24"/>
          <w:lang w:val="fr-FR"/>
        </w:rPr>
        <w:t>Bien qu'il ne soit pas expressément fait mention de la nationalité, l’expression «base géographique la plus large possible» est interprétée comme équivalant à la nationalité;</w:t>
      </w:r>
    </w:p>
    <w:p w:rsidR="00E91048" w:rsidRPr="005E3A8B" w:rsidRDefault="005E3A8B">
      <w:pPr>
        <w:tabs>
          <w:tab w:val="num" w:pos="765"/>
        </w:tabs>
        <w:spacing w:after="240" w:line="240" w:lineRule="auto"/>
        <w:ind w:left="765" w:hanging="283"/>
        <w:jc w:val="both"/>
        <w:rPr>
          <w:rFonts w:ascii="Times New Roman" w:eastAsia="Times New Roman" w:hAnsi="Times New Roman" w:cs="Times New Roman"/>
          <w:noProof/>
          <w:sz w:val="24"/>
          <w:szCs w:val="20"/>
          <w:lang w:val="fr-FR"/>
        </w:rPr>
      </w:pPr>
      <w:r w:rsidRPr="005E3A8B">
        <w:rPr>
          <w:rFonts w:ascii="Times New Roman" w:hAnsi="Times New Roman"/>
          <w:i/>
          <w:noProof/>
          <w:sz w:val="24"/>
          <w:lang w:val="fr-FR"/>
        </w:rPr>
        <w:t>Pourvoi de postes individ</w:t>
      </w:r>
      <w:r w:rsidRPr="005E3A8B">
        <w:rPr>
          <w:rFonts w:ascii="Times New Roman" w:hAnsi="Times New Roman"/>
          <w:i/>
          <w:noProof/>
          <w:sz w:val="24"/>
          <w:lang w:val="fr-FR"/>
        </w:rPr>
        <w:t xml:space="preserve">uels: </w:t>
      </w:r>
      <w:r w:rsidRPr="005E3A8B">
        <w:rPr>
          <w:rFonts w:ascii="Times New Roman" w:hAnsi="Times New Roman"/>
          <w:noProof/>
          <w:sz w:val="24"/>
          <w:lang w:val="fr-FR"/>
        </w:rPr>
        <w:t xml:space="preserve">l’article 7 prévoit que «l’autorité investie du pouvoir de nomination affecte, par voie de nomination ou de mutation, dans le seul intérêt du service </w:t>
      </w:r>
      <w:r w:rsidRPr="005E3A8B">
        <w:rPr>
          <w:rFonts w:ascii="Times New Roman" w:hAnsi="Times New Roman"/>
          <w:noProof/>
          <w:sz w:val="24"/>
          <w:u w:val="single"/>
          <w:lang w:val="fr-FR"/>
        </w:rPr>
        <w:t>et sans considération de nationalité</w:t>
      </w:r>
      <w:r w:rsidRPr="005E3A8B">
        <w:rPr>
          <w:rFonts w:ascii="Times New Roman" w:hAnsi="Times New Roman"/>
          <w:noProof/>
          <w:sz w:val="24"/>
          <w:lang w:val="fr-FR"/>
        </w:rPr>
        <w:t>, chaque fonctionnaire à un emploi [...];  aux termes de l’artic</w:t>
      </w:r>
      <w:r w:rsidRPr="005E3A8B">
        <w:rPr>
          <w:rFonts w:ascii="Times New Roman" w:hAnsi="Times New Roman"/>
          <w:noProof/>
          <w:sz w:val="24"/>
          <w:lang w:val="fr-FR"/>
        </w:rPr>
        <w:t xml:space="preserve">le 27, «Aucun emploi ne peut être réservé aux </w:t>
      </w:r>
      <w:r w:rsidRPr="005E3A8B">
        <w:rPr>
          <w:rFonts w:ascii="Times New Roman" w:hAnsi="Times New Roman"/>
          <w:noProof/>
          <w:sz w:val="24"/>
          <w:u w:val="single"/>
          <w:lang w:val="fr-FR"/>
        </w:rPr>
        <w:t>ressortissants</w:t>
      </w:r>
      <w:r w:rsidRPr="005E3A8B">
        <w:rPr>
          <w:rFonts w:ascii="Times New Roman" w:hAnsi="Times New Roman"/>
          <w:noProof/>
          <w:sz w:val="24"/>
          <w:lang w:val="fr-FR"/>
        </w:rPr>
        <w:t xml:space="preserve"> d'un État membre déterminé».  </w:t>
      </w:r>
      <w:r w:rsidRPr="005E3A8B">
        <w:rPr>
          <w:noProof/>
          <w:lang w:val="fr-FR"/>
        </w:rPr>
        <w:tab/>
      </w:r>
      <w:r w:rsidRPr="005E3A8B">
        <w:rPr>
          <w:rFonts w:ascii="Times New Roman" w:eastAsia="Times New Roman" w:hAnsi="Times New Roman" w:cs="Times New Roman"/>
          <w:noProof/>
          <w:sz w:val="24"/>
          <w:szCs w:val="20"/>
          <w:lang w:val="fr-FR"/>
        </w:rPr>
        <w:br/>
      </w:r>
      <w:r w:rsidRPr="005E3A8B">
        <w:rPr>
          <w:rFonts w:ascii="Times New Roman" w:hAnsi="Times New Roman"/>
          <w:noProof/>
          <w:sz w:val="24"/>
          <w:lang w:val="fr-FR"/>
        </w:rPr>
        <w:t>La jurisprudence a confirmé que ces dispositions interdisent de réserver certains postes à certaines nationalités mais elle ne s’oppose pas à ce que les institutio</w:t>
      </w:r>
      <w:r w:rsidRPr="005E3A8B">
        <w:rPr>
          <w:rFonts w:ascii="Times New Roman" w:hAnsi="Times New Roman"/>
          <w:noProof/>
          <w:sz w:val="24"/>
          <w:lang w:val="fr-FR"/>
        </w:rPr>
        <w:t>ns adoptent des mesures afin de maintenir un équilibre général (en tenant compte notamment de la nationalité pour pourvoir certains postes «au cas où les titres des différents candidats sont sensiblement équivalents»</w:t>
      </w:r>
      <w:r>
        <w:rPr>
          <w:rFonts w:ascii="Times New Roman" w:hAnsi="Times New Roman"/>
          <w:noProof/>
          <w:sz w:val="24"/>
          <w:vertAlign w:val="superscript"/>
        </w:rPr>
        <w:footnoteReference w:id="17"/>
      </w:r>
      <w:r w:rsidRPr="005E3A8B">
        <w:rPr>
          <w:rFonts w:ascii="Times New Roman" w:hAnsi="Times New Roman"/>
          <w:noProof/>
          <w:sz w:val="24"/>
          <w:lang w:val="fr-FR"/>
        </w:rPr>
        <w:t>).</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À l’occasion de la </w:t>
      </w:r>
      <w:r w:rsidRPr="005E3A8B">
        <w:rPr>
          <w:rFonts w:ascii="Times New Roman" w:hAnsi="Times New Roman"/>
          <w:b/>
          <w:noProof/>
          <w:sz w:val="24"/>
          <w:lang w:val="fr-FR"/>
        </w:rPr>
        <w:t>révision du statu</w:t>
      </w:r>
      <w:r w:rsidRPr="005E3A8B">
        <w:rPr>
          <w:rFonts w:ascii="Times New Roman" w:hAnsi="Times New Roman"/>
          <w:b/>
          <w:noProof/>
          <w:sz w:val="24"/>
          <w:lang w:val="fr-FR"/>
        </w:rPr>
        <w:t>t en 2014</w:t>
      </w:r>
      <w:r w:rsidRPr="005E3A8B">
        <w:rPr>
          <w:rFonts w:ascii="Times New Roman" w:hAnsi="Times New Roman"/>
          <w:noProof/>
          <w:sz w:val="24"/>
          <w:lang w:val="fr-FR"/>
        </w:rPr>
        <w:t>, une référence spécifique à la nationalité a été insérée en ce qui concerne le recrutement. En effet:</w:t>
      </w:r>
    </w:p>
    <w:p w:rsidR="00E91048" w:rsidRPr="005E3A8B" w:rsidRDefault="005E3A8B">
      <w:pPr>
        <w:tabs>
          <w:tab w:val="num" w:pos="765"/>
        </w:tabs>
        <w:spacing w:after="240" w:line="240" w:lineRule="auto"/>
        <w:ind w:left="765" w:hanging="283"/>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selon le considérant 2 du </w:t>
      </w:r>
      <w:r w:rsidRPr="005E3A8B">
        <w:rPr>
          <w:rFonts w:ascii="Times New Roman" w:hAnsi="Times New Roman"/>
          <w:b/>
          <w:noProof/>
          <w:sz w:val="24"/>
          <w:lang w:val="fr-FR"/>
        </w:rPr>
        <w:t>règlement n° 1023/2013</w:t>
      </w:r>
      <w:r w:rsidRPr="005E3A8B">
        <w:rPr>
          <w:rFonts w:ascii="Times New Roman" w:hAnsi="Times New Roman"/>
          <w:noProof/>
          <w:sz w:val="24"/>
          <w:lang w:val="fr-FR"/>
        </w:rPr>
        <w:t xml:space="preserve"> du Parlement européen et du Conseil</w:t>
      </w:r>
      <w:r>
        <w:rPr>
          <w:rFonts w:ascii="Times New Roman" w:hAnsi="Times New Roman"/>
          <w:noProof/>
          <w:sz w:val="24"/>
          <w:vertAlign w:val="superscript"/>
        </w:rPr>
        <w:footnoteReference w:id="18"/>
      </w:r>
      <w:r w:rsidRPr="005E3A8B">
        <w:rPr>
          <w:rFonts w:ascii="Times New Roman" w:hAnsi="Times New Roman"/>
          <w:noProof/>
          <w:sz w:val="24"/>
          <w:lang w:val="fr-FR"/>
        </w:rPr>
        <w:t>, «il est [...]  nécessaire de garantir un cadre pour attir</w:t>
      </w:r>
      <w:r w:rsidRPr="005E3A8B">
        <w:rPr>
          <w:rFonts w:ascii="Times New Roman" w:hAnsi="Times New Roman"/>
          <w:noProof/>
          <w:sz w:val="24"/>
          <w:lang w:val="fr-FR"/>
        </w:rPr>
        <w:t xml:space="preserve">er, recruter et conserver un personnel hautement qualifié et multilingue, sélectionné sur la base géographique la plus large possible parmi les citoyens des États membres». En outre, conformément au considérant 5 dudit règlement, «la valeur de la fonction </w:t>
      </w:r>
      <w:r w:rsidRPr="005E3A8B">
        <w:rPr>
          <w:rFonts w:ascii="Times New Roman" w:hAnsi="Times New Roman"/>
          <w:noProof/>
          <w:sz w:val="24"/>
          <w:lang w:val="fr-FR"/>
        </w:rPr>
        <w:t>publique européenne réside [...] dans sa diversité culturelle [et] linguistique, que seul un équilibre approprié entre les nationalités des fonctionnaires peut garantir».</w:t>
      </w:r>
    </w:p>
    <w:p w:rsidR="00E91048" w:rsidRPr="005E3A8B" w:rsidRDefault="005E3A8B">
      <w:pPr>
        <w:tabs>
          <w:tab w:val="num" w:pos="765"/>
        </w:tabs>
        <w:spacing w:after="240" w:line="240" w:lineRule="auto"/>
        <w:ind w:left="765" w:hanging="283"/>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L’article 27 </w:t>
      </w:r>
      <w:r w:rsidRPr="005E3A8B">
        <w:rPr>
          <w:rFonts w:ascii="Times New Roman" w:hAnsi="Times New Roman"/>
          <w:b/>
          <w:noProof/>
          <w:sz w:val="24"/>
          <w:lang w:val="fr-FR"/>
        </w:rPr>
        <w:t>du statut</w:t>
      </w:r>
      <w:r w:rsidRPr="005E3A8B">
        <w:rPr>
          <w:rFonts w:ascii="Times New Roman" w:hAnsi="Times New Roman"/>
          <w:noProof/>
          <w:sz w:val="24"/>
          <w:lang w:val="fr-FR"/>
        </w:rPr>
        <w:t>, tel que modifié, dispose que «le principe de l'égalité des ci</w:t>
      </w:r>
      <w:r w:rsidRPr="005E3A8B">
        <w:rPr>
          <w:rFonts w:ascii="Times New Roman" w:hAnsi="Times New Roman"/>
          <w:noProof/>
          <w:sz w:val="24"/>
          <w:lang w:val="fr-FR"/>
        </w:rPr>
        <w:t xml:space="preserve">toyens de l'Union permet à chaque institution d'adopter des mesures appropriées si elle constate un déséquilibre important entre nationalités parmi les fonctionnaires, qui ne se justifie pas par des critères objectifs.» </w:t>
      </w:r>
    </w:p>
    <w:p w:rsidR="00E91048" w:rsidRPr="005E3A8B" w:rsidRDefault="005E3A8B">
      <w:pPr>
        <w:spacing w:after="240" w:line="240" w:lineRule="auto"/>
        <w:ind w:left="851"/>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L’idée qui sous-tend ces dispositio</w:t>
      </w:r>
      <w:r w:rsidRPr="005E3A8B">
        <w:rPr>
          <w:rFonts w:ascii="Times New Roman" w:hAnsi="Times New Roman"/>
          <w:noProof/>
          <w:sz w:val="24"/>
          <w:lang w:val="fr-FR"/>
        </w:rPr>
        <w:t>ns (modifiées) est que le «paquet» proposé aux candidats potentiels ainsi que les procédures de sélection et de recrutement sont conçus de manière telle qu’en l’absence d’une justification objective, la répartition des candidats, des lauréats et du personn</w:t>
      </w:r>
      <w:r w:rsidRPr="005E3A8B">
        <w:rPr>
          <w:rFonts w:ascii="Times New Roman" w:hAnsi="Times New Roman"/>
          <w:noProof/>
          <w:sz w:val="24"/>
          <w:lang w:val="fr-FR"/>
        </w:rPr>
        <w:t>el recruté des institutions (et partant des fonctionnaires en activité) devrait globalement refléter la répartition par nationalité des citoyens de l’Union. En l’absence de justification objective, tout écart significatif constaté devrait dès lors être con</w:t>
      </w:r>
      <w:r w:rsidRPr="005E3A8B">
        <w:rPr>
          <w:rFonts w:ascii="Times New Roman" w:hAnsi="Times New Roman"/>
          <w:noProof/>
          <w:sz w:val="24"/>
          <w:lang w:val="fr-FR"/>
        </w:rPr>
        <w:t xml:space="preserve">sidéré comme une violation du principe de l’égalité entre les citoyens, ce qui justifierait l’application de mesures correctives appropriées. </w:t>
      </w:r>
    </w:p>
    <w:p w:rsidR="00E91048" w:rsidRPr="005E3A8B" w:rsidRDefault="005E3A8B">
      <w:pPr>
        <w:tabs>
          <w:tab w:val="num" w:pos="765"/>
        </w:tabs>
        <w:spacing w:after="240" w:line="240" w:lineRule="auto"/>
        <w:ind w:left="765" w:hanging="283"/>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Le </w:t>
      </w:r>
      <w:r w:rsidRPr="005E3A8B">
        <w:rPr>
          <w:rFonts w:ascii="Times New Roman" w:hAnsi="Times New Roman"/>
          <w:b/>
          <w:noProof/>
          <w:sz w:val="24"/>
          <w:lang w:val="fr-FR"/>
        </w:rPr>
        <w:t>régime applicable aux autres agents de l’Union européenne</w:t>
      </w:r>
      <w:r w:rsidRPr="005E3A8B">
        <w:rPr>
          <w:rFonts w:ascii="Times New Roman" w:hAnsi="Times New Roman"/>
          <w:noProof/>
          <w:sz w:val="24"/>
          <w:lang w:val="fr-FR"/>
        </w:rPr>
        <w:t xml:space="preserve"> et notamment l’article 12, contient des dispositions</w:t>
      </w:r>
      <w:r w:rsidRPr="005E3A8B">
        <w:rPr>
          <w:rFonts w:ascii="Times New Roman" w:hAnsi="Times New Roman"/>
          <w:noProof/>
          <w:sz w:val="24"/>
          <w:lang w:val="fr-FR"/>
        </w:rPr>
        <w:t xml:space="preserve"> similaires applicables aux agents temporaires. </w:t>
      </w:r>
    </w:p>
    <w:p w:rsidR="00E91048" w:rsidRPr="005E3A8B" w:rsidRDefault="005E3A8B">
      <w:pPr>
        <w:spacing w:after="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Aux fins de la mise en œuvre de l’article 27 du statut tel que modifié, chaque institution devrait normalement:</w:t>
      </w:r>
    </w:p>
    <w:p w:rsidR="00E91048" w:rsidRPr="005E3A8B" w:rsidRDefault="005E3A8B">
      <w:pPr>
        <w:pStyle w:val="ListParagraph"/>
        <w:numPr>
          <w:ilvl w:val="0"/>
          <w:numId w:val="30"/>
        </w:numPr>
        <w:tabs>
          <w:tab w:val="num" w:pos="709"/>
        </w:tabs>
        <w:spacing w:after="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interpréter la notion d’«équilibre» entre nationalités,</w:t>
      </w:r>
    </w:p>
    <w:p w:rsidR="00E91048" w:rsidRPr="005E3A8B" w:rsidRDefault="005E3A8B">
      <w:pPr>
        <w:pStyle w:val="ListParagraph"/>
        <w:numPr>
          <w:ilvl w:val="0"/>
          <w:numId w:val="30"/>
        </w:numPr>
        <w:tabs>
          <w:tab w:val="num" w:pos="709"/>
        </w:tabs>
        <w:spacing w:after="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interpréter la notion de déséquilibre </w:t>
      </w:r>
      <w:r w:rsidRPr="005E3A8B">
        <w:rPr>
          <w:rFonts w:ascii="Times New Roman" w:hAnsi="Times New Roman"/>
          <w:noProof/>
          <w:sz w:val="24"/>
          <w:lang w:val="fr-FR"/>
        </w:rPr>
        <w:t>«important»,</w:t>
      </w:r>
    </w:p>
    <w:p w:rsidR="00E91048" w:rsidRPr="005E3A8B" w:rsidRDefault="005E3A8B">
      <w:pPr>
        <w:pStyle w:val="ListParagraph"/>
        <w:numPr>
          <w:ilvl w:val="0"/>
          <w:numId w:val="30"/>
        </w:numPr>
        <w:tabs>
          <w:tab w:val="num" w:pos="709"/>
        </w:tabs>
        <w:spacing w:after="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superviser la situation factuelle en vue de «constater» l’équilibre entre nationalités,</w:t>
      </w:r>
    </w:p>
    <w:p w:rsidR="00E91048" w:rsidRPr="005E3A8B" w:rsidRDefault="005E3A8B">
      <w:pPr>
        <w:pStyle w:val="ListParagraph"/>
        <w:numPr>
          <w:ilvl w:val="0"/>
          <w:numId w:val="30"/>
        </w:numPr>
        <w:tabs>
          <w:tab w:val="num" w:pos="709"/>
        </w:tabs>
        <w:spacing w:after="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le cas échéant, recenser les «raisons» de ce déséquilibre important et déterminer si elles en constituent une «justification objective», </w:t>
      </w:r>
    </w:p>
    <w:p w:rsidR="00E91048" w:rsidRPr="005E3A8B" w:rsidRDefault="005E3A8B">
      <w:pPr>
        <w:pStyle w:val="ListParagraph"/>
        <w:numPr>
          <w:ilvl w:val="0"/>
          <w:numId w:val="30"/>
        </w:numPr>
        <w:tabs>
          <w:tab w:val="num" w:pos="709"/>
        </w:tabs>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s’il y a lieu, id</w:t>
      </w:r>
      <w:r w:rsidRPr="005E3A8B">
        <w:rPr>
          <w:rFonts w:ascii="Times New Roman" w:hAnsi="Times New Roman"/>
          <w:noProof/>
          <w:sz w:val="24"/>
          <w:lang w:val="fr-FR"/>
        </w:rPr>
        <w:t xml:space="preserve">entifier et/ou adopter «des mesures correctives appropriées».  </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L’article 27 du statut prévoit également qu’à l'issue d'une période de trois ans commençant le 1</w:t>
      </w:r>
      <w:r w:rsidRPr="005E3A8B">
        <w:rPr>
          <w:rFonts w:ascii="Times New Roman" w:hAnsi="Times New Roman"/>
          <w:noProof/>
          <w:sz w:val="24"/>
          <w:vertAlign w:val="superscript"/>
          <w:lang w:val="fr-FR"/>
        </w:rPr>
        <w:t>er</w:t>
      </w:r>
      <w:r w:rsidRPr="005E3A8B">
        <w:rPr>
          <w:rFonts w:ascii="Times New Roman" w:hAnsi="Times New Roman"/>
          <w:noProof/>
          <w:sz w:val="24"/>
          <w:lang w:val="fr-FR"/>
        </w:rPr>
        <w:t xml:space="preserve"> janvier 2014, la Commission rend compte au Parlement européen et au Conseil sur la mise en œu</w:t>
      </w:r>
      <w:r w:rsidRPr="005E3A8B">
        <w:rPr>
          <w:rFonts w:ascii="Times New Roman" w:hAnsi="Times New Roman"/>
          <w:noProof/>
          <w:sz w:val="24"/>
          <w:lang w:val="fr-FR"/>
        </w:rPr>
        <w:t>vre du deuxième alinéa dudit article.</w:t>
      </w:r>
    </w:p>
    <w:p w:rsidR="00E91048" w:rsidRPr="005E3A8B" w:rsidRDefault="005E3A8B">
      <w:pPr>
        <w:spacing w:after="0" w:line="240" w:lineRule="auto"/>
        <w:rPr>
          <w:rFonts w:ascii="Times New Roman" w:eastAsia="Times New Roman" w:hAnsi="Times New Roman" w:cs="Times New Roman"/>
          <w:b/>
          <w:noProof/>
          <w:sz w:val="24"/>
          <w:szCs w:val="20"/>
          <w:lang w:val="fr-FR"/>
        </w:rPr>
      </w:pPr>
      <w:r w:rsidRPr="005E3A8B">
        <w:rPr>
          <w:noProof/>
          <w:lang w:val="fr-FR"/>
        </w:rPr>
        <w:br w:type="page"/>
      </w:r>
      <w:r w:rsidRPr="005E3A8B">
        <w:rPr>
          <w:rFonts w:ascii="Times New Roman" w:hAnsi="Times New Roman"/>
          <w:b/>
          <w:noProof/>
          <w:sz w:val="24"/>
          <w:lang w:val="fr-FR"/>
        </w:rPr>
        <w:t xml:space="preserve">ANNEXE 2: Taux de référence pour les États membres de l’UE-15  </w:t>
      </w:r>
      <w:r>
        <w:rPr>
          <w:rFonts w:ascii="Times New Roman" w:hAnsi="Times New Roman"/>
          <w:b/>
          <w:noProof/>
          <w:sz w:val="24"/>
          <w:vertAlign w:val="superscript"/>
        </w:rPr>
        <w:footnoteReference w:id="19"/>
      </w:r>
    </w:p>
    <w:p w:rsidR="00E91048" w:rsidRPr="005E3A8B" w:rsidRDefault="005E3A8B">
      <w:pPr>
        <w:spacing w:after="240" w:line="240" w:lineRule="auto"/>
        <w:jc w:val="right"/>
        <w:rPr>
          <w:rFonts w:ascii="Times New Roman" w:eastAsia="Times New Roman" w:hAnsi="Times New Roman" w:cs="Times New Roman"/>
          <w:b/>
          <w:noProof/>
          <w:sz w:val="24"/>
          <w:szCs w:val="20"/>
          <w:lang w:val="fr-FR"/>
        </w:rPr>
      </w:pPr>
      <w:r w:rsidRPr="005E3A8B">
        <w:rPr>
          <w:rFonts w:ascii="Times New Roman" w:hAnsi="Times New Roman"/>
          <w:b/>
          <w:noProof/>
          <w:sz w:val="24"/>
          <w:lang w:val="fr-FR"/>
        </w:rPr>
        <w:t>Annexe 1</w:t>
      </w:r>
    </w:p>
    <w:p w:rsidR="00E91048" w:rsidRPr="005E3A8B" w:rsidRDefault="005E3A8B">
      <w:pPr>
        <w:keepNext/>
        <w:spacing w:before="240" w:after="240" w:line="240" w:lineRule="auto"/>
        <w:jc w:val="center"/>
        <w:outlineLvl w:val="0"/>
        <w:rPr>
          <w:rFonts w:ascii="Times New Roman" w:eastAsia="Times New Roman" w:hAnsi="Times New Roman" w:cs="Times New Roman"/>
          <w:b/>
          <w:smallCaps/>
          <w:noProof/>
          <w:sz w:val="24"/>
          <w:szCs w:val="20"/>
          <w:lang w:val="fr-FR"/>
        </w:rPr>
      </w:pPr>
      <w:r w:rsidRPr="005E3A8B">
        <w:rPr>
          <w:rFonts w:ascii="Times New Roman" w:hAnsi="Times New Roman"/>
          <w:b/>
          <w:smallCaps/>
          <w:noProof/>
          <w:sz w:val="24"/>
          <w:lang w:val="fr-FR"/>
        </w:rPr>
        <w:t>Équilibre géographique lors des précédents élargissements</w:t>
      </w:r>
    </w:p>
    <w:p w:rsidR="00E91048" w:rsidRDefault="005E3A8B">
      <w:pPr>
        <w:spacing w:after="240" w:line="240" w:lineRule="auto"/>
        <w:ind w:left="482"/>
        <w:jc w:val="center"/>
        <w:rPr>
          <w:rFonts w:ascii="Times New Roman" w:eastAsia="Times New Roman" w:hAnsi="Times New Roman" w:cs="Times New Roman"/>
          <w:noProof/>
          <w:sz w:val="24"/>
          <w:szCs w:val="20"/>
        </w:rPr>
      </w:pPr>
      <w:r>
        <w:rPr>
          <w:rFonts w:ascii="Times New Roman" w:hAnsi="Times New Roman"/>
          <w:noProof/>
          <w:sz w:val="24"/>
        </w:rPr>
        <w:t>Chiffres de l’annexe 1</w:t>
      </w:r>
      <w:r>
        <w:rPr>
          <w:rFonts w:ascii="Times New Roman" w:hAnsi="Times New Roman"/>
          <w:i/>
          <w:noProof/>
          <w:sz w:val="24"/>
        </w:rPr>
        <w:t>bis</w:t>
      </w:r>
    </w:p>
    <w:p w:rsidR="00E91048" w:rsidRDefault="00E91048">
      <w:pPr>
        <w:spacing w:after="240" w:line="240" w:lineRule="auto"/>
        <w:ind w:left="482"/>
        <w:jc w:val="both"/>
        <w:rPr>
          <w:rFonts w:ascii="Times New Roman" w:eastAsia="Times New Roman" w:hAnsi="Times New Roman" w:cs="Times New Roman"/>
          <w:noProof/>
          <w:sz w:val="24"/>
          <w:szCs w:val="20"/>
        </w:rPr>
      </w:pPr>
    </w:p>
    <w:p w:rsidR="00E91048" w:rsidRPr="005E3A8B" w:rsidRDefault="005E3A8B">
      <w:pPr>
        <w:numPr>
          <w:ilvl w:val="0"/>
          <w:numId w:val="24"/>
        </w:numPr>
        <w:tabs>
          <w:tab w:val="num" w:pos="1134"/>
        </w:tabs>
        <w:spacing w:before="120" w:after="120" w:line="240" w:lineRule="auto"/>
        <w:ind w:left="1134"/>
        <w:jc w:val="both"/>
        <w:rPr>
          <w:rFonts w:ascii="Times New Roman" w:eastAsia="Times New Roman" w:hAnsi="Times New Roman" w:cs="Times New Roman"/>
          <w:noProof/>
          <w:sz w:val="24"/>
          <w:szCs w:val="20"/>
          <w:lang w:val="fr-FR"/>
        </w:rPr>
      </w:pPr>
      <w:r w:rsidRPr="005E3A8B">
        <w:rPr>
          <w:rFonts w:ascii="Times New Roman" w:hAnsi="Times New Roman"/>
          <w:b/>
          <w:noProof/>
          <w:sz w:val="24"/>
          <w:lang w:val="fr-FR"/>
        </w:rPr>
        <w:t xml:space="preserve">Point de départ (1958): l’équilibre géographique est basé </w:t>
      </w:r>
      <w:r w:rsidRPr="005E3A8B">
        <w:rPr>
          <w:rFonts w:ascii="Times New Roman" w:hAnsi="Times New Roman"/>
          <w:b/>
          <w:noProof/>
          <w:sz w:val="24"/>
          <w:lang w:val="fr-FR"/>
        </w:rPr>
        <w:t>sur les chiffres négociés</w:t>
      </w:r>
      <w:r w:rsidRPr="005E3A8B">
        <w:rPr>
          <w:noProof/>
          <w:lang w:val="fr-FR"/>
        </w:rPr>
        <w:tab/>
      </w:r>
      <w:r w:rsidRPr="005E3A8B">
        <w:rPr>
          <w:rFonts w:ascii="Times New Roman" w:eastAsia="Times New Roman" w:hAnsi="Times New Roman" w:cs="Times New Roman"/>
          <w:noProof/>
          <w:sz w:val="24"/>
          <w:szCs w:val="20"/>
          <w:lang w:val="fr-FR"/>
        </w:rPr>
        <w:br/>
      </w:r>
      <w:r w:rsidRPr="005E3A8B">
        <w:rPr>
          <w:rFonts w:ascii="Times New Roman" w:hAnsi="Times New Roman"/>
          <w:noProof/>
          <w:sz w:val="24"/>
          <w:lang w:val="fr-FR"/>
        </w:rPr>
        <w:t>Avec six États membres, le principe directeur était l’égalité entre les principaux États membres et l’ensemble des petits États membres. Les objectifs théoriques fixés étaient de 25 % pour la France, l’Allemagne, l’Italie et le B</w:t>
      </w:r>
      <w:r w:rsidRPr="005E3A8B">
        <w:rPr>
          <w:rFonts w:ascii="Times New Roman" w:hAnsi="Times New Roman"/>
          <w:noProof/>
          <w:sz w:val="24"/>
          <w:lang w:val="fr-FR"/>
        </w:rPr>
        <w:t xml:space="preserve">enelux. Des valeurs de référence non officielles ont été appliquées de manière souple, et limitées aux grades A les plus élevés. </w:t>
      </w:r>
    </w:p>
    <w:p w:rsidR="00E91048" w:rsidRPr="005E3A8B" w:rsidRDefault="005E3A8B">
      <w:pPr>
        <w:numPr>
          <w:ilvl w:val="0"/>
          <w:numId w:val="24"/>
        </w:numPr>
        <w:tabs>
          <w:tab w:val="num" w:pos="1134"/>
        </w:tabs>
        <w:spacing w:before="120" w:after="120" w:line="240" w:lineRule="auto"/>
        <w:ind w:left="1134"/>
        <w:jc w:val="both"/>
        <w:rPr>
          <w:rFonts w:ascii="Times New Roman" w:eastAsia="Times New Roman" w:hAnsi="Times New Roman" w:cs="Times New Roman"/>
          <w:noProof/>
          <w:sz w:val="24"/>
          <w:szCs w:val="20"/>
          <w:lang w:val="fr-FR"/>
        </w:rPr>
      </w:pPr>
      <w:r w:rsidRPr="005E3A8B">
        <w:rPr>
          <w:rFonts w:ascii="Times New Roman" w:hAnsi="Times New Roman"/>
          <w:b/>
          <w:noProof/>
          <w:sz w:val="24"/>
          <w:lang w:val="fr-FR"/>
        </w:rPr>
        <w:t>Premier élargissement (1973): l’équilibre géographique reste basé sur des chiffres négociés</w:t>
      </w:r>
      <w:r w:rsidRPr="005E3A8B">
        <w:rPr>
          <w:noProof/>
          <w:lang w:val="fr-FR"/>
        </w:rPr>
        <w:tab/>
      </w:r>
      <w:r w:rsidRPr="005E3A8B">
        <w:rPr>
          <w:rFonts w:ascii="Times New Roman" w:eastAsia="Times New Roman" w:hAnsi="Times New Roman" w:cs="Times New Roman"/>
          <w:noProof/>
          <w:sz w:val="24"/>
          <w:szCs w:val="20"/>
          <w:lang w:val="fr-FR"/>
        </w:rPr>
        <w:br/>
      </w:r>
      <w:r w:rsidRPr="005E3A8B">
        <w:rPr>
          <w:rFonts w:ascii="Times New Roman" w:hAnsi="Times New Roman"/>
          <w:noProof/>
          <w:sz w:val="24"/>
          <w:lang w:val="fr-FR"/>
        </w:rPr>
        <w:t>Pour le processus d’élargissement</w:t>
      </w:r>
      <w:r w:rsidRPr="005E3A8B">
        <w:rPr>
          <w:rFonts w:ascii="Times New Roman" w:hAnsi="Times New Roman"/>
          <w:noProof/>
          <w:sz w:val="24"/>
          <w:lang w:val="fr-FR"/>
        </w:rPr>
        <w:t xml:space="preserve"> de 1973, il a été considéré que la part du Royaume-Uni devait être la même que celle des trois plus grands États membres (18 % après réajustement), tandis que le Danemark, l’Irlande et la Norvège devaient avoir ensemble une part égale à 10 %. La décision </w:t>
      </w:r>
      <w:r w:rsidRPr="005E3A8B">
        <w:rPr>
          <w:rFonts w:ascii="Times New Roman" w:hAnsi="Times New Roman"/>
          <w:noProof/>
          <w:sz w:val="24"/>
          <w:lang w:val="fr-FR"/>
        </w:rPr>
        <w:t>de la Norvège de ne pas adhérer n’a donné lieu à aucun réajustement spécifique bien qu’il ait été estimé que la part combinée du Danemark et de l’Irlande devait se situer autour de 7 à 8 %.</w:t>
      </w:r>
    </w:p>
    <w:p w:rsidR="00E91048" w:rsidRPr="005E3A8B" w:rsidRDefault="005E3A8B">
      <w:pPr>
        <w:numPr>
          <w:ilvl w:val="0"/>
          <w:numId w:val="24"/>
        </w:numPr>
        <w:tabs>
          <w:tab w:val="num" w:pos="1134"/>
        </w:tabs>
        <w:spacing w:before="120" w:after="120" w:line="240" w:lineRule="auto"/>
        <w:ind w:left="1134"/>
        <w:jc w:val="both"/>
        <w:rPr>
          <w:rFonts w:ascii="Times New Roman" w:eastAsia="Times New Roman" w:hAnsi="Times New Roman" w:cs="Times New Roman"/>
          <w:noProof/>
          <w:sz w:val="24"/>
          <w:szCs w:val="20"/>
          <w:lang w:val="fr-FR"/>
        </w:rPr>
      </w:pPr>
      <w:r w:rsidRPr="005E3A8B">
        <w:rPr>
          <w:rFonts w:ascii="Times New Roman" w:hAnsi="Times New Roman"/>
          <w:b/>
          <w:noProof/>
          <w:sz w:val="24"/>
          <w:lang w:val="fr-FR"/>
        </w:rPr>
        <w:t>Deuxième élargissement (1981): l’équilibre géographique est basé s</w:t>
      </w:r>
      <w:r w:rsidRPr="005E3A8B">
        <w:rPr>
          <w:rFonts w:ascii="Times New Roman" w:hAnsi="Times New Roman"/>
          <w:b/>
          <w:noProof/>
          <w:sz w:val="24"/>
          <w:lang w:val="fr-FR"/>
        </w:rPr>
        <w:t>ur une combinaison de chiffres négociés et de critères objectifs (population et chiffres du PIB)</w:t>
      </w:r>
      <w:r w:rsidRPr="005E3A8B">
        <w:rPr>
          <w:noProof/>
          <w:lang w:val="fr-FR"/>
        </w:rPr>
        <w:tab/>
      </w:r>
      <w:r w:rsidRPr="005E3A8B">
        <w:rPr>
          <w:rFonts w:ascii="Times New Roman" w:eastAsia="Times New Roman" w:hAnsi="Times New Roman" w:cs="Times New Roman"/>
          <w:noProof/>
          <w:sz w:val="24"/>
          <w:szCs w:val="20"/>
          <w:lang w:val="fr-FR"/>
        </w:rPr>
        <w:br/>
      </w:r>
      <w:r w:rsidRPr="005E3A8B">
        <w:rPr>
          <w:rFonts w:ascii="Times New Roman" w:hAnsi="Times New Roman"/>
          <w:noProof/>
          <w:sz w:val="24"/>
          <w:lang w:val="fr-FR"/>
        </w:rPr>
        <w:t>Lors de l’adhésion de la Grèce, le principe d’une représentation égale des plus grands États membres et d’une surreprésentation des plus petits États a été ma</w:t>
      </w:r>
      <w:r w:rsidRPr="005E3A8B">
        <w:rPr>
          <w:rFonts w:ascii="Times New Roman" w:hAnsi="Times New Roman"/>
          <w:noProof/>
          <w:sz w:val="24"/>
          <w:lang w:val="fr-FR"/>
        </w:rPr>
        <w:t>intenu. Néanmoins, même si le document «fresco» [COM(78)190], suggérait que la Grèce devait plutôt occuper la même position que la Belgique et les Pays-Bas, la part de la Grèce a finalement été fixée à 4,5 %, sous le chiffre de 8,1% alloué à la Belgique et</w:t>
      </w:r>
      <w:r w:rsidRPr="005E3A8B">
        <w:rPr>
          <w:rFonts w:ascii="Times New Roman" w:hAnsi="Times New Roman"/>
          <w:noProof/>
          <w:sz w:val="24"/>
          <w:lang w:val="fr-FR"/>
        </w:rPr>
        <w:t xml:space="preserve"> aux Pays-Bas. Pour la première fois les chiffres de la population et du PIB ont été fournis pour illustrer cette approche.</w:t>
      </w:r>
    </w:p>
    <w:p w:rsidR="00E91048" w:rsidRPr="005E3A8B" w:rsidRDefault="005E3A8B">
      <w:pPr>
        <w:numPr>
          <w:ilvl w:val="0"/>
          <w:numId w:val="24"/>
        </w:numPr>
        <w:tabs>
          <w:tab w:val="num" w:pos="1134"/>
        </w:tabs>
        <w:spacing w:before="120" w:after="120" w:line="240" w:lineRule="auto"/>
        <w:ind w:left="1134"/>
        <w:jc w:val="both"/>
        <w:rPr>
          <w:rFonts w:ascii="Times New Roman" w:eastAsia="Times New Roman" w:hAnsi="Times New Roman" w:cs="Times New Roman"/>
          <w:noProof/>
          <w:sz w:val="24"/>
          <w:szCs w:val="20"/>
          <w:lang w:val="fr-FR"/>
        </w:rPr>
      </w:pPr>
      <w:r w:rsidRPr="005E3A8B">
        <w:rPr>
          <w:rFonts w:ascii="Times New Roman" w:hAnsi="Times New Roman"/>
          <w:b/>
          <w:noProof/>
          <w:sz w:val="24"/>
          <w:lang w:val="fr-FR"/>
        </w:rPr>
        <w:t>Troisième élargissement (1986): l’équilibre géographique reste basé sur une combinaison de chiffres négociés et de critères objectif</w:t>
      </w:r>
      <w:r w:rsidRPr="005E3A8B">
        <w:rPr>
          <w:rFonts w:ascii="Times New Roman" w:hAnsi="Times New Roman"/>
          <w:b/>
          <w:noProof/>
          <w:sz w:val="24"/>
          <w:lang w:val="fr-FR"/>
        </w:rPr>
        <w:t>s (chiffres de la population et du PIB).</w:t>
      </w:r>
    </w:p>
    <w:p w:rsidR="00E91048" w:rsidRPr="005E3A8B" w:rsidRDefault="005E3A8B">
      <w:pPr>
        <w:tabs>
          <w:tab w:val="num" w:pos="1134"/>
        </w:tabs>
        <w:spacing w:before="120" w:after="120" w:line="240" w:lineRule="auto"/>
        <w:ind w:left="1134"/>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Au moment de l’adhésion des pays ibériques en 1986, les valeurs de référence non officielles, qui n’existaient que pour les grades A1 à A3, étaient atteintes. Sans qu'il soit fait explicitement référence à certains </w:t>
      </w:r>
      <w:r w:rsidRPr="005E3A8B">
        <w:rPr>
          <w:rFonts w:ascii="Times New Roman" w:hAnsi="Times New Roman"/>
          <w:noProof/>
          <w:sz w:val="24"/>
          <w:lang w:val="fr-FR"/>
        </w:rPr>
        <w:t xml:space="preserve">critères, la part de l’Espagne a été fixée à la valeur moyenne entre celle des Pays-Bas et celle d’un grand pays, tandis que celle du Portugal a été fixée au même niveau que celle de la Grèce. </w:t>
      </w:r>
    </w:p>
    <w:p w:rsidR="00E91048" w:rsidRPr="005E3A8B" w:rsidRDefault="005E3A8B">
      <w:pPr>
        <w:numPr>
          <w:ilvl w:val="0"/>
          <w:numId w:val="24"/>
        </w:numPr>
        <w:tabs>
          <w:tab w:val="num" w:pos="1134"/>
        </w:tabs>
        <w:spacing w:before="120" w:after="120" w:line="240" w:lineRule="auto"/>
        <w:ind w:left="1134"/>
        <w:jc w:val="both"/>
        <w:rPr>
          <w:rFonts w:ascii="Times New Roman" w:eastAsia="Times New Roman" w:hAnsi="Times New Roman" w:cs="Times New Roman"/>
          <w:noProof/>
          <w:sz w:val="24"/>
          <w:szCs w:val="20"/>
          <w:lang w:val="fr-FR"/>
        </w:rPr>
      </w:pPr>
      <w:r w:rsidRPr="005E3A8B">
        <w:rPr>
          <w:rFonts w:ascii="Times New Roman" w:hAnsi="Times New Roman"/>
          <w:b/>
          <w:noProof/>
          <w:sz w:val="24"/>
          <w:lang w:val="fr-FR"/>
        </w:rPr>
        <w:t>Quatrième élargissement (1995): l’équilibre géographique reste</w:t>
      </w:r>
      <w:r w:rsidRPr="005E3A8B">
        <w:rPr>
          <w:rFonts w:ascii="Times New Roman" w:hAnsi="Times New Roman"/>
          <w:b/>
          <w:noProof/>
          <w:sz w:val="24"/>
          <w:lang w:val="fr-FR"/>
        </w:rPr>
        <w:t xml:space="preserve"> basé sur une combinaison de chiffres négociés et de critères objectifs (chiffres de la population et du PIB). </w:t>
      </w:r>
    </w:p>
    <w:p w:rsidR="00E91048" w:rsidRDefault="005E3A8B">
      <w:pPr>
        <w:tabs>
          <w:tab w:val="num" w:pos="1134"/>
        </w:tabs>
        <w:spacing w:before="120" w:after="120" w:line="240" w:lineRule="auto"/>
        <w:ind w:left="1134"/>
        <w:jc w:val="both"/>
        <w:rPr>
          <w:rFonts w:ascii="Times New Roman" w:eastAsia="Times New Roman" w:hAnsi="Times New Roman" w:cs="Times New Roman"/>
          <w:noProof/>
          <w:sz w:val="24"/>
          <w:szCs w:val="20"/>
        </w:rPr>
      </w:pPr>
      <w:r w:rsidRPr="005E3A8B">
        <w:rPr>
          <w:rFonts w:ascii="Times New Roman" w:hAnsi="Times New Roman"/>
          <w:noProof/>
          <w:sz w:val="24"/>
          <w:lang w:val="fr-FR"/>
        </w:rPr>
        <w:t>La communication SEC 94/844 de la Commission du 17 mai 1994 a fixé les valeurs de référence applicables aux trois nouveaux États membres et a so</w:t>
      </w:r>
      <w:r w:rsidRPr="005E3A8B">
        <w:rPr>
          <w:rFonts w:ascii="Times New Roman" w:hAnsi="Times New Roman"/>
          <w:noProof/>
          <w:sz w:val="24"/>
          <w:lang w:val="fr-FR"/>
        </w:rPr>
        <w:t xml:space="preserve">uligné la méthodologie adoptée.   L’équilibre géographique a été adapté sur la base de comparaisons entre les situations relatives des nouveaux États membres concernant leur population et les données économiques et sociales au sein de l’Union élargie. Les </w:t>
      </w:r>
      <w:r w:rsidRPr="005E3A8B">
        <w:rPr>
          <w:rFonts w:ascii="Times New Roman" w:hAnsi="Times New Roman"/>
          <w:noProof/>
          <w:sz w:val="24"/>
          <w:lang w:val="fr-FR"/>
        </w:rPr>
        <w:t>caractéristiques de la Finlande étaient comparables à celles du Danemark et l’objectif fixé visait à recruter un nombre de ressortissants finlandais égal au nombre de ressortissants danois en service. Les caractéristiques de l’Autriche et de la Suède étant</w:t>
      </w:r>
      <w:r w:rsidRPr="005E3A8B">
        <w:rPr>
          <w:rFonts w:ascii="Times New Roman" w:hAnsi="Times New Roman"/>
          <w:noProof/>
          <w:sz w:val="24"/>
          <w:lang w:val="fr-FR"/>
        </w:rPr>
        <w:t xml:space="preserve"> une fois et demie plus importantes que celles du Danemark, les objectifs de recrutement ont été fixés proportionnellement. </w:t>
      </w:r>
      <w:r>
        <w:rPr>
          <w:rFonts w:ascii="Times New Roman" w:hAnsi="Times New Roman"/>
          <w:noProof/>
          <w:sz w:val="24"/>
        </w:rPr>
        <w:t>L’annexe 1</w:t>
      </w:r>
      <w:r>
        <w:rPr>
          <w:rFonts w:ascii="Times New Roman" w:hAnsi="Times New Roman"/>
          <w:i/>
          <w:noProof/>
          <w:sz w:val="24"/>
        </w:rPr>
        <w:t>ter</w:t>
      </w:r>
      <w:r>
        <w:rPr>
          <w:rFonts w:ascii="Times New Roman" w:hAnsi="Times New Roman"/>
          <w:noProof/>
          <w:sz w:val="24"/>
        </w:rPr>
        <w:t xml:space="preserve"> illustre cette approche</w:t>
      </w:r>
    </w:p>
    <w:p w:rsidR="00E91048" w:rsidRPr="005E3A8B" w:rsidRDefault="005E3A8B">
      <w:pPr>
        <w:numPr>
          <w:ilvl w:val="0"/>
          <w:numId w:val="24"/>
        </w:numPr>
        <w:tabs>
          <w:tab w:val="num" w:pos="1134"/>
        </w:tabs>
        <w:spacing w:before="120" w:after="120" w:line="240" w:lineRule="auto"/>
        <w:ind w:left="1134"/>
        <w:jc w:val="both"/>
        <w:rPr>
          <w:rFonts w:ascii="Times New Roman" w:eastAsia="Times New Roman" w:hAnsi="Times New Roman" w:cs="Times New Roman"/>
          <w:noProof/>
          <w:sz w:val="24"/>
          <w:szCs w:val="20"/>
          <w:lang w:val="fr-FR"/>
        </w:rPr>
      </w:pPr>
      <w:r w:rsidRPr="005E3A8B">
        <w:rPr>
          <w:rFonts w:ascii="Times New Roman" w:hAnsi="Times New Roman"/>
          <w:b/>
          <w:noProof/>
          <w:sz w:val="24"/>
          <w:lang w:val="fr-FR"/>
        </w:rPr>
        <w:t>Résumé: les trois grands principes appliqués jusqu’à présent:</w:t>
      </w:r>
      <w:r w:rsidRPr="005E3A8B">
        <w:rPr>
          <w:noProof/>
          <w:lang w:val="fr-FR"/>
        </w:rPr>
        <w:tab/>
      </w:r>
      <w:r w:rsidRPr="005E3A8B">
        <w:rPr>
          <w:rFonts w:ascii="Times New Roman" w:eastAsia="Times New Roman" w:hAnsi="Times New Roman" w:cs="Times New Roman"/>
          <w:noProof/>
          <w:sz w:val="24"/>
          <w:szCs w:val="20"/>
          <w:lang w:val="fr-FR"/>
        </w:rPr>
        <w:br/>
      </w:r>
      <w:r w:rsidRPr="005E3A8B">
        <w:rPr>
          <w:rFonts w:ascii="Times New Roman" w:hAnsi="Times New Roman"/>
          <w:noProof/>
          <w:sz w:val="24"/>
          <w:lang w:val="fr-FR"/>
        </w:rPr>
        <w:t>il ressort de ce qui précède qu</w:t>
      </w:r>
      <w:r w:rsidRPr="005E3A8B">
        <w:rPr>
          <w:rFonts w:ascii="Times New Roman" w:hAnsi="Times New Roman"/>
          <w:noProof/>
          <w:sz w:val="24"/>
          <w:lang w:val="fr-FR"/>
        </w:rPr>
        <w:t xml:space="preserve">e l'interprétation que donne la Commission à l’équilibre géographique combine trois critères: </w:t>
      </w:r>
    </w:p>
    <w:p w:rsidR="00E91048" w:rsidRPr="005E3A8B" w:rsidRDefault="005E3A8B">
      <w:pPr>
        <w:numPr>
          <w:ilvl w:val="0"/>
          <w:numId w:val="22"/>
        </w:numPr>
        <w:spacing w:before="120" w:after="120" w:line="240" w:lineRule="auto"/>
        <w:ind w:left="1985" w:hanging="567"/>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l’équilibre géographique a très tôt constitué une préoccupation, notamment pour les grades A les plus élevés;</w:t>
      </w:r>
    </w:p>
    <w:p w:rsidR="00E91048" w:rsidRPr="005E3A8B" w:rsidRDefault="005E3A8B">
      <w:pPr>
        <w:numPr>
          <w:ilvl w:val="0"/>
          <w:numId w:val="22"/>
        </w:numPr>
        <w:spacing w:before="120" w:after="120" w:line="240" w:lineRule="auto"/>
        <w:ind w:left="1985" w:hanging="567"/>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l’équilibre géographique a toujours été fondé sur u</w:t>
      </w:r>
      <w:r w:rsidRPr="005E3A8B">
        <w:rPr>
          <w:rFonts w:ascii="Times New Roman" w:hAnsi="Times New Roman"/>
          <w:noProof/>
          <w:sz w:val="24"/>
          <w:lang w:val="fr-FR"/>
        </w:rPr>
        <w:t xml:space="preserve">ne double règle de: </w:t>
      </w:r>
      <w:r w:rsidRPr="005E3A8B">
        <w:rPr>
          <w:noProof/>
          <w:lang w:val="fr-FR"/>
        </w:rPr>
        <w:tab/>
      </w:r>
      <w:r w:rsidRPr="005E3A8B">
        <w:rPr>
          <w:rFonts w:ascii="Times New Roman" w:eastAsia="Times New Roman" w:hAnsi="Times New Roman" w:cs="Times New Roman"/>
          <w:noProof/>
          <w:sz w:val="24"/>
          <w:szCs w:val="20"/>
          <w:lang w:val="fr-FR"/>
        </w:rPr>
        <w:br/>
      </w:r>
      <w:r w:rsidRPr="005E3A8B">
        <w:rPr>
          <w:rFonts w:ascii="Times New Roman" w:hAnsi="Times New Roman"/>
          <w:noProof/>
          <w:sz w:val="24"/>
          <w:lang w:val="fr-FR"/>
        </w:rPr>
        <w:t>a) représentation égale des quatre (à l’origine trois) plus grands États membres;</w:t>
      </w:r>
      <w:r w:rsidRPr="005E3A8B">
        <w:rPr>
          <w:rFonts w:ascii="Times New Roman" w:eastAsia="Times New Roman" w:hAnsi="Times New Roman" w:cs="Times New Roman"/>
          <w:noProof/>
          <w:sz w:val="24"/>
          <w:szCs w:val="20"/>
          <w:lang w:val="fr-FR"/>
        </w:rPr>
        <w:br/>
      </w:r>
      <w:r w:rsidRPr="005E3A8B">
        <w:rPr>
          <w:rFonts w:ascii="Times New Roman" w:hAnsi="Times New Roman"/>
          <w:noProof/>
          <w:sz w:val="24"/>
          <w:lang w:val="fr-FR"/>
        </w:rPr>
        <w:t>b) surreprésentation des plus petits États membres afin d’assurer une représentation minimum.</w:t>
      </w:r>
    </w:p>
    <w:p w:rsidR="00E91048" w:rsidRPr="005E3A8B" w:rsidRDefault="005E3A8B">
      <w:pPr>
        <w:numPr>
          <w:ilvl w:val="0"/>
          <w:numId w:val="22"/>
        </w:numPr>
        <w:spacing w:before="120" w:after="120" w:line="240" w:lineRule="auto"/>
        <w:ind w:left="1985" w:hanging="567"/>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L’élargissement n’a jamais conduit à une modification du poids relatif des anciens États membres. Par conséquent, </w:t>
      </w:r>
      <w:r w:rsidRPr="005E3A8B">
        <w:rPr>
          <w:noProof/>
          <w:lang w:val="fr-FR"/>
        </w:rPr>
        <w:tab/>
      </w:r>
      <w:r w:rsidRPr="005E3A8B">
        <w:rPr>
          <w:rFonts w:ascii="Times New Roman" w:eastAsia="Times New Roman" w:hAnsi="Times New Roman" w:cs="Times New Roman"/>
          <w:noProof/>
          <w:sz w:val="24"/>
          <w:szCs w:val="20"/>
          <w:lang w:val="fr-FR"/>
        </w:rPr>
        <w:br/>
      </w:r>
      <w:r w:rsidRPr="005E3A8B">
        <w:rPr>
          <w:rFonts w:ascii="Times New Roman" w:hAnsi="Times New Roman"/>
          <w:noProof/>
          <w:sz w:val="24"/>
          <w:lang w:val="fr-FR"/>
        </w:rPr>
        <w:t>a) en ce qui concerne les anciens États membres, tous les poids relatifs sont demeurés identiques après les différents élargissements (par e</w:t>
      </w:r>
      <w:r w:rsidRPr="005E3A8B">
        <w:rPr>
          <w:rFonts w:ascii="Times New Roman" w:hAnsi="Times New Roman"/>
          <w:noProof/>
          <w:sz w:val="24"/>
          <w:lang w:val="fr-FR"/>
        </w:rPr>
        <w:t>xemple, le poids de la Belgique est resté le même que celui des Pays-Bas et représentait 45 % de celui de l’Allemagne après les élargissements de 1981, de 1986 et de 1995);</w:t>
      </w:r>
      <w:r w:rsidRPr="005E3A8B">
        <w:rPr>
          <w:noProof/>
          <w:lang w:val="fr-FR"/>
        </w:rPr>
        <w:tab/>
      </w:r>
      <w:r w:rsidRPr="005E3A8B">
        <w:rPr>
          <w:rFonts w:ascii="Times New Roman" w:eastAsia="Times New Roman" w:hAnsi="Times New Roman" w:cs="Times New Roman"/>
          <w:noProof/>
          <w:sz w:val="24"/>
          <w:szCs w:val="20"/>
          <w:lang w:val="fr-FR"/>
        </w:rPr>
        <w:br/>
      </w:r>
      <w:r w:rsidRPr="005E3A8B">
        <w:rPr>
          <w:rFonts w:ascii="Times New Roman" w:hAnsi="Times New Roman"/>
          <w:noProof/>
          <w:sz w:val="24"/>
          <w:lang w:val="fr-FR"/>
        </w:rPr>
        <w:t>b) les nouveaux États membres se sont vu attribuer un poids par référence aux anci</w:t>
      </w:r>
      <w:r w:rsidRPr="005E3A8B">
        <w:rPr>
          <w:rFonts w:ascii="Times New Roman" w:hAnsi="Times New Roman"/>
          <w:noProof/>
          <w:sz w:val="24"/>
          <w:lang w:val="fr-FR"/>
        </w:rPr>
        <w:t>ens États membres avec lesquels ils présentaient le plus de similitudes (par exemple, le Portugal a reçu le même poids que la Grèce; le poids de l’Espagne a été fixé entre celui des Pays-Bas et de la France, et ainsi de suite).</w:t>
      </w:r>
    </w:p>
    <w:p w:rsidR="00E91048" w:rsidRPr="005E3A8B" w:rsidRDefault="00E91048">
      <w:pPr>
        <w:spacing w:after="240" w:line="240" w:lineRule="auto"/>
        <w:ind w:left="482"/>
        <w:jc w:val="both"/>
        <w:rPr>
          <w:rFonts w:ascii="Times New Roman" w:eastAsia="Times New Roman" w:hAnsi="Times New Roman" w:cs="Times New Roman"/>
          <w:noProof/>
          <w:sz w:val="24"/>
          <w:szCs w:val="20"/>
          <w:lang w:val="fr-FR"/>
        </w:rPr>
      </w:pPr>
    </w:p>
    <w:p w:rsidR="00E91048" w:rsidRPr="005E3A8B" w:rsidRDefault="00E91048">
      <w:pPr>
        <w:spacing w:after="240" w:line="240" w:lineRule="auto"/>
        <w:jc w:val="both"/>
        <w:rPr>
          <w:rFonts w:ascii="Times New Roman" w:eastAsia="Times New Roman" w:hAnsi="Times New Roman" w:cs="Times New Roman"/>
          <w:noProof/>
          <w:sz w:val="24"/>
          <w:szCs w:val="20"/>
          <w:lang w:val="fr-FR"/>
        </w:rPr>
        <w:sectPr w:rsidR="00E91048" w:rsidRPr="005E3A8B">
          <w:headerReference w:type="even" r:id="rId22"/>
          <w:headerReference w:type="default" r:id="rId23"/>
          <w:footerReference w:type="even" r:id="rId24"/>
          <w:footerReference w:type="default" r:id="rId25"/>
          <w:headerReference w:type="first" r:id="rId26"/>
          <w:footerReference w:type="first" r:id="rId27"/>
          <w:pgSz w:w="11906" w:h="16838"/>
          <w:pgMar w:top="1134" w:right="1418" w:bottom="1134" w:left="1418" w:header="720" w:footer="720" w:gutter="0"/>
          <w:cols w:space="720"/>
        </w:sectPr>
      </w:pPr>
    </w:p>
    <w:p w:rsidR="00E91048" w:rsidRDefault="005E3A8B">
      <w:pPr>
        <w:spacing w:after="0" w:line="240" w:lineRule="auto"/>
        <w:jc w:val="right"/>
        <w:outlineLvl w:val="0"/>
        <w:rPr>
          <w:rFonts w:ascii="Times New Roman" w:eastAsia="Times New Roman" w:hAnsi="Times New Roman" w:cs="Times New Roman"/>
          <w:b/>
          <w:noProof/>
          <w:sz w:val="24"/>
          <w:szCs w:val="20"/>
        </w:rPr>
      </w:pPr>
      <w:r w:rsidRPr="005E3A8B">
        <w:rPr>
          <w:rFonts w:ascii="Times New Roman" w:hAnsi="Times New Roman"/>
          <w:noProof/>
          <w:sz w:val="24"/>
          <w:lang w:val="fr-FR"/>
        </w:rPr>
        <w:t xml:space="preserve"> </w:t>
      </w:r>
      <w:r>
        <w:rPr>
          <w:rFonts w:ascii="Times New Roman" w:hAnsi="Times New Roman"/>
          <w:b/>
          <w:noProof/>
          <w:sz w:val="24"/>
        </w:rPr>
        <w:t>Annexe 1</w:t>
      </w:r>
      <w:r>
        <w:rPr>
          <w:rFonts w:ascii="Times New Roman" w:hAnsi="Times New Roman"/>
          <w:b/>
          <w:i/>
          <w:noProof/>
          <w:sz w:val="24"/>
        </w:rPr>
        <w:t>bis</w:t>
      </w:r>
      <w:r>
        <w:rPr>
          <w:rFonts w:ascii="Times New Roman" w:hAnsi="Times New Roman"/>
          <w:b/>
          <w:noProof/>
          <w:sz w:val="24"/>
        </w:rPr>
        <w:t>:</w:t>
      </w:r>
    </w:p>
    <w:p w:rsidR="00E91048" w:rsidRDefault="00E91048">
      <w:pPr>
        <w:spacing w:after="240" w:line="240" w:lineRule="auto"/>
        <w:jc w:val="right"/>
        <w:outlineLvl w:val="0"/>
        <w:rPr>
          <w:rFonts w:ascii="Times New Roman" w:eastAsia="Times New Roman" w:hAnsi="Times New Roman" w:cs="Times New Roman"/>
          <w:noProof/>
          <w:sz w:val="24"/>
          <w:szCs w:val="20"/>
        </w:rPr>
      </w:pPr>
    </w:p>
    <w:tbl>
      <w:tblPr>
        <w:tblW w:w="0" w:type="auto"/>
        <w:tblInd w:w="2157" w:type="dxa"/>
        <w:tblLayout w:type="fixed"/>
        <w:tblCellMar>
          <w:left w:w="30" w:type="dxa"/>
          <w:right w:w="30" w:type="dxa"/>
        </w:tblCellMar>
        <w:tblLook w:val="0000" w:firstRow="0" w:lastRow="0" w:firstColumn="0" w:lastColumn="0" w:noHBand="0" w:noVBand="0"/>
      </w:tblPr>
      <w:tblGrid>
        <w:gridCol w:w="672"/>
        <w:gridCol w:w="1747"/>
        <w:gridCol w:w="1747"/>
        <w:gridCol w:w="1748"/>
        <w:gridCol w:w="1747"/>
        <w:gridCol w:w="1524"/>
        <w:gridCol w:w="1598"/>
      </w:tblGrid>
      <w:tr w:rsidR="00E91048">
        <w:trPr>
          <w:cantSplit/>
        </w:trPr>
        <w:tc>
          <w:tcPr>
            <w:tcW w:w="10783" w:type="dxa"/>
            <w:gridSpan w:val="7"/>
            <w:tcBorders>
              <w:top w:val="single" w:sz="12" w:space="0" w:color="auto"/>
              <w:left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b/>
                <w:noProof/>
                <w:snapToGrid w:val="0"/>
                <w:color w:val="000000"/>
                <w:sz w:val="24"/>
                <w:szCs w:val="20"/>
              </w:rPr>
            </w:pPr>
            <w:r>
              <w:rPr>
                <w:rFonts w:ascii="Times New Roman" w:hAnsi="Times New Roman"/>
                <w:b/>
                <w:noProof/>
                <w:snapToGrid w:val="0"/>
                <w:color w:val="000000"/>
                <w:sz w:val="24"/>
              </w:rPr>
              <w:t>Élargissements précédents - lignes directrices</w:t>
            </w:r>
          </w:p>
        </w:tc>
      </w:tr>
      <w:tr w:rsidR="00E91048">
        <w:tc>
          <w:tcPr>
            <w:tcW w:w="672" w:type="dxa"/>
            <w:tcBorders>
              <w:top w:val="single" w:sz="12" w:space="0" w:color="auto"/>
              <w:bottom w:val="single" w:sz="12" w:space="0" w:color="auto"/>
            </w:tcBorders>
          </w:tcPr>
          <w:p w:rsidR="00E91048" w:rsidRDefault="00E91048">
            <w:pPr>
              <w:spacing w:after="0" w:line="240" w:lineRule="auto"/>
              <w:jc w:val="both"/>
              <w:rPr>
                <w:rFonts w:ascii="Times New Roman" w:eastAsia="Times New Roman" w:hAnsi="Times New Roman" w:cs="Times New Roman"/>
                <w:noProof/>
                <w:snapToGrid w:val="0"/>
                <w:color w:val="000000"/>
                <w:sz w:val="24"/>
                <w:szCs w:val="20"/>
              </w:rPr>
            </w:pPr>
          </w:p>
        </w:tc>
        <w:tc>
          <w:tcPr>
            <w:tcW w:w="1747" w:type="dxa"/>
            <w:tcBorders>
              <w:top w:val="single" w:sz="12" w:space="0" w:color="auto"/>
              <w:bottom w:val="single" w:sz="12" w:space="0" w:color="auto"/>
            </w:tcBorders>
          </w:tcPr>
          <w:p w:rsidR="00E91048" w:rsidRDefault="00E91048">
            <w:pPr>
              <w:spacing w:after="0" w:line="240" w:lineRule="auto"/>
              <w:jc w:val="both"/>
              <w:rPr>
                <w:rFonts w:ascii="Times New Roman" w:eastAsia="Times New Roman" w:hAnsi="Times New Roman" w:cs="Times New Roman"/>
                <w:noProof/>
                <w:snapToGrid w:val="0"/>
                <w:color w:val="000000"/>
                <w:sz w:val="24"/>
                <w:szCs w:val="20"/>
              </w:rPr>
            </w:pPr>
          </w:p>
        </w:tc>
        <w:tc>
          <w:tcPr>
            <w:tcW w:w="1747" w:type="dxa"/>
            <w:tcBorders>
              <w:top w:val="single" w:sz="12" w:space="0" w:color="auto"/>
              <w:bottom w:val="single" w:sz="12" w:space="0" w:color="auto"/>
            </w:tcBorders>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c>
          <w:tcPr>
            <w:tcW w:w="1748" w:type="dxa"/>
            <w:tcBorders>
              <w:top w:val="single" w:sz="12" w:space="0" w:color="auto"/>
              <w:bottom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12" w:space="0" w:color="auto"/>
              <w:bottom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524" w:type="dxa"/>
            <w:tcBorders>
              <w:top w:val="single" w:sz="12" w:space="0" w:color="auto"/>
              <w:bottom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598" w:type="dxa"/>
            <w:tcBorders>
              <w:top w:val="single" w:sz="12" w:space="0" w:color="auto"/>
              <w:bottom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r>
      <w:tr w:rsidR="00E91048">
        <w:tc>
          <w:tcPr>
            <w:tcW w:w="672" w:type="dxa"/>
            <w:tcBorders>
              <w:top w:val="single" w:sz="12" w:space="0" w:color="auto"/>
              <w:left w:val="single" w:sz="12" w:space="0" w:color="auto"/>
              <w:bottom w:val="single" w:sz="12" w:space="0" w:color="auto"/>
              <w:right w:val="single" w:sz="12" w:space="0" w:color="auto"/>
            </w:tcBorders>
          </w:tcPr>
          <w:p w:rsidR="00E91048" w:rsidRDefault="00E91048">
            <w:pPr>
              <w:spacing w:after="0" w:line="240" w:lineRule="auto"/>
              <w:jc w:val="both"/>
              <w:rPr>
                <w:rFonts w:ascii="Times New Roman" w:eastAsia="Times New Roman" w:hAnsi="Times New Roman" w:cs="Times New Roman"/>
                <w:noProof/>
                <w:snapToGrid w:val="0"/>
                <w:color w:val="000000"/>
                <w:sz w:val="24"/>
                <w:szCs w:val="20"/>
              </w:rPr>
            </w:pPr>
          </w:p>
        </w:tc>
        <w:tc>
          <w:tcPr>
            <w:tcW w:w="1747" w:type="dxa"/>
            <w:tcBorders>
              <w:top w:val="single" w:sz="12" w:space="0" w:color="auto"/>
              <w:left w:val="single" w:sz="12" w:space="0" w:color="auto"/>
              <w:bottom w:val="single" w:sz="12" w:space="0" w:color="auto"/>
              <w:right w:val="single" w:sz="12" w:space="0" w:color="auto"/>
            </w:tcBorders>
          </w:tcPr>
          <w:p w:rsidR="00E91048" w:rsidRDefault="00E91048">
            <w:pPr>
              <w:spacing w:after="0" w:line="240" w:lineRule="auto"/>
              <w:jc w:val="both"/>
              <w:rPr>
                <w:rFonts w:ascii="Times New Roman" w:eastAsia="Times New Roman" w:hAnsi="Times New Roman" w:cs="Times New Roman"/>
                <w:noProof/>
                <w:snapToGrid w:val="0"/>
                <w:color w:val="000000"/>
                <w:sz w:val="24"/>
                <w:szCs w:val="20"/>
              </w:rPr>
            </w:pPr>
          </w:p>
        </w:tc>
        <w:tc>
          <w:tcPr>
            <w:tcW w:w="1747"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1958</w:t>
            </w:r>
          </w:p>
        </w:tc>
        <w:tc>
          <w:tcPr>
            <w:tcW w:w="1748"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1973</w:t>
            </w:r>
          </w:p>
        </w:tc>
        <w:tc>
          <w:tcPr>
            <w:tcW w:w="1747"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1981</w:t>
            </w:r>
          </w:p>
        </w:tc>
        <w:tc>
          <w:tcPr>
            <w:tcW w:w="1524"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1986</w:t>
            </w:r>
          </w:p>
        </w:tc>
        <w:tc>
          <w:tcPr>
            <w:tcW w:w="1598"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1995</w:t>
            </w:r>
          </w:p>
        </w:tc>
      </w:tr>
      <w:tr w:rsidR="00E91048">
        <w:tc>
          <w:tcPr>
            <w:tcW w:w="672"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w:t>
            </w:r>
          </w:p>
        </w:tc>
        <w:tc>
          <w:tcPr>
            <w:tcW w:w="1747"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w:t>
            </w:r>
          </w:p>
        </w:tc>
        <w:tc>
          <w:tcPr>
            <w:tcW w:w="1747"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w:t>
            </w:r>
          </w:p>
        </w:tc>
        <w:tc>
          <w:tcPr>
            <w:tcW w:w="1748"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w:t>
            </w:r>
          </w:p>
        </w:tc>
        <w:tc>
          <w:tcPr>
            <w:tcW w:w="1747"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(5)</w:t>
            </w:r>
          </w:p>
        </w:tc>
        <w:tc>
          <w:tcPr>
            <w:tcW w:w="1524"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(6)</w:t>
            </w:r>
          </w:p>
        </w:tc>
        <w:tc>
          <w:tcPr>
            <w:tcW w:w="1598"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(7)</w:t>
            </w:r>
          </w:p>
        </w:tc>
      </w:tr>
      <w:tr w:rsidR="00E91048">
        <w:tc>
          <w:tcPr>
            <w:tcW w:w="672" w:type="dxa"/>
            <w:tcBorders>
              <w:top w:val="single" w:sz="1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1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Benelux</w:t>
            </w:r>
          </w:p>
        </w:tc>
        <w:tc>
          <w:tcPr>
            <w:tcW w:w="1747" w:type="dxa"/>
            <w:tcBorders>
              <w:top w:val="single" w:sz="1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25,0 %</w:t>
            </w:r>
          </w:p>
        </w:tc>
        <w:tc>
          <w:tcPr>
            <w:tcW w:w="1748" w:type="dxa"/>
            <w:tcBorders>
              <w:top w:val="single" w:sz="1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18,0 %</w:t>
            </w:r>
          </w:p>
        </w:tc>
        <w:tc>
          <w:tcPr>
            <w:tcW w:w="1747" w:type="dxa"/>
            <w:tcBorders>
              <w:top w:val="single" w:sz="1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(17,7 %)</w:t>
            </w:r>
          </w:p>
        </w:tc>
        <w:tc>
          <w:tcPr>
            <w:tcW w:w="1524" w:type="dxa"/>
            <w:tcBorders>
              <w:top w:val="single" w:sz="1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(15,1 %)</w:t>
            </w:r>
          </w:p>
        </w:tc>
        <w:tc>
          <w:tcPr>
            <w:tcW w:w="1598" w:type="dxa"/>
            <w:tcBorders>
              <w:top w:val="single" w:sz="1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(13,5 %)</w:t>
            </w: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LU</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Luxembourg</w:t>
            </w:r>
          </w:p>
        </w:tc>
        <w:tc>
          <w:tcPr>
            <w:tcW w:w="1747"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1,5 %</w:t>
            </w:r>
          </w:p>
        </w:tc>
        <w:tc>
          <w:tcPr>
            <w:tcW w:w="1524"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1,3 %</w:t>
            </w:r>
          </w:p>
        </w:tc>
        <w:tc>
          <w:tcPr>
            <w:tcW w:w="15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0,9 %</w:t>
            </w: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IE</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Irlande</w:t>
            </w:r>
          </w:p>
        </w:tc>
        <w:tc>
          <w:tcPr>
            <w:tcW w:w="1747"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3,5 % - 4 %</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3,5 %</w:t>
            </w:r>
          </w:p>
        </w:tc>
        <w:tc>
          <w:tcPr>
            <w:tcW w:w="1524"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3,0 %</w:t>
            </w:r>
          </w:p>
        </w:tc>
        <w:tc>
          <w:tcPr>
            <w:tcW w:w="15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2,7 %</w:t>
            </w: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FI</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Finlande</w:t>
            </w:r>
          </w:p>
        </w:tc>
        <w:tc>
          <w:tcPr>
            <w:tcW w:w="1747"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524"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598"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2,7 %</w:t>
            </w: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DK</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 xml:space="preserve">Danemark </w:t>
            </w:r>
          </w:p>
        </w:tc>
        <w:tc>
          <w:tcPr>
            <w:tcW w:w="1747"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3,5 % - 4 %</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3,5 %</w:t>
            </w:r>
          </w:p>
        </w:tc>
        <w:tc>
          <w:tcPr>
            <w:tcW w:w="1524"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3,0 %</w:t>
            </w:r>
          </w:p>
        </w:tc>
        <w:tc>
          <w:tcPr>
            <w:tcW w:w="15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2,7 %</w:t>
            </w: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PT</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Portugal</w:t>
            </w:r>
          </w:p>
        </w:tc>
        <w:tc>
          <w:tcPr>
            <w:tcW w:w="1747"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524"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3,8 %</w:t>
            </w:r>
          </w:p>
        </w:tc>
        <w:tc>
          <w:tcPr>
            <w:tcW w:w="15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3,6 %</w:t>
            </w: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GR</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Grèce</w:t>
            </w:r>
          </w:p>
        </w:tc>
        <w:tc>
          <w:tcPr>
            <w:tcW w:w="1747"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4,5 %</w:t>
            </w:r>
          </w:p>
        </w:tc>
        <w:tc>
          <w:tcPr>
            <w:tcW w:w="1524"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3,8 %</w:t>
            </w:r>
          </w:p>
        </w:tc>
        <w:tc>
          <w:tcPr>
            <w:tcW w:w="15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3,6 %</w:t>
            </w: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AT</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Autriche</w:t>
            </w:r>
          </w:p>
        </w:tc>
        <w:tc>
          <w:tcPr>
            <w:tcW w:w="1747"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524"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598"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4,0 %</w:t>
            </w: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SE</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Suède</w:t>
            </w:r>
          </w:p>
        </w:tc>
        <w:tc>
          <w:tcPr>
            <w:tcW w:w="1747"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524"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598"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4,0 %</w:t>
            </w: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BE</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 xml:space="preserve">Belgique </w:t>
            </w:r>
          </w:p>
        </w:tc>
        <w:tc>
          <w:tcPr>
            <w:tcW w:w="1747"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8,1 %</w:t>
            </w:r>
          </w:p>
        </w:tc>
        <w:tc>
          <w:tcPr>
            <w:tcW w:w="1524"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6,9 %</w:t>
            </w:r>
          </w:p>
        </w:tc>
        <w:tc>
          <w:tcPr>
            <w:tcW w:w="15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6,3 %</w:t>
            </w: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NL</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Pays-Bas</w:t>
            </w:r>
          </w:p>
        </w:tc>
        <w:tc>
          <w:tcPr>
            <w:tcW w:w="1747"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8,1 %</w:t>
            </w:r>
          </w:p>
        </w:tc>
        <w:tc>
          <w:tcPr>
            <w:tcW w:w="1524"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6,9 %</w:t>
            </w:r>
          </w:p>
        </w:tc>
        <w:tc>
          <w:tcPr>
            <w:tcW w:w="15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6,3 %</w:t>
            </w: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ES</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Espagne</w:t>
            </w:r>
          </w:p>
        </w:tc>
        <w:tc>
          <w:tcPr>
            <w:tcW w:w="1747"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524"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11,0 %</w:t>
            </w:r>
          </w:p>
        </w:tc>
        <w:tc>
          <w:tcPr>
            <w:tcW w:w="15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9,8 %</w:t>
            </w: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IT</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Italie</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25,0 %</w:t>
            </w:r>
          </w:p>
        </w:tc>
        <w:tc>
          <w:tcPr>
            <w:tcW w:w="174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18,0 %</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17,7 %</w:t>
            </w:r>
          </w:p>
        </w:tc>
        <w:tc>
          <w:tcPr>
            <w:tcW w:w="1524"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15,1 %</w:t>
            </w:r>
          </w:p>
        </w:tc>
        <w:tc>
          <w:tcPr>
            <w:tcW w:w="15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13,4 %</w:t>
            </w: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UK</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Royaume-Uni</w:t>
            </w:r>
          </w:p>
        </w:tc>
        <w:tc>
          <w:tcPr>
            <w:tcW w:w="1747"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8"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18,0 %</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17,7 %</w:t>
            </w:r>
          </w:p>
        </w:tc>
        <w:tc>
          <w:tcPr>
            <w:tcW w:w="1524"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15,1 %</w:t>
            </w:r>
          </w:p>
        </w:tc>
        <w:tc>
          <w:tcPr>
            <w:tcW w:w="15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13,4 %</w:t>
            </w: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FR</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France</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25,0 %</w:t>
            </w:r>
          </w:p>
        </w:tc>
        <w:tc>
          <w:tcPr>
            <w:tcW w:w="174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18,0 %</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17,7 %</w:t>
            </w:r>
          </w:p>
        </w:tc>
        <w:tc>
          <w:tcPr>
            <w:tcW w:w="1524"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15,1 %</w:t>
            </w:r>
          </w:p>
        </w:tc>
        <w:tc>
          <w:tcPr>
            <w:tcW w:w="15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13,4 %</w:t>
            </w:r>
          </w:p>
        </w:tc>
      </w:tr>
      <w:tr w:rsidR="00E91048">
        <w:tc>
          <w:tcPr>
            <w:tcW w:w="672" w:type="dxa"/>
            <w:tcBorders>
              <w:top w:val="single" w:sz="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DE</w:t>
            </w:r>
          </w:p>
        </w:tc>
        <w:tc>
          <w:tcPr>
            <w:tcW w:w="1747" w:type="dxa"/>
            <w:tcBorders>
              <w:top w:val="single" w:sz="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Allemagne</w:t>
            </w:r>
          </w:p>
        </w:tc>
        <w:tc>
          <w:tcPr>
            <w:tcW w:w="1747" w:type="dxa"/>
            <w:tcBorders>
              <w:top w:val="single" w:sz="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25,0 %</w:t>
            </w:r>
          </w:p>
        </w:tc>
        <w:tc>
          <w:tcPr>
            <w:tcW w:w="1748" w:type="dxa"/>
            <w:tcBorders>
              <w:top w:val="single" w:sz="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18,0 %</w:t>
            </w:r>
          </w:p>
        </w:tc>
        <w:tc>
          <w:tcPr>
            <w:tcW w:w="1747" w:type="dxa"/>
            <w:tcBorders>
              <w:top w:val="single" w:sz="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17,7 %</w:t>
            </w:r>
          </w:p>
        </w:tc>
        <w:tc>
          <w:tcPr>
            <w:tcW w:w="1524" w:type="dxa"/>
            <w:tcBorders>
              <w:top w:val="single" w:sz="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15,1 %</w:t>
            </w:r>
          </w:p>
        </w:tc>
        <w:tc>
          <w:tcPr>
            <w:tcW w:w="1598" w:type="dxa"/>
            <w:tcBorders>
              <w:top w:val="single" w:sz="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13,4 %</w:t>
            </w:r>
          </w:p>
        </w:tc>
      </w:tr>
      <w:tr w:rsidR="00E91048">
        <w:tc>
          <w:tcPr>
            <w:tcW w:w="672" w:type="dxa"/>
            <w:tcBorders>
              <w:top w:val="single" w:sz="12" w:space="0" w:color="auto"/>
              <w:left w:val="single" w:sz="12" w:space="0" w:color="auto"/>
              <w:bottom w:val="single" w:sz="1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12" w:space="0" w:color="auto"/>
              <w:left w:val="single" w:sz="12" w:space="0" w:color="auto"/>
              <w:bottom w:val="single" w:sz="12" w:space="0" w:color="auto"/>
              <w:right w:val="single" w:sz="12" w:space="0" w:color="auto"/>
            </w:tcBorders>
          </w:tcPr>
          <w:p w:rsidR="00E91048" w:rsidRDefault="00E91048">
            <w:pPr>
              <w:spacing w:after="0" w:line="240" w:lineRule="auto"/>
              <w:jc w:val="center"/>
              <w:rPr>
                <w:rFonts w:ascii="Times New Roman" w:eastAsia="Times New Roman" w:hAnsi="Times New Roman" w:cs="Times New Roman"/>
                <w:noProof/>
                <w:snapToGrid w:val="0"/>
                <w:color w:val="000000"/>
                <w:sz w:val="24"/>
                <w:szCs w:val="20"/>
              </w:rPr>
            </w:pPr>
          </w:p>
        </w:tc>
        <w:tc>
          <w:tcPr>
            <w:tcW w:w="1747"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100,0 %</w:t>
            </w:r>
          </w:p>
        </w:tc>
        <w:tc>
          <w:tcPr>
            <w:tcW w:w="1748"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97 % - 98 %</w:t>
            </w:r>
          </w:p>
        </w:tc>
        <w:tc>
          <w:tcPr>
            <w:tcW w:w="1747"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100,0 %</w:t>
            </w:r>
          </w:p>
        </w:tc>
        <w:tc>
          <w:tcPr>
            <w:tcW w:w="1524"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100,1 %</w:t>
            </w:r>
          </w:p>
        </w:tc>
        <w:tc>
          <w:tcPr>
            <w:tcW w:w="1598"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100,2 %</w:t>
            </w:r>
          </w:p>
        </w:tc>
      </w:tr>
    </w:tbl>
    <w:p w:rsidR="00E91048" w:rsidRDefault="005E3A8B">
      <w:pPr>
        <w:spacing w:after="0" w:line="240" w:lineRule="auto"/>
        <w:jc w:val="right"/>
        <w:outlineLvl w:val="0"/>
        <w:rPr>
          <w:rFonts w:ascii="Times New Roman" w:eastAsia="Times New Roman" w:hAnsi="Times New Roman" w:cs="Times New Roman"/>
          <w:b/>
          <w:noProof/>
          <w:sz w:val="24"/>
          <w:szCs w:val="20"/>
        </w:rPr>
      </w:pPr>
      <w:r>
        <w:rPr>
          <w:noProof/>
        </w:rPr>
        <w:br w:type="page"/>
      </w:r>
      <w:r>
        <w:rPr>
          <w:rFonts w:ascii="Times New Roman" w:hAnsi="Times New Roman"/>
          <w:b/>
          <w:noProof/>
          <w:sz w:val="24"/>
        </w:rPr>
        <w:t xml:space="preserve">Annexe 1 </w:t>
      </w:r>
      <w:r>
        <w:rPr>
          <w:rFonts w:ascii="Times New Roman" w:hAnsi="Times New Roman"/>
          <w:b/>
          <w:i/>
          <w:noProof/>
          <w:sz w:val="24"/>
        </w:rPr>
        <w:t>ter</w:t>
      </w:r>
      <w:r>
        <w:rPr>
          <w:rFonts w:ascii="Times New Roman" w:hAnsi="Times New Roman"/>
          <w:b/>
          <w:noProof/>
          <w:sz w:val="24"/>
        </w:rPr>
        <w:t>:</w:t>
      </w:r>
    </w:p>
    <w:tbl>
      <w:tblPr>
        <w:tblW w:w="0" w:type="auto"/>
        <w:tblInd w:w="1731" w:type="dxa"/>
        <w:tblLayout w:type="fixed"/>
        <w:tblCellMar>
          <w:left w:w="30" w:type="dxa"/>
          <w:right w:w="30" w:type="dxa"/>
        </w:tblCellMar>
        <w:tblLook w:val="0000" w:firstRow="0" w:lastRow="0" w:firstColumn="0" w:lastColumn="0" w:noHBand="0" w:noVBand="0"/>
      </w:tblPr>
      <w:tblGrid>
        <w:gridCol w:w="672"/>
        <w:gridCol w:w="1747"/>
        <w:gridCol w:w="1692"/>
        <w:gridCol w:w="802"/>
        <w:gridCol w:w="1075"/>
        <w:gridCol w:w="1075"/>
        <w:gridCol w:w="1898"/>
        <w:gridCol w:w="1598"/>
        <w:gridCol w:w="1195"/>
      </w:tblGrid>
      <w:tr w:rsidR="00E91048" w:rsidRPr="005E3A8B">
        <w:trPr>
          <w:cantSplit/>
        </w:trPr>
        <w:tc>
          <w:tcPr>
            <w:tcW w:w="11754" w:type="dxa"/>
            <w:gridSpan w:val="9"/>
            <w:tcBorders>
              <w:top w:val="single" w:sz="12" w:space="0" w:color="auto"/>
              <w:left w:val="single" w:sz="12" w:space="0" w:color="auto"/>
              <w:right w:val="single" w:sz="12" w:space="0" w:color="auto"/>
            </w:tcBorders>
          </w:tcPr>
          <w:p w:rsidR="00E91048" w:rsidRPr="005E3A8B" w:rsidRDefault="005E3A8B">
            <w:pPr>
              <w:spacing w:after="0" w:line="240" w:lineRule="auto"/>
              <w:jc w:val="center"/>
              <w:rPr>
                <w:rFonts w:ascii="Times New Roman" w:eastAsia="Times New Roman" w:hAnsi="Times New Roman" w:cs="Times New Roman"/>
                <w:b/>
                <w:noProof/>
                <w:snapToGrid w:val="0"/>
                <w:color w:val="000000"/>
                <w:sz w:val="24"/>
                <w:szCs w:val="20"/>
                <w:lang w:val="fr-FR"/>
              </w:rPr>
            </w:pPr>
            <w:r w:rsidRPr="005E3A8B">
              <w:rPr>
                <w:noProof/>
                <w:lang w:val="fr-FR"/>
              </w:rPr>
              <w:br w:type="page"/>
            </w:r>
            <w:r w:rsidRPr="005E3A8B">
              <w:rPr>
                <w:rFonts w:ascii="Times New Roman" w:hAnsi="Times New Roman"/>
                <w:b/>
                <w:noProof/>
                <w:snapToGrid w:val="0"/>
                <w:color w:val="000000"/>
                <w:sz w:val="24"/>
                <w:lang w:val="fr-FR"/>
              </w:rPr>
              <w:t>Approche comparative telle qu’utilisée pour l’élargissement de 1995</w:t>
            </w:r>
          </w:p>
        </w:tc>
      </w:tr>
      <w:tr w:rsidR="00E91048" w:rsidRPr="005E3A8B">
        <w:tc>
          <w:tcPr>
            <w:tcW w:w="672" w:type="dxa"/>
            <w:tcBorders>
              <w:top w:val="single" w:sz="12" w:space="0" w:color="auto"/>
              <w:bottom w:val="single" w:sz="12" w:space="0" w:color="auto"/>
            </w:tcBorders>
          </w:tcPr>
          <w:p w:rsidR="00E91048" w:rsidRPr="005E3A8B" w:rsidRDefault="00E91048">
            <w:pPr>
              <w:spacing w:after="0" w:line="240" w:lineRule="auto"/>
              <w:jc w:val="center"/>
              <w:rPr>
                <w:rFonts w:ascii="Times New Roman" w:eastAsia="Times New Roman" w:hAnsi="Times New Roman" w:cs="Times New Roman"/>
                <w:noProof/>
                <w:snapToGrid w:val="0"/>
                <w:color w:val="000000"/>
                <w:sz w:val="24"/>
                <w:szCs w:val="20"/>
                <w:lang w:val="fr-FR"/>
              </w:rPr>
            </w:pPr>
          </w:p>
        </w:tc>
        <w:tc>
          <w:tcPr>
            <w:tcW w:w="1747" w:type="dxa"/>
            <w:tcBorders>
              <w:top w:val="single" w:sz="12" w:space="0" w:color="auto"/>
              <w:bottom w:val="single" w:sz="12" w:space="0" w:color="auto"/>
            </w:tcBorders>
          </w:tcPr>
          <w:p w:rsidR="00E91048" w:rsidRPr="005E3A8B" w:rsidRDefault="00E91048">
            <w:pPr>
              <w:spacing w:after="0" w:line="240" w:lineRule="auto"/>
              <w:jc w:val="center"/>
              <w:rPr>
                <w:rFonts w:ascii="Times New Roman" w:eastAsia="Times New Roman" w:hAnsi="Times New Roman" w:cs="Times New Roman"/>
                <w:noProof/>
                <w:snapToGrid w:val="0"/>
                <w:color w:val="000000"/>
                <w:sz w:val="24"/>
                <w:szCs w:val="20"/>
                <w:lang w:val="fr-FR"/>
              </w:rPr>
            </w:pPr>
          </w:p>
        </w:tc>
        <w:tc>
          <w:tcPr>
            <w:tcW w:w="1692" w:type="dxa"/>
            <w:tcBorders>
              <w:top w:val="single" w:sz="12" w:space="0" w:color="auto"/>
              <w:bottom w:val="single" w:sz="12" w:space="0" w:color="auto"/>
            </w:tcBorders>
          </w:tcPr>
          <w:p w:rsidR="00E91048" w:rsidRPr="005E3A8B" w:rsidRDefault="00E91048">
            <w:pPr>
              <w:spacing w:after="0" w:line="240" w:lineRule="auto"/>
              <w:jc w:val="center"/>
              <w:rPr>
                <w:rFonts w:ascii="Times New Roman" w:eastAsia="Times New Roman" w:hAnsi="Times New Roman" w:cs="Times New Roman"/>
                <w:noProof/>
                <w:snapToGrid w:val="0"/>
                <w:color w:val="000000"/>
                <w:sz w:val="24"/>
                <w:szCs w:val="20"/>
                <w:lang w:val="fr-FR"/>
              </w:rPr>
            </w:pPr>
          </w:p>
        </w:tc>
        <w:tc>
          <w:tcPr>
            <w:tcW w:w="802" w:type="dxa"/>
            <w:tcBorders>
              <w:top w:val="single" w:sz="12" w:space="0" w:color="auto"/>
              <w:bottom w:val="single" w:sz="12" w:space="0" w:color="auto"/>
            </w:tcBorders>
          </w:tcPr>
          <w:p w:rsidR="00E91048" w:rsidRPr="005E3A8B" w:rsidRDefault="00E91048">
            <w:pPr>
              <w:spacing w:after="0" w:line="240" w:lineRule="auto"/>
              <w:jc w:val="center"/>
              <w:rPr>
                <w:rFonts w:ascii="Times New Roman" w:eastAsia="Times New Roman" w:hAnsi="Times New Roman" w:cs="Times New Roman"/>
                <w:noProof/>
                <w:snapToGrid w:val="0"/>
                <w:color w:val="000000"/>
                <w:sz w:val="24"/>
                <w:szCs w:val="20"/>
                <w:lang w:val="fr-FR"/>
              </w:rPr>
            </w:pPr>
          </w:p>
        </w:tc>
        <w:tc>
          <w:tcPr>
            <w:tcW w:w="1075" w:type="dxa"/>
            <w:tcBorders>
              <w:top w:val="single" w:sz="12" w:space="0" w:color="auto"/>
              <w:bottom w:val="single" w:sz="12" w:space="0" w:color="auto"/>
            </w:tcBorders>
          </w:tcPr>
          <w:p w:rsidR="00E91048" w:rsidRPr="005E3A8B" w:rsidRDefault="00E91048">
            <w:pPr>
              <w:spacing w:after="0" w:line="240" w:lineRule="auto"/>
              <w:jc w:val="center"/>
              <w:rPr>
                <w:rFonts w:ascii="Times New Roman" w:eastAsia="Times New Roman" w:hAnsi="Times New Roman" w:cs="Times New Roman"/>
                <w:noProof/>
                <w:snapToGrid w:val="0"/>
                <w:color w:val="000000"/>
                <w:sz w:val="24"/>
                <w:szCs w:val="20"/>
                <w:lang w:val="fr-FR"/>
              </w:rPr>
            </w:pPr>
          </w:p>
        </w:tc>
        <w:tc>
          <w:tcPr>
            <w:tcW w:w="1075" w:type="dxa"/>
            <w:tcBorders>
              <w:top w:val="single" w:sz="12" w:space="0" w:color="auto"/>
              <w:bottom w:val="single" w:sz="12" w:space="0" w:color="auto"/>
            </w:tcBorders>
          </w:tcPr>
          <w:p w:rsidR="00E91048" w:rsidRPr="005E3A8B" w:rsidRDefault="00E91048">
            <w:pPr>
              <w:spacing w:after="0" w:line="240" w:lineRule="auto"/>
              <w:jc w:val="center"/>
              <w:rPr>
                <w:rFonts w:ascii="Times New Roman" w:eastAsia="Times New Roman" w:hAnsi="Times New Roman" w:cs="Times New Roman"/>
                <w:noProof/>
                <w:snapToGrid w:val="0"/>
                <w:color w:val="000000"/>
                <w:sz w:val="24"/>
                <w:szCs w:val="20"/>
                <w:lang w:val="fr-FR"/>
              </w:rPr>
            </w:pPr>
          </w:p>
        </w:tc>
        <w:tc>
          <w:tcPr>
            <w:tcW w:w="1898" w:type="dxa"/>
            <w:tcBorders>
              <w:top w:val="single" w:sz="12" w:space="0" w:color="auto"/>
              <w:bottom w:val="single" w:sz="12" w:space="0" w:color="auto"/>
            </w:tcBorders>
          </w:tcPr>
          <w:p w:rsidR="00E91048" w:rsidRPr="005E3A8B" w:rsidRDefault="00E91048">
            <w:pPr>
              <w:spacing w:after="0" w:line="240" w:lineRule="auto"/>
              <w:jc w:val="center"/>
              <w:rPr>
                <w:rFonts w:ascii="Times New Roman" w:eastAsia="Times New Roman" w:hAnsi="Times New Roman" w:cs="Times New Roman"/>
                <w:noProof/>
                <w:snapToGrid w:val="0"/>
                <w:color w:val="000000"/>
                <w:sz w:val="24"/>
                <w:szCs w:val="20"/>
                <w:lang w:val="fr-FR"/>
              </w:rPr>
            </w:pPr>
          </w:p>
        </w:tc>
        <w:tc>
          <w:tcPr>
            <w:tcW w:w="1598" w:type="dxa"/>
            <w:tcBorders>
              <w:top w:val="single" w:sz="12" w:space="0" w:color="auto"/>
            </w:tcBorders>
          </w:tcPr>
          <w:p w:rsidR="00E91048" w:rsidRPr="005E3A8B" w:rsidRDefault="00E91048">
            <w:pPr>
              <w:spacing w:after="0" w:line="240" w:lineRule="auto"/>
              <w:jc w:val="center"/>
              <w:rPr>
                <w:rFonts w:ascii="Times New Roman" w:eastAsia="Times New Roman" w:hAnsi="Times New Roman" w:cs="Times New Roman"/>
                <w:noProof/>
                <w:snapToGrid w:val="0"/>
                <w:color w:val="000000"/>
                <w:sz w:val="24"/>
                <w:szCs w:val="20"/>
                <w:lang w:val="fr-FR"/>
              </w:rPr>
            </w:pPr>
          </w:p>
        </w:tc>
        <w:tc>
          <w:tcPr>
            <w:tcW w:w="1195" w:type="dxa"/>
            <w:tcBorders>
              <w:top w:val="single" w:sz="12" w:space="0" w:color="auto"/>
            </w:tcBorders>
          </w:tcPr>
          <w:p w:rsidR="00E91048" w:rsidRPr="005E3A8B" w:rsidRDefault="00E91048">
            <w:pPr>
              <w:spacing w:after="0" w:line="240" w:lineRule="auto"/>
              <w:jc w:val="right"/>
              <w:rPr>
                <w:rFonts w:ascii="Times New Roman" w:eastAsia="Times New Roman" w:hAnsi="Times New Roman" w:cs="Times New Roman"/>
                <w:noProof/>
                <w:snapToGrid w:val="0"/>
                <w:color w:val="000000"/>
                <w:sz w:val="24"/>
                <w:szCs w:val="20"/>
                <w:lang w:val="fr-FR"/>
              </w:rPr>
            </w:pPr>
          </w:p>
        </w:tc>
      </w:tr>
      <w:tr w:rsidR="00E91048">
        <w:trPr>
          <w:cantSplit/>
        </w:trPr>
        <w:tc>
          <w:tcPr>
            <w:tcW w:w="672" w:type="dxa"/>
            <w:tcBorders>
              <w:top w:val="single" w:sz="12" w:space="0" w:color="auto"/>
              <w:left w:val="single" w:sz="12" w:space="0" w:color="auto"/>
              <w:bottom w:val="single" w:sz="12" w:space="0" w:color="auto"/>
              <w:right w:val="single" w:sz="12" w:space="0" w:color="auto"/>
            </w:tcBorders>
          </w:tcPr>
          <w:p w:rsidR="00E91048" w:rsidRPr="005E3A8B" w:rsidRDefault="00E91048">
            <w:pPr>
              <w:spacing w:after="0" w:line="240" w:lineRule="auto"/>
              <w:jc w:val="center"/>
              <w:rPr>
                <w:rFonts w:ascii="Times New Roman" w:eastAsia="Times New Roman" w:hAnsi="Times New Roman" w:cs="Times New Roman"/>
                <w:noProof/>
                <w:snapToGrid w:val="0"/>
                <w:color w:val="000000"/>
                <w:sz w:val="24"/>
                <w:szCs w:val="20"/>
                <w:lang w:val="fr-FR"/>
              </w:rPr>
            </w:pPr>
          </w:p>
        </w:tc>
        <w:tc>
          <w:tcPr>
            <w:tcW w:w="1747" w:type="dxa"/>
            <w:tcBorders>
              <w:top w:val="single" w:sz="12" w:space="0" w:color="auto"/>
              <w:left w:val="single" w:sz="12" w:space="0" w:color="auto"/>
              <w:bottom w:val="single" w:sz="12" w:space="0" w:color="auto"/>
              <w:right w:val="single" w:sz="12" w:space="0" w:color="auto"/>
            </w:tcBorders>
          </w:tcPr>
          <w:p w:rsidR="00E91048" w:rsidRPr="005E3A8B" w:rsidRDefault="00E91048">
            <w:pPr>
              <w:spacing w:after="0" w:line="240" w:lineRule="auto"/>
              <w:jc w:val="center"/>
              <w:rPr>
                <w:rFonts w:ascii="Times New Roman" w:eastAsia="Times New Roman" w:hAnsi="Times New Roman" w:cs="Times New Roman"/>
                <w:noProof/>
                <w:snapToGrid w:val="0"/>
                <w:color w:val="000000"/>
                <w:sz w:val="24"/>
                <w:szCs w:val="20"/>
                <w:lang w:val="fr-FR"/>
              </w:rPr>
            </w:pPr>
          </w:p>
        </w:tc>
        <w:tc>
          <w:tcPr>
            <w:tcW w:w="2494" w:type="dxa"/>
            <w:gridSpan w:val="2"/>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 xml:space="preserve">Population </w:t>
            </w:r>
          </w:p>
        </w:tc>
        <w:tc>
          <w:tcPr>
            <w:tcW w:w="2150" w:type="dxa"/>
            <w:gridSpan w:val="2"/>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 xml:space="preserve">PIB </w:t>
            </w:r>
          </w:p>
        </w:tc>
        <w:tc>
          <w:tcPr>
            <w:tcW w:w="1898"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Moyenne</w:t>
            </w:r>
          </w:p>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(population, PIB)</w:t>
            </w:r>
          </w:p>
        </w:tc>
        <w:tc>
          <w:tcPr>
            <w:tcW w:w="2793" w:type="dxa"/>
            <w:gridSpan w:val="2"/>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Lignes directrices</w:t>
            </w:r>
          </w:p>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1995</w:t>
            </w:r>
          </w:p>
        </w:tc>
      </w:tr>
      <w:tr w:rsidR="00E91048">
        <w:trPr>
          <w:cantSplit/>
        </w:trPr>
        <w:tc>
          <w:tcPr>
            <w:tcW w:w="672"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w:t>
            </w:r>
          </w:p>
        </w:tc>
        <w:tc>
          <w:tcPr>
            <w:tcW w:w="1747"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w:t>
            </w:r>
          </w:p>
        </w:tc>
        <w:tc>
          <w:tcPr>
            <w:tcW w:w="2494" w:type="dxa"/>
            <w:gridSpan w:val="2"/>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w:t>
            </w:r>
          </w:p>
        </w:tc>
        <w:tc>
          <w:tcPr>
            <w:tcW w:w="2150" w:type="dxa"/>
            <w:gridSpan w:val="2"/>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w:t>
            </w:r>
          </w:p>
        </w:tc>
        <w:tc>
          <w:tcPr>
            <w:tcW w:w="1898"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(5)</w:t>
            </w:r>
          </w:p>
        </w:tc>
        <w:tc>
          <w:tcPr>
            <w:tcW w:w="1598"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(6)</w:t>
            </w:r>
          </w:p>
        </w:tc>
        <w:tc>
          <w:tcPr>
            <w:tcW w:w="1195"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center"/>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(7)</w:t>
            </w:r>
          </w:p>
        </w:tc>
      </w:tr>
      <w:tr w:rsidR="00E91048">
        <w:tc>
          <w:tcPr>
            <w:tcW w:w="672" w:type="dxa"/>
            <w:tcBorders>
              <w:top w:val="single" w:sz="12" w:space="0" w:color="auto"/>
              <w:left w:val="single" w:sz="12" w:space="0" w:color="auto"/>
              <w:bottom w:val="single" w:sz="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LU</w:t>
            </w:r>
          </w:p>
        </w:tc>
        <w:tc>
          <w:tcPr>
            <w:tcW w:w="1747" w:type="dxa"/>
            <w:tcBorders>
              <w:top w:val="single" w:sz="12" w:space="0" w:color="auto"/>
              <w:left w:val="single" w:sz="12" w:space="0" w:color="auto"/>
              <w:bottom w:val="single" w:sz="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Luxembourg</w:t>
            </w:r>
          </w:p>
        </w:tc>
        <w:tc>
          <w:tcPr>
            <w:tcW w:w="1692" w:type="dxa"/>
            <w:tcBorders>
              <w:top w:val="single" w:sz="1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0,4</w:t>
            </w:r>
          </w:p>
        </w:tc>
        <w:tc>
          <w:tcPr>
            <w:tcW w:w="802" w:type="dxa"/>
            <w:tcBorders>
              <w:top w:val="single" w:sz="1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0,1%</w:t>
            </w:r>
          </w:p>
        </w:tc>
        <w:tc>
          <w:tcPr>
            <w:tcW w:w="1075" w:type="dxa"/>
            <w:tcBorders>
              <w:top w:val="single" w:sz="1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21</w:t>
            </w:r>
          </w:p>
        </w:tc>
        <w:tc>
          <w:tcPr>
            <w:tcW w:w="1075" w:type="dxa"/>
            <w:tcBorders>
              <w:top w:val="single" w:sz="1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0,2%</w:t>
            </w:r>
          </w:p>
        </w:tc>
        <w:tc>
          <w:tcPr>
            <w:tcW w:w="1898" w:type="dxa"/>
            <w:tcBorders>
              <w:top w:val="single" w:sz="1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0,2%</w:t>
            </w:r>
          </w:p>
        </w:tc>
        <w:tc>
          <w:tcPr>
            <w:tcW w:w="1598" w:type="dxa"/>
            <w:tcBorders>
              <w:top w:val="single" w:sz="1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0,9%</w:t>
            </w:r>
          </w:p>
        </w:tc>
        <w:tc>
          <w:tcPr>
            <w:tcW w:w="1195" w:type="dxa"/>
            <w:tcBorders>
              <w:top w:val="single" w:sz="12" w:space="0" w:color="auto"/>
              <w:left w:val="single" w:sz="12" w:space="0" w:color="auto"/>
              <w:bottom w:val="single" w:sz="2" w:space="0" w:color="auto"/>
              <w:right w:val="single" w:sz="12" w:space="0" w:color="auto"/>
            </w:tcBorders>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IE</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Irlande</w:t>
            </w:r>
          </w:p>
        </w:tc>
        <w:tc>
          <w:tcPr>
            <w:tcW w:w="169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3,8</w:t>
            </w:r>
          </w:p>
        </w:tc>
        <w:tc>
          <w:tcPr>
            <w:tcW w:w="80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w:t>
            </w:r>
          </w:p>
        </w:tc>
        <w:tc>
          <w:tcPr>
            <w:tcW w:w="1075"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114</w:t>
            </w:r>
          </w:p>
        </w:tc>
        <w:tc>
          <w:tcPr>
            <w:tcW w:w="1075"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w:t>
            </w:r>
          </w:p>
        </w:tc>
        <w:tc>
          <w:tcPr>
            <w:tcW w:w="18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1,1%</w:t>
            </w:r>
          </w:p>
        </w:tc>
        <w:tc>
          <w:tcPr>
            <w:tcW w:w="15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2,7%</w:t>
            </w:r>
          </w:p>
        </w:tc>
        <w:tc>
          <w:tcPr>
            <w:tcW w:w="1195"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r>
      <w:tr w:rsidR="00E91048">
        <w:tc>
          <w:tcPr>
            <w:tcW w:w="672"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FI</w:t>
            </w:r>
          </w:p>
        </w:tc>
        <w:tc>
          <w:tcPr>
            <w:tcW w:w="1747"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Finlande</w:t>
            </w:r>
          </w:p>
        </w:tc>
        <w:tc>
          <w:tcPr>
            <w:tcW w:w="1692"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5,2</w:t>
            </w:r>
          </w:p>
        </w:tc>
        <w:tc>
          <w:tcPr>
            <w:tcW w:w="802"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1,4%</w:t>
            </w:r>
          </w:p>
        </w:tc>
        <w:tc>
          <w:tcPr>
            <w:tcW w:w="1075"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141</w:t>
            </w:r>
          </w:p>
        </w:tc>
        <w:tc>
          <w:tcPr>
            <w:tcW w:w="1075"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1,6%</w:t>
            </w:r>
          </w:p>
        </w:tc>
        <w:tc>
          <w:tcPr>
            <w:tcW w:w="1898"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w:t>
            </w:r>
          </w:p>
        </w:tc>
        <w:tc>
          <w:tcPr>
            <w:tcW w:w="1598" w:type="dxa"/>
            <w:tcBorders>
              <w:top w:val="single" w:sz="2" w:space="0" w:color="auto"/>
              <w:left w:val="single" w:sz="12" w:space="0" w:color="auto"/>
              <w:bottom w:val="single" w:sz="2" w:space="0" w:color="auto"/>
              <w:right w:val="single" w:sz="12" w:space="0" w:color="auto"/>
            </w:tcBorders>
            <w:shd w:val="solid" w:color="C0C0C0" w:fill="auto"/>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c>
          <w:tcPr>
            <w:tcW w:w="1195"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2,7%</w:t>
            </w: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DK</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 xml:space="preserve">Danemark </w:t>
            </w:r>
          </w:p>
        </w:tc>
        <w:tc>
          <w:tcPr>
            <w:tcW w:w="169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5,4</w:t>
            </w:r>
          </w:p>
        </w:tc>
        <w:tc>
          <w:tcPr>
            <w:tcW w:w="80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1,4%</w:t>
            </w:r>
          </w:p>
        </w:tc>
        <w:tc>
          <w:tcPr>
            <w:tcW w:w="1075"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181</w:t>
            </w:r>
          </w:p>
        </w:tc>
        <w:tc>
          <w:tcPr>
            <w:tcW w:w="1075"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2,1%</w:t>
            </w:r>
          </w:p>
        </w:tc>
        <w:tc>
          <w:tcPr>
            <w:tcW w:w="18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1,7%</w:t>
            </w:r>
          </w:p>
        </w:tc>
        <w:tc>
          <w:tcPr>
            <w:tcW w:w="15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2,7 %</w:t>
            </w:r>
          </w:p>
        </w:tc>
        <w:tc>
          <w:tcPr>
            <w:tcW w:w="1195"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PT</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Portugal</w:t>
            </w:r>
          </w:p>
        </w:tc>
        <w:tc>
          <w:tcPr>
            <w:tcW w:w="169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10,3</w:t>
            </w:r>
          </w:p>
        </w:tc>
        <w:tc>
          <w:tcPr>
            <w:tcW w:w="80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2,7%</w:t>
            </w:r>
          </w:p>
        </w:tc>
        <w:tc>
          <w:tcPr>
            <w:tcW w:w="1075"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118</w:t>
            </w:r>
          </w:p>
        </w:tc>
        <w:tc>
          <w:tcPr>
            <w:tcW w:w="1075"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w:t>
            </w:r>
          </w:p>
        </w:tc>
        <w:tc>
          <w:tcPr>
            <w:tcW w:w="18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2,0%</w:t>
            </w:r>
          </w:p>
        </w:tc>
        <w:tc>
          <w:tcPr>
            <w:tcW w:w="15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3,6%</w:t>
            </w:r>
          </w:p>
        </w:tc>
        <w:tc>
          <w:tcPr>
            <w:tcW w:w="1195"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GR</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Grèce</w:t>
            </w:r>
          </w:p>
        </w:tc>
        <w:tc>
          <w:tcPr>
            <w:tcW w:w="169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10,6</w:t>
            </w:r>
          </w:p>
        </w:tc>
        <w:tc>
          <w:tcPr>
            <w:tcW w:w="80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2,8%</w:t>
            </w:r>
          </w:p>
        </w:tc>
        <w:tc>
          <w:tcPr>
            <w:tcW w:w="1075"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128</w:t>
            </w:r>
          </w:p>
        </w:tc>
        <w:tc>
          <w:tcPr>
            <w:tcW w:w="1075"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w:t>
            </w:r>
          </w:p>
        </w:tc>
        <w:tc>
          <w:tcPr>
            <w:tcW w:w="18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2,1%</w:t>
            </w:r>
          </w:p>
        </w:tc>
        <w:tc>
          <w:tcPr>
            <w:tcW w:w="15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3,6%</w:t>
            </w:r>
          </w:p>
        </w:tc>
        <w:tc>
          <w:tcPr>
            <w:tcW w:w="1195"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r>
      <w:tr w:rsidR="00E91048">
        <w:tc>
          <w:tcPr>
            <w:tcW w:w="672"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AT</w:t>
            </w:r>
          </w:p>
        </w:tc>
        <w:tc>
          <w:tcPr>
            <w:tcW w:w="1747"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Autriche</w:t>
            </w:r>
          </w:p>
        </w:tc>
        <w:tc>
          <w:tcPr>
            <w:tcW w:w="1692"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8,1</w:t>
            </w:r>
          </w:p>
        </w:tc>
        <w:tc>
          <w:tcPr>
            <w:tcW w:w="802"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2,1%</w:t>
            </w:r>
          </w:p>
        </w:tc>
        <w:tc>
          <w:tcPr>
            <w:tcW w:w="1075"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214</w:t>
            </w:r>
          </w:p>
        </w:tc>
        <w:tc>
          <w:tcPr>
            <w:tcW w:w="1075"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2,4%</w:t>
            </w:r>
          </w:p>
        </w:tc>
        <w:tc>
          <w:tcPr>
            <w:tcW w:w="1898"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2,3%</w:t>
            </w:r>
          </w:p>
        </w:tc>
        <w:tc>
          <w:tcPr>
            <w:tcW w:w="1598" w:type="dxa"/>
            <w:tcBorders>
              <w:top w:val="single" w:sz="2" w:space="0" w:color="auto"/>
              <w:left w:val="single" w:sz="12" w:space="0" w:color="auto"/>
              <w:bottom w:val="single" w:sz="2" w:space="0" w:color="auto"/>
              <w:right w:val="single" w:sz="12" w:space="0" w:color="auto"/>
            </w:tcBorders>
            <w:shd w:val="solid" w:color="C0C0C0" w:fill="auto"/>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c>
          <w:tcPr>
            <w:tcW w:w="1195"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4,0%</w:t>
            </w:r>
          </w:p>
        </w:tc>
      </w:tr>
      <w:tr w:rsidR="00E91048">
        <w:tc>
          <w:tcPr>
            <w:tcW w:w="672"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SE</w:t>
            </w:r>
          </w:p>
        </w:tc>
        <w:tc>
          <w:tcPr>
            <w:tcW w:w="1747"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Suède</w:t>
            </w:r>
          </w:p>
        </w:tc>
        <w:tc>
          <w:tcPr>
            <w:tcW w:w="1692"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8,9</w:t>
            </w:r>
          </w:p>
        </w:tc>
        <w:tc>
          <w:tcPr>
            <w:tcW w:w="802"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2,4%</w:t>
            </w:r>
          </w:p>
        </w:tc>
        <w:tc>
          <w:tcPr>
            <w:tcW w:w="1075"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246</w:t>
            </w:r>
          </w:p>
        </w:tc>
        <w:tc>
          <w:tcPr>
            <w:tcW w:w="1075"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2,8%</w:t>
            </w:r>
          </w:p>
        </w:tc>
        <w:tc>
          <w:tcPr>
            <w:tcW w:w="1898"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2,6%</w:t>
            </w:r>
          </w:p>
        </w:tc>
        <w:tc>
          <w:tcPr>
            <w:tcW w:w="1598" w:type="dxa"/>
            <w:tcBorders>
              <w:top w:val="single" w:sz="2" w:space="0" w:color="auto"/>
              <w:left w:val="single" w:sz="12" w:space="0" w:color="auto"/>
              <w:bottom w:val="single" w:sz="2" w:space="0" w:color="auto"/>
              <w:right w:val="single" w:sz="12" w:space="0" w:color="auto"/>
            </w:tcBorders>
            <w:shd w:val="solid" w:color="C0C0C0" w:fill="auto"/>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c>
          <w:tcPr>
            <w:tcW w:w="1195" w:type="dxa"/>
            <w:tcBorders>
              <w:top w:val="single" w:sz="2" w:space="0" w:color="auto"/>
              <w:left w:val="single" w:sz="12" w:space="0" w:color="auto"/>
              <w:bottom w:val="single" w:sz="2" w:space="0" w:color="auto"/>
              <w:right w:val="single" w:sz="12" w:space="0" w:color="auto"/>
            </w:tcBorders>
            <w:shd w:val="solid" w:color="C0C0C0" w:fill="auto"/>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4,0%</w:t>
            </w: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BE</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 xml:space="preserve">Belgique </w:t>
            </w:r>
          </w:p>
        </w:tc>
        <w:tc>
          <w:tcPr>
            <w:tcW w:w="169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10,3</w:t>
            </w:r>
          </w:p>
        </w:tc>
        <w:tc>
          <w:tcPr>
            <w:tcW w:w="80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2,7%</w:t>
            </w:r>
          </w:p>
        </w:tc>
        <w:tc>
          <w:tcPr>
            <w:tcW w:w="1075"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256</w:t>
            </w:r>
          </w:p>
        </w:tc>
        <w:tc>
          <w:tcPr>
            <w:tcW w:w="1075"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2,9%</w:t>
            </w:r>
          </w:p>
        </w:tc>
        <w:tc>
          <w:tcPr>
            <w:tcW w:w="18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2,8%</w:t>
            </w:r>
          </w:p>
        </w:tc>
        <w:tc>
          <w:tcPr>
            <w:tcW w:w="15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6,3%</w:t>
            </w:r>
          </w:p>
        </w:tc>
        <w:tc>
          <w:tcPr>
            <w:tcW w:w="1195"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NL</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Pays-Bas</w:t>
            </w:r>
          </w:p>
        </w:tc>
        <w:tc>
          <w:tcPr>
            <w:tcW w:w="169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16,0</w:t>
            </w:r>
          </w:p>
        </w:tc>
        <w:tc>
          <w:tcPr>
            <w:tcW w:w="80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4,2%</w:t>
            </w:r>
          </w:p>
        </w:tc>
        <w:tc>
          <w:tcPr>
            <w:tcW w:w="1075"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430</w:t>
            </w:r>
          </w:p>
        </w:tc>
        <w:tc>
          <w:tcPr>
            <w:tcW w:w="1075"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4,9%</w:t>
            </w:r>
          </w:p>
        </w:tc>
        <w:tc>
          <w:tcPr>
            <w:tcW w:w="18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4,6%</w:t>
            </w:r>
          </w:p>
        </w:tc>
        <w:tc>
          <w:tcPr>
            <w:tcW w:w="15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6,3%</w:t>
            </w:r>
          </w:p>
        </w:tc>
        <w:tc>
          <w:tcPr>
            <w:tcW w:w="1195"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ES</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Espagne</w:t>
            </w:r>
          </w:p>
        </w:tc>
        <w:tc>
          <w:tcPr>
            <w:tcW w:w="169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40,3</w:t>
            </w:r>
          </w:p>
        </w:tc>
        <w:tc>
          <w:tcPr>
            <w:tcW w:w="80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10,6%</w:t>
            </w:r>
          </w:p>
        </w:tc>
        <w:tc>
          <w:tcPr>
            <w:tcW w:w="1075"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647</w:t>
            </w:r>
          </w:p>
        </w:tc>
        <w:tc>
          <w:tcPr>
            <w:tcW w:w="1075"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7,4%</w:t>
            </w:r>
          </w:p>
        </w:tc>
        <w:tc>
          <w:tcPr>
            <w:tcW w:w="18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9,0%</w:t>
            </w:r>
          </w:p>
        </w:tc>
        <w:tc>
          <w:tcPr>
            <w:tcW w:w="15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9,8%</w:t>
            </w:r>
          </w:p>
        </w:tc>
        <w:tc>
          <w:tcPr>
            <w:tcW w:w="1195"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IT</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Italie</w:t>
            </w:r>
          </w:p>
        </w:tc>
        <w:tc>
          <w:tcPr>
            <w:tcW w:w="169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57,9</w:t>
            </w:r>
          </w:p>
        </w:tc>
        <w:tc>
          <w:tcPr>
            <w:tcW w:w="80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15,3%</w:t>
            </w:r>
          </w:p>
        </w:tc>
        <w:tc>
          <w:tcPr>
            <w:tcW w:w="1075"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1 224</w:t>
            </w:r>
          </w:p>
        </w:tc>
        <w:tc>
          <w:tcPr>
            <w:tcW w:w="1075"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13,9%</w:t>
            </w:r>
          </w:p>
        </w:tc>
        <w:tc>
          <w:tcPr>
            <w:tcW w:w="18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14,6%</w:t>
            </w:r>
          </w:p>
        </w:tc>
        <w:tc>
          <w:tcPr>
            <w:tcW w:w="15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13,4%</w:t>
            </w:r>
          </w:p>
        </w:tc>
        <w:tc>
          <w:tcPr>
            <w:tcW w:w="1195"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UK</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Royaume-Uni</w:t>
            </w:r>
          </w:p>
        </w:tc>
        <w:tc>
          <w:tcPr>
            <w:tcW w:w="169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60,0</w:t>
            </w:r>
          </w:p>
        </w:tc>
        <w:tc>
          <w:tcPr>
            <w:tcW w:w="80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15,8%</w:t>
            </w:r>
          </w:p>
        </w:tc>
        <w:tc>
          <w:tcPr>
            <w:tcW w:w="1075"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1 511</w:t>
            </w:r>
          </w:p>
        </w:tc>
        <w:tc>
          <w:tcPr>
            <w:tcW w:w="1075"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17,2%</w:t>
            </w:r>
          </w:p>
        </w:tc>
        <w:tc>
          <w:tcPr>
            <w:tcW w:w="18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16,5%</w:t>
            </w:r>
          </w:p>
        </w:tc>
        <w:tc>
          <w:tcPr>
            <w:tcW w:w="15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13,4% </w:t>
            </w:r>
          </w:p>
        </w:tc>
        <w:tc>
          <w:tcPr>
            <w:tcW w:w="1195"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r>
      <w:tr w:rsidR="00E91048">
        <w:tc>
          <w:tcPr>
            <w:tcW w:w="67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FR</w:t>
            </w:r>
          </w:p>
        </w:tc>
        <w:tc>
          <w:tcPr>
            <w:tcW w:w="1747"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France</w:t>
            </w:r>
          </w:p>
        </w:tc>
        <w:tc>
          <w:tcPr>
            <w:tcW w:w="169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59,2</w:t>
            </w:r>
          </w:p>
        </w:tc>
        <w:tc>
          <w:tcPr>
            <w:tcW w:w="802"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15,6%</w:t>
            </w:r>
          </w:p>
        </w:tc>
        <w:tc>
          <w:tcPr>
            <w:tcW w:w="1075"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1 458</w:t>
            </w:r>
          </w:p>
        </w:tc>
        <w:tc>
          <w:tcPr>
            <w:tcW w:w="1075"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16,6%</w:t>
            </w:r>
          </w:p>
        </w:tc>
        <w:tc>
          <w:tcPr>
            <w:tcW w:w="18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16,1%</w:t>
            </w:r>
          </w:p>
        </w:tc>
        <w:tc>
          <w:tcPr>
            <w:tcW w:w="1598" w:type="dxa"/>
            <w:tcBorders>
              <w:top w:val="single" w:sz="2" w:space="0" w:color="auto"/>
              <w:left w:val="single" w:sz="12" w:space="0" w:color="auto"/>
              <w:bottom w:val="single" w:sz="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13,4%</w:t>
            </w:r>
          </w:p>
        </w:tc>
        <w:tc>
          <w:tcPr>
            <w:tcW w:w="1195" w:type="dxa"/>
            <w:tcBorders>
              <w:top w:val="single" w:sz="2" w:space="0" w:color="auto"/>
              <w:left w:val="single" w:sz="12" w:space="0" w:color="auto"/>
              <w:bottom w:val="single" w:sz="2" w:space="0" w:color="auto"/>
              <w:right w:val="single" w:sz="12" w:space="0" w:color="auto"/>
            </w:tcBorders>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r>
      <w:tr w:rsidR="00E91048">
        <w:tc>
          <w:tcPr>
            <w:tcW w:w="672" w:type="dxa"/>
            <w:tcBorders>
              <w:top w:val="single" w:sz="2" w:space="0" w:color="auto"/>
              <w:left w:val="single" w:sz="1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DE</w:t>
            </w:r>
          </w:p>
        </w:tc>
        <w:tc>
          <w:tcPr>
            <w:tcW w:w="1747" w:type="dxa"/>
            <w:tcBorders>
              <w:top w:val="single" w:sz="2" w:space="0" w:color="auto"/>
              <w:left w:val="single" w:sz="12" w:space="0" w:color="auto"/>
              <w:right w:val="single" w:sz="12" w:space="0" w:color="auto"/>
            </w:tcBorders>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Allemagne</w:t>
            </w:r>
          </w:p>
        </w:tc>
        <w:tc>
          <w:tcPr>
            <w:tcW w:w="1692" w:type="dxa"/>
            <w:tcBorders>
              <w:top w:val="single" w:sz="2" w:space="0" w:color="auto"/>
              <w:left w:val="single" w:sz="1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82,3</w:t>
            </w:r>
          </w:p>
        </w:tc>
        <w:tc>
          <w:tcPr>
            <w:tcW w:w="802" w:type="dxa"/>
            <w:tcBorders>
              <w:top w:val="single" w:sz="2" w:space="0" w:color="auto"/>
              <w:left w:val="single" w:sz="1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21,7%</w:t>
            </w:r>
          </w:p>
        </w:tc>
        <w:tc>
          <w:tcPr>
            <w:tcW w:w="1075" w:type="dxa"/>
            <w:tcBorders>
              <w:top w:val="single" w:sz="2" w:space="0" w:color="auto"/>
              <w:left w:val="single" w:sz="1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2 112</w:t>
            </w:r>
          </w:p>
        </w:tc>
        <w:tc>
          <w:tcPr>
            <w:tcW w:w="1075" w:type="dxa"/>
            <w:tcBorders>
              <w:top w:val="single" w:sz="2" w:space="0" w:color="auto"/>
              <w:left w:val="single" w:sz="1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24,0%</w:t>
            </w:r>
          </w:p>
        </w:tc>
        <w:tc>
          <w:tcPr>
            <w:tcW w:w="1898" w:type="dxa"/>
            <w:tcBorders>
              <w:top w:val="single" w:sz="2" w:space="0" w:color="auto"/>
              <w:left w:val="single" w:sz="1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22,9%</w:t>
            </w:r>
          </w:p>
        </w:tc>
        <w:tc>
          <w:tcPr>
            <w:tcW w:w="1598" w:type="dxa"/>
            <w:tcBorders>
              <w:top w:val="single" w:sz="2" w:space="0" w:color="auto"/>
              <w:left w:val="single" w:sz="1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13,4 %</w:t>
            </w:r>
          </w:p>
        </w:tc>
        <w:tc>
          <w:tcPr>
            <w:tcW w:w="1195" w:type="dxa"/>
            <w:tcBorders>
              <w:top w:val="single" w:sz="2" w:space="0" w:color="auto"/>
              <w:left w:val="single" w:sz="12" w:space="0" w:color="auto"/>
              <w:right w:val="single" w:sz="12" w:space="0" w:color="auto"/>
            </w:tcBorders>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r>
      <w:tr w:rsidR="00E91048">
        <w:tc>
          <w:tcPr>
            <w:tcW w:w="672" w:type="dxa"/>
            <w:tcBorders>
              <w:top w:val="single" w:sz="12" w:space="0" w:color="auto"/>
              <w:left w:val="single" w:sz="12" w:space="0" w:color="auto"/>
              <w:bottom w:val="single" w:sz="12" w:space="0" w:color="auto"/>
              <w:right w:val="single" w:sz="12" w:space="0" w:color="auto"/>
            </w:tcBorders>
          </w:tcPr>
          <w:p w:rsidR="00E91048" w:rsidRDefault="00E91048">
            <w:pPr>
              <w:spacing w:after="0" w:line="240" w:lineRule="auto"/>
              <w:jc w:val="both"/>
              <w:rPr>
                <w:rFonts w:ascii="Times New Roman" w:eastAsia="Times New Roman" w:hAnsi="Times New Roman" w:cs="Times New Roman"/>
                <w:noProof/>
                <w:snapToGrid w:val="0"/>
                <w:color w:val="000000"/>
                <w:sz w:val="24"/>
                <w:szCs w:val="20"/>
              </w:rPr>
            </w:pPr>
          </w:p>
        </w:tc>
        <w:tc>
          <w:tcPr>
            <w:tcW w:w="1747" w:type="dxa"/>
            <w:tcBorders>
              <w:top w:val="single" w:sz="12" w:space="0" w:color="auto"/>
              <w:left w:val="single" w:sz="12" w:space="0" w:color="auto"/>
              <w:bottom w:val="single" w:sz="12" w:space="0" w:color="auto"/>
              <w:right w:val="single" w:sz="12" w:space="0" w:color="auto"/>
            </w:tcBorders>
          </w:tcPr>
          <w:p w:rsidR="00E91048" w:rsidRDefault="00E91048">
            <w:pPr>
              <w:spacing w:after="0" w:line="240" w:lineRule="auto"/>
              <w:jc w:val="both"/>
              <w:rPr>
                <w:rFonts w:ascii="Times New Roman" w:eastAsia="Times New Roman" w:hAnsi="Times New Roman" w:cs="Times New Roman"/>
                <w:noProof/>
                <w:snapToGrid w:val="0"/>
                <w:color w:val="000000"/>
                <w:sz w:val="24"/>
                <w:szCs w:val="20"/>
              </w:rPr>
            </w:pPr>
          </w:p>
        </w:tc>
        <w:tc>
          <w:tcPr>
            <w:tcW w:w="1692"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378,7</w:t>
            </w:r>
          </w:p>
        </w:tc>
        <w:tc>
          <w:tcPr>
            <w:tcW w:w="802"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100,0%</w:t>
            </w:r>
          </w:p>
        </w:tc>
        <w:tc>
          <w:tcPr>
            <w:tcW w:w="1075"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8 801</w:t>
            </w:r>
          </w:p>
        </w:tc>
        <w:tc>
          <w:tcPr>
            <w:tcW w:w="1075"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100,0%</w:t>
            </w:r>
          </w:p>
        </w:tc>
        <w:tc>
          <w:tcPr>
            <w:tcW w:w="1898"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100,0%</w:t>
            </w:r>
          </w:p>
        </w:tc>
        <w:tc>
          <w:tcPr>
            <w:tcW w:w="1598"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89,5%</w:t>
            </w:r>
          </w:p>
        </w:tc>
        <w:tc>
          <w:tcPr>
            <w:tcW w:w="1195" w:type="dxa"/>
            <w:tcBorders>
              <w:top w:val="single" w:sz="12" w:space="0" w:color="auto"/>
              <w:left w:val="single" w:sz="12" w:space="0" w:color="auto"/>
              <w:bottom w:val="single" w:sz="12" w:space="0" w:color="auto"/>
              <w:right w:val="single" w:sz="12" w:space="0" w:color="auto"/>
            </w:tcBorders>
          </w:tcPr>
          <w:p w:rsidR="00E91048" w:rsidRDefault="005E3A8B">
            <w:pPr>
              <w:spacing w:after="0" w:line="240" w:lineRule="auto"/>
              <w:jc w:val="right"/>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10,7%</w:t>
            </w:r>
          </w:p>
        </w:tc>
      </w:tr>
      <w:tr w:rsidR="00E91048">
        <w:tc>
          <w:tcPr>
            <w:tcW w:w="672" w:type="dxa"/>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c>
          <w:tcPr>
            <w:tcW w:w="1747" w:type="dxa"/>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c>
          <w:tcPr>
            <w:tcW w:w="1692" w:type="dxa"/>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c>
          <w:tcPr>
            <w:tcW w:w="802" w:type="dxa"/>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c>
          <w:tcPr>
            <w:tcW w:w="1075" w:type="dxa"/>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c>
          <w:tcPr>
            <w:tcW w:w="1075" w:type="dxa"/>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c>
          <w:tcPr>
            <w:tcW w:w="1898" w:type="dxa"/>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c>
          <w:tcPr>
            <w:tcW w:w="1598" w:type="dxa"/>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c>
          <w:tcPr>
            <w:tcW w:w="1195" w:type="dxa"/>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r>
      <w:tr w:rsidR="00E91048">
        <w:tc>
          <w:tcPr>
            <w:tcW w:w="4111" w:type="dxa"/>
            <w:gridSpan w:val="3"/>
          </w:tcPr>
          <w:p w:rsidR="00E91048" w:rsidRDefault="005E3A8B">
            <w:pPr>
              <w:spacing w:after="0" w:line="240" w:lineRule="auto"/>
              <w:jc w:val="both"/>
              <w:rPr>
                <w:rFonts w:ascii="Times New Roman" w:eastAsia="Times New Roman" w:hAnsi="Times New Roman" w:cs="Times New Roman"/>
                <w:noProof/>
                <w:snapToGrid w:val="0"/>
                <w:color w:val="000000"/>
                <w:sz w:val="24"/>
                <w:szCs w:val="20"/>
              </w:rPr>
            </w:pPr>
            <w:r>
              <w:rPr>
                <w:rFonts w:ascii="Times New Roman" w:hAnsi="Times New Roman"/>
                <w:noProof/>
                <w:snapToGrid w:val="0"/>
                <w:color w:val="000000"/>
                <w:sz w:val="24"/>
              </w:rPr>
              <w:t xml:space="preserve">(1) EUROSTAT: population 2001 </w:t>
            </w:r>
          </w:p>
        </w:tc>
        <w:tc>
          <w:tcPr>
            <w:tcW w:w="802" w:type="dxa"/>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c>
          <w:tcPr>
            <w:tcW w:w="1075" w:type="dxa"/>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c>
          <w:tcPr>
            <w:tcW w:w="1075" w:type="dxa"/>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c>
          <w:tcPr>
            <w:tcW w:w="1898" w:type="dxa"/>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c>
          <w:tcPr>
            <w:tcW w:w="1598" w:type="dxa"/>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c>
          <w:tcPr>
            <w:tcW w:w="1195" w:type="dxa"/>
          </w:tcPr>
          <w:p w:rsidR="00E91048" w:rsidRDefault="00E91048">
            <w:pPr>
              <w:spacing w:after="0" w:line="240" w:lineRule="auto"/>
              <w:jc w:val="right"/>
              <w:rPr>
                <w:rFonts w:ascii="Times New Roman" w:eastAsia="Times New Roman" w:hAnsi="Times New Roman" w:cs="Times New Roman"/>
                <w:noProof/>
                <w:snapToGrid w:val="0"/>
                <w:color w:val="000000"/>
                <w:sz w:val="24"/>
                <w:szCs w:val="20"/>
              </w:rPr>
            </w:pPr>
          </w:p>
        </w:tc>
      </w:tr>
      <w:tr w:rsidR="00E91048" w:rsidRPr="005E3A8B">
        <w:trPr>
          <w:cantSplit/>
        </w:trPr>
        <w:tc>
          <w:tcPr>
            <w:tcW w:w="4913" w:type="dxa"/>
            <w:gridSpan w:val="4"/>
          </w:tcPr>
          <w:p w:rsidR="00E91048" w:rsidRPr="005E3A8B" w:rsidRDefault="005E3A8B">
            <w:pPr>
              <w:spacing w:after="0" w:line="240" w:lineRule="auto"/>
              <w:jc w:val="both"/>
              <w:rPr>
                <w:rFonts w:ascii="Times New Roman" w:eastAsia="Times New Roman" w:hAnsi="Times New Roman" w:cs="Times New Roman"/>
                <w:noProof/>
                <w:snapToGrid w:val="0"/>
                <w:color w:val="000000"/>
                <w:sz w:val="24"/>
                <w:szCs w:val="20"/>
                <w:lang w:val="fr-FR"/>
              </w:rPr>
            </w:pPr>
            <w:r w:rsidRPr="005E3A8B">
              <w:rPr>
                <w:rFonts w:ascii="Times New Roman" w:hAnsi="Times New Roman"/>
                <w:noProof/>
                <w:snapToGrid w:val="0"/>
                <w:color w:val="000000"/>
                <w:sz w:val="24"/>
                <w:lang w:val="fr-FR"/>
              </w:rPr>
              <w:t xml:space="preserve">(2) EUROSTAT: PIB aux </w:t>
            </w:r>
            <w:r w:rsidRPr="005E3A8B">
              <w:rPr>
                <w:rFonts w:ascii="Times New Roman" w:hAnsi="Times New Roman"/>
                <w:noProof/>
                <w:snapToGrid w:val="0"/>
                <w:color w:val="000000"/>
                <w:sz w:val="24"/>
                <w:lang w:val="fr-FR"/>
              </w:rPr>
              <w:t>prix du marché 2001</w:t>
            </w:r>
          </w:p>
        </w:tc>
        <w:tc>
          <w:tcPr>
            <w:tcW w:w="1075" w:type="dxa"/>
          </w:tcPr>
          <w:p w:rsidR="00E91048" w:rsidRPr="005E3A8B" w:rsidRDefault="00E91048">
            <w:pPr>
              <w:spacing w:after="0" w:line="240" w:lineRule="auto"/>
              <w:jc w:val="right"/>
              <w:rPr>
                <w:rFonts w:ascii="Times New Roman" w:eastAsia="Times New Roman" w:hAnsi="Times New Roman" w:cs="Times New Roman"/>
                <w:noProof/>
                <w:snapToGrid w:val="0"/>
                <w:color w:val="000000"/>
                <w:sz w:val="24"/>
                <w:szCs w:val="20"/>
                <w:lang w:val="fr-FR"/>
              </w:rPr>
            </w:pPr>
          </w:p>
        </w:tc>
        <w:tc>
          <w:tcPr>
            <w:tcW w:w="1075" w:type="dxa"/>
          </w:tcPr>
          <w:p w:rsidR="00E91048" w:rsidRPr="005E3A8B" w:rsidRDefault="00E91048">
            <w:pPr>
              <w:spacing w:after="0" w:line="240" w:lineRule="auto"/>
              <w:jc w:val="right"/>
              <w:rPr>
                <w:rFonts w:ascii="Times New Roman" w:eastAsia="Times New Roman" w:hAnsi="Times New Roman" w:cs="Times New Roman"/>
                <w:noProof/>
                <w:snapToGrid w:val="0"/>
                <w:color w:val="000000"/>
                <w:sz w:val="24"/>
                <w:szCs w:val="20"/>
                <w:lang w:val="fr-FR"/>
              </w:rPr>
            </w:pPr>
          </w:p>
        </w:tc>
        <w:tc>
          <w:tcPr>
            <w:tcW w:w="1898" w:type="dxa"/>
          </w:tcPr>
          <w:p w:rsidR="00E91048" w:rsidRPr="005E3A8B" w:rsidRDefault="00E91048">
            <w:pPr>
              <w:spacing w:after="0" w:line="240" w:lineRule="auto"/>
              <w:jc w:val="right"/>
              <w:rPr>
                <w:rFonts w:ascii="Times New Roman" w:eastAsia="Times New Roman" w:hAnsi="Times New Roman" w:cs="Times New Roman"/>
                <w:noProof/>
                <w:snapToGrid w:val="0"/>
                <w:color w:val="000000"/>
                <w:sz w:val="24"/>
                <w:szCs w:val="20"/>
                <w:lang w:val="fr-FR"/>
              </w:rPr>
            </w:pPr>
          </w:p>
        </w:tc>
        <w:tc>
          <w:tcPr>
            <w:tcW w:w="1598" w:type="dxa"/>
          </w:tcPr>
          <w:p w:rsidR="00E91048" w:rsidRPr="005E3A8B" w:rsidRDefault="00E91048">
            <w:pPr>
              <w:spacing w:after="0" w:line="240" w:lineRule="auto"/>
              <w:jc w:val="right"/>
              <w:rPr>
                <w:rFonts w:ascii="Times New Roman" w:eastAsia="Times New Roman" w:hAnsi="Times New Roman" w:cs="Times New Roman"/>
                <w:noProof/>
                <w:snapToGrid w:val="0"/>
                <w:color w:val="000000"/>
                <w:sz w:val="24"/>
                <w:szCs w:val="20"/>
                <w:lang w:val="fr-FR"/>
              </w:rPr>
            </w:pPr>
          </w:p>
        </w:tc>
        <w:tc>
          <w:tcPr>
            <w:tcW w:w="1195" w:type="dxa"/>
          </w:tcPr>
          <w:p w:rsidR="00E91048" w:rsidRPr="005E3A8B" w:rsidRDefault="00E91048">
            <w:pPr>
              <w:spacing w:after="0" w:line="240" w:lineRule="auto"/>
              <w:jc w:val="right"/>
              <w:rPr>
                <w:rFonts w:ascii="Times New Roman" w:eastAsia="Times New Roman" w:hAnsi="Times New Roman" w:cs="Times New Roman"/>
                <w:noProof/>
                <w:snapToGrid w:val="0"/>
                <w:color w:val="000000"/>
                <w:sz w:val="24"/>
                <w:szCs w:val="20"/>
                <w:lang w:val="fr-FR"/>
              </w:rPr>
            </w:pPr>
          </w:p>
        </w:tc>
      </w:tr>
    </w:tbl>
    <w:p w:rsidR="00E91048" w:rsidRPr="005E3A8B" w:rsidRDefault="00E91048">
      <w:pPr>
        <w:spacing w:after="240" w:line="240" w:lineRule="auto"/>
        <w:jc w:val="right"/>
        <w:rPr>
          <w:rFonts w:ascii="Times New Roman" w:eastAsia="Times New Roman" w:hAnsi="Times New Roman" w:cs="Times New Roman"/>
          <w:noProof/>
          <w:sz w:val="24"/>
          <w:szCs w:val="20"/>
          <w:lang w:val="fr-FR"/>
        </w:rPr>
        <w:sectPr w:rsidR="00E91048" w:rsidRPr="005E3A8B">
          <w:headerReference w:type="even" r:id="rId28"/>
          <w:headerReference w:type="default" r:id="rId29"/>
          <w:footerReference w:type="even" r:id="rId30"/>
          <w:footerReference w:type="default" r:id="rId31"/>
          <w:headerReference w:type="first" r:id="rId32"/>
          <w:footerReference w:type="first" r:id="rId33"/>
          <w:pgSz w:w="16840" w:h="11907" w:orient="landscape" w:code="9"/>
          <w:pgMar w:top="1134" w:right="1418" w:bottom="1134" w:left="1418" w:header="720" w:footer="720" w:gutter="0"/>
          <w:cols w:space="720"/>
        </w:sectPr>
      </w:pPr>
    </w:p>
    <w:p w:rsidR="00E91048" w:rsidRPr="005E3A8B" w:rsidRDefault="005E3A8B">
      <w:pPr>
        <w:spacing w:after="240" w:line="240" w:lineRule="auto"/>
        <w:ind w:left="1276" w:hanging="1276"/>
        <w:jc w:val="both"/>
        <w:rPr>
          <w:rFonts w:ascii="Times New Roman" w:eastAsia="Times New Roman" w:hAnsi="Times New Roman" w:cs="Times New Roman"/>
          <w:b/>
          <w:noProof/>
          <w:sz w:val="24"/>
          <w:szCs w:val="20"/>
          <w:lang w:val="fr-FR"/>
        </w:rPr>
      </w:pPr>
      <w:r w:rsidRPr="005E3A8B">
        <w:rPr>
          <w:rFonts w:ascii="Times New Roman" w:hAnsi="Times New Roman"/>
          <w:b/>
          <w:noProof/>
          <w:sz w:val="24"/>
          <w:lang w:val="fr-FR"/>
        </w:rPr>
        <w:t xml:space="preserve">ANNEXE 3: </w:t>
      </w:r>
      <w:r w:rsidRPr="005E3A8B">
        <w:rPr>
          <w:noProof/>
          <w:lang w:val="fr-FR"/>
        </w:rPr>
        <w:tab/>
      </w:r>
      <w:r w:rsidRPr="005E3A8B">
        <w:rPr>
          <w:rFonts w:ascii="Times New Roman" w:hAnsi="Times New Roman"/>
          <w:b/>
          <w:noProof/>
          <w:sz w:val="24"/>
          <w:lang w:val="fr-FR"/>
        </w:rPr>
        <w:t>Méthodologie appliquée pour le calcul des valeurs de référence et des objectifs de recrutement des nouveaux États membres</w:t>
      </w:r>
    </w:p>
    <w:p w:rsidR="00E91048" w:rsidRPr="005E3A8B" w:rsidRDefault="005E3A8B">
      <w:pPr>
        <w:spacing w:after="240" w:line="240" w:lineRule="auto"/>
        <w:jc w:val="both"/>
        <w:rPr>
          <w:rFonts w:ascii="Times New Roman" w:eastAsia="Times New Roman" w:hAnsi="Times New Roman" w:cs="Times New Roman"/>
          <w:b/>
          <w:noProof/>
          <w:sz w:val="24"/>
          <w:szCs w:val="20"/>
          <w:u w:val="single"/>
          <w:lang w:val="fr-FR"/>
        </w:rPr>
      </w:pPr>
      <w:r w:rsidRPr="005E3A8B">
        <w:rPr>
          <w:rFonts w:ascii="Times New Roman" w:hAnsi="Times New Roman"/>
          <w:b/>
          <w:noProof/>
          <w:sz w:val="24"/>
          <w:u w:val="single"/>
          <w:lang w:val="fr-FR"/>
        </w:rPr>
        <w:t>Approche</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À</w:t>
      </w:r>
      <w:r w:rsidRPr="005E3A8B">
        <w:rPr>
          <w:rFonts w:ascii="Times New Roman" w:hAnsi="Times New Roman"/>
          <w:noProof/>
          <w:sz w:val="24"/>
          <w:lang w:val="fr-FR"/>
        </w:rPr>
        <w:t xml:space="preserve"> l’occasion de l’élargissement de 2004, la Commission a adopté la communication du 14 février 2003 concernant le recrutement des fonctionnaires de la Commission issus des nouveaux États membres</w:t>
      </w:r>
      <w:r>
        <w:rPr>
          <w:rFonts w:ascii="Times New Roman" w:hAnsi="Times New Roman"/>
          <w:noProof/>
          <w:sz w:val="24"/>
          <w:vertAlign w:val="superscript"/>
        </w:rPr>
        <w:footnoteReference w:id="20"/>
      </w:r>
      <w:r w:rsidRPr="005E3A8B">
        <w:rPr>
          <w:rFonts w:ascii="Times New Roman" w:hAnsi="Times New Roman"/>
          <w:noProof/>
          <w:sz w:val="24"/>
          <w:lang w:val="fr-FR"/>
        </w:rPr>
        <w:t xml:space="preserve"> (ci-après «communication de 2003»). Selon cette communication</w:t>
      </w:r>
      <w:r w:rsidRPr="005E3A8B">
        <w:rPr>
          <w:rFonts w:ascii="Times New Roman" w:hAnsi="Times New Roman"/>
          <w:noProof/>
          <w:sz w:val="24"/>
          <w:lang w:val="fr-FR"/>
        </w:rPr>
        <w:t xml:space="preserve">, compte tenu de la nature de l’élargissement de 2004, l’application des critères utilisés lors des élargissements précédents ne saurait aboutir à un résultat juste et équilibré. Cette constatation était d’autant plus vraie que le poids des nouveaux États </w:t>
      </w:r>
      <w:r w:rsidRPr="005E3A8B">
        <w:rPr>
          <w:rFonts w:ascii="Times New Roman" w:hAnsi="Times New Roman"/>
          <w:noProof/>
          <w:sz w:val="24"/>
          <w:lang w:val="fr-FR"/>
        </w:rPr>
        <w:t>membres concernés était susceptible d’évoluer considérablement à la hausse au cours des 10 années suivantes.</w:t>
      </w:r>
    </w:p>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Eu égard à cette considération, la Commission a mis au point une méthode applicable aux nouveaux États membres, y compris pour les élargissements à</w:t>
      </w:r>
      <w:r w:rsidRPr="005E3A8B">
        <w:rPr>
          <w:rFonts w:ascii="Times New Roman" w:hAnsi="Times New Roman"/>
          <w:noProof/>
          <w:sz w:val="24"/>
          <w:lang w:val="fr-FR"/>
        </w:rPr>
        <w:t xml:space="preserve"> venir</w:t>
      </w:r>
      <w:r>
        <w:rPr>
          <w:rFonts w:ascii="Times New Roman" w:hAnsi="Times New Roman"/>
          <w:noProof/>
          <w:sz w:val="24"/>
          <w:vertAlign w:val="superscript"/>
        </w:rPr>
        <w:footnoteReference w:id="21"/>
      </w:r>
      <w:r w:rsidRPr="005E3A8B">
        <w:rPr>
          <w:rFonts w:ascii="Times New Roman" w:hAnsi="Times New Roman"/>
          <w:noProof/>
          <w:sz w:val="24"/>
          <w:lang w:val="fr-FR"/>
        </w:rPr>
        <w:t>. En adoptant cette méthode, la Commission a décidé que «les valeurs de référence et les objectifs indicatifs de recrutement serviraient de base aux mesures de recrutement dans les nouveaux États membres, et ce uniquement pendant la période transito</w:t>
      </w:r>
      <w:r w:rsidRPr="005E3A8B">
        <w:rPr>
          <w:rFonts w:ascii="Times New Roman" w:hAnsi="Times New Roman"/>
          <w:noProof/>
          <w:sz w:val="24"/>
          <w:lang w:val="fr-FR"/>
        </w:rPr>
        <w:t>ire »</w:t>
      </w:r>
    </w:p>
    <w:p w:rsidR="00E91048" w:rsidRPr="005E3A8B" w:rsidRDefault="005E3A8B">
      <w:pPr>
        <w:spacing w:after="12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La communication proposait une action en trois temps:</w:t>
      </w:r>
    </w:p>
    <w:p w:rsidR="00E91048" w:rsidRPr="005E3A8B" w:rsidRDefault="005E3A8B">
      <w:pPr>
        <w:numPr>
          <w:ilvl w:val="0"/>
          <w:numId w:val="18"/>
        </w:numPr>
        <w:tabs>
          <w:tab w:val="num" w:pos="567"/>
        </w:tabs>
        <w:spacing w:after="240" w:line="240" w:lineRule="auto"/>
        <w:ind w:left="567" w:hanging="567"/>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premièrement, la détermination du nombre de postes prévus pour l’ensemble des nouveaux États membres,</w:t>
      </w:r>
    </w:p>
    <w:p w:rsidR="00E91048" w:rsidRPr="005E3A8B" w:rsidRDefault="005E3A8B">
      <w:pPr>
        <w:numPr>
          <w:ilvl w:val="0"/>
          <w:numId w:val="18"/>
        </w:numPr>
        <w:tabs>
          <w:tab w:val="num" w:pos="567"/>
        </w:tabs>
        <w:spacing w:after="240" w:line="240" w:lineRule="auto"/>
        <w:ind w:left="567" w:hanging="567"/>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deuxièmement, le calcul, pour chaque nouvel État membre, d’une valeur de référence, c’est-à-di</w:t>
      </w:r>
      <w:r w:rsidRPr="005E3A8B">
        <w:rPr>
          <w:rFonts w:ascii="Times New Roman" w:hAnsi="Times New Roman"/>
          <w:noProof/>
          <w:sz w:val="24"/>
          <w:lang w:val="fr-FR"/>
        </w:rPr>
        <w:t xml:space="preserve">re de la part  indicative des postes prévus pour cet État membre exprimée en pourcentage du nombre total de postes prévus pour le nouvel État membre, </w:t>
      </w:r>
    </w:p>
    <w:p w:rsidR="00E91048" w:rsidRPr="005E3A8B" w:rsidRDefault="005E3A8B">
      <w:pPr>
        <w:numPr>
          <w:ilvl w:val="0"/>
          <w:numId w:val="18"/>
        </w:numPr>
        <w:tabs>
          <w:tab w:val="num" w:pos="567"/>
        </w:tabs>
        <w:spacing w:after="120" w:line="240" w:lineRule="auto"/>
        <w:ind w:left="567" w:hanging="567"/>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troisièmement le calcul de l’objectif de recrutement pour chaque nouvel État membre, soit a x b. </w:t>
      </w:r>
    </w:p>
    <w:p w:rsidR="00E91048" w:rsidRPr="005E3A8B" w:rsidRDefault="00E91048">
      <w:pPr>
        <w:spacing w:after="120" w:line="240" w:lineRule="auto"/>
        <w:jc w:val="both"/>
        <w:rPr>
          <w:rFonts w:ascii="Times New Roman" w:eastAsia="Times New Roman" w:hAnsi="Times New Roman" w:cs="Times New Roman"/>
          <w:b/>
          <w:noProof/>
          <w:sz w:val="24"/>
          <w:szCs w:val="20"/>
          <w:u w:val="single"/>
          <w:lang w:val="fr-FR"/>
        </w:rPr>
      </w:pPr>
    </w:p>
    <w:p w:rsidR="00E91048" w:rsidRPr="005E3A8B" w:rsidRDefault="005E3A8B">
      <w:pPr>
        <w:spacing w:after="240" w:line="240" w:lineRule="auto"/>
        <w:jc w:val="both"/>
        <w:rPr>
          <w:rFonts w:ascii="Times New Roman" w:eastAsia="Times New Roman" w:hAnsi="Times New Roman" w:cs="Times New Roman"/>
          <w:b/>
          <w:noProof/>
          <w:sz w:val="24"/>
          <w:szCs w:val="20"/>
          <w:u w:val="single"/>
          <w:lang w:val="fr-FR"/>
        </w:rPr>
      </w:pPr>
      <w:r w:rsidRPr="005E3A8B">
        <w:rPr>
          <w:rFonts w:ascii="Times New Roman" w:hAnsi="Times New Roman"/>
          <w:b/>
          <w:noProof/>
          <w:sz w:val="24"/>
          <w:u w:val="single"/>
          <w:lang w:val="fr-FR"/>
        </w:rPr>
        <w:t>Détermination du nombre de postes qui devraient être prévus pour l’ensemble des nouveaux États membres</w:t>
      </w:r>
    </w:p>
    <w:p w:rsidR="00E91048" w:rsidRPr="005E3A8B" w:rsidRDefault="005E3A8B">
      <w:pPr>
        <w:spacing w:after="12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Ce nombre est déterminé en trois étapes successives:</w:t>
      </w:r>
    </w:p>
    <w:p w:rsidR="00E91048" w:rsidRPr="005E3A8B" w:rsidRDefault="005E3A8B">
      <w:pPr>
        <w:spacing w:after="0" w:line="240" w:lineRule="auto"/>
        <w:jc w:val="both"/>
        <w:rPr>
          <w:rFonts w:ascii="Times New Roman" w:hAnsi="Times New Roman"/>
          <w:noProof/>
          <w:sz w:val="24"/>
          <w:lang w:val="fr-FR"/>
        </w:rPr>
      </w:pPr>
      <w:r w:rsidRPr="005E3A8B">
        <w:rPr>
          <w:rFonts w:ascii="Times New Roman" w:hAnsi="Times New Roman"/>
          <w:noProof/>
          <w:sz w:val="24"/>
          <w:lang w:val="fr-FR"/>
        </w:rPr>
        <w:t>D’abord, le poids de tous les nouveaux États membres par rapport à la part globale des anciens États</w:t>
      </w:r>
      <w:r w:rsidRPr="005E3A8B">
        <w:rPr>
          <w:rFonts w:ascii="Times New Roman" w:hAnsi="Times New Roman"/>
          <w:noProof/>
          <w:sz w:val="24"/>
          <w:lang w:val="fr-FR"/>
        </w:rPr>
        <w:t xml:space="preserve"> membres est calculé en fonction de trois critères: la population, les sièges au Parlement européen et la pondération des voix au Conseil (la moyenne mathématique de ces trois éléments est retenue).</w:t>
      </w:r>
    </w:p>
    <w:p w:rsidR="00E91048" w:rsidRPr="005E3A8B" w:rsidRDefault="005E3A8B">
      <w:pPr>
        <w:spacing w:after="0" w:line="240" w:lineRule="auto"/>
        <w:jc w:val="both"/>
        <w:rPr>
          <w:rFonts w:ascii="Times New Roman" w:hAnsi="Times New Roman"/>
          <w:noProof/>
          <w:sz w:val="24"/>
          <w:lang w:val="fr-FR"/>
        </w:rPr>
      </w:pPr>
      <w:r w:rsidRPr="005E3A8B">
        <w:rPr>
          <w:rFonts w:ascii="Times New Roman" w:hAnsi="Times New Roman"/>
          <w:noProof/>
          <w:sz w:val="24"/>
          <w:lang w:val="fr-FR"/>
        </w:rPr>
        <w:t>Ensuite son poids (pourcentage) est appliqué au nombre de</w:t>
      </w:r>
      <w:r w:rsidRPr="005E3A8B">
        <w:rPr>
          <w:rFonts w:ascii="Times New Roman" w:hAnsi="Times New Roman"/>
          <w:noProof/>
          <w:sz w:val="24"/>
          <w:lang w:val="fr-FR"/>
        </w:rPr>
        <w:t xml:space="preserve"> postes du tableau des effectifs après l’élargissement. </w:t>
      </w:r>
    </w:p>
    <w:p w:rsidR="00E91048" w:rsidRPr="005E3A8B" w:rsidRDefault="005E3A8B">
      <w:pPr>
        <w:spacing w:after="0" w:line="240" w:lineRule="auto"/>
        <w:jc w:val="both"/>
        <w:rPr>
          <w:rFonts w:ascii="Times New Roman" w:hAnsi="Times New Roman"/>
          <w:noProof/>
          <w:sz w:val="24"/>
          <w:lang w:val="fr-FR"/>
        </w:rPr>
      </w:pPr>
      <w:r w:rsidRPr="005E3A8B">
        <w:rPr>
          <w:rFonts w:ascii="Times New Roman" w:hAnsi="Times New Roman"/>
          <w:noProof/>
          <w:sz w:val="24"/>
          <w:lang w:val="fr-FR"/>
        </w:rPr>
        <w:t>Enfin, le nombre de postes à réserver aux nouveaux États membres est fixé aux deux tiers de ce chiffre.</w:t>
      </w:r>
    </w:p>
    <w:p w:rsidR="00E91048" w:rsidRPr="005E3A8B" w:rsidRDefault="005E3A8B">
      <w:pPr>
        <w:spacing w:after="12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Le tableau suivant résume les calculs effectués pour les élargissements de 2004</w:t>
      </w:r>
      <w:r>
        <w:rPr>
          <w:rFonts w:ascii="Times New Roman" w:hAnsi="Times New Roman"/>
          <w:noProof/>
          <w:sz w:val="24"/>
          <w:vertAlign w:val="superscript"/>
        </w:rPr>
        <w:footnoteReference w:id="22"/>
      </w:r>
      <w:r w:rsidRPr="005E3A8B">
        <w:rPr>
          <w:rFonts w:ascii="Times New Roman" w:hAnsi="Times New Roman"/>
          <w:noProof/>
          <w:sz w:val="24"/>
          <w:lang w:val="fr-FR"/>
        </w:rPr>
        <w:t>, 2007</w:t>
      </w:r>
      <w:r>
        <w:rPr>
          <w:rFonts w:ascii="Times New Roman" w:hAnsi="Times New Roman"/>
          <w:noProof/>
          <w:sz w:val="24"/>
          <w:vertAlign w:val="superscript"/>
        </w:rPr>
        <w:footnoteReference w:id="23"/>
      </w:r>
      <w:r w:rsidRPr="005E3A8B">
        <w:rPr>
          <w:rFonts w:ascii="Times New Roman" w:hAnsi="Times New Roman"/>
          <w:noProof/>
          <w:sz w:val="24"/>
          <w:lang w:val="fr-FR"/>
        </w:rPr>
        <w:t xml:space="preserve"> et 2013</w:t>
      </w:r>
      <w:r>
        <w:rPr>
          <w:rFonts w:ascii="Times New Roman" w:hAnsi="Times New Roman"/>
          <w:noProof/>
          <w:sz w:val="24"/>
          <w:vertAlign w:val="superscript"/>
        </w:rPr>
        <w:footnoteReference w:id="24"/>
      </w:r>
      <w:r w:rsidRPr="005E3A8B">
        <w:rPr>
          <w:rFonts w:ascii="Times New Roman" w:hAnsi="Times New Roman"/>
          <w:noProof/>
          <w:sz w:val="24"/>
          <w:lang w:val="fr-FR"/>
        </w:rPr>
        <w:t>.</w:t>
      </w:r>
    </w:p>
    <w:tbl>
      <w:tblPr>
        <w:tblStyle w:val="TableGrid"/>
        <w:tblW w:w="0" w:type="auto"/>
        <w:tblLook w:val="04A0" w:firstRow="1" w:lastRow="0" w:firstColumn="1" w:lastColumn="0" w:noHBand="0" w:noVBand="1"/>
      </w:tblPr>
      <w:tblGrid>
        <w:gridCol w:w="4361"/>
        <w:gridCol w:w="1417"/>
        <w:gridCol w:w="1560"/>
        <w:gridCol w:w="1496"/>
      </w:tblGrid>
      <w:tr w:rsidR="00E91048">
        <w:tc>
          <w:tcPr>
            <w:tcW w:w="4361" w:type="dxa"/>
            <w:vAlign w:val="center"/>
          </w:tcPr>
          <w:p w:rsidR="00E91048" w:rsidRPr="005E3A8B" w:rsidRDefault="00E91048">
            <w:pPr>
              <w:spacing w:after="0" w:line="240" w:lineRule="auto"/>
              <w:jc w:val="center"/>
              <w:rPr>
                <w:noProof/>
                <w:sz w:val="24"/>
                <w:lang w:val="fr-FR"/>
              </w:rPr>
            </w:pPr>
          </w:p>
        </w:tc>
        <w:tc>
          <w:tcPr>
            <w:tcW w:w="1417" w:type="dxa"/>
            <w:vAlign w:val="center"/>
          </w:tcPr>
          <w:p w:rsidR="00E91048" w:rsidRDefault="005E3A8B">
            <w:pPr>
              <w:spacing w:after="0" w:line="240" w:lineRule="auto"/>
              <w:jc w:val="center"/>
              <w:rPr>
                <w:noProof/>
                <w:sz w:val="24"/>
              </w:rPr>
            </w:pPr>
            <w:r>
              <w:rPr>
                <w:noProof/>
                <w:sz w:val="24"/>
              </w:rPr>
              <w:t>2004</w:t>
            </w:r>
          </w:p>
        </w:tc>
        <w:tc>
          <w:tcPr>
            <w:tcW w:w="1560" w:type="dxa"/>
            <w:vAlign w:val="center"/>
          </w:tcPr>
          <w:p w:rsidR="00E91048" w:rsidRDefault="005E3A8B">
            <w:pPr>
              <w:spacing w:after="0" w:line="240" w:lineRule="auto"/>
              <w:jc w:val="center"/>
              <w:rPr>
                <w:noProof/>
                <w:sz w:val="24"/>
              </w:rPr>
            </w:pPr>
            <w:r>
              <w:rPr>
                <w:noProof/>
                <w:sz w:val="24"/>
              </w:rPr>
              <w:t>2007</w:t>
            </w:r>
          </w:p>
        </w:tc>
        <w:tc>
          <w:tcPr>
            <w:tcW w:w="1496" w:type="dxa"/>
            <w:vAlign w:val="center"/>
          </w:tcPr>
          <w:p w:rsidR="00E91048" w:rsidRDefault="005E3A8B">
            <w:pPr>
              <w:spacing w:after="0" w:line="240" w:lineRule="auto"/>
              <w:jc w:val="center"/>
              <w:rPr>
                <w:noProof/>
                <w:sz w:val="24"/>
              </w:rPr>
            </w:pPr>
            <w:r>
              <w:rPr>
                <w:noProof/>
                <w:sz w:val="24"/>
              </w:rPr>
              <w:t>2013</w:t>
            </w:r>
          </w:p>
        </w:tc>
      </w:tr>
      <w:tr w:rsidR="00E91048">
        <w:tc>
          <w:tcPr>
            <w:tcW w:w="4361" w:type="dxa"/>
            <w:vAlign w:val="center"/>
          </w:tcPr>
          <w:p w:rsidR="00E91048" w:rsidRDefault="005E3A8B">
            <w:pPr>
              <w:spacing w:after="0" w:line="240" w:lineRule="auto"/>
              <w:jc w:val="center"/>
              <w:rPr>
                <w:noProof/>
                <w:sz w:val="24"/>
              </w:rPr>
            </w:pPr>
            <w:r>
              <w:rPr>
                <w:noProof/>
                <w:sz w:val="24"/>
              </w:rPr>
              <w:t>Population nouveaux États membres (1)</w:t>
            </w:r>
          </w:p>
        </w:tc>
        <w:tc>
          <w:tcPr>
            <w:tcW w:w="1417" w:type="dxa"/>
            <w:vAlign w:val="center"/>
          </w:tcPr>
          <w:p w:rsidR="00E91048" w:rsidRDefault="005E3A8B">
            <w:pPr>
              <w:spacing w:after="0" w:line="240" w:lineRule="auto"/>
              <w:jc w:val="center"/>
              <w:rPr>
                <w:noProof/>
                <w:sz w:val="24"/>
              </w:rPr>
            </w:pPr>
            <w:r>
              <w:rPr>
                <w:noProof/>
                <w:sz w:val="24"/>
              </w:rPr>
              <w:t>75,0 M</w:t>
            </w:r>
          </w:p>
        </w:tc>
        <w:tc>
          <w:tcPr>
            <w:tcW w:w="1560" w:type="dxa"/>
            <w:vAlign w:val="center"/>
          </w:tcPr>
          <w:p w:rsidR="00E91048" w:rsidRDefault="005E3A8B">
            <w:pPr>
              <w:spacing w:after="0" w:line="240" w:lineRule="auto"/>
              <w:jc w:val="center"/>
              <w:rPr>
                <w:noProof/>
                <w:sz w:val="24"/>
              </w:rPr>
            </w:pPr>
            <w:r>
              <w:rPr>
                <w:noProof/>
                <w:sz w:val="24"/>
              </w:rPr>
              <w:t>29,5 M</w:t>
            </w:r>
          </w:p>
        </w:tc>
        <w:tc>
          <w:tcPr>
            <w:tcW w:w="1496" w:type="dxa"/>
            <w:vAlign w:val="center"/>
          </w:tcPr>
          <w:p w:rsidR="00E91048" w:rsidRDefault="005E3A8B">
            <w:pPr>
              <w:spacing w:after="0" w:line="240" w:lineRule="auto"/>
              <w:jc w:val="center"/>
              <w:rPr>
                <w:noProof/>
                <w:sz w:val="24"/>
              </w:rPr>
            </w:pPr>
            <w:r>
              <w:rPr>
                <w:noProof/>
                <w:sz w:val="24"/>
              </w:rPr>
              <w:t>4,4 M</w:t>
            </w:r>
          </w:p>
        </w:tc>
      </w:tr>
      <w:tr w:rsidR="00E91048">
        <w:tc>
          <w:tcPr>
            <w:tcW w:w="4361" w:type="dxa"/>
            <w:vAlign w:val="center"/>
          </w:tcPr>
          <w:p w:rsidR="00E91048" w:rsidRDefault="005E3A8B">
            <w:pPr>
              <w:spacing w:after="0" w:line="240" w:lineRule="auto"/>
              <w:jc w:val="center"/>
              <w:rPr>
                <w:noProof/>
                <w:sz w:val="24"/>
              </w:rPr>
            </w:pPr>
            <w:r>
              <w:rPr>
                <w:noProof/>
                <w:sz w:val="24"/>
              </w:rPr>
              <w:t>Population anciens États membres (1)</w:t>
            </w:r>
          </w:p>
        </w:tc>
        <w:tc>
          <w:tcPr>
            <w:tcW w:w="1417" w:type="dxa"/>
            <w:vAlign w:val="center"/>
          </w:tcPr>
          <w:p w:rsidR="00E91048" w:rsidRDefault="005E3A8B">
            <w:pPr>
              <w:spacing w:after="0" w:line="240" w:lineRule="auto"/>
              <w:jc w:val="center"/>
              <w:rPr>
                <w:noProof/>
                <w:sz w:val="24"/>
              </w:rPr>
            </w:pPr>
            <w:r>
              <w:rPr>
                <w:noProof/>
                <w:sz w:val="24"/>
              </w:rPr>
              <w:t>378,7M</w:t>
            </w:r>
          </w:p>
        </w:tc>
        <w:tc>
          <w:tcPr>
            <w:tcW w:w="1560" w:type="dxa"/>
            <w:vAlign w:val="center"/>
          </w:tcPr>
          <w:p w:rsidR="00E91048" w:rsidRDefault="005E3A8B">
            <w:pPr>
              <w:spacing w:after="0" w:line="240" w:lineRule="auto"/>
              <w:jc w:val="center"/>
              <w:rPr>
                <w:noProof/>
                <w:sz w:val="24"/>
              </w:rPr>
            </w:pPr>
            <w:r>
              <w:rPr>
                <w:noProof/>
                <w:sz w:val="24"/>
              </w:rPr>
              <w:t>459,3 M</w:t>
            </w:r>
          </w:p>
        </w:tc>
        <w:tc>
          <w:tcPr>
            <w:tcW w:w="1496" w:type="dxa"/>
            <w:vAlign w:val="center"/>
          </w:tcPr>
          <w:p w:rsidR="00E91048" w:rsidRDefault="005E3A8B">
            <w:pPr>
              <w:spacing w:after="0" w:line="240" w:lineRule="auto"/>
              <w:jc w:val="center"/>
              <w:rPr>
                <w:noProof/>
                <w:sz w:val="24"/>
              </w:rPr>
            </w:pPr>
            <w:r>
              <w:rPr>
                <w:noProof/>
                <w:sz w:val="24"/>
              </w:rPr>
              <w:t>502,5 M</w:t>
            </w:r>
          </w:p>
        </w:tc>
      </w:tr>
      <w:tr w:rsidR="00E91048">
        <w:tc>
          <w:tcPr>
            <w:tcW w:w="4361" w:type="dxa"/>
            <w:vAlign w:val="center"/>
          </w:tcPr>
          <w:p w:rsidR="00E91048" w:rsidRPr="005E3A8B" w:rsidRDefault="005E3A8B">
            <w:pPr>
              <w:spacing w:after="0" w:line="240" w:lineRule="auto"/>
              <w:jc w:val="center"/>
              <w:rPr>
                <w:noProof/>
                <w:sz w:val="24"/>
                <w:lang w:val="fr-FR"/>
              </w:rPr>
            </w:pPr>
            <w:r w:rsidRPr="005E3A8B">
              <w:rPr>
                <w:noProof/>
                <w:sz w:val="24"/>
                <w:lang w:val="fr-FR"/>
              </w:rPr>
              <w:t>Sièges au PE nouveau(x) États membre(s)</w:t>
            </w:r>
          </w:p>
        </w:tc>
        <w:tc>
          <w:tcPr>
            <w:tcW w:w="1417" w:type="dxa"/>
            <w:vAlign w:val="center"/>
          </w:tcPr>
          <w:p w:rsidR="00E91048" w:rsidRDefault="005E3A8B">
            <w:pPr>
              <w:spacing w:after="0" w:line="240" w:lineRule="auto"/>
              <w:jc w:val="center"/>
              <w:rPr>
                <w:noProof/>
                <w:sz w:val="24"/>
              </w:rPr>
            </w:pPr>
            <w:r>
              <w:rPr>
                <w:noProof/>
                <w:sz w:val="24"/>
              </w:rPr>
              <w:t>162</w:t>
            </w:r>
          </w:p>
        </w:tc>
        <w:tc>
          <w:tcPr>
            <w:tcW w:w="1560" w:type="dxa"/>
            <w:vAlign w:val="center"/>
          </w:tcPr>
          <w:p w:rsidR="00E91048" w:rsidRDefault="005E3A8B">
            <w:pPr>
              <w:spacing w:after="0" w:line="240" w:lineRule="auto"/>
              <w:jc w:val="center"/>
              <w:rPr>
                <w:noProof/>
                <w:sz w:val="24"/>
              </w:rPr>
            </w:pPr>
            <w:r>
              <w:rPr>
                <w:noProof/>
                <w:sz w:val="24"/>
              </w:rPr>
              <w:t>50</w:t>
            </w:r>
          </w:p>
        </w:tc>
        <w:tc>
          <w:tcPr>
            <w:tcW w:w="1496" w:type="dxa"/>
            <w:vAlign w:val="center"/>
          </w:tcPr>
          <w:p w:rsidR="00E91048" w:rsidRDefault="005E3A8B">
            <w:pPr>
              <w:spacing w:after="0" w:line="240" w:lineRule="auto"/>
              <w:jc w:val="center"/>
              <w:rPr>
                <w:noProof/>
                <w:sz w:val="24"/>
              </w:rPr>
            </w:pPr>
            <w:r>
              <w:rPr>
                <w:noProof/>
                <w:sz w:val="24"/>
              </w:rPr>
              <w:t>12</w:t>
            </w:r>
          </w:p>
        </w:tc>
      </w:tr>
      <w:tr w:rsidR="00E91048">
        <w:tc>
          <w:tcPr>
            <w:tcW w:w="4361" w:type="dxa"/>
            <w:vAlign w:val="center"/>
          </w:tcPr>
          <w:p w:rsidR="00E91048" w:rsidRPr="005E3A8B" w:rsidRDefault="005E3A8B">
            <w:pPr>
              <w:spacing w:after="0" w:line="240" w:lineRule="auto"/>
              <w:jc w:val="center"/>
              <w:rPr>
                <w:noProof/>
                <w:sz w:val="24"/>
                <w:lang w:val="fr-FR"/>
              </w:rPr>
            </w:pPr>
            <w:r w:rsidRPr="005E3A8B">
              <w:rPr>
                <w:noProof/>
                <w:sz w:val="24"/>
                <w:lang w:val="fr-FR"/>
              </w:rPr>
              <w:t xml:space="preserve">Sièges au PE anciens États membres </w:t>
            </w:r>
          </w:p>
        </w:tc>
        <w:tc>
          <w:tcPr>
            <w:tcW w:w="1417" w:type="dxa"/>
            <w:vAlign w:val="center"/>
          </w:tcPr>
          <w:p w:rsidR="00E91048" w:rsidRDefault="005E3A8B">
            <w:pPr>
              <w:spacing w:after="0" w:line="240" w:lineRule="auto"/>
              <w:jc w:val="center"/>
              <w:rPr>
                <w:noProof/>
                <w:sz w:val="24"/>
              </w:rPr>
            </w:pPr>
            <w:r>
              <w:rPr>
                <w:noProof/>
                <w:sz w:val="24"/>
              </w:rPr>
              <w:t>570</w:t>
            </w:r>
          </w:p>
        </w:tc>
        <w:tc>
          <w:tcPr>
            <w:tcW w:w="1560" w:type="dxa"/>
            <w:vAlign w:val="center"/>
          </w:tcPr>
          <w:p w:rsidR="00E91048" w:rsidRDefault="005E3A8B">
            <w:pPr>
              <w:spacing w:after="0" w:line="240" w:lineRule="auto"/>
              <w:jc w:val="center"/>
              <w:rPr>
                <w:noProof/>
                <w:sz w:val="24"/>
              </w:rPr>
            </w:pPr>
            <w:r>
              <w:rPr>
                <w:noProof/>
                <w:sz w:val="24"/>
              </w:rPr>
              <w:t>732</w:t>
            </w:r>
          </w:p>
        </w:tc>
        <w:tc>
          <w:tcPr>
            <w:tcW w:w="1496" w:type="dxa"/>
            <w:vAlign w:val="center"/>
          </w:tcPr>
          <w:p w:rsidR="00E91048" w:rsidRDefault="005E3A8B">
            <w:pPr>
              <w:spacing w:after="0" w:line="240" w:lineRule="auto"/>
              <w:jc w:val="center"/>
              <w:rPr>
                <w:noProof/>
                <w:sz w:val="24"/>
              </w:rPr>
            </w:pPr>
            <w:r>
              <w:rPr>
                <w:noProof/>
                <w:sz w:val="24"/>
              </w:rPr>
              <w:t>754</w:t>
            </w:r>
          </w:p>
        </w:tc>
      </w:tr>
      <w:tr w:rsidR="00E91048">
        <w:tc>
          <w:tcPr>
            <w:tcW w:w="4361" w:type="dxa"/>
            <w:vAlign w:val="center"/>
          </w:tcPr>
          <w:p w:rsidR="00E91048" w:rsidRPr="005E3A8B" w:rsidRDefault="005E3A8B">
            <w:pPr>
              <w:spacing w:after="0" w:line="240" w:lineRule="auto"/>
              <w:jc w:val="center"/>
              <w:rPr>
                <w:noProof/>
                <w:sz w:val="24"/>
                <w:lang w:val="fr-FR"/>
              </w:rPr>
            </w:pPr>
            <w:r w:rsidRPr="005E3A8B">
              <w:rPr>
                <w:noProof/>
                <w:sz w:val="24"/>
                <w:lang w:val="fr-FR"/>
              </w:rPr>
              <w:t xml:space="preserve">Voix au Conseil </w:t>
            </w:r>
            <w:r w:rsidRPr="005E3A8B">
              <w:rPr>
                <w:noProof/>
                <w:sz w:val="24"/>
                <w:lang w:val="fr-FR"/>
              </w:rPr>
              <w:t>nouveaux État(s) membre(s)</w:t>
            </w:r>
          </w:p>
        </w:tc>
        <w:tc>
          <w:tcPr>
            <w:tcW w:w="1417" w:type="dxa"/>
            <w:vAlign w:val="center"/>
          </w:tcPr>
          <w:p w:rsidR="00E91048" w:rsidRDefault="005E3A8B">
            <w:pPr>
              <w:spacing w:after="0" w:line="240" w:lineRule="auto"/>
              <w:jc w:val="center"/>
              <w:rPr>
                <w:noProof/>
                <w:sz w:val="24"/>
              </w:rPr>
            </w:pPr>
            <w:r>
              <w:rPr>
                <w:noProof/>
                <w:sz w:val="24"/>
              </w:rPr>
              <w:t>84</w:t>
            </w:r>
          </w:p>
        </w:tc>
        <w:tc>
          <w:tcPr>
            <w:tcW w:w="1560" w:type="dxa"/>
            <w:vAlign w:val="center"/>
          </w:tcPr>
          <w:p w:rsidR="00E91048" w:rsidRDefault="005E3A8B">
            <w:pPr>
              <w:spacing w:after="0" w:line="240" w:lineRule="auto"/>
              <w:jc w:val="center"/>
              <w:rPr>
                <w:noProof/>
                <w:sz w:val="24"/>
              </w:rPr>
            </w:pPr>
            <w:r>
              <w:rPr>
                <w:noProof/>
                <w:sz w:val="24"/>
              </w:rPr>
              <w:t>24</w:t>
            </w:r>
          </w:p>
        </w:tc>
        <w:tc>
          <w:tcPr>
            <w:tcW w:w="1496" w:type="dxa"/>
            <w:vAlign w:val="center"/>
          </w:tcPr>
          <w:p w:rsidR="00E91048" w:rsidRDefault="005E3A8B">
            <w:pPr>
              <w:spacing w:after="0" w:line="240" w:lineRule="auto"/>
              <w:jc w:val="center"/>
              <w:rPr>
                <w:noProof/>
                <w:sz w:val="24"/>
              </w:rPr>
            </w:pPr>
            <w:r>
              <w:rPr>
                <w:noProof/>
                <w:sz w:val="24"/>
              </w:rPr>
              <w:t>7</w:t>
            </w:r>
          </w:p>
        </w:tc>
      </w:tr>
      <w:tr w:rsidR="00E91048">
        <w:tc>
          <w:tcPr>
            <w:tcW w:w="4361" w:type="dxa"/>
            <w:vAlign w:val="center"/>
          </w:tcPr>
          <w:p w:rsidR="00E91048" w:rsidRPr="005E3A8B" w:rsidRDefault="005E3A8B">
            <w:pPr>
              <w:spacing w:after="0" w:line="240" w:lineRule="auto"/>
              <w:jc w:val="center"/>
              <w:rPr>
                <w:noProof/>
                <w:sz w:val="24"/>
                <w:lang w:val="fr-FR"/>
              </w:rPr>
            </w:pPr>
            <w:r w:rsidRPr="005E3A8B">
              <w:rPr>
                <w:noProof/>
                <w:sz w:val="24"/>
                <w:lang w:val="fr-FR"/>
              </w:rPr>
              <w:t>Voix au Conseil anciens États membres</w:t>
            </w:r>
          </w:p>
        </w:tc>
        <w:tc>
          <w:tcPr>
            <w:tcW w:w="1417" w:type="dxa"/>
            <w:vAlign w:val="center"/>
          </w:tcPr>
          <w:p w:rsidR="00E91048" w:rsidRDefault="005E3A8B">
            <w:pPr>
              <w:spacing w:after="0" w:line="240" w:lineRule="auto"/>
              <w:jc w:val="center"/>
              <w:rPr>
                <w:noProof/>
                <w:sz w:val="24"/>
              </w:rPr>
            </w:pPr>
            <w:r>
              <w:rPr>
                <w:noProof/>
                <w:sz w:val="24"/>
              </w:rPr>
              <w:t>237</w:t>
            </w:r>
          </w:p>
        </w:tc>
        <w:tc>
          <w:tcPr>
            <w:tcW w:w="1560" w:type="dxa"/>
            <w:vAlign w:val="center"/>
          </w:tcPr>
          <w:p w:rsidR="00E91048" w:rsidRDefault="005E3A8B">
            <w:pPr>
              <w:spacing w:after="0" w:line="240" w:lineRule="auto"/>
              <w:jc w:val="center"/>
              <w:rPr>
                <w:noProof/>
                <w:sz w:val="24"/>
              </w:rPr>
            </w:pPr>
            <w:r>
              <w:rPr>
                <w:noProof/>
                <w:sz w:val="24"/>
              </w:rPr>
              <w:t>321</w:t>
            </w:r>
          </w:p>
        </w:tc>
        <w:tc>
          <w:tcPr>
            <w:tcW w:w="1496" w:type="dxa"/>
            <w:vAlign w:val="center"/>
          </w:tcPr>
          <w:p w:rsidR="00E91048" w:rsidRDefault="005E3A8B">
            <w:pPr>
              <w:spacing w:after="0" w:line="240" w:lineRule="auto"/>
              <w:jc w:val="center"/>
              <w:rPr>
                <w:noProof/>
                <w:sz w:val="24"/>
              </w:rPr>
            </w:pPr>
            <w:r>
              <w:rPr>
                <w:noProof/>
                <w:sz w:val="24"/>
              </w:rPr>
              <w:t>345</w:t>
            </w:r>
          </w:p>
        </w:tc>
      </w:tr>
      <w:tr w:rsidR="00E91048">
        <w:tc>
          <w:tcPr>
            <w:tcW w:w="4361" w:type="dxa"/>
            <w:vAlign w:val="center"/>
          </w:tcPr>
          <w:p w:rsidR="00E91048" w:rsidRPr="005E3A8B" w:rsidRDefault="005E3A8B">
            <w:pPr>
              <w:spacing w:after="0" w:line="240" w:lineRule="auto"/>
              <w:jc w:val="center"/>
              <w:rPr>
                <w:noProof/>
                <w:sz w:val="24"/>
                <w:lang w:val="fr-FR"/>
              </w:rPr>
            </w:pPr>
            <w:r w:rsidRPr="005E3A8B">
              <w:rPr>
                <w:noProof/>
                <w:sz w:val="24"/>
                <w:lang w:val="fr-FR"/>
              </w:rPr>
              <w:t xml:space="preserve">Poids nouveau(x) États membre(s) </w:t>
            </w:r>
          </w:p>
        </w:tc>
        <w:tc>
          <w:tcPr>
            <w:tcW w:w="1417" w:type="dxa"/>
            <w:vAlign w:val="center"/>
          </w:tcPr>
          <w:p w:rsidR="00E91048" w:rsidRDefault="005E3A8B">
            <w:pPr>
              <w:spacing w:after="0" w:line="240" w:lineRule="auto"/>
              <w:jc w:val="center"/>
              <w:rPr>
                <w:noProof/>
                <w:sz w:val="24"/>
              </w:rPr>
            </w:pPr>
            <w:r>
              <w:rPr>
                <w:noProof/>
                <w:sz w:val="24"/>
              </w:rPr>
              <w:t>21,6 %</w:t>
            </w:r>
          </w:p>
        </w:tc>
        <w:tc>
          <w:tcPr>
            <w:tcW w:w="1560" w:type="dxa"/>
            <w:vAlign w:val="center"/>
          </w:tcPr>
          <w:p w:rsidR="00E91048" w:rsidRDefault="005E3A8B">
            <w:pPr>
              <w:spacing w:after="0" w:line="240" w:lineRule="auto"/>
              <w:jc w:val="center"/>
              <w:rPr>
                <w:noProof/>
                <w:sz w:val="24"/>
              </w:rPr>
            </w:pPr>
            <w:r>
              <w:rPr>
                <w:noProof/>
                <w:sz w:val="24"/>
              </w:rPr>
              <w:t>7 %</w:t>
            </w:r>
          </w:p>
        </w:tc>
        <w:tc>
          <w:tcPr>
            <w:tcW w:w="1496" w:type="dxa"/>
            <w:vAlign w:val="center"/>
          </w:tcPr>
          <w:p w:rsidR="00E91048" w:rsidRDefault="005E3A8B">
            <w:pPr>
              <w:spacing w:after="0" w:line="240" w:lineRule="auto"/>
              <w:jc w:val="center"/>
              <w:rPr>
                <w:noProof/>
                <w:sz w:val="24"/>
              </w:rPr>
            </w:pPr>
            <w:r>
              <w:rPr>
                <w:noProof/>
                <w:sz w:val="24"/>
              </w:rPr>
              <w:t>1,5 %</w:t>
            </w:r>
          </w:p>
        </w:tc>
      </w:tr>
      <w:tr w:rsidR="00E91048">
        <w:tc>
          <w:tcPr>
            <w:tcW w:w="4361" w:type="dxa"/>
            <w:vAlign w:val="center"/>
          </w:tcPr>
          <w:p w:rsidR="00E91048" w:rsidRDefault="005E3A8B">
            <w:pPr>
              <w:spacing w:after="0" w:line="240" w:lineRule="auto"/>
              <w:jc w:val="center"/>
              <w:rPr>
                <w:noProof/>
                <w:sz w:val="24"/>
              </w:rPr>
            </w:pPr>
            <w:r>
              <w:rPr>
                <w:noProof/>
                <w:sz w:val="24"/>
              </w:rPr>
              <w:t>Poids anciens États membres</w:t>
            </w:r>
          </w:p>
        </w:tc>
        <w:tc>
          <w:tcPr>
            <w:tcW w:w="1417" w:type="dxa"/>
            <w:vAlign w:val="center"/>
          </w:tcPr>
          <w:p w:rsidR="00E91048" w:rsidRDefault="005E3A8B">
            <w:pPr>
              <w:spacing w:after="0" w:line="240" w:lineRule="auto"/>
              <w:jc w:val="center"/>
              <w:rPr>
                <w:noProof/>
                <w:sz w:val="24"/>
              </w:rPr>
            </w:pPr>
            <w:r>
              <w:rPr>
                <w:noProof/>
                <w:sz w:val="24"/>
              </w:rPr>
              <w:t>78,4 %</w:t>
            </w:r>
          </w:p>
        </w:tc>
        <w:tc>
          <w:tcPr>
            <w:tcW w:w="1560" w:type="dxa"/>
            <w:vAlign w:val="center"/>
          </w:tcPr>
          <w:p w:rsidR="00E91048" w:rsidRDefault="005E3A8B">
            <w:pPr>
              <w:spacing w:after="0" w:line="240" w:lineRule="auto"/>
              <w:jc w:val="center"/>
              <w:rPr>
                <w:noProof/>
                <w:sz w:val="24"/>
              </w:rPr>
            </w:pPr>
            <w:r>
              <w:rPr>
                <w:noProof/>
                <w:sz w:val="24"/>
              </w:rPr>
              <w:t>93 %</w:t>
            </w:r>
          </w:p>
        </w:tc>
        <w:tc>
          <w:tcPr>
            <w:tcW w:w="1496" w:type="dxa"/>
            <w:vAlign w:val="center"/>
          </w:tcPr>
          <w:p w:rsidR="00E91048" w:rsidRDefault="005E3A8B">
            <w:pPr>
              <w:spacing w:after="0" w:line="240" w:lineRule="auto"/>
              <w:jc w:val="center"/>
              <w:rPr>
                <w:noProof/>
                <w:sz w:val="24"/>
              </w:rPr>
            </w:pPr>
            <w:r>
              <w:rPr>
                <w:noProof/>
                <w:sz w:val="24"/>
              </w:rPr>
              <w:t>98,5 %</w:t>
            </w:r>
          </w:p>
        </w:tc>
      </w:tr>
    </w:tbl>
    <w:p w:rsidR="00E91048" w:rsidRPr="005E3A8B" w:rsidRDefault="005E3A8B">
      <w:pPr>
        <w:spacing w:after="120" w:line="240" w:lineRule="auto"/>
        <w:jc w:val="both"/>
        <w:rPr>
          <w:rFonts w:ascii="Times New Roman" w:eastAsia="Times New Roman" w:hAnsi="Times New Roman" w:cs="Times New Roman"/>
          <w:noProof/>
          <w:sz w:val="20"/>
          <w:szCs w:val="20"/>
          <w:lang w:val="fr-FR"/>
        </w:rPr>
      </w:pPr>
      <w:r w:rsidRPr="005E3A8B">
        <w:rPr>
          <w:rFonts w:ascii="Times New Roman" w:hAnsi="Times New Roman"/>
          <w:noProof/>
          <w:sz w:val="20"/>
          <w:lang w:val="fr-FR"/>
        </w:rPr>
        <w:t xml:space="preserve">(1) les chiffres ne coïncident pas d'une colonne à l’autre parce que </w:t>
      </w:r>
      <w:r w:rsidRPr="005E3A8B">
        <w:rPr>
          <w:rFonts w:ascii="Times New Roman" w:hAnsi="Times New Roman"/>
          <w:noProof/>
          <w:sz w:val="20"/>
          <w:lang w:val="fr-FR"/>
        </w:rPr>
        <w:t>pour les élargissements de l’UE-10 la Commission a utilisé les données de 2001, pour l’UE-2, celles de 2005 et pour la Croatie, celles de 2011.</w:t>
      </w:r>
    </w:p>
    <w:p w:rsidR="00E91048" w:rsidRPr="005E3A8B" w:rsidRDefault="005E3A8B">
      <w:pPr>
        <w:spacing w:after="180" w:line="240" w:lineRule="auto"/>
        <w:jc w:val="both"/>
        <w:rPr>
          <w:rFonts w:ascii="Times New Roman" w:eastAsia="Times New Roman" w:hAnsi="Times New Roman" w:cs="Times New Roman"/>
          <w:b/>
          <w:noProof/>
          <w:sz w:val="24"/>
          <w:szCs w:val="20"/>
          <w:u w:val="single"/>
          <w:lang w:val="fr-FR"/>
        </w:rPr>
      </w:pPr>
      <w:r w:rsidRPr="005E3A8B">
        <w:rPr>
          <w:rFonts w:ascii="Times New Roman" w:hAnsi="Times New Roman"/>
          <w:b/>
          <w:noProof/>
          <w:sz w:val="24"/>
          <w:u w:val="single"/>
          <w:lang w:val="fr-FR"/>
        </w:rPr>
        <w:t>Calcul de la valeur de référence par État membre</w:t>
      </w:r>
    </w:p>
    <w:p w:rsidR="00E91048" w:rsidRPr="005E3A8B" w:rsidRDefault="005E3A8B">
      <w:pPr>
        <w:spacing w:after="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24"/>
          <w:lang w:val="fr-FR"/>
        </w:rPr>
        <w:t xml:space="preserve">La méthode de calcul est la même que pour le poids de la part </w:t>
      </w:r>
      <w:r w:rsidRPr="005E3A8B">
        <w:rPr>
          <w:rFonts w:ascii="Times New Roman" w:hAnsi="Times New Roman"/>
          <w:noProof/>
          <w:sz w:val="24"/>
          <w:lang w:val="fr-FR"/>
        </w:rPr>
        <w:t>globale des nouveaux États membres, hormis le fait que les nouveaux États membres ne sont pas comparés aux anciens États membres mais uniquement entre eux.</w:t>
      </w:r>
    </w:p>
    <w:p w:rsidR="00E91048" w:rsidRDefault="005E3A8B">
      <w:pPr>
        <w:spacing w:before="60" w:after="240" w:line="240" w:lineRule="auto"/>
        <w:jc w:val="both"/>
        <w:rPr>
          <w:rFonts w:ascii="Times New Roman" w:eastAsia="Times New Roman" w:hAnsi="Times New Roman" w:cs="Times New Roman"/>
          <w:b/>
          <w:noProof/>
          <w:sz w:val="24"/>
          <w:szCs w:val="20"/>
          <w:u w:val="single"/>
        </w:rPr>
      </w:pPr>
      <w:r>
        <w:rPr>
          <w:rFonts w:ascii="Times New Roman" w:hAnsi="Times New Roman"/>
          <w:b/>
          <w:noProof/>
          <w:sz w:val="24"/>
          <w:u w:val="single"/>
        </w:rPr>
        <w:t>Application pratique de la méthodologie</w:t>
      </w:r>
    </w:p>
    <w:tbl>
      <w:tblPr>
        <w:tblW w:w="79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1295"/>
        <w:gridCol w:w="1346"/>
        <w:gridCol w:w="1346"/>
      </w:tblGrid>
      <w:tr w:rsidR="00E91048">
        <w:trPr>
          <w:trHeight w:val="900"/>
        </w:trPr>
        <w:tc>
          <w:tcPr>
            <w:tcW w:w="3984" w:type="dxa"/>
            <w:shd w:val="clear" w:color="auto" w:fill="auto"/>
            <w:noWrap/>
            <w:vAlign w:val="center"/>
            <w:hideMark/>
          </w:tcPr>
          <w:p w:rsidR="00E91048" w:rsidRDefault="00E91048">
            <w:pPr>
              <w:spacing w:after="0" w:line="240" w:lineRule="auto"/>
              <w:rPr>
                <w:rFonts w:eastAsia="Times New Roman" w:cs="Times New Roman"/>
                <w:noProof/>
                <w:color w:val="000000"/>
              </w:rPr>
            </w:pPr>
          </w:p>
        </w:tc>
        <w:tc>
          <w:tcPr>
            <w:tcW w:w="1329" w:type="dxa"/>
            <w:vAlign w:val="center"/>
          </w:tcPr>
          <w:p w:rsidR="00E91048" w:rsidRDefault="005E3A8B">
            <w:pPr>
              <w:spacing w:after="0" w:line="240" w:lineRule="auto"/>
              <w:jc w:val="center"/>
              <w:rPr>
                <w:rFonts w:eastAsia="Times New Roman" w:cs="Times New Roman"/>
                <w:noProof/>
                <w:color w:val="000000"/>
              </w:rPr>
            </w:pPr>
            <w:r>
              <w:rPr>
                <w:noProof/>
                <w:color w:val="000000"/>
              </w:rPr>
              <w:t>Valeur de référence indicative</w:t>
            </w:r>
          </w:p>
        </w:tc>
        <w:tc>
          <w:tcPr>
            <w:tcW w:w="1329" w:type="dxa"/>
            <w:shd w:val="clear" w:color="auto" w:fill="auto"/>
            <w:vAlign w:val="center"/>
            <w:hideMark/>
          </w:tcPr>
          <w:p w:rsidR="00E91048" w:rsidRDefault="005E3A8B">
            <w:pPr>
              <w:spacing w:after="0" w:line="240" w:lineRule="auto"/>
              <w:jc w:val="center"/>
              <w:rPr>
                <w:rFonts w:eastAsia="Times New Roman" w:cs="Times New Roman"/>
                <w:noProof/>
                <w:color w:val="000000"/>
              </w:rPr>
            </w:pPr>
            <w:r>
              <w:rPr>
                <w:noProof/>
                <w:color w:val="000000"/>
              </w:rPr>
              <w:t>Objectif de recrutement AD</w:t>
            </w:r>
          </w:p>
        </w:tc>
        <w:tc>
          <w:tcPr>
            <w:tcW w:w="1329" w:type="dxa"/>
            <w:shd w:val="clear" w:color="auto" w:fill="auto"/>
            <w:vAlign w:val="center"/>
            <w:hideMark/>
          </w:tcPr>
          <w:p w:rsidR="00E91048" w:rsidRDefault="005E3A8B">
            <w:pPr>
              <w:spacing w:after="0" w:line="240" w:lineRule="auto"/>
              <w:jc w:val="center"/>
              <w:rPr>
                <w:rFonts w:eastAsia="Times New Roman" w:cs="Times New Roman"/>
                <w:noProof/>
                <w:color w:val="000000"/>
              </w:rPr>
            </w:pPr>
            <w:r>
              <w:rPr>
                <w:noProof/>
                <w:color w:val="000000"/>
              </w:rPr>
              <w:t>Objectif de recrutement AST</w:t>
            </w:r>
          </w:p>
        </w:tc>
      </w:tr>
      <w:tr w:rsidR="00E91048">
        <w:trPr>
          <w:trHeight w:val="300"/>
        </w:trPr>
        <w:tc>
          <w:tcPr>
            <w:tcW w:w="3984" w:type="dxa"/>
            <w:shd w:val="clear" w:color="auto" w:fill="auto"/>
            <w:noWrap/>
            <w:vAlign w:val="center"/>
          </w:tcPr>
          <w:p w:rsidR="00E91048" w:rsidRDefault="005E3A8B">
            <w:pPr>
              <w:spacing w:after="0" w:line="240" w:lineRule="auto"/>
              <w:jc w:val="center"/>
              <w:rPr>
                <w:rFonts w:eastAsia="Times New Roman" w:cs="Times New Roman"/>
                <w:noProof/>
                <w:color w:val="000000"/>
              </w:rPr>
            </w:pPr>
            <w:r>
              <w:rPr>
                <w:noProof/>
                <w:color w:val="000000"/>
              </w:rPr>
              <w:t>République tchèque</w:t>
            </w:r>
          </w:p>
        </w:tc>
        <w:tc>
          <w:tcPr>
            <w:tcW w:w="1329" w:type="dxa"/>
            <w:vAlign w:val="center"/>
          </w:tcPr>
          <w:p w:rsidR="00E91048" w:rsidRDefault="005E3A8B">
            <w:pPr>
              <w:spacing w:after="0" w:line="240" w:lineRule="auto"/>
              <w:jc w:val="center"/>
              <w:rPr>
                <w:rFonts w:eastAsia="Times New Roman" w:cs="Times New Roman"/>
                <w:noProof/>
                <w:color w:val="000000"/>
              </w:rPr>
            </w:pPr>
            <w:r>
              <w:rPr>
                <w:noProof/>
                <w:color w:val="000000"/>
              </w:rPr>
              <w:t>14,3%</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318</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184</w:t>
            </w:r>
          </w:p>
        </w:tc>
      </w:tr>
      <w:tr w:rsidR="00E91048">
        <w:trPr>
          <w:trHeight w:val="300"/>
        </w:trPr>
        <w:tc>
          <w:tcPr>
            <w:tcW w:w="3984" w:type="dxa"/>
            <w:shd w:val="clear" w:color="auto" w:fill="auto"/>
            <w:noWrap/>
            <w:vAlign w:val="center"/>
          </w:tcPr>
          <w:p w:rsidR="00E91048" w:rsidRDefault="005E3A8B">
            <w:pPr>
              <w:spacing w:after="0" w:line="240" w:lineRule="auto"/>
              <w:jc w:val="center"/>
              <w:rPr>
                <w:rFonts w:eastAsia="Times New Roman" w:cs="Times New Roman"/>
                <w:noProof/>
                <w:color w:val="000000"/>
              </w:rPr>
            </w:pPr>
            <w:r>
              <w:rPr>
                <w:noProof/>
                <w:color w:val="000000"/>
              </w:rPr>
              <w:t>Estonie</w:t>
            </w:r>
          </w:p>
        </w:tc>
        <w:tc>
          <w:tcPr>
            <w:tcW w:w="1329" w:type="dxa"/>
            <w:vAlign w:val="center"/>
          </w:tcPr>
          <w:p w:rsidR="00E91048" w:rsidRDefault="005E3A8B">
            <w:pPr>
              <w:spacing w:after="0" w:line="240" w:lineRule="auto"/>
              <w:jc w:val="center"/>
              <w:rPr>
                <w:rFonts w:eastAsia="Times New Roman" w:cs="Times New Roman"/>
                <w:noProof/>
                <w:color w:val="000000"/>
              </w:rPr>
            </w:pPr>
            <w:r>
              <w:rPr>
                <w:noProof/>
                <w:color w:val="000000"/>
              </w:rPr>
              <w:t>3,4%</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76</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44</w:t>
            </w:r>
          </w:p>
        </w:tc>
      </w:tr>
      <w:tr w:rsidR="00E91048">
        <w:trPr>
          <w:trHeight w:val="300"/>
        </w:trPr>
        <w:tc>
          <w:tcPr>
            <w:tcW w:w="3984" w:type="dxa"/>
            <w:shd w:val="clear" w:color="auto" w:fill="auto"/>
            <w:noWrap/>
            <w:vAlign w:val="center"/>
          </w:tcPr>
          <w:p w:rsidR="00E91048" w:rsidRDefault="005E3A8B">
            <w:pPr>
              <w:spacing w:after="0" w:line="240" w:lineRule="auto"/>
              <w:jc w:val="center"/>
              <w:rPr>
                <w:rFonts w:eastAsia="Times New Roman" w:cs="Times New Roman"/>
                <w:noProof/>
                <w:color w:val="000000"/>
              </w:rPr>
            </w:pPr>
            <w:r>
              <w:rPr>
                <w:noProof/>
                <w:color w:val="000000"/>
              </w:rPr>
              <w:t>Chypre</w:t>
            </w:r>
          </w:p>
        </w:tc>
        <w:tc>
          <w:tcPr>
            <w:tcW w:w="1329" w:type="dxa"/>
            <w:vAlign w:val="center"/>
          </w:tcPr>
          <w:p w:rsidR="00E91048" w:rsidRDefault="005E3A8B">
            <w:pPr>
              <w:spacing w:after="0" w:line="240" w:lineRule="auto"/>
              <w:jc w:val="center"/>
              <w:rPr>
                <w:rFonts w:eastAsia="Times New Roman" w:cs="Times New Roman"/>
                <w:noProof/>
                <w:color w:val="000000"/>
              </w:rPr>
            </w:pPr>
            <w:r>
              <w:rPr>
                <w:noProof/>
                <w:color w:val="000000"/>
              </w:rPr>
              <w:t>3,2%</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71</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41</w:t>
            </w:r>
          </w:p>
        </w:tc>
      </w:tr>
      <w:tr w:rsidR="00E91048">
        <w:trPr>
          <w:trHeight w:val="300"/>
        </w:trPr>
        <w:tc>
          <w:tcPr>
            <w:tcW w:w="3984" w:type="dxa"/>
            <w:shd w:val="clear" w:color="auto" w:fill="auto"/>
            <w:noWrap/>
            <w:vAlign w:val="center"/>
          </w:tcPr>
          <w:p w:rsidR="00E91048" w:rsidRDefault="005E3A8B">
            <w:pPr>
              <w:spacing w:after="0" w:line="240" w:lineRule="auto"/>
              <w:jc w:val="center"/>
              <w:rPr>
                <w:rFonts w:eastAsia="Times New Roman" w:cs="Times New Roman"/>
                <w:noProof/>
                <w:color w:val="000000"/>
              </w:rPr>
            </w:pPr>
            <w:r>
              <w:rPr>
                <w:noProof/>
                <w:color w:val="000000"/>
              </w:rPr>
              <w:t>Lettonie</w:t>
            </w:r>
          </w:p>
        </w:tc>
        <w:tc>
          <w:tcPr>
            <w:tcW w:w="1329" w:type="dxa"/>
            <w:vAlign w:val="center"/>
          </w:tcPr>
          <w:p w:rsidR="00E91048" w:rsidRDefault="005E3A8B">
            <w:pPr>
              <w:spacing w:after="0" w:line="240" w:lineRule="auto"/>
              <w:jc w:val="center"/>
              <w:rPr>
                <w:rFonts w:eastAsia="Times New Roman" w:cs="Times New Roman"/>
                <w:noProof/>
                <w:color w:val="000000"/>
              </w:rPr>
            </w:pPr>
            <w:r>
              <w:rPr>
                <w:noProof/>
                <w:color w:val="000000"/>
              </w:rPr>
              <w:t>4,5%</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100</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58</w:t>
            </w:r>
          </w:p>
        </w:tc>
      </w:tr>
      <w:tr w:rsidR="00E91048">
        <w:trPr>
          <w:trHeight w:val="300"/>
        </w:trPr>
        <w:tc>
          <w:tcPr>
            <w:tcW w:w="3984" w:type="dxa"/>
            <w:shd w:val="clear" w:color="auto" w:fill="auto"/>
            <w:noWrap/>
            <w:vAlign w:val="center"/>
          </w:tcPr>
          <w:p w:rsidR="00E91048" w:rsidRDefault="005E3A8B">
            <w:pPr>
              <w:spacing w:after="0" w:line="240" w:lineRule="auto"/>
              <w:jc w:val="center"/>
              <w:rPr>
                <w:rFonts w:eastAsia="Times New Roman" w:cs="Times New Roman"/>
                <w:noProof/>
                <w:color w:val="000000"/>
              </w:rPr>
            </w:pPr>
            <w:r>
              <w:rPr>
                <w:noProof/>
                <w:color w:val="000000"/>
              </w:rPr>
              <w:t>Lituanie</w:t>
            </w:r>
          </w:p>
        </w:tc>
        <w:tc>
          <w:tcPr>
            <w:tcW w:w="1329" w:type="dxa"/>
            <w:vAlign w:val="center"/>
          </w:tcPr>
          <w:p w:rsidR="00E91048" w:rsidRDefault="005E3A8B">
            <w:pPr>
              <w:spacing w:after="0" w:line="240" w:lineRule="auto"/>
              <w:jc w:val="center"/>
              <w:rPr>
                <w:rFonts w:eastAsia="Times New Roman" w:cs="Times New Roman"/>
                <w:noProof/>
                <w:color w:val="000000"/>
              </w:rPr>
            </w:pPr>
            <w:r>
              <w:rPr>
                <w:noProof/>
                <w:color w:val="000000"/>
              </w:rPr>
              <w:t>7,0%</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156</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90</w:t>
            </w:r>
          </w:p>
        </w:tc>
      </w:tr>
      <w:tr w:rsidR="00E91048">
        <w:trPr>
          <w:trHeight w:val="300"/>
        </w:trPr>
        <w:tc>
          <w:tcPr>
            <w:tcW w:w="3984" w:type="dxa"/>
            <w:shd w:val="clear" w:color="auto" w:fill="auto"/>
            <w:noWrap/>
            <w:vAlign w:val="center"/>
          </w:tcPr>
          <w:p w:rsidR="00E91048" w:rsidRDefault="005E3A8B">
            <w:pPr>
              <w:spacing w:after="0" w:line="240" w:lineRule="auto"/>
              <w:jc w:val="center"/>
              <w:rPr>
                <w:rFonts w:eastAsia="Times New Roman" w:cs="Times New Roman"/>
                <w:noProof/>
                <w:color w:val="000000"/>
              </w:rPr>
            </w:pPr>
            <w:r>
              <w:rPr>
                <w:noProof/>
                <w:color w:val="000000"/>
              </w:rPr>
              <w:t>Hongrie</w:t>
            </w:r>
          </w:p>
        </w:tc>
        <w:tc>
          <w:tcPr>
            <w:tcW w:w="1329" w:type="dxa"/>
            <w:vAlign w:val="center"/>
          </w:tcPr>
          <w:p w:rsidR="00E91048" w:rsidRDefault="005E3A8B">
            <w:pPr>
              <w:spacing w:after="0" w:line="240" w:lineRule="auto"/>
              <w:jc w:val="center"/>
              <w:rPr>
                <w:rFonts w:eastAsia="Times New Roman" w:cs="Times New Roman"/>
                <w:noProof/>
                <w:color w:val="000000"/>
              </w:rPr>
            </w:pPr>
            <w:r>
              <w:rPr>
                <w:noProof/>
                <w:color w:val="000000"/>
              </w:rPr>
              <w:t>14,2%</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316</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182</w:t>
            </w:r>
          </w:p>
        </w:tc>
      </w:tr>
      <w:tr w:rsidR="00E91048">
        <w:trPr>
          <w:trHeight w:val="300"/>
        </w:trPr>
        <w:tc>
          <w:tcPr>
            <w:tcW w:w="3984" w:type="dxa"/>
            <w:shd w:val="clear" w:color="auto" w:fill="auto"/>
            <w:noWrap/>
            <w:vAlign w:val="center"/>
          </w:tcPr>
          <w:p w:rsidR="00E91048" w:rsidRDefault="005E3A8B">
            <w:pPr>
              <w:spacing w:after="0" w:line="240" w:lineRule="auto"/>
              <w:jc w:val="center"/>
              <w:rPr>
                <w:rFonts w:eastAsia="Times New Roman" w:cs="Times New Roman"/>
                <w:noProof/>
                <w:color w:val="000000"/>
              </w:rPr>
            </w:pPr>
            <w:r>
              <w:rPr>
                <w:noProof/>
                <w:color w:val="000000"/>
              </w:rPr>
              <w:t>Malte</w:t>
            </w:r>
          </w:p>
        </w:tc>
        <w:tc>
          <w:tcPr>
            <w:tcW w:w="1329" w:type="dxa"/>
            <w:vAlign w:val="center"/>
          </w:tcPr>
          <w:p w:rsidR="00E91048" w:rsidRDefault="005E3A8B">
            <w:pPr>
              <w:spacing w:after="0" w:line="240" w:lineRule="auto"/>
              <w:jc w:val="center"/>
              <w:rPr>
                <w:rFonts w:eastAsia="Times New Roman" w:cs="Times New Roman"/>
                <w:noProof/>
                <w:color w:val="000000"/>
              </w:rPr>
            </w:pPr>
            <w:r>
              <w:rPr>
                <w:noProof/>
                <w:color w:val="000000"/>
              </w:rPr>
              <w:t>2,4%</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53</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31</w:t>
            </w:r>
          </w:p>
        </w:tc>
      </w:tr>
      <w:tr w:rsidR="00E91048">
        <w:trPr>
          <w:trHeight w:val="300"/>
        </w:trPr>
        <w:tc>
          <w:tcPr>
            <w:tcW w:w="3984" w:type="dxa"/>
            <w:shd w:val="clear" w:color="auto" w:fill="auto"/>
            <w:noWrap/>
            <w:vAlign w:val="center"/>
          </w:tcPr>
          <w:p w:rsidR="00E91048" w:rsidRDefault="005E3A8B">
            <w:pPr>
              <w:spacing w:after="0" w:line="240" w:lineRule="auto"/>
              <w:jc w:val="center"/>
              <w:rPr>
                <w:rFonts w:eastAsia="Times New Roman" w:cs="Times New Roman"/>
                <w:noProof/>
                <w:color w:val="000000"/>
              </w:rPr>
            </w:pPr>
            <w:r>
              <w:rPr>
                <w:noProof/>
                <w:color w:val="000000"/>
              </w:rPr>
              <w:t>Pologne</w:t>
            </w:r>
          </w:p>
        </w:tc>
        <w:tc>
          <w:tcPr>
            <w:tcW w:w="1329" w:type="dxa"/>
            <w:vAlign w:val="center"/>
          </w:tcPr>
          <w:p w:rsidR="00E91048" w:rsidRDefault="005E3A8B">
            <w:pPr>
              <w:spacing w:after="0" w:line="240" w:lineRule="auto"/>
              <w:jc w:val="center"/>
              <w:rPr>
                <w:rFonts w:eastAsia="Times New Roman" w:cs="Times New Roman"/>
                <w:noProof/>
                <w:color w:val="000000"/>
              </w:rPr>
            </w:pPr>
            <w:r>
              <w:rPr>
                <w:noProof/>
                <w:color w:val="000000"/>
              </w:rPr>
              <w:t>39,0%</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867</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501</w:t>
            </w:r>
          </w:p>
        </w:tc>
      </w:tr>
      <w:tr w:rsidR="00E91048">
        <w:trPr>
          <w:trHeight w:val="300"/>
        </w:trPr>
        <w:tc>
          <w:tcPr>
            <w:tcW w:w="3984" w:type="dxa"/>
            <w:shd w:val="clear" w:color="auto" w:fill="auto"/>
            <w:noWrap/>
            <w:vAlign w:val="center"/>
          </w:tcPr>
          <w:p w:rsidR="00E91048" w:rsidRDefault="005E3A8B">
            <w:pPr>
              <w:spacing w:after="0" w:line="240" w:lineRule="auto"/>
              <w:jc w:val="center"/>
              <w:rPr>
                <w:rFonts w:eastAsia="Times New Roman" w:cs="Times New Roman"/>
                <w:noProof/>
                <w:color w:val="000000"/>
              </w:rPr>
            </w:pPr>
            <w:r>
              <w:rPr>
                <w:noProof/>
                <w:color w:val="000000"/>
              </w:rPr>
              <w:t>Slovénie</w:t>
            </w:r>
          </w:p>
        </w:tc>
        <w:tc>
          <w:tcPr>
            <w:tcW w:w="1329" w:type="dxa"/>
            <w:vAlign w:val="center"/>
          </w:tcPr>
          <w:p w:rsidR="00E91048" w:rsidRDefault="005E3A8B">
            <w:pPr>
              <w:spacing w:after="0" w:line="240" w:lineRule="auto"/>
              <w:jc w:val="center"/>
              <w:rPr>
                <w:rFonts w:eastAsia="Times New Roman" w:cs="Times New Roman"/>
                <w:noProof/>
                <w:color w:val="000000"/>
              </w:rPr>
            </w:pPr>
            <w:r>
              <w:rPr>
                <w:noProof/>
                <w:color w:val="000000"/>
              </w:rPr>
              <w:t>3,9%</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87</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50</w:t>
            </w:r>
          </w:p>
        </w:tc>
      </w:tr>
      <w:tr w:rsidR="00E91048">
        <w:trPr>
          <w:trHeight w:val="300"/>
        </w:trPr>
        <w:tc>
          <w:tcPr>
            <w:tcW w:w="3984" w:type="dxa"/>
            <w:shd w:val="clear" w:color="auto" w:fill="auto"/>
            <w:noWrap/>
            <w:vAlign w:val="center"/>
          </w:tcPr>
          <w:p w:rsidR="00E91048" w:rsidRDefault="005E3A8B">
            <w:pPr>
              <w:spacing w:after="0" w:line="240" w:lineRule="auto"/>
              <w:jc w:val="center"/>
              <w:rPr>
                <w:rFonts w:eastAsia="Times New Roman" w:cs="Times New Roman"/>
                <w:noProof/>
                <w:color w:val="000000"/>
              </w:rPr>
            </w:pPr>
            <w:r>
              <w:rPr>
                <w:noProof/>
                <w:color w:val="000000"/>
              </w:rPr>
              <w:t>Slovaquie</w:t>
            </w:r>
          </w:p>
        </w:tc>
        <w:tc>
          <w:tcPr>
            <w:tcW w:w="1329" w:type="dxa"/>
            <w:vAlign w:val="center"/>
          </w:tcPr>
          <w:p w:rsidR="00E91048" w:rsidRDefault="005E3A8B">
            <w:pPr>
              <w:spacing w:after="0" w:line="240" w:lineRule="auto"/>
              <w:jc w:val="center"/>
              <w:rPr>
                <w:rFonts w:eastAsia="Times New Roman" w:cs="Times New Roman"/>
                <w:noProof/>
                <w:color w:val="000000"/>
              </w:rPr>
            </w:pPr>
            <w:r>
              <w:rPr>
                <w:noProof/>
                <w:color w:val="000000"/>
              </w:rPr>
              <w:t>8,1%</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180</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104</w:t>
            </w:r>
          </w:p>
        </w:tc>
      </w:tr>
      <w:tr w:rsidR="00E91048">
        <w:trPr>
          <w:trHeight w:val="300"/>
        </w:trPr>
        <w:tc>
          <w:tcPr>
            <w:tcW w:w="3984" w:type="dxa"/>
            <w:tcBorders>
              <w:bottom w:val="single" w:sz="4" w:space="0" w:color="auto"/>
            </w:tcBorders>
            <w:shd w:val="clear" w:color="auto" w:fill="auto"/>
            <w:noWrap/>
            <w:vAlign w:val="center"/>
          </w:tcPr>
          <w:p w:rsidR="00E91048" w:rsidRDefault="005E3A8B">
            <w:pPr>
              <w:spacing w:after="0" w:line="240" w:lineRule="auto"/>
              <w:jc w:val="center"/>
              <w:rPr>
                <w:rFonts w:eastAsia="Times New Roman" w:cs="Times New Roman"/>
                <w:b/>
                <w:noProof/>
                <w:color w:val="000000"/>
              </w:rPr>
            </w:pPr>
            <w:r>
              <w:rPr>
                <w:b/>
                <w:noProof/>
                <w:color w:val="000000"/>
              </w:rPr>
              <w:t xml:space="preserve">UE-10 </w:t>
            </w:r>
            <w:r>
              <w:rPr>
                <w:b/>
                <w:noProof/>
                <w:color w:val="000000"/>
                <w:sz w:val="16"/>
              </w:rPr>
              <w:t>(1)</w:t>
            </w:r>
          </w:p>
        </w:tc>
        <w:tc>
          <w:tcPr>
            <w:tcW w:w="1329" w:type="dxa"/>
            <w:vAlign w:val="center"/>
          </w:tcPr>
          <w:p w:rsidR="00E91048" w:rsidRDefault="005E3A8B">
            <w:pPr>
              <w:spacing w:after="0" w:line="240" w:lineRule="auto"/>
              <w:jc w:val="center"/>
              <w:rPr>
                <w:rFonts w:eastAsia="Times New Roman" w:cs="Times New Roman"/>
                <w:b/>
                <w:noProof/>
                <w:color w:val="000000"/>
              </w:rPr>
            </w:pPr>
            <w:r>
              <w:rPr>
                <w:b/>
                <w:noProof/>
                <w:color w:val="000000"/>
              </w:rPr>
              <w:t>100,0%</w:t>
            </w:r>
          </w:p>
        </w:tc>
        <w:tc>
          <w:tcPr>
            <w:tcW w:w="1329" w:type="dxa"/>
            <w:tcBorders>
              <w:bottom w:val="single" w:sz="4" w:space="0" w:color="auto"/>
            </w:tcBorders>
            <w:shd w:val="clear" w:color="auto" w:fill="auto"/>
            <w:noWrap/>
            <w:vAlign w:val="bottom"/>
          </w:tcPr>
          <w:p w:rsidR="00E91048" w:rsidRDefault="005E3A8B">
            <w:pPr>
              <w:spacing w:after="0" w:line="240" w:lineRule="auto"/>
              <w:jc w:val="center"/>
              <w:rPr>
                <w:rFonts w:eastAsia="Times New Roman" w:cs="Arial"/>
                <w:b/>
                <w:bCs/>
                <w:noProof/>
              </w:rPr>
            </w:pPr>
            <w:r>
              <w:rPr>
                <w:b/>
                <w:noProof/>
              </w:rPr>
              <w:t>2 224</w:t>
            </w:r>
          </w:p>
        </w:tc>
        <w:tc>
          <w:tcPr>
            <w:tcW w:w="1329" w:type="dxa"/>
            <w:tcBorders>
              <w:bottom w:val="single" w:sz="4" w:space="0" w:color="auto"/>
            </w:tcBorders>
            <w:shd w:val="clear" w:color="auto" w:fill="auto"/>
            <w:noWrap/>
            <w:vAlign w:val="bottom"/>
          </w:tcPr>
          <w:p w:rsidR="00E91048" w:rsidRDefault="005E3A8B">
            <w:pPr>
              <w:spacing w:after="0" w:line="240" w:lineRule="auto"/>
              <w:jc w:val="center"/>
              <w:rPr>
                <w:rFonts w:eastAsia="Times New Roman" w:cs="Arial"/>
                <w:b/>
                <w:bCs/>
                <w:noProof/>
              </w:rPr>
            </w:pPr>
            <w:r>
              <w:rPr>
                <w:b/>
                <w:noProof/>
              </w:rPr>
              <w:t>1284</w:t>
            </w:r>
          </w:p>
        </w:tc>
      </w:tr>
      <w:tr w:rsidR="00E91048">
        <w:trPr>
          <w:trHeight w:val="300"/>
        </w:trPr>
        <w:tc>
          <w:tcPr>
            <w:tcW w:w="3984" w:type="dxa"/>
            <w:tcBorders>
              <w:left w:val="nil"/>
              <w:right w:val="nil"/>
            </w:tcBorders>
            <w:shd w:val="clear" w:color="auto" w:fill="auto"/>
            <w:noWrap/>
            <w:vAlign w:val="center"/>
          </w:tcPr>
          <w:p w:rsidR="00E91048" w:rsidRDefault="00E91048">
            <w:pPr>
              <w:spacing w:after="0" w:line="240" w:lineRule="auto"/>
              <w:jc w:val="center"/>
              <w:rPr>
                <w:rFonts w:eastAsia="Times New Roman" w:cs="Times New Roman"/>
                <w:noProof/>
                <w:color w:val="000000"/>
              </w:rPr>
            </w:pPr>
          </w:p>
        </w:tc>
        <w:tc>
          <w:tcPr>
            <w:tcW w:w="1329" w:type="dxa"/>
            <w:tcBorders>
              <w:left w:val="nil"/>
              <w:right w:val="nil"/>
            </w:tcBorders>
          </w:tcPr>
          <w:p w:rsidR="00E91048" w:rsidRDefault="00E91048">
            <w:pPr>
              <w:spacing w:after="0" w:line="240" w:lineRule="auto"/>
              <w:jc w:val="center"/>
              <w:rPr>
                <w:rFonts w:eastAsia="Times New Roman" w:cs="Times New Roman"/>
                <w:noProof/>
                <w:color w:val="000000"/>
              </w:rPr>
            </w:pPr>
          </w:p>
        </w:tc>
        <w:tc>
          <w:tcPr>
            <w:tcW w:w="1329" w:type="dxa"/>
            <w:tcBorders>
              <w:left w:val="nil"/>
              <w:right w:val="nil"/>
            </w:tcBorders>
            <w:shd w:val="clear" w:color="auto" w:fill="auto"/>
            <w:noWrap/>
            <w:vAlign w:val="center"/>
          </w:tcPr>
          <w:p w:rsidR="00E91048" w:rsidRDefault="00E91048">
            <w:pPr>
              <w:spacing w:after="0" w:line="240" w:lineRule="auto"/>
              <w:jc w:val="center"/>
              <w:rPr>
                <w:rFonts w:eastAsia="Times New Roman" w:cs="Times New Roman"/>
                <w:noProof/>
                <w:color w:val="000000"/>
              </w:rPr>
            </w:pPr>
          </w:p>
        </w:tc>
        <w:tc>
          <w:tcPr>
            <w:tcW w:w="1329" w:type="dxa"/>
            <w:tcBorders>
              <w:left w:val="nil"/>
              <w:right w:val="nil"/>
            </w:tcBorders>
            <w:shd w:val="clear" w:color="auto" w:fill="auto"/>
            <w:noWrap/>
            <w:vAlign w:val="center"/>
          </w:tcPr>
          <w:p w:rsidR="00E91048" w:rsidRDefault="00E91048">
            <w:pPr>
              <w:spacing w:after="0" w:line="240" w:lineRule="auto"/>
              <w:jc w:val="center"/>
              <w:rPr>
                <w:rFonts w:eastAsia="Times New Roman" w:cs="Times New Roman"/>
                <w:noProof/>
                <w:color w:val="000000"/>
              </w:rPr>
            </w:pPr>
          </w:p>
        </w:tc>
      </w:tr>
      <w:tr w:rsidR="00E91048">
        <w:trPr>
          <w:trHeight w:val="300"/>
        </w:trPr>
        <w:tc>
          <w:tcPr>
            <w:tcW w:w="3984" w:type="dxa"/>
            <w:shd w:val="clear" w:color="auto" w:fill="auto"/>
            <w:noWrap/>
            <w:vAlign w:val="center"/>
          </w:tcPr>
          <w:p w:rsidR="00E91048" w:rsidRDefault="005E3A8B">
            <w:pPr>
              <w:spacing w:after="0" w:line="240" w:lineRule="auto"/>
              <w:jc w:val="center"/>
              <w:rPr>
                <w:rFonts w:eastAsia="Times New Roman" w:cs="Times New Roman"/>
                <w:noProof/>
                <w:color w:val="000000"/>
              </w:rPr>
            </w:pPr>
            <w:r>
              <w:rPr>
                <w:noProof/>
                <w:color w:val="000000"/>
              </w:rPr>
              <w:t>Bulgarie</w:t>
            </w:r>
          </w:p>
        </w:tc>
        <w:tc>
          <w:tcPr>
            <w:tcW w:w="1329" w:type="dxa"/>
            <w:vAlign w:val="center"/>
          </w:tcPr>
          <w:p w:rsidR="00E91048" w:rsidRDefault="005E3A8B">
            <w:pPr>
              <w:spacing w:after="0" w:line="240" w:lineRule="auto"/>
              <w:jc w:val="center"/>
              <w:rPr>
                <w:rFonts w:eastAsia="Times New Roman" w:cs="Times New Roman"/>
                <w:noProof/>
                <w:color w:val="000000"/>
              </w:rPr>
            </w:pPr>
            <w:r>
              <w:rPr>
                <w:noProof/>
                <w:color w:val="000000"/>
              </w:rPr>
              <w:t>34,0%</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225</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135</w:t>
            </w:r>
          </w:p>
        </w:tc>
      </w:tr>
      <w:tr w:rsidR="00E91048">
        <w:trPr>
          <w:trHeight w:val="300"/>
        </w:trPr>
        <w:tc>
          <w:tcPr>
            <w:tcW w:w="3984" w:type="dxa"/>
            <w:shd w:val="clear" w:color="auto" w:fill="auto"/>
            <w:noWrap/>
            <w:vAlign w:val="center"/>
          </w:tcPr>
          <w:p w:rsidR="00E91048" w:rsidRDefault="005E3A8B">
            <w:pPr>
              <w:spacing w:after="0" w:line="240" w:lineRule="auto"/>
              <w:jc w:val="center"/>
              <w:rPr>
                <w:rFonts w:eastAsia="Times New Roman" w:cs="Times New Roman"/>
                <w:noProof/>
                <w:color w:val="000000"/>
              </w:rPr>
            </w:pPr>
            <w:r>
              <w:rPr>
                <w:noProof/>
                <w:color w:val="000000"/>
              </w:rPr>
              <w:t>Roumanie</w:t>
            </w:r>
          </w:p>
        </w:tc>
        <w:tc>
          <w:tcPr>
            <w:tcW w:w="1329" w:type="dxa"/>
            <w:vAlign w:val="center"/>
          </w:tcPr>
          <w:p w:rsidR="00E91048" w:rsidRDefault="005E3A8B">
            <w:pPr>
              <w:spacing w:after="0" w:line="240" w:lineRule="auto"/>
              <w:jc w:val="center"/>
              <w:rPr>
                <w:rFonts w:eastAsia="Times New Roman" w:cs="Times New Roman"/>
                <w:noProof/>
                <w:color w:val="000000"/>
              </w:rPr>
            </w:pPr>
            <w:r>
              <w:rPr>
                <w:noProof/>
                <w:color w:val="000000"/>
              </w:rPr>
              <w:t>66,0%</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437</w:t>
            </w:r>
          </w:p>
        </w:tc>
        <w:tc>
          <w:tcPr>
            <w:tcW w:w="1329" w:type="dxa"/>
            <w:shd w:val="clear" w:color="auto" w:fill="auto"/>
            <w:noWrap/>
            <w:vAlign w:val="bottom"/>
          </w:tcPr>
          <w:p w:rsidR="00E91048" w:rsidRDefault="005E3A8B">
            <w:pPr>
              <w:spacing w:after="0" w:line="240" w:lineRule="auto"/>
              <w:jc w:val="center"/>
              <w:rPr>
                <w:rFonts w:eastAsia="Times New Roman" w:cs="Arial"/>
                <w:bCs/>
                <w:noProof/>
              </w:rPr>
            </w:pPr>
            <w:r>
              <w:rPr>
                <w:noProof/>
              </w:rPr>
              <w:t>261</w:t>
            </w:r>
          </w:p>
        </w:tc>
      </w:tr>
      <w:tr w:rsidR="00E91048">
        <w:trPr>
          <w:trHeight w:val="300"/>
        </w:trPr>
        <w:tc>
          <w:tcPr>
            <w:tcW w:w="3984" w:type="dxa"/>
            <w:tcBorders>
              <w:bottom w:val="single" w:sz="4" w:space="0" w:color="auto"/>
            </w:tcBorders>
            <w:shd w:val="clear" w:color="auto" w:fill="auto"/>
            <w:noWrap/>
            <w:vAlign w:val="center"/>
          </w:tcPr>
          <w:p w:rsidR="00E91048" w:rsidRDefault="005E3A8B">
            <w:pPr>
              <w:spacing w:after="0" w:line="240" w:lineRule="auto"/>
              <w:jc w:val="center"/>
              <w:rPr>
                <w:rFonts w:eastAsia="Times New Roman" w:cs="Times New Roman"/>
                <w:b/>
                <w:noProof/>
                <w:color w:val="000000"/>
              </w:rPr>
            </w:pPr>
            <w:r>
              <w:rPr>
                <w:b/>
                <w:noProof/>
                <w:color w:val="000000"/>
              </w:rPr>
              <w:t xml:space="preserve">UE-2 </w:t>
            </w:r>
            <w:r>
              <w:rPr>
                <w:b/>
                <w:noProof/>
                <w:color w:val="000000"/>
                <w:sz w:val="16"/>
              </w:rPr>
              <w:t>(2)</w:t>
            </w:r>
          </w:p>
        </w:tc>
        <w:tc>
          <w:tcPr>
            <w:tcW w:w="1329" w:type="dxa"/>
            <w:vAlign w:val="center"/>
          </w:tcPr>
          <w:p w:rsidR="00E91048" w:rsidRDefault="005E3A8B">
            <w:pPr>
              <w:spacing w:after="0" w:line="240" w:lineRule="auto"/>
              <w:jc w:val="center"/>
              <w:rPr>
                <w:rFonts w:eastAsia="Times New Roman" w:cs="Times New Roman"/>
                <w:b/>
                <w:noProof/>
                <w:color w:val="000000"/>
              </w:rPr>
            </w:pPr>
            <w:r>
              <w:rPr>
                <w:b/>
                <w:noProof/>
                <w:color w:val="000000"/>
              </w:rPr>
              <w:t>100,0%</w:t>
            </w:r>
          </w:p>
        </w:tc>
        <w:tc>
          <w:tcPr>
            <w:tcW w:w="1329" w:type="dxa"/>
            <w:tcBorders>
              <w:bottom w:val="single" w:sz="4" w:space="0" w:color="auto"/>
            </w:tcBorders>
            <w:shd w:val="clear" w:color="auto" w:fill="auto"/>
            <w:noWrap/>
            <w:vAlign w:val="bottom"/>
          </w:tcPr>
          <w:p w:rsidR="00E91048" w:rsidRDefault="005E3A8B">
            <w:pPr>
              <w:spacing w:after="0" w:line="240" w:lineRule="auto"/>
              <w:jc w:val="center"/>
              <w:rPr>
                <w:rFonts w:eastAsia="Times New Roman" w:cs="Arial"/>
                <w:b/>
                <w:bCs/>
                <w:noProof/>
              </w:rPr>
            </w:pPr>
            <w:r>
              <w:rPr>
                <w:b/>
                <w:noProof/>
              </w:rPr>
              <w:t>662</w:t>
            </w:r>
          </w:p>
        </w:tc>
        <w:tc>
          <w:tcPr>
            <w:tcW w:w="1329" w:type="dxa"/>
            <w:tcBorders>
              <w:bottom w:val="single" w:sz="4" w:space="0" w:color="auto"/>
            </w:tcBorders>
            <w:shd w:val="clear" w:color="auto" w:fill="auto"/>
            <w:noWrap/>
            <w:vAlign w:val="bottom"/>
          </w:tcPr>
          <w:p w:rsidR="00E91048" w:rsidRDefault="005E3A8B">
            <w:pPr>
              <w:spacing w:after="0" w:line="240" w:lineRule="auto"/>
              <w:jc w:val="center"/>
              <w:rPr>
                <w:rFonts w:eastAsia="Times New Roman" w:cs="Arial"/>
                <w:b/>
                <w:bCs/>
                <w:noProof/>
              </w:rPr>
            </w:pPr>
            <w:r>
              <w:rPr>
                <w:b/>
                <w:noProof/>
              </w:rPr>
              <w:t>396</w:t>
            </w:r>
          </w:p>
        </w:tc>
      </w:tr>
      <w:tr w:rsidR="00E91048">
        <w:trPr>
          <w:trHeight w:val="300"/>
        </w:trPr>
        <w:tc>
          <w:tcPr>
            <w:tcW w:w="3984" w:type="dxa"/>
            <w:tcBorders>
              <w:left w:val="nil"/>
              <w:right w:val="nil"/>
            </w:tcBorders>
            <w:shd w:val="clear" w:color="auto" w:fill="auto"/>
            <w:noWrap/>
            <w:vAlign w:val="center"/>
          </w:tcPr>
          <w:p w:rsidR="00E91048" w:rsidRDefault="00E91048">
            <w:pPr>
              <w:spacing w:after="0" w:line="240" w:lineRule="auto"/>
              <w:jc w:val="center"/>
              <w:rPr>
                <w:rFonts w:eastAsia="Times New Roman" w:cs="Times New Roman"/>
                <w:noProof/>
                <w:color w:val="000000"/>
              </w:rPr>
            </w:pPr>
          </w:p>
        </w:tc>
        <w:tc>
          <w:tcPr>
            <w:tcW w:w="1329" w:type="dxa"/>
            <w:tcBorders>
              <w:left w:val="nil"/>
              <w:right w:val="nil"/>
            </w:tcBorders>
          </w:tcPr>
          <w:p w:rsidR="00E91048" w:rsidRDefault="00E91048">
            <w:pPr>
              <w:spacing w:after="0" w:line="240" w:lineRule="auto"/>
              <w:jc w:val="center"/>
              <w:rPr>
                <w:rFonts w:eastAsia="Times New Roman" w:cs="Times New Roman"/>
                <w:noProof/>
                <w:color w:val="000000"/>
              </w:rPr>
            </w:pPr>
          </w:p>
        </w:tc>
        <w:tc>
          <w:tcPr>
            <w:tcW w:w="1329" w:type="dxa"/>
            <w:tcBorders>
              <w:left w:val="nil"/>
              <w:right w:val="nil"/>
            </w:tcBorders>
            <w:shd w:val="clear" w:color="auto" w:fill="auto"/>
            <w:noWrap/>
            <w:vAlign w:val="center"/>
          </w:tcPr>
          <w:p w:rsidR="00E91048" w:rsidRDefault="00E91048">
            <w:pPr>
              <w:spacing w:after="0" w:line="240" w:lineRule="auto"/>
              <w:jc w:val="center"/>
              <w:rPr>
                <w:rFonts w:eastAsia="Times New Roman" w:cs="Times New Roman"/>
                <w:noProof/>
                <w:color w:val="000000"/>
              </w:rPr>
            </w:pPr>
          </w:p>
        </w:tc>
        <w:tc>
          <w:tcPr>
            <w:tcW w:w="1329" w:type="dxa"/>
            <w:tcBorders>
              <w:left w:val="nil"/>
              <w:right w:val="nil"/>
            </w:tcBorders>
            <w:shd w:val="clear" w:color="auto" w:fill="auto"/>
            <w:noWrap/>
            <w:vAlign w:val="center"/>
          </w:tcPr>
          <w:p w:rsidR="00E91048" w:rsidRDefault="00E91048">
            <w:pPr>
              <w:spacing w:after="0" w:line="240" w:lineRule="auto"/>
              <w:jc w:val="center"/>
              <w:rPr>
                <w:rFonts w:eastAsia="Times New Roman" w:cs="Times New Roman"/>
                <w:noProof/>
                <w:color w:val="000000"/>
              </w:rPr>
            </w:pPr>
          </w:p>
        </w:tc>
      </w:tr>
      <w:tr w:rsidR="00E91048">
        <w:trPr>
          <w:trHeight w:val="300"/>
        </w:trPr>
        <w:tc>
          <w:tcPr>
            <w:tcW w:w="3984" w:type="dxa"/>
            <w:shd w:val="clear" w:color="auto" w:fill="auto"/>
            <w:noWrap/>
            <w:vAlign w:val="center"/>
          </w:tcPr>
          <w:p w:rsidR="00E91048" w:rsidRDefault="005E3A8B">
            <w:pPr>
              <w:spacing w:after="0" w:line="240" w:lineRule="auto"/>
              <w:jc w:val="center"/>
              <w:rPr>
                <w:rFonts w:eastAsia="Times New Roman" w:cs="Times New Roman"/>
                <w:b/>
                <w:noProof/>
                <w:color w:val="000000"/>
              </w:rPr>
            </w:pPr>
            <w:r>
              <w:rPr>
                <w:b/>
                <w:noProof/>
                <w:color w:val="000000"/>
              </w:rPr>
              <w:t xml:space="preserve">Croatie </w:t>
            </w:r>
            <w:r>
              <w:rPr>
                <w:b/>
                <w:noProof/>
                <w:color w:val="000000"/>
                <w:sz w:val="16"/>
              </w:rPr>
              <w:t>(3)</w:t>
            </w:r>
          </w:p>
        </w:tc>
        <w:tc>
          <w:tcPr>
            <w:tcW w:w="1329" w:type="dxa"/>
          </w:tcPr>
          <w:p w:rsidR="00E91048" w:rsidRDefault="005E3A8B">
            <w:pPr>
              <w:spacing w:after="0" w:line="240" w:lineRule="auto"/>
              <w:jc w:val="center"/>
              <w:rPr>
                <w:rFonts w:eastAsia="Times New Roman" w:cs="Times New Roman"/>
                <w:b/>
                <w:noProof/>
                <w:color w:val="000000"/>
              </w:rPr>
            </w:pPr>
            <w:r>
              <w:rPr>
                <w:b/>
                <w:noProof/>
                <w:color w:val="000000"/>
              </w:rPr>
              <w:t>n.d.</w:t>
            </w:r>
          </w:p>
        </w:tc>
        <w:tc>
          <w:tcPr>
            <w:tcW w:w="1329" w:type="dxa"/>
            <w:shd w:val="clear" w:color="auto" w:fill="auto"/>
            <w:noWrap/>
            <w:vAlign w:val="center"/>
          </w:tcPr>
          <w:p w:rsidR="00E91048" w:rsidRDefault="005E3A8B">
            <w:pPr>
              <w:spacing w:after="0" w:line="240" w:lineRule="auto"/>
              <w:jc w:val="center"/>
              <w:rPr>
                <w:rFonts w:eastAsia="Times New Roman" w:cs="Times New Roman"/>
                <w:b/>
                <w:noProof/>
                <w:color w:val="000000"/>
              </w:rPr>
            </w:pPr>
            <w:r>
              <w:rPr>
                <w:b/>
                <w:noProof/>
                <w:color w:val="000000"/>
              </w:rPr>
              <w:t>149</w:t>
            </w:r>
          </w:p>
        </w:tc>
        <w:tc>
          <w:tcPr>
            <w:tcW w:w="1329" w:type="dxa"/>
            <w:shd w:val="clear" w:color="auto" w:fill="auto"/>
            <w:noWrap/>
            <w:vAlign w:val="center"/>
          </w:tcPr>
          <w:p w:rsidR="00E91048" w:rsidRDefault="005E3A8B">
            <w:pPr>
              <w:spacing w:after="0" w:line="240" w:lineRule="auto"/>
              <w:jc w:val="center"/>
              <w:rPr>
                <w:rFonts w:eastAsia="Times New Roman" w:cs="Times New Roman"/>
                <w:b/>
                <w:noProof/>
                <w:color w:val="000000"/>
              </w:rPr>
            </w:pPr>
            <w:r>
              <w:rPr>
                <w:b/>
                <w:noProof/>
                <w:color w:val="000000"/>
              </w:rPr>
              <w:t>100</w:t>
            </w:r>
          </w:p>
        </w:tc>
      </w:tr>
    </w:tbl>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Times New Roman" w:hAnsi="Times New Roman"/>
          <w:noProof/>
          <w:sz w:val="16"/>
          <w:lang w:val="fr-FR"/>
        </w:rPr>
        <w:t>(1): UE-10 confondus: 21,6% - UE-15 confondus: 78,4%</w:t>
      </w:r>
      <w:r w:rsidRPr="005E3A8B">
        <w:rPr>
          <w:noProof/>
          <w:lang w:val="fr-FR"/>
        </w:rPr>
        <w:tab/>
      </w:r>
      <w:r w:rsidRPr="005E3A8B">
        <w:rPr>
          <w:rFonts w:ascii="Times New Roman" w:eastAsia="Times New Roman" w:hAnsi="Times New Roman" w:cs="Times New Roman"/>
          <w:noProof/>
          <w:sz w:val="16"/>
          <w:szCs w:val="16"/>
          <w:lang w:val="fr-FR"/>
        </w:rPr>
        <w:br/>
      </w:r>
      <w:r w:rsidRPr="005E3A8B">
        <w:rPr>
          <w:rFonts w:ascii="Times New Roman" w:hAnsi="Times New Roman"/>
          <w:noProof/>
          <w:sz w:val="16"/>
          <w:lang w:val="fr-FR"/>
        </w:rPr>
        <w:t>(2): UE-2 confondus: 6,5 % - UE-25 confondus: 93,5%</w:t>
      </w:r>
      <w:r w:rsidRPr="005E3A8B">
        <w:rPr>
          <w:noProof/>
          <w:lang w:val="fr-FR"/>
        </w:rPr>
        <w:tab/>
      </w:r>
      <w:r w:rsidRPr="005E3A8B">
        <w:rPr>
          <w:rFonts w:ascii="Times New Roman" w:eastAsia="Times New Roman" w:hAnsi="Times New Roman" w:cs="Times New Roman"/>
          <w:noProof/>
          <w:sz w:val="16"/>
          <w:szCs w:val="16"/>
          <w:lang w:val="fr-FR"/>
        </w:rPr>
        <w:br/>
      </w:r>
      <w:r w:rsidRPr="005E3A8B">
        <w:rPr>
          <w:rFonts w:ascii="Times New Roman" w:hAnsi="Times New Roman"/>
          <w:noProof/>
          <w:sz w:val="16"/>
          <w:lang w:val="fr-FR"/>
        </w:rPr>
        <w:t xml:space="preserve">(3): Croatie 1,5 % - UE-27 confondus: 98,5% </w:t>
      </w:r>
      <w:r w:rsidRPr="005E3A8B">
        <w:rPr>
          <w:noProof/>
          <w:lang w:val="fr-FR"/>
        </w:rPr>
        <w:br w:type="page"/>
      </w:r>
    </w:p>
    <w:p w:rsidR="00E91048" w:rsidRPr="005E3A8B" w:rsidRDefault="00E91048">
      <w:pPr>
        <w:spacing w:after="0" w:line="240" w:lineRule="auto"/>
        <w:rPr>
          <w:rFonts w:ascii="Times New Roman" w:eastAsia="Times New Roman" w:hAnsi="Times New Roman" w:cs="Times New Roman"/>
          <w:noProof/>
          <w:sz w:val="24"/>
          <w:szCs w:val="20"/>
          <w:lang w:val="fr-FR"/>
        </w:rPr>
        <w:sectPr w:rsidR="00E91048" w:rsidRPr="005E3A8B">
          <w:headerReference w:type="even" r:id="rId34"/>
          <w:headerReference w:type="default" r:id="rId35"/>
          <w:footerReference w:type="even" r:id="rId36"/>
          <w:footerReference w:type="default" r:id="rId37"/>
          <w:headerReference w:type="first" r:id="rId38"/>
          <w:footerReference w:type="first" r:id="rId39"/>
          <w:pgSz w:w="11906" w:h="16838"/>
          <w:pgMar w:top="1020" w:right="1701" w:bottom="1020" w:left="1587" w:header="601" w:footer="1077" w:gutter="0"/>
          <w:cols w:space="720"/>
        </w:sectPr>
      </w:pPr>
    </w:p>
    <w:p w:rsidR="00E91048" w:rsidRPr="005E3A8B" w:rsidRDefault="005E3A8B">
      <w:pPr>
        <w:spacing w:after="240" w:line="240" w:lineRule="auto"/>
        <w:jc w:val="both"/>
        <w:rPr>
          <w:rFonts w:ascii="Times New Roman" w:eastAsia="Times New Roman" w:hAnsi="Times New Roman" w:cs="Times New Roman"/>
          <w:b/>
          <w:noProof/>
          <w:sz w:val="24"/>
          <w:szCs w:val="20"/>
          <w:lang w:val="fr-FR"/>
        </w:rPr>
      </w:pPr>
      <w:r w:rsidRPr="005E3A8B">
        <w:rPr>
          <w:rFonts w:ascii="Times New Roman" w:hAnsi="Times New Roman"/>
          <w:b/>
          <w:noProof/>
          <w:sz w:val="24"/>
          <w:lang w:val="fr-FR"/>
        </w:rPr>
        <w:t>ANNEXE 4: Évolution de la population des États membres (sauf UK)</w:t>
      </w:r>
    </w:p>
    <w:p w:rsidR="00E91048" w:rsidRPr="005E3A8B" w:rsidRDefault="00E91048">
      <w:pPr>
        <w:spacing w:after="240" w:line="240" w:lineRule="auto"/>
        <w:jc w:val="both"/>
        <w:rPr>
          <w:rFonts w:ascii="Times New Roman" w:eastAsia="Times New Roman" w:hAnsi="Times New Roman" w:cs="Times New Roman"/>
          <w:noProof/>
          <w:sz w:val="24"/>
          <w:szCs w:val="20"/>
          <w:lang w:val="fr-FR"/>
        </w:rPr>
      </w:pPr>
    </w:p>
    <w:tbl>
      <w:tblPr>
        <w:tblW w:w="6360" w:type="dxa"/>
        <w:tblInd w:w="93" w:type="dxa"/>
        <w:tblLook w:val="04A0" w:firstRow="1" w:lastRow="0" w:firstColumn="1" w:lastColumn="0" w:noHBand="0" w:noVBand="1"/>
      </w:tblPr>
      <w:tblGrid>
        <w:gridCol w:w="1960"/>
        <w:gridCol w:w="1340"/>
        <w:gridCol w:w="1340"/>
        <w:gridCol w:w="1720"/>
      </w:tblGrid>
      <w:tr w:rsidR="00E91048" w:rsidRPr="005E3A8B">
        <w:trPr>
          <w:trHeight w:val="375"/>
        </w:trPr>
        <w:tc>
          <w:tcPr>
            <w:tcW w:w="6360" w:type="dxa"/>
            <w:gridSpan w:val="4"/>
            <w:tcBorders>
              <w:top w:val="nil"/>
              <w:left w:val="nil"/>
              <w:bottom w:val="nil"/>
              <w:right w:val="nil"/>
            </w:tcBorders>
            <w:shd w:val="clear" w:color="auto" w:fill="auto"/>
            <w:vAlign w:val="center"/>
            <w:hideMark/>
          </w:tcPr>
          <w:p w:rsidR="00E91048" w:rsidRPr="005E3A8B" w:rsidRDefault="00E91048">
            <w:pPr>
              <w:spacing w:after="0" w:line="240" w:lineRule="auto"/>
              <w:jc w:val="center"/>
              <w:rPr>
                <w:rFonts w:ascii="Calibri" w:eastAsia="Times New Roman" w:hAnsi="Calibri" w:cs="Times New Roman"/>
                <w:b/>
                <w:bCs/>
                <w:noProof/>
                <w:color w:val="000000"/>
                <w:sz w:val="28"/>
                <w:szCs w:val="28"/>
                <w:lang w:val="fr-FR"/>
              </w:rPr>
            </w:pPr>
          </w:p>
        </w:tc>
      </w:tr>
      <w:tr w:rsidR="00E91048" w:rsidRPr="005E3A8B">
        <w:trPr>
          <w:trHeight w:val="375"/>
        </w:trPr>
        <w:tc>
          <w:tcPr>
            <w:tcW w:w="1960" w:type="dxa"/>
            <w:tcBorders>
              <w:top w:val="nil"/>
              <w:left w:val="nil"/>
              <w:bottom w:val="nil"/>
              <w:right w:val="nil"/>
            </w:tcBorders>
            <w:shd w:val="clear" w:color="auto" w:fill="auto"/>
            <w:vAlign w:val="center"/>
            <w:hideMark/>
          </w:tcPr>
          <w:p w:rsidR="00E91048" w:rsidRPr="005E3A8B" w:rsidRDefault="00E91048">
            <w:pPr>
              <w:spacing w:after="0" w:line="240" w:lineRule="auto"/>
              <w:jc w:val="center"/>
              <w:rPr>
                <w:rFonts w:ascii="Calibri" w:eastAsia="Times New Roman" w:hAnsi="Calibri" w:cs="Times New Roman"/>
                <w:b/>
                <w:bCs/>
                <w:noProof/>
                <w:color w:val="000000"/>
                <w:sz w:val="28"/>
                <w:szCs w:val="28"/>
                <w:lang w:val="fr-FR"/>
              </w:rPr>
            </w:pPr>
          </w:p>
        </w:tc>
        <w:tc>
          <w:tcPr>
            <w:tcW w:w="1340" w:type="dxa"/>
            <w:tcBorders>
              <w:top w:val="nil"/>
              <w:left w:val="nil"/>
              <w:bottom w:val="nil"/>
              <w:right w:val="nil"/>
            </w:tcBorders>
            <w:shd w:val="clear" w:color="auto" w:fill="auto"/>
            <w:noWrap/>
            <w:vAlign w:val="center"/>
            <w:hideMark/>
          </w:tcPr>
          <w:p w:rsidR="00E91048" w:rsidRPr="005E3A8B" w:rsidRDefault="00E91048">
            <w:pPr>
              <w:spacing w:after="0" w:line="240" w:lineRule="auto"/>
              <w:jc w:val="center"/>
              <w:rPr>
                <w:rFonts w:ascii="Calibri" w:eastAsia="Times New Roman" w:hAnsi="Calibri" w:cs="Times New Roman"/>
                <w:b/>
                <w:bCs/>
                <w:noProof/>
                <w:color w:val="000000"/>
                <w:sz w:val="28"/>
                <w:szCs w:val="28"/>
                <w:lang w:val="fr-FR"/>
              </w:rPr>
            </w:pPr>
          </w:p>
        </w:tc>
        <w:tc>
          <w:tcPr>
            <w:tcW w:w="1340" w:type="dxa"/>
            <w:tcBorders>
              <w:top w:val="nil"/>
              <w:left w:val="nil"/>
              <w:bottom w:val="nil"/>
              <w:right w:val="nil"/>
            </w:tcBorders>
            <w:shd w:val="clear" w:color="auto" w:fill="auto"/>
            <w:noWrap/>
            <w:vAlign w:val="center"/>
            <w:hideMark/>
          </w:tcPr>
          <w:p w:rsidR="00E91048" w:rsidRPr="005E3A8B" w:rsidRDefault="00E91048">
            <w:pPr>
              <w:spacing w:after="0" w:line="240" w:lineRule="auto"/>
              <w:jc w:val="center"/>
              <w:rPr>
                <w:rFonts w:ascii="Calibri" w:eastAsia="Times New Roman" w:hAnsi="Calibri" w:cs="Times New Roman"/>
                <w:b/>
                <w:bCs/>
                <w:noProof/>
                <w:color w:val="000000"/>
                <w:sz w:val="28"/>
                <w:szCs w:val="28"/>
                <w:lang w:val="fr-FR"/>
              </w:rPr>
            </w:pPr>
          </w:p>
        </w:tc>
        <w:tc>
          <w:tcPr>
            <w:tcW w:w="1720" w:type="dxa"/>
            <w:tcBorders>
              <w:top w:val="nil"/>
              <w:left w:val="nil"/>
              <w:bottom w:val="nil"/>
              <w:right w:val="nil"/>
            </w:tcBorders>
            <w:shd w:val="clear" w:color="auto" w:fill="auto"/>
            <w:noWrap/>
            <w:vAlign w:val="center"/>
            <w:hideMark/>
          </w:tcPr>
          <w:p w:rsidR="00E91048" w:rsidRPr="005E3A8B" w:rsidRDefault="00E91048">
            <w:pPr>
              <w:spacing w:after="0" w:line="240" w:lineRule="auto"/>
              <w:jc w:val="center"/>
              <w:rPr>
                <w:rFonts w:ascii="Calibri" w:eastAsia="Times New Roman" w:hAnsi="Calibri" w:cs="Times New Roman"/>
                <w:b/>
                <w:bCs/>
                <w:noProof/>
                <w:color w:val="000000"/>
                <w:sz w:val="28"/>
                <w:szCs w:val="28"/>
                <w:lang w:val="fr-FR"/>
              </w:rPr>
            </w:pPr>
          </w:p>
        </w:tc>
      </w:tr>
      <w:tr w:rsidR="00E91048">
        <w:trPr>
          <w:trHeight w:val="300"/>
        </w:trPr>
        <w:tc>
          <w:tcPr>
            <w:tcW w:w="1960" w:type="dxa"/>
            <w:tcBorders>
              <w:top w:val="nil"/>
              <w:left w:val="nil"/>
              <w:bottom w:val="single" w:sz="4" w:space="0" w:color="auto"/>
              <w:right w:val="nil"/>
            </w:tcBorders>
            <w:shd w:val="clear" w:color="auto" w:fill="auto"/>
            <w:vAlign w:val="center"/>
            <w:hideMark/>
          </w:tcPr>
          <w:p w:rsidR="00E91048" w:rsidRPr="005E3A8B" w:rsidRDefault="005E3A8B">
            <w:pPr>
              <w:spacing w:after="0" w:line="240" w:lineRule="auto"/>
              <w:jc w:val="center"/>
              <w:rPr>
                <w:rFonts w:ascii="Arial" w:eastAsia="Times New Roman" w:hAnsi="Arial" w:cs="Arial"/>
                <w:b/>
                <w:bCs/>
                <w:noProof/>
                <w:sz w:val="18"/>
                <w:szCs w:val="18"/>
                <w:lang w:val="fr-FR"/>
              </w:rPr>
            </w:pPr>
            <w:r w:rsidRPr="005E3A8B">
              <w:rPr>
                <w:rFonts w:ascii="Arial" w:hAnsi="Arial"/>
                <w:b/>
                <w:noProof/>
                <w:sz w:val="18"/>
                <w:lang w:val="fr-FR"/>
              </w:rPr>
              <w:t> </w:t>
            </w:r>
          </w:p>
        </w:tc>
        <w:tc>
          <w:tcPr>
            <w:tcW w:w="134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E91048" w:rsidRDefault="005E3A8B">
            <w:pPr>
              <w:spacing w:after="0" w:line="240" w:lineRule="auto"/>
              <w:jc w:val="right"/>
              <w:rPr>
                <w:rFonts w:ascii="Arial" w:eastAsia="Times New Roman" w:hAnsi="Arial" w:cs="Arial"/>
                <w:b/>
                <w:bCs/>
                <w:noProof/>
                <w:sz w:val="18"/>
                <w:szCs w:val="18"/>
              </w:rPr>
            </w:pPr>
            <w:r>
              <w:rPr>
                <w:rFonts w:ascii="Arial" w:hAnsi="Arial"/>
                <w:b/>
                <w:noProof/>
                <w:sz w:val="18"/>
              </w:rPr>
              <w:t>2001</w:t>
            </w:r>
          </w:p>
        </w:tc>
        <w:tc>
          <w:tcPr>
            <w:tcW w:w="1340" w:type="dxa"/>
            <w:tcBorders>
              <w:top w:val="single" w:sz="4" w:space="0" w:color="auto"/>
              <w:left w:val="nil"/>
              <w:bottom w:val="single" w:sz="4" w:space="0" w:color="auto"/>
              <w:right w:val="single" w:sz="4" w:space="0" w:color="auto"/>
            </w:tcBorders>
            <w:shd w:val="clear" w:color="000000" w:fill="99CCFF"/>
            <w:vAlign w:val="bottom"/>
            <w:hideMark/>
          </w:tcPr>
          <w:p w:rsidR="00E91048" w:rsidRDefault="005E3A8B">
            <w:pPr>
              <w:spacing w:after="0" w:line="240" w:lineRule="auto"/>
              <w:jc w:val="right"/>
              <w:rPr>
                <w:rFonts w:ascii="Arial" w:eastAsia="Times New Roman" w:hAnsi="Arial" w:cs="Arial"/>
                <w:b/>
                <w:bCs/>
                <w:noProof/>
                <w:sz w:val="18"/>
                <w:szCs w:val="18"/>
              </w:rPr>
            </w:pPr>
            <w:r>
              <w:rPr>
                <w:rFonts w:ascii="Arial" w:hAnsi="Arial"/>
                <w:b/>
                <w:noProof/>
                <w:sz w:val="18"/>
              </w:rPr>
              <w:t>2015</w:t>
            </w:r>
          </w:p>
        </w:tc>
        <w:tc>
          <w:tcPr>
            <w:tcW w:w="1720" w:type="dxa"/>
            <w:tcBorders>
              <w:top w:val="single" w:sz="4" w:space="0" w:color="auto"/>
              <w:left w:val="nil"/>
              <w:bottom w:val="single" w:sz="4" w:space="0" w:color="auto"/>
              <w:right w:val="single" w:sz="4" w:space="0" w:color="auto"/>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Évolution 2001/2015</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Luxembourg</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439 500</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562 958</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28,1 %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Chypre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697 500</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847 008</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21,4%</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Irlande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3 832 783</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4 628 949</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20,8 %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Espagne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40 665 542</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46 449 565</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14,2 %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Suède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8 882 792</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9 747 355</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9,7 %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Malte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391 415</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429 344</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9,7 %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Belgique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10 263 414</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11 208 956</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9,2 %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France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61 357 400</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66 415 161</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8,2 %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Autriche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8 032 926</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8 576 261</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6,8 %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Italie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56 960 692</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60 795 612</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6,7 %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Danemark</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5 349 212</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5 659 715</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5,8 %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Pays-Bas</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15 987 075</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16 900 726</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5,7 %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Finlande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5 181 115</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5 471 753</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5,6 %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Slovénie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1 990 094</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2 062 874</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3,7 %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République tchèque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10 414 373</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10 538 275</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1,2 %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Portugal</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10 256 658</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10 374 822</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1,2 %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Slovaquie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5 402 547</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5 421 349</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0,3 %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Pologne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38 253 955</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38 005 614</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-0,6 %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Grèce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10 934 097</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10 858 018</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-0,7 %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Allemagne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82 259 540</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81 197 537</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-1,3 %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Hongrie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10 200 298</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9 855 571</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-3,4 %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Croatie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4 437 460</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4 225 316</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-4,8 %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Estonie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1 388 000</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1 313 271</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-5,4 %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Bulgarie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7 928 901</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7 202 198</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-9,2 %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Roumanie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22 132 000</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19 870 647</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-10,2 %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Lettonie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2 364 254</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1 986 096</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-16,0 %</w:t>
            </w:r>
          </w:p>
        </w:tc>
      </w:tr>
      <w:tr w:rsidR="00E91048">
        <w:trPr>
          <w:trHeight w:val="300"/>
        </w:trPr>
        <w:tc>
          <w:tcPr>
            <w:tcW w:w="196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Lituanie</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3 483 972</w:t>
            </w:r>
          </w:p>
        </w:tc>
        <w:tc>
          <w:tcPr>
            <w:tcW w:w="1340" w:type="dxa"/>
            <w:tcBorders>
              <w:top w:val="nil"/>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2 921 262</w:t>
            </w:r>
          </w:p>
        </w:tc>
        <w:tc>
          <w:tcPr>
            <w:tcW w:w="172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-16,2 %</w:t>
            </w:r>
          </w:p>
        </w:tc>
      </w:tr>
      <w:tr w:rsidR="00E91048">
        <w:trPr>
          <w:trHeight w:val="300"/>
        </w:trPr>
        <w:tc>
          <w:tcPr>
            <w:tcW w:w="196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34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34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720" w:type="dxa"/>
            <w:tcBorders>
              <w:top w:val="nil"/>
              <w:left w:val="nil"/>
              <w:bottom w:val="nil"/>
              <w:right w:val="nil"/>
            </w:tcBorders>
            <w:shd w:val="clear" w:color="auto" w:fill="auto"/>
            <w:noWrap/>
            <w:vAlign w:val="center"/>
            <w:hideMark/>
          </w:tcPr>
          <w:p w:rsidR="00E91048" w:rsidRDefault="00E91048">
            <w:pPr>
              <w:spacing w:after="0" w:line="240" w:lineRule="auto"/>
              <w:jc w:val="center"/>
              <w:rPr>
                <w:rFonts w:ascii="Calibri" w:eastAsia="Times New Roman" w:hAnsi="Calibri" w:cs="Times New Roman"/>
                <w:noProof/>
                <w:color w:val="000000"/>
              </w:rPr>
            </w:pPr>
          </w:p>
        </w:tc>
      </w:tr>
      <w:tr w:rsidR="00E91048">
        <w:trPr>
          <w:trHeight w:val="300"/>
        </w:trPr>
        <w:tc>
          <w:tcPr>
            <w:tcW w:w="196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Total</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Calibri" w:eastAsia="Times New Roman" w:hAnsi="Calibri" w:cs="Times New Roman"/>
                <w:noProof/>
                <w:color w:val="000000"/>
              </w:rPr>
            </w:pPr>
            <w:r>
              <w:rPr>
                <w:rFonts w:ascii="Calibri" w:hAnsi="Calibri"/>
                <w:noProof/>
                <w:color w:val="000000"/>
              </w:rPr>
              <w:t>429 487 515</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91048" w:rsidRDefault="005E3A8B">
            <w:pPr>
              <w:spacing w:after="0" w:line="240" w:lineRule="auto"/>
              <w:jc w:val="right"/>
              <w:rPr>
                <w:rFonts w:ascii="Calibri" w:eastAsia="Times New Roman" w:hAnsi="Calibri" w:cs="Times New Roman"/>
                <w:noProof/>
                <w:color w:val="000000"/>
              </w:rPr>
            </w:pPr>
            <w:r>
              <w:rPr>
                <w:rFonts w:ascii="Calibri" w:hAnsi="Calibri"/>
                <w:noProof/>
                <w:color w:val="000000"/>
              </w:rPr>
              <w:t>443 526 213</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rPr>
            </w:pPr>
            <w:r>
              <w:rPr>
                <w:rFonts w:ascii="Calibri" w:hAnsi="Calibri"/>
                <w:noProof/>
                <w:color w:val="000000"/>
              </w:rPr>
              <w:t>3,3 %</w:t>
            </w:r>
          </w:p>
        </w:tc>
      </w:tr>
      <w:tr w:rsidR="00E91048">
        <w:trPr>
          <w:trHeight w:val="300"/>
        </w:trPr>
        <w:tc>
          <w:tcPr>
            <w:tcW w:w="196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34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34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c>
          <w:tcPr>
            <w:tcW w:w="1720" w:type="dxa"/>
            <w:tcBorders>
              <w:top w:val="nil"/>
              <w:left w:val="nil"/>
              <w:bottom w:val="nil"/>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rPr>
            </w:pPr>
          </w:p>
        </w:tc>
      </w:tr>
      <w:tr w:rsidR="00E91048" w:rsidRPr="005E3A8B">
        <w:trPr>
          <w:trHeight w:val="300"/>
        </w:trPr>
        <w:tc>
          <w:tcPr>
            <w:tcW w:w="6360" w:type="dxa"/>
            <w:gridSpan w:val="4"/>
            <w:tcBorders>
              <w:top w:val="nil"/>
              <w:left w:val="nil"/>
              <w:bottom w:val="nil"/>
              <w:right w:val="nil"/>
            </w:tcBorders>
            <w:shd w:val="clear" w:color="auto" w:fill="auto"/>
            <w:noWrap/>
            <w:vAlign w:val="bottom"/>
            <w:hideMark/>
          </w:tcPr>
          <w:p w:rsidR="00E91048" w:rsidRPr="005E3A8B" w:rsidRDefault="005E3A8B">
            <w:pPr>
              <w:spacing w:after="0" w:line="240" w:lineRule="auto"/>
              <w:rPr>
                <w:rFonts w:ascii="Calibri" w:eastAsia="Times New Roman" w:hAnsi="Calibri" w:cs="Times New Roman"/>
                <w:noProof/>
                <w:color w:val="000000"/>
                <w:sz w:val="18"/>
                <w:szCs w:val="18"/>
                <w:lang w:val="fr-FR"/>
              </w:rPr>
            </w:pPr>
            <w:r w:rsidRPr="005E3A8B">
              <w:rPr>
                <w:rFonts w:ascii="Calibri" w:hAnsi="Calibri"/>
                <w:noProof/>
                <w:color w:val="000000"/>
                <w:sz w:val="18"/>
                <w:lang w:val="fr-FR"/>
              </w:rPr>
              <w:t>Source: Eurostat - date d’extraction: 23 janvier 2017.</w:t>
            </w:r>
          </w:p>
        </w:tc>
      </w:tr>
    </w:tbl>
    <w:p w:rsidR="00E91048" w:rsidRPr="005E3A8B" w:rsidRDefault="00E91048">
      <w:pPr>
        <w:spacing w:after="240" w:line="240" w:lineRule="auto"/>
        <w:jc w:val="both"/>
        <w:rPr>
          <w:rFonts w:ascii="Times New Roman" w:eastAsia="Times New Roman" w:hAnsi="Times New Roman" w:cs="Times New Roman"/>
          <w:noProof/>
          <w:sz w:val="24"/>
          <w:szCs w:val="20"/>
          <w:lang w:val="fr-FR"/>
        </w:rPr>
      </w:pPr>
    </w:p>
    <w:p w:rsidR="00E91048" w:rsidRPr="005E3A8B" w:rsidRDefault="00E91048">
      <w:pPr>
        <w:spacing w:after="240" w:line="240" w:lineRule="auto"/>
        <w:jc w:val="both"/>
        <w:rPr>
          <w:rFonts w:ascii="Times New Roman" w:eastAsia="Times New Roman" w:hAnsi="Times New Roman" w:cs="Times New Roman"/>
          <w:noProof/>
          <w:sz w:val="24"/>
          <w:szCs w:val="20"/>
          <w:lang w:val="fr-FR"/>
        </w:rPr>
        <w:sectPr w:rsidR="00E91048" w:rsidRPr="005E3A8B">
          <w:headerReference w:type="even" r:id="rId40"/>
          <w:headerReference w:type="default" r:id="rId41"/>
          <w:footerReference w:type="even" r:id="rId42"/>
          <w:footerReference w:type="default" r:id="rId43"/>
          <w:headerReference w:type="first" r:id="rId44"/>
          <w:footerReference w:type="first" r:id="rId45"/>
          <w:pgSz w:w="11906" w:h="16838"/>
          <w:pgMar w:top="1020" w:right="1701" w:bottom="1020" w:left="1587" w:header="601" w:footer="1077" w:gutter="0"/>
          <w:cols w:space="720"/>
        </w:sectPr>
      </w:pPr>
    </w:p>
    <w:p w:rsidR="00E91048" w:rsidRPr="005E3A8B" w:rsidRDefault="005E3A8B">
      <w:pPr>
        <w:spacing w:after="240" w:line="240" w:lineRule="auto"/>
        <w:jc w:val="both"/>
        <w:rPr>
          <w:rFonts w:ascii="Times New Roman" w:eastAsia="Times New Roman" w:hAnsi="Times New Roman" w:cs="Times New Roman"/>
          <w:b/>
          <w:noProof/>
          <w:sz w:val="24"/>
          <w:szCs w:val="20"/>
          <w:lang w:val="fr-FR"/>
        </w:rPr>
      </w:pPr>
      <w:r w:rsidRPr="005E3A8B">
        <w:rPr>
          <w:rFonts w:ascii="Times New Roman" w:hAnsi="Times New Roman"/>
          <w:b/>
          <w:noProof/>
          <w:sz w:val="24"/>
          <w:lang w:val="fr-FR"/>
        </w:rPr>
        <w:t xml:space="preserve">ANNEXE 5: Proposition pour les nouveaux taux de référence: application de la méthode arithmétique </w:t>
      </w:r>
    </w:p>
    <w:tbl>
      <w:tblPr>
        <w:tblW w:w="11580" w:type="dxa"/>
        <w:tblInd w:w="93" w:type="dxa"/>
        <w:tblLook w:val="04A0" w:firstRow="1" w:lastRow="0" w:firstColumn="1" w:lastColumn="0" w:noHBand="0" w:noVBand="1"/>
      </w:tblPr>
      <w:tblGrid>
        <w:gridCol w:w="1935"/>
        <w:gridCol w:w="1334"/>
        <w:gridCol w:w="1419"/>
        <w:gridCol w:w="1683"/>
        <w:gridCol w:w="1297"/>
        <w:gridCol w:w="1409"/>
        <w:gridCol w:w="1409"/>
        <w:gridCol w:w="1404"/>
      </w:tblGrid>
      <w:tr w:rsidR="00E91048">
        <w:trPr>
          <w:trHeight w:val="720"/>
        </w:trPr>
        <w:tc>
          <w:tcPr>
            <w:tcW w:w="1935" w:type="dxa"/>
            <w:tcBorders>
              <w:top w:val="single" w:sz="4" w:space="0" w:color="000000"/>
              <w:left w:val="single" w:sz="4" w:space="0" w:color="000000"/>
              <w:bottom w:val="single" w:sz="4" w:space="0" w:color="000000"/>
              <w:right w:val="single" w:sz="4" w:space="0" w:color="000000"/>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État membre</w:t>
            </w:r>
          </w:p>
        </w:tc>
        <w:tc>
          <w:tcPr>
            <w:tcW w:w="1334" w:type="dxa"/>
            <w:tcBorders>
              <w:top w:val="single" w:sz="4" w:space="0" w:color="000000"/>
              <w:left w:val="nil"/>
              <w:bottom w:val="single" w:sz="4" w:space="0" w:color="000000"/>
              <w:right w:val="single" w:sz="4" w:space="0" w:color="000000"/>
            </w:tcBorders>
            <w:shd w:val="clear" w:color="auto"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Population</w:t>
            </w:r>
            <w:r>
              <w:rPr>
                <w:rFonts w:ascii="Arial" w:eastAsia="Times New Roman" w:hAnsi="Arial" w:cs="Arial"/>
                <w:b/>
                <w:bCs/>
                <w:noProof/>
                <w:sz w:val="18"/>
                <w:szCs w:val="18"/>
              </w:rPr>
              <w:br/>
            </w:r>
            <w:r>
              <w:rPr>
                <w:rFonts w:ascii="Arial" w:hAnsi="Arial"/>
                <w:b/>
                <w:noProof/>
                <w:sz w:val="18"/>
              </w:rPr>
              <w:t>2015</w:t>
            </w:r>
          </w:p>
        </w:tc>
        <w:tc>
          <w:tcPr>
            <w:tcW w:w="1335" w:type="dxa"/>
            <w:tcBorders>
              <w:top w:val="single" w:sz="4" w:space="0" w:color="000000"/>
              <w:left w:val="single" w:sz="4" w:space="0" w:color="000000"/>
              <w:bottom w:val="single" w:sz="4" w:space="0" w:color="000000"/>
              <w:right w:val="single" w:sz="4" w:space="0" w:color="000000"/>
            </w:tcBorders>
            <w:shd w:val="clear" w:color="auto" w:fill="99CCFF"/>
            <w:vAlign w:val="center"/>
            <w:hideMark/>
          </w:tcPr>
          <w:p w:rsidR="00E91048" w:rsidRDefault="005E3A8B">
            <w:pPr>
              <w:spacing w:after="0" w:line="240" w:lineRule="auto"/>
              <w:jc w:val="center"/>
              <w:rPr>
                <w:rFonts w:ascii="Calibri" w:eastAsia="Times New Roman" w:hAnsi="Calibri" w:cs="Times New Roman"/>
                <w:b/>
                <w:bCs/>
                <w:noProof/>
                <w:color w:val="000000"/>
              </w:rPr>
            </w:pPr>
            <w:r>
              <w:rPr>
                <w:rFonts w:ascii="Calibri" w:hAnsi="Calibri"/>
                <w:b/>
                <w:noProof/>
                <w:color w:val="000000"/>
              </w:rPr>
              <w:t>Part arithmétique</w:t>
            </w:r>
          </w:p>
        </w:tc>
        <w:tc>
          <w:tcPr>
            <w:tcW w:w="1683" w:type="dxa"/>
            <w:tcBorders>
              <w:top w:val="single" w:sz="4" w:space="0" w:color="000000"/>
              <w:left w:val="single" w:sz="4" w:space="0" w:color="000000"/>
              <w:bottom w:val="single" w:sz="4" w:space="0" w:color="000000"/>
              <w:right w:val="single" w:sz="4" w:space="0" w:color="000000"/>
            </w:tcBorders>
            <w:shd w:val="clear" w:color="auto"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Sièges au PE</w:t>
            </w:r>
          </w:p>
        </w:tc>
        <w:tc>
          <w:tcPr>
            <w:tcW w:w="1071" w:type="dxa"/>
            <w:tcBorders>
              <w:top w:val="single" w:sz="4" w:space="0" w:color="000000"/>
              <w:left w:val="single" w:sz="4" w:space="0" w:color="000000"/>
              <w:bottom w:val="single" w:sz="4" w:space="0" w:color="000000"/>
              <w:right w:val="single" w:sz="4" w:space="0" w:color="000000"/>
            </w:tcBorders>
            <w:shd w:val="clear" w:color="auto" w:fill="99CCFF"/>
            <w:vAlign w:val="center"/>
            <w:hideMark/>
          </w:tcPr>
          <w:p w:rsidR="00E91048" w:rsidRDefault="005E3A8B">
            <w:pPr>
              <w:spacing w:after="0" w:line="240" w:lineRule="auto"/>
              <w:jc w:val="center"/>
              <w:rPr>
                <w:rFonts w:ascii="Arial" w:eastAsia="Times New Roman" w:hAnsi="Arial" w:cs="Arial"/>
                <w:b/>
                <w:bCs/>
                <w:noProof/>
                <w:color w:val="000000"/>
                <w:sz w:val="18"/>
                <w:szCs w:val="18"/>
              </w:rPr>
            </w:pPr>
            <w:r>
              <w:rPr>
                <w:rFonts w:ascii="Arial" w:hAnsi="Arial"/>
                <w:b/>
                <w:noProof/>
                <w:color w:val="000000"/>
                <w:sz w:val="18"/>
              </w:rPr>
              <w:t>Part arithmétique</w:t>
            </w:r>
          </w:p>
        </w:tc>
        <w:tc>
          <w:tcPr>
            <w:tcW w:w="1409" w:type="dxa"/>
            <w:tcBorders>
              <w:top w:val="single" w:sz="4" w:space="0" w:color="000000"/>
              <w:left w:val="single" w:sz="4" w:space="0" w:color="000000"/>
              <w:bottom w:val="single" w:sz="4" w:space="0" w:color="000000"/>
              <w:right w:val="single" w:sz="4" w:space="0" w:color="000000"/>
            </w:tcBorders>
            <w:shd w:val="clear" w:color="auto" w:fill="99CCFF"/>
            <w:vAlign w:val="center"/>
            <w:hideMark/>
          </w:tcPr>
          <w:p w:rsidR="00E91048" w:rsidRPr="005E3A8B" w:rsidRDefault="005E3A8B">
            <w:pPr>
              <w:spacing w:after="0" w:line="240" w:lineRule="auto"/>
              <w:jc w:val="center"/>
              <w:rPr>
                <w:rFonts w:ascii="Arial" w:eastAsia="Times New Roman" w:hAnsi="Arial" w:cs="Arial"/>
                <w:b/>
                <w:bCs/>
                <w:noProof/>
                <w:sz w:val="18"/>
                <w:szCs w:val="18"/>
                <w:lang w:val="fr-FR"/>
              </w:rPr>
            </w:pPr>
            <w:r w:rsidRPr="005E3A8B">
              <w:rPr>
                <w:rFonts w:ascii="Arial" w:hAnsi="Arial"/>
                <w:b/>
                <w:noProof/>
                <w:sz w:val="18"/>
                <w:lang w:val="fr-FR"/>
              </w:rPr>
              <w:t>Pondération des voix au Conseil</w:t>
            </w:r>
          </w:p>
        </w:tc>
        <w:tc>
          <w:tcPr>
            <w:tcW w:w="1409" w:type="dxa"/>
            <w:tcBorders>
              <w:top w:val="single" w:sz="4" w:space="0" w:color="000000"/>
              <w:left w:val="single" w:sz="4" w:space="0" w:color="000000"/>
              <w:bottom w:val="single" w:sz="4" w:space="0" w:color="000000"/>
              <w:right w:val="single" w:sz="4" w:space="0" w:color="000000"/>
            </w:tcBorders>
            <w:shd w:val="clear" w:color="auto" w:fill="99CCFF"/>
            <w:vAlign w:val="center"/>
            <w:hideMark/>
          </w:tcPr>
          <w:p w:rsidR="00E91048" w:rsidRDefault="005E3A8B">
            <w:pPr>
              <w:spacing w:after="0" w:line="240" w:lineRule="auto"/>
              <w:jc w:val="center"/>
              <w:rPr>
                <w:rFonts w:ascii="Arial" w:eastAsia="Times New Roman" w:hAnsi="Arial" w:cs="Arial"/>
                <w:b/>
                <w:bCs/>
                <w:noProof/>
                <w:color w:val="000000"/>
                <w:sz w:val="18"/>
                <w:szCs w:val="18"/>
              </w:rPr>
            </w:pPr>
            <w:r>
              <w:rPr>
                <w:rFonts w:ascii="Arial" w:hAnsi="Arial"/>
                <w:b/>
                <w:noProof/>
                <w:color w:val="000000"/>
                <w:sz w:val="18"/>
              </w:rPr>
              <w:t>Part arithmétique</w:t>
            </w:r>
          </w:p>
        </w:tc>
        <w:tc>
          <w:tcPr>
            <w:tcW w:w="1404" w:type="dxa"/>
            <w:tcBorders>
              <w:top w:val="single" w:sz="4" w:space="0" w:color="000000"/>
              <w:left w:val="single" w:sz="4" w:space="0" w:color="000000"/>
              <w:bottom w:val="single" w:sz="4" w:space="0" w:color="000000"/>
              <w:right w:val="single" w:sz="4" w:space="0" w:color="000000"/>
            </w:tcBorders>
            <w:shd w:val="clear" w:color="auto" w:fill="99CCFF"/>
            <w:vAlign w:val="center"/>
            <w:hideMark/>
          </w:tcPr>
          <w:p w:rsidR="00E91048" w:rsidRDefault="005E3A8B">
            <w:pPr>
              <w:spacing w:after="0" w:line="240" w:lineRule="auto"/>
              <w:jc w:val="center"/>
              <w:rPr>
                <w:rFonts w:ascii="Arial" w:eastAsia="Times New Roman" w:hAnsi="Arial" w:cs="Arial"/>
                <w:b/>
                <w:bCs/>
                <w:noProof/>
                <w:color w:val="000000"/>
                <w:sz w:val="18"/>
                <w:szCs w:val="18"/>
              </w:rPr>
            </w:pPr>
            <w:r>
              <w:rPr>
                <w:rFonts w:ascii="Arial" w:hAnsi="Arial"/>
                <w:b/>
                <w:noProof/>
                <w:color w:val="000000"/>
                <w:sz w:val="18"/>
              </w:rPr>
              <w:t>Taux de référence</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Malte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429 344</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0,1 %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0,9 %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0,9 %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0,6 %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Luxembourg</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562 958</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0,1 %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0,9 %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0,8 %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Chypre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847 008</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0,2 %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0,9 %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0,8 %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Estonie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1 313 271</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0,3 %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0,9 %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0,8 %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Lettonie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1 986 096</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0,4 %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1,2 %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1,0 %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Slovénie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2 062 874</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0,5 %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1,2 %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1,0 %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Lituanie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2 921 262</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0,7 %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11</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1,6 %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1,5 %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Croatie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4 225 316</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1,0 %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11</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1,6 %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1,6 %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Irlande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4 628 949</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1,0 %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11</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1,6 %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1,6 %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Slovaquie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5 421 349</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1,2 %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1,9 %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1,8 %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Finlande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5 471 753</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1,2 %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1,9 %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1,8 %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Danemark</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5 659 715</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1,3 %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1,9 %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1,8 %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Bulgarie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7 202 198</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1,6 %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17</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2,5 %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2,4 %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Autriche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8 576 261</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1,9 %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18</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2,7 %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2,6 %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Suède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9 747 355</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2,2 %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20</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2,9 %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2,7 %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Hongrie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9 855 571</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2,2 %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21</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3,7 %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3,0 %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Portugal</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10 374 822</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2,3 %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21</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3,7 %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République tchèque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10 538 275</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2,4 %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21</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3,7 %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Grèce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10 858 018</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2,4 %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21</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3,7 %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Belgique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11 208 956</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2,5 %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21</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3,7 %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3,1 %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Pays-Bas</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16 900 726</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3,8 %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26</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3,8 %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4,0 %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3,9 %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Roumanie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19 870 647</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4,5 %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32</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4,7 %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14</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4,3 %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4,5 %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Pologne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38 005 614</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8,6 %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51</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7,5 %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27</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8,4 %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8,2 %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Espagne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46 449 565</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10,5 %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54</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8,0 %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27</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8,4 %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8,9 %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Italie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60 795 612</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13,7 %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73</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10,8 %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29</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9,0 %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11,2 %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France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66 415 161</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15,0 %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74</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10,9 %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29</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9,0 %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11,6 %</w:t>
            </w:r>
          </w:p>
        </w:tc>
      </w:tr>
      <w:tr w:rsidR="00E91048">
        <w:trPr>
          <w:trHeight w:val="170"/>
        </w:trPr>
        <w:tc>
          <w:tcPr>
            <w:tcW w:w="1935"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Allemagne</w:t>
            </w:r>
          </w:p>
        </w:tc>
        <w:tc>
          <w:tcPr>
            <w:tcW w:w="1334" w:type="dxa"/>
            <w:tcBorders>
              <w:top w:val="single" w:sz="4" w:space="0" w:color="000000"/>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Arial" w:eastAsia="Times New Roman" w:hAnsi="Arial" w:cs="Arial"/>
                <w:noProof/>
                <w:sz w:val="18"/>
                <w:szCs w:val="18"/>
              </w:rPr>
            </w:pPr>
            <w:r>
              <w:rPr>
                <w:rFonts w:ascii="Arial" w:hAnsi="Arial"/>
                <w:noProof/>
                <w:sz w:val="18"/>
              </w:rPr>
              <w:t>81 197 537</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18,3 %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96</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14,2 %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29</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9,0 %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13,8 %</w:t>
            </w:r>
          </w:p>
        </w:tc>
      </w:tr>
      <w:tr w:rsidR="00E91048">
        <w:trPr>
          <w:trHeight w:val="170"/>
        </w:trPr>
        <w:tc>
          <w:tcPr>
            <w:tcW w:w="1935" w:type="dxa"/>
            <w:tcBorders>
              <w:top w:val="nil"/>
              <w:left w:val="nil"/>
              <w:bottom w:val="single" w:sz="4" w:space="0" w:color="000000"/>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sz w:val="18"/>
                <w:szCs w:val="18"/>
              </w:rPr>
            </w:pPr>
          </w:p>
        </w:tc>
        <w:tc>
          <w:tcPr>
            <w:tcW w:w="1334" w:type="dxa"/>
            <w:tcBorders>
              <w:top w:val="single" w:sz="4" w:space="0" w:color="000000"/>
              <w:left w:val="nil"/>
              <w:bottom w:val="single" w:sz="4" w:space="0" w:color="000000"/>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sz w:val="18"/>
                <w:szCs w:val="18"/>
              </w:rPr>
            </w:pPr>
          </w:p>
        </w:tc>
        <w:tc>
          <w:tcPr>
            <w:tcW w:w="1335" w:type="dxa"/>
            <w:tcBorders>
              <w:top w:val="single" w:sz="4" w:space="0" w:color="000000"/>
              <w:left w:val="nil"/>
              <w:bottom w:val="single" w:sz="4" w:space="0" w:color="000000"/>
              <w:right w:val="nil"/>
            </w:tcBorders>
            <w:shd w:val="clear" w:color="auto" w:fill="auto"/>
            <w:noWrap/>
            <w:vAlign w:val="center"/>
            <w:hideMark/>
          </w:tcPr>
          <w:p w:rsidR="00E91048" w:rsidRDefault="00E91048">
            <w:pPr>
              <w:spacing w:after="0" w:line="240" w:lineRule="auto"/>
              <w:jc w:val="center"/>
              <w:rPr>
                <w:rFonts w:ascii="Calibri" w:eastAsia="Times New Roman" w:hAnsi="Calibri" w:cs="Times New Roman"/>
                <w:noProof/>
                <w:color w:val="000000"/>
                <w:sz w:val="18"/>
                <w:szCs w:val="18"/>
              </w:rPr>
            </w:pPr>
          </w:p>
        </w:tc>
        <w:tc>
          <w:tcPr>
            <w:tcW w:w="1683" w:type="dxa"/>
            <w:tcBorders>
              <w:top w:val="single" w:sz="4" w:space="0" w:color="000000"/>
              <w:left w:val="nil"/>
              <w:bottom w:val="single" w:sz="4" w:space="0" w:color="000000"/>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sz w:val="18"/>
                <w:szCs w:val="18"/>
              </w:rPr>
            </w:pPr>
          </w:p>
        </w:tc>
        <w:tc>
          <w:tcPr>
            <w:tcW w:w="1071" w:type="dxa"/>
            <w:tcBorders>
              <w:top w:val="single" w:sz="4" w:space="0" w:color="000000"/>
              <w:left w:val="nil"/>
              <w:bottom w:val="single" w:sz="4" w:space="0" w:color="000000"/>
              <w:right w:val="nil"/>
            </w:tcBorders>
            <w:shd w:val="clear" w:color="auto" w:fill="auto"/>
            <w:noWrap/>
            <w:vAlign w:val="bottom"/>
            <w:hideMark/>
          </w:tcPr>
          <w:p w:rsidR="00E91048" w:rsidRDefault="00E91048">
            <w:pPr>
              <w:spacing w:after="0" w:line="240" w:lineRule="auto"/>
              <w:jc w:val="center"/>
              <w:rPr>
                <w:rFonts w:ascii="Calibri" w:eastAsia="Times New Roman" w:hAnsi="Calibri" w:cs="Times New Roman"/>
                <w:noProof/>
                <w:color w:val="000000"/>
                <w:sz w:val="18"/>
                <w:szCs w:val="18"/>
              </w:rPr>
            </w:pPr>
          </w:p>
        </w:tc>
        <w:tc>
          <w:tcPr>
            <w:tcW w:w="1409" w:type="dxa"/>
            <w:tcBorders>
              <w:top w:val="single" w:sz="4" w:space="0" w:color="000000"/>
              <w:left w:val="nil"/>
              <w:bottom w:val="single" w:sz="4" w:space="0" w:color="000000"/>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sz w:val="18"/>
                <w:szCs w:val="18"/>
              </w:rPr>
            </w:pPr>
          </w:p>
        </w:tc>
        <w:tc>
          <w:tcPr>
            <w:tcW w:w="1409" w:type="dxa"/>
            <w:tcBorders>
              <w:top w:val="single" w:sz="4" w:space="0" w:color="000000"/>
              <w:left w:val="nil"/>
              <w:bottom w:val="single" w:sz="4" w:space="0" w:color="000000"/>
              <w:right w:val="nil"/>
            </w:tcBorders>
            <w:shd w:val="clear" w:color="auto" w:fill="auto"/>
            <w:noWrap/>
            <w:vAlign w:val="bottom"/>
            <w:hideMark/>
          </w:tcPr>
          <w:p w:rsidR="00E91048" w:rsidRDefault="00E91048">
            <w:pPr>
              <w:spacing w:after="0" w:line="240" w:lineRule="auto"/>
              <w:jc w:val="center"/>
              <w:rPr>
                <w:rFonts w:ascii="Calibri" w:eastAsia="Times New Roman" w:hAnsi="Calibri" w:cs="Times New Roman"/>
                <w:noProof/>
                <w:color w:val="000000"/>
                <w:sz w:val="18"/>
                <w:szCs w:val="18"/>
              </w:rPr>
            </w:pPr>
          </w:p>
        </w:tc>
        <w:tc>
          <w:tcPr>
            <w:tcW w:w="1404" w:type="dxa"/>
            <w:tcBorders>
              <w:top w:val="single" w:sz="4" w:space="0" w:color="000000"/>
              <w:left w:val="nil"/>
              <w:bottom w:val="single" w:sz="4" w:space="0" w:color="000000"/>
              <w:right w:val="nil"/>
            </w:tcBorders>
            <w:shd w:val="clear" w:color="auto" w:fill="auto"/>
            <w:noWrap/>
            <w:vAlign w:val="bottom"/>
            <w:hideMark/>
          </w:tcPr>
          <w:p w:rsidR="00E91048" w:rsidRDefault="00E91048">
            <w:pPr>
              <w:spacing w:after="0" w:line="240" w:lineRule="auto"/>
              <w:rPr>
                <w:rFonts w:ascii="Calibri" w:eastAsia="Times New Roman" w:hAnsi="Calibri" w:cs="Times New Roman"/>
                <w:noProof/>
                <w:color w:val="000000"/>
                <w:sz w:val="18"/>
                <w:szCs w:val="18"/>
              </w:rPr>
            </w:pPr>
          </w:p>
        </w:tc>
      </w:tr>
      <w:tr w:rsidR="00E91048">
        <w:trPr>
          <w:trHeight w:val="170"/>
        </w:trPr>
        <w:tc>
          <w:tcPr>
            <w:tcW w:w="1935" w:type="dxa"/>
            <w:tcBorders>
              <w:top w:val="single" w:sz="4" w:space="0" w:color="000000"/>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Total</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right"/>
              <w:rPr>
                <w:rFonts w:ascii="Calibri" w:eastAsia="Times New Roman" w:hAnsi="Calibri" w:cs="Times New Roman"/>
                <w:noProof/>
                <w:color w:val="000000"/>
                <w:sz w:val="18"/>
                <w:szCs w:val="18"/>
              </w:rPr>
            </w:pPr>
            <w:r>
              <w:rPr>
                <w:rFonts w:ascii="Calibri" w:hAnsi="Calibri"/>
                <w:noProof/>
                <w:color w:val="000000"/>
                <w:sz w:val="18"/>
              </w:rPr>
              <w:t>443 526 213</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100,0 %</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678</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100,0 %</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323</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100,0 %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Calibri" w:eastAsia="Times New Roman" w:hAnsi="Calibri" w:cs="Times New Roman"/>
                <w:noProof/>
                <w:color w:val="000000"/>
                <w:sz w:val="18"/>
                <w:szCs w:val="18"/>
              </w:rPr>
            </w:pPr>
            <w:r>
              <w:rPr>
                <w:rFonts w:ascii="Calibri" w:hAnsi="Calibri"/>
                <w:noProof/>
                <w:color w:val="000000"/>
                <w:sz w:val="18"/>
              </w:rPr>
              <w:t>100,0 %</w:t>
            </w:r>
          </w:p>
        </w:tc>
      </w:tr>
    </w:tbl>
    <w:p w:rsidR="00E91048" w:rsidRDefault="005E3A8B">
      <w:pPr>
        <w:spacing w:after="0" w:line="240" w:lineRule="auto"/>
        <w:rPr>
          <w:rFonts w:ascii="Times New Roman" w:eastAsia="Times New Roman" w:hAnsi="Times New Roman" w:cs="Times New Roman"/>
          <w:noProof/>
          <w:sz w:val="24"/>
          <w:szCs w:val="20"/>
        </w:rPr>
      </w:pPr>
      <w:r>
        <w:rPr>
          <w:noProof/>
        </w:rPr>
        <w:br w:type="page"/>
      </w:r>
    </w:p>
    <w:p w:rsidR="00E91048" w:rsidRDefault="00E91048">
      <w:pPr>
        <w:spacing w:after="240" w:line="240" w:lineRule="auto"/>
        <w:jc w:val="both"/>
        <w:rPr>
          <w:rFonts w:ascii="Times New Roman" w:eastAsia="Times New Roman" w:hAnsi="Times New Roman" w:cs="Times New Roman"/>
          <w:noProof/>
          <w:sz w:val="24"/>
          <w:szCs w:val="20"/>
        </w:rPr>
        <w:sectPr w:rsidR="00E91048">
          <w:headerReference w:type="even" r:id="rId46"/>
          <w:headerReference w:type="default" r:id="rId47"/>
          <w:footerReference w:type="even" r:id="rId48"/>
          <w:footerReference w:type="default" r:id="rId49"/>
          <w:headerReference w:type="first" r:id="rId50"/>
          <w:footerReference w:type="first" r:id="rId51"/>
          <w:pgSz w:w="16838" w:h="11906" w:orient="landscape"/>
          <w:pgMar w:top="1134" w:right="1021" w:bottom="1701" w:left="1021" w:header="567" w:footer="567" w:gutter="0"/>
          <w:cols w:space="720"/>
          <w:docGrid w:linePitch="326"/>
        </w:sectPr>
      </w:pPr>
    </w:p>
    <w:p w:rsidR="00E91048" w:rsidRPr="005E3A8B" w:rsidRDefault="005E3A8B">
      <w:pPr>
        <w:spacing w:after="240" w:line="240" w:lineRule="auto"/>
        <w:jc w:val="both"/>
        <w:rPr>
          <w:rFonts w:ascii="Times New Roman" w:eastAsia="Times New Roman" w:hAnsi="Times New Roman" w:cs="Times New Roman"/>
          <w:b/>
          <w:noProof/>
          <w:sz w:val="24"/>
          <w:szCs w:val="20"/>
          <w:lang w:val="fr-FR"/>
        </w:rPr>
      </w:pPr>
      <w:r w:rsidRPr="005E3A8B">
        <w:rPr>
          <w:rFonts w:ascii="Times New Roman" w:hAnsi="Times New Roman"/>
          <w:b/>
          <w:noProof/>
          <w:sz w:val="24"/>
          <w:lang w:val="fr-FR"/>
        </w:rPr>
        <w:t>Annexe 6: Répartition du personnel AD hors encadrement affecté à la DGT ou au SCIC au 1.1.2017</w:t>
      </w:r>
    </w:p>
    <w:tbl>
      <w:tblPr>
        <w:tblW w:w="11869" w:type="dxa"/>
        <w:tblInd w:w="-176" w:type="dxa"/>
        <w:tblLook w:val="04A0" w:firstRow="1" w:lastRow="0" w:firstColumn="1" w:lastColumn="0" w:noHBand="0" w:noVBand="1"/>
      </w:tblPr>
      <w:tblGrid>
        <w:gridCol w:w="1668"/>
        <w:gridCol w:w="987"/>
        <w:gridCol w:w="1297"/>
        <w:gridCol w:w="1060"/>
        <w:gridCol w:w="1300"/>
        <w:gridCol w:w="1080"/>
        <w:gridCol w:w="1100"/>
        <w:gridCol w:w="1120"/>
        <w:gridCol w:w="960"/>
        <w:gridCol w:w="1297"/>
      </w:tblGrid>
      <w:tr w:rsidR="00E91048">
        <w:trPr>
          <w:trHeight w:val="616"/>
        </w:trPr>
        <w:tc>
          <w:tcPr>
            <w:tcW w:w="1918" w:type="dxa"/>
            <w:tcBorders>
              <w:top w:val="single" w:sz="4" w:space="0" w:color="000000"/>
              <w:left w:val="single" w:sz="4" w:space="0" w:color="000000"/>
              <w:bottom w:val="single" w:sz="4" w:space="0" w:color="000000"/>
              <w:right w:val="nil"/>
            </w:tcBorders>
            <w:shd w:val="clear" w:color="000000" w:fill="99CCFF"/>
            <w:vAlign w:val="center"/>
            <w:hideMark/>
          </w:tcPr>
          <w:p w:rsidR="00E91048" w:rsidRPr="005E3A8B" w:rsidRDefault="005E3A8B">
            <w:pPr>
              <w:spacing w:after="0" w:line="240" w:lineRule="auto"/>
              <w:jc w:val="center"/>
              <w:rPr>
                <w:rFonts w:ascii="Arial" w:eastAsia="Times New Roman" w:hAnsi="Arial" w:cs="Arial"/>
                <w:b/>
                <w:bCs/>
                <w:noProof/>
                <w:sz w:val="18"/>
                <w:szCs w:val="18"/>
                <w:lang w:val="fr-FR"/>
              </w:rPr>
            </w:pPr>
            <w:r w:rsidRPr="005E3A8B">
              <w:rPr>
                <w:rFonts w:ascii="Arial" w:hAnsi="Arial"/>
                <w:b/>
                <w:noProof/>
                <w:sz w:val="18"/>
                <w:lang w:val="fr-FR"/>
              </w:rPr>
              <w:t>Population 2015 &amp; députés PE &amp; voix au</w:t>
            </w:r>
            <w:r w:rsidRPr="005E3A8B">
              <w:rPr>
                <w:rFonts w:ascii="Arial" w:hAnsi="Arial"/>
                <w:b/>
                <w:noProof/>
                <w:sz w:val="18"/>
                <w:lang w:val="fr-FR"/>
              </w:rPr>
              <w:t xml:space="preserve"> Conseil</w:t>
            </w:r>
          </w:p>
        </w:tc>
        <w:tc>
          <w:tcPr>
            <w:tcW w:w="2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Taux de référence</w:t>
            </w:r>
          </w:p>
        </w:tc>
        <w:tc>
          <w:tcPr>
            <w:tcW w:w="2360" w:type="dxa"/>
            <w:gridSpan w:val="2"/>
            <w:tcBorders>
              <w:top w:val="single" w:sz="4" w:space="0" w:color="000000"/>
              <w:left w:val="nil"/>
              <w:bottom w:val="single" w:sz="4" w:space="0" w:color="000000"/>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Objectifs (en effectifs)</w:t>
            </w:r>
            <w:r>
              <w:rPr>
                <w:rFonts w:ascii="Arial" w:eastAsia="Times New Roman" w:hAnsi="Arial" w:cs="Arial"/>
                <w:b/>
                <w:bCs/>
                <w:noProof/>
                <w:sz w:val="18"/>
                <w:szCs w:val="18"/>
              </w:rPr>
              <w:br/>
            </w:r>
            <w:r>
              <w:rPr>
                <w:rFonts w:ascii="Arial" w:hAnsi="Arial"/>
                <w:b/>
                <w:noProof/>
                <w:sz w:val="18"/>
              </w:rPr>
              <w:t xml:space="preserve">(en 2017) </w:t>
            </w:r>
          </w:p>
        </w:tc>
        <w:tc>
          <w:tcPr>
            <w:tcW w:w="2180" w:type="dxa"/>
            <w:gridSpan w:val="2"/>
            <w:tcBorders>
              <w:top w:val="single" w:sz="4" w:space="0" w:color="000000"/>
              <w:left w:val="nil"/>
              <w:bottom w:val="single" w:sz="4" w:space="0" w:color="000000"/>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Situation réelle au 1.1.2017</w:t>
            </w:r>
          </w:p>
        </w:tc>
        <w:tc>
          <w:tcPr>
            <w:tcW w:w="2080" w:type="dxa"/>
            <w:gridSpan w:val="2"/>
            <w:tcBorders>
              <w:top w:val="single" w:sz="4" w:space="0" w:color="000000"/>
              <w:left w:val="nil"/>
              <w:bottom w:val="single" w:sz="4" w:space="0" w:color="000000"/>
              <w:right w:val="single" w:sz="4" w:space="0" w:color="000000"/>
            </w:tcBorders>
            <w:shd w:val="clear" w:color="auto" w:fill="auto"/>
            <w:vAlign w:val="center"/>
            <w:hideMark/>
          </w:tcPr>
          <w:p w:rsidR="00E91048" w:rsidRPr="005E3A8B" w:rsidRDefault="005E3A8B">
            <w:pPr>
              <w:spacing w:after="0" w:line="240" w:lineRule="auto"/>
              <w:jc w:val="center"/>
              <w:rPr>
                <w:rFonts w:ascii="Arial" w:eastAsia="Times New Roman" w:hAnsi="Arial" w:cs="Arial"/>
                <w:b/>
                <w:bCs/>
                <w:noProof/>
                <w:sz w:val="18"/>
                <w:szCs w:val="18"/>
                <w:lang w:val="fr-FR"/>
              </w:rPr>
            </w:pPr>
            <w:r w:rsidRPr="005E3A8B">
              <w:rPr>
                <w:rFonts w:ascii="Arial" w:hAnsi="Arial"/>
                <w:b/>
                <w:noProof/>
                <w:sz w:val="18"/>
                <w:lang w:val="fr-FR"/>
              </w:rPr>
              <w:t xml:space="preserve">Dépassement ou déficit </w:t>
            </w:r>
            <w:r w:rsidRPr="005E3A8B">
              <w:rPr>
                <w:rFonts w:ascii="Arial" w:eastAsia="Times New Roman" w:hAnsi="Arial" w:cs="Arial"/>
                <w:b/>
                <w:bCs/>
                <w:noProof/>
                <w:sz w:val="18"/>
                <w:szCs w:val="18"/>
                <w:lang w:val="fr-FR"/>
              </w:rPr>
              <w:br/>
            </w:r>
            <w:r w:rsidRPr="005E3A8B">
              <w:rPr>
                <w:rFonts w:ascii="Arial" w:hAnsi="Arial"/>
                <w:b/>
                <w:noProof/>
                <w:sz w:val="18"/>
                <w:lang w:val="fr-FR"/>
              </w:rPr>
              <w:t>par rapport à l’objectif</w:t>
            </w:r>
          </w:p>
        </w:tc>
        <w:tc>
          <w:tcPr>
            <w:tcW w:w="1207"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Déséquilibre important constaté?</w:t>
            </w:r>
          </w:p>
        </w:tc>
      </w:tr>
      <w:tr w:rsidR="00E91048">
        <w:trPr>
          <w:trHeight w:val="720"/>
        </w:trPr>
        <w:tc>
          <w:tcPr>
            <w:tcW w:w="1918" w:type="dxa"/>
            <w:tcBorders>
              <w:top w:val="single" w:sz="4" w:space="0" w:color="000000"/>
              <w:left w:val="single" w:sz="4" w:space="0" w:color="auto"/>
              <w:bottom w:val="single" w:sz="4" w:space="0" w:color="auto"/>
              <w:right w:val="single" w:sz="4" w:space="0" w:color="auto"/>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AD5-AD14</w:t>
            </w:r>
            <w:r>
              <w:rPr>
                <w:rFonts w:ascii="Arial" w:eastAsia="Times New Roman" w:hAnsi="Arial" w:cs="Arial"/>
                <w:b/>
                <w:bCs/>
                <w:noProof/>
                <w:sz w:val="18"/>
                <w:szCs w:val="18"/>
              </w:rPr>
              <w:br/>
            </w:r>
            <w:r>
              <w:rPr>
                <w:rFonts w:ascii="Arial" w:hAnsi="Arial"/>
                <w:b/>
                <w:noProof/>
                <w:sz w:val="18"/>
              </w:rPr>
              <w:t>hors encadrement</w:t>
            </w:r>
            <w:r>
              <w:rPr>
                <w:rFonts w:ascii="Arial" w:eastAsia="Times New Roman" w:hAnsi="Arial" w:cs="Arial"/>
                <w:b/>
                <w:bCs/>
                <w:noProof/>
                <w:sz w:val="18"/>
                <w:szCs w:val="18"/>
              </w:rPr>
              <w:br/>
            </w:r>
            <w:r>
              <w:rPr>
                <w:rFonts w:ascii="Arial" w:hAnsi="Arial"/>
                <w:b/>
                <w:noProof/>
                <w:sz w:val="18"/>
              </w:rPr>
              <w:t>DGT &amp; SCIC</w:t>
            </w:r>
          </w:p>
        </w:tc>
        <w:tc>
          <w:tcPr>
            <w:tcW w:w="987" w:type="dxa"/>
            <w:tcBorders>
              <w:top w:val="single" w:sz="4" w:space="0" w:color="000000"/>
              <w:left w:val="nil"/>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Absolu</w:t>
            </w:r>
          </w:p>
        </w:tc>
        <w:tc>
          <w:tcPr>
            <w:tcW w:w="1137" w:type="dxa"/>
            <w:tcBorders>
              <w:top w:val="single" w:sz="4" w:space="0" w:color="000000"/>
              <w:left w:val="dotted" w:sz="4" w:space="0" w:color="auto"/>
              <w:bottom w:val="single" w:sz="4" w:space="0" w:color="auto"/>
              <w:right w:val="single" w:sz="4" w:space="0" w:color="000000"/>
            </w:tcBorders>
            <w:shd w:val="clear" w:color="auto" w:fill="auto"/>
            <w:vAlign w:val="center"/>
            <w:hideMark/>
          </w:tcPr>
          <w:p w:rsidR="00E91048" w:rsidRPr="005E3A8B" w:rsidRDefault="005E3A8B">
            <w:pPr>
              <w:spacing w:after="0" w:line="240" w:lineRule="auto"/>
              <w:jc w:val="center"/>
              <w:rPr>
                <w:rFonts w:ascii="Arial" w:eastAsia="Times New Roman" w:hAnsi="Arial" w:cs="Arial"/>
                <w:b/>
                <w:bCs/>
                <w:noProof/>
                <w:sz w:val="18"/>
                <w:szCs w:val="18"/>
                <w:lang w:val="fr-FR"/>
              </w:rPr>
            </w:pPr>
            <w:r w:rsidRPr="005E3A8B">
              <w:rPr>
                <w:rFonts w:ascii="Arial" w:hAnsi="Arial"/>
                <w:b/>
                <w:noProof/>
                <w:sz w:val="18"/>
                <w:lang w:val="fr-FR"/>
              </w:rPr>
              <w:t>Déséquilibre important si moins de</w:t>
            </w:r>
          </w:p>
        </w:tc>
        <w:tc>
          <w:tcPr>
            <w:tcW w:w="1060" w:type="dxa"/>
            <w:tcBorders>
              <w:top w:val="single" w:sz="4" w:space="0" w:color="000000"/>
              <w:left w:val="nil"/>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Absolu</w:t>
            </w:r>
          </w:p>
        </w:tc>
        <w:tc>
          <w:tcPr>
            <w:tcW w:w="1300" w:type="dxa"/>
            <w:tcBorders>
              <w:top w:val="single" w:sz="4" w:space="0" w:color="000000"/>
              <w:left w:val="dotted" w:sz="4" w:space="0" w:color="auto"/>
              <w:bottom w:val="single" w:sz="4" w:space="0" w:color="auto"/>
              <w:right w:val="single" w:sz="4" w:space="0" w:color="000000"/>
            </w:tcBorders>
            <w:shd w:val="clear" w:color="auto" w:fill="auto"/>
            <w:vAlign w:val="center"/>
            <w:hideMark/>
          </w:tcPr>
          <w:p w:rsidR="00E91048" w:rsidRPr="005E3A8B" w:rsidRDefault="005E3A8B">
            <w:pPr>
              <w:spacing w:after="0" w:line="240" w:lineRule="auto"/>
              <w:jc w:val="center"/>
              <w:rPr>
                <w:rFonts w:ascii="Arial" w:eastAsia="Times New Roman" w:hAnsi="Arial" w:cs="Arial"/>
                <w:b/>
                <w:bCs/>
                <w:noProof/>
                <w:sz w:val="18"/>
                <w:szCs w:val="18"/>
                <w:lang w:val="fr-FR"/>
              </w:rPr>
            </w:pPr>
            <w:r w:rsidRPr="005E3A8B">
              <w:rPr>
                <w:rFonts w:ascii="Arial" w:hAnsi="Arial"/>
                <w:b/>
                <w:noProof/>
                <w:sz w:val="18"/>
                <w:lang w:val="fr-FR"/>
              </w:rPr>
              <w:t>Déséquilibre important si moins de</w:t>
            </w:r>
          </w:p>
        </w:tc>
        <w:tc>
          <w:tcPr>
            <w:tcW w:w="1080" w:type="dxa"/>
            <w:tcBorders>
              <w:top w:val="single" w:sz="4" w:space="0" w:color="000000"/>
              <w:left w:val="nil"/>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Effectifs</w:t>
            </w:r>
          </w:p>
        </w:tc>
        <w:tc>
          <w:tcPr>
            <w:tcW w:w="1100" w:type="dxa"/>
            <w:tcBorders>
              <w:top w:val="single" w:sz="4" w:space="0" w:color="000000"/>
              <w:left w:val="dotted" w:sz="4" w:space="0" w:color="auto"/>
              <w:bottom w:val="single" w:sz="4" w:space="0" w:color="auto"/>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w:t>
            </w:r>
          </w:p>
        </w:tc>
        <w:tc>
          <w:tcPr>
            <w:tcW w:w="1120" w:type="dxa"/>
            <w:tcBorders>
              <w:top w:val="single" w:sz="4" w:space="0" w:color="000000"/>
              <w:left w:val="nil"/>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Effectifs</w:t>
            </w:r>
            <w:r>
              <w:rPr>
                <w:rFonts w:ascii="Arial" w:eastAsia="Times New Roman" w:hAnsi="Arial" w:cs="Arial"/>
                <w:b/>
                <w:bCs/>
                <w:noProof/>
                <w:sz w:val="18"/>
                <w:szCs w:val="18"/>
              </w:rPr>
              <w:br/>
            </w:r>
            <w:r>
              <w:rPr>
                <w:rFonts w:ascii="Arial" w:hAnsi="Arial"/>
                <w:b/>
                <w:noProof/>
                <w:sz w:val="18"/>
              </w:rPr>
              <w:t>(en 2017)</w:t>
            </w:r>
          </w:p>
        </w:tc>
        <w:tc>
          <w:tcPr>
            <w:tcW w:w="960" w:type="dxa"/>
            <w:tcBorders>
              <w:top w:val="single" w:sz="4" w:space="0" w:color="000000"/>
              <w:left w:val="dotted" w:sz="4" w:space="0" w:color="auto"/>
              <w:bottom w:val="single" w:sz="4" w:space="0" w:color="auto"/>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 xml:space="preserve">% de </w:t>
            </w:r>
            <w:r>
              <w:rPr>
                <w:rFonts w:ascii="Arial" w:eastAsia="Times New Roman" w:hAnsi="Arial" w:cs="Arial"/>
                <w:b/>
                <w:bCs/>
                <w:noProof/>
                <w:sz w:val="18"/>
                <w:szCs w:val="18"/>
              </w:rPr>
              <w:br/>
            </w:r>
            <w:r>
              <w:rPr>
                <w:rFonts w:ascii="Arial" w:hAnsi="Arial"/>
                <w:b/>
                <w:noProof/>
                <w:sz w:val="18"/>
              </w:rPr>
              <w:t>l’objectif</w:t>
            </w:r>
          </w:p>
        </w:tc>
        <w:tc>
          <w:tcPr>
            <w:tcW w:w="1207" w:type="dxa"/>
            <w:vMerge/>
            <w:tcBorders>
              <w:top w:val="single" w:sz="4" w:space="0" w:color="000000"/>
              <w:left w:val="single" w:sz="4" w:space="0" w:color="000000"/>
              <w:bottom w:val="single" w:sz="4" w:space="0" w:color="auto"/>
              <w:right w:val="single" w:sz="4" w:space="0" w:color="auto"/>
            </w:tcBorders>
            <w:vAlign w:val="center"/>
            <w:hideMark/>
          </w:tcPr>
          <w:p w:rsidR="00E91048" w:rsidRDefault="00E91048">
            <w:pPr>
              <w:spacing w:after="0" w:line="240" w:lineRule="auto"/>
              <w:jc w:val="center"/>
              <w:rPr>
                <w:rFonts w:ascii="Arial" w:eastAsia="Times New Roman" w:hAnsi="Arial" w:cs="Arial"/>
                <w:b/>
                <w:bCs/>
                <w:noProof/>
                <w:sz w:val="18"/>
                <w:szCs w:val="18"/>
              </w:rPr>
            </w:pPr>
          </w:p>
        </w:tc>
      </w:tr>
      <w:tr w:rsidR="00E91048">
        <w:trPr>
          <w:trHeight w:val="240"/>
        </w:trPr>
        <w:tc>
          <w:tcPr>
            <w:tcW w:w="1918" w:type="dxa"/>
            <w:tcBorders>
              <w:top w:val="single" w:sz="4" w:space="0" w:color="auto"/>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Belgique</w:t>
            </w:r>
          </w:p>
        </w:tc>
        <w:tc>
          <w:tcPr>
            <w:tcW w:w="987" w:type="dxa"/>
            <w:tcBorders>
              <w:top w:val="single"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single"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2,5 %</w:t>
            </w:r>
          </w:p>
        </w:tc>
        <w:tc>
          <w:tcPr>
            <w:tcW w:w="1060" w:type="dxa"/>
            <w:tcBorders>
              <w:top w:val="single"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63</w:t>
            </w:r>
          </w:p>
        </w:tc>
        <w:tc>
          <w:tcPr>
            <w:tcW w:w="1300" w:type="dxa"/>
            <w:tcBorders>
              <w:top w:val="single"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50</w:t>
            </w:r>
          </w:p>
        </w:tc>
        <w:tc>
          <w:tcPr>
            <w:tcW w:w="1080" w:type="dxa"/>
            <w:tcBorders>
              <w:top w:val="single"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147</w:t>
            </w:r>
          </w:p>
        </w:tc>
        <w:tc>
          <w:tcPr>
            <w:tcW w:w="1100" w:type="dxa"/>
            <w:tcBorders>
              <w:top w:val="single"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7,3 %</w:t>
            </w:r>
          </w:p>
        </w:tc>
        <w:tc>
          <w:tcPr>
            <w:tcW w:w="1120" w:type="dxa"/>
            <w:tcBorders>
              <w:top w:val="single"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84 </w:t>
            </w:r>
          </w:p>
        </w:tc>
        <w:tc>
          <w:tcPr>
            <w:tcW w:w="960" w:type="dxa"/>
            <w:tcBorders>
              <w:top w:val="single"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233 %</w:t>
            </w:r>
          </w:p>
        </w:tc>
        <w:tc>
          <w:tcPr>
            <w:tcW w:w="1207" w:type="dxa"/>
            <w:tcBorders>
              <w:top w:val="single"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Bulgarie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2,4 %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1,9 %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49</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39</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75</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3,7 %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26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154 %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République tchèque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62</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50</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80</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3,9 %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18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129 %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Danemark</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36</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29</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65</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3,2 %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29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180 %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Allemagne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11,1 %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280</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224</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165</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8,1 %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-115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59 %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Estonie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16</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67</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3,3 %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51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410 %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Irlande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33</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40</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2,0 %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7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123 %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Grèce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63</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50</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84</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4,1 %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21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134 %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Espagne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8,9 %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7,1 %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181</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145</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124</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6,1 %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-57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69 %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France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11,6 %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9,3 %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235</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188</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98</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4,8 %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-137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42 %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Croatie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32</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59</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2,9 %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27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184 %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Italie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11,2 %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8,9 %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226</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181</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129</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6,4 %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-97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57 %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Chypre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16</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0,2 %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-12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26 %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Lettonie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0,8 %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19</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15</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70</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3,5 %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51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362 %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Lituanie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1,5 %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30</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24</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71</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3,5 %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41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236 %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Luxembourg</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15</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0,1 %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-12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Hongrie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3,0 %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61</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49</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74</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3,7 %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13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121 %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Malte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58</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2,9 %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45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450 %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Pays-Bas</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3,9 %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3,1 %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79</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63</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41</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2,0 %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-38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52 %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Autriche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2,0 %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52</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42</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0,6 %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-39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25 %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Pologne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8,2 %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165</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132</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86</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4,2 %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-79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52 %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Portugal</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62</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49</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89</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4,4 %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27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144 %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Roumanie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4,5 %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91</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73</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80</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3,9 %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-11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88 %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Slovénie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0,8 %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19</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72</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3,6 %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53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370 %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Slovaquie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36</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29</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70</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3,5 %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34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195 %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Finlande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36</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29</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94</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4,6 %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58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262 %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Suède</w:t>
            </w:r>
          </w:p>
        </w:tc>
        <w:tc>
          <w:tcPr>
            <w:tcW w:w="987" w:type="dxa"/>
            <w:tcBorders>
              <w:top w:val="dotted" w:sz="4" w:space="0" w:color="auto"/>
              <w:left w:val="nil"/>
              <w:bottom w:val="single" w:sz="4" w:space="0" w:color="000000"/>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2,7 %</w:t>
            </w:r>
          </w:p>
        </w:tc>
        <w:tc>
          <w:tcPr>
            <w:tcW w:w="1137" w:type="dxa"/>
            <w:tcBorders>
              <w:top w:val="dotted" w:sz="4" w:space="0" w:color="auto"/>
              <w:left w:val="dotted" w:sz="4" w:space="0" w:color="auto"/>
              <w:bottom w:val="single" w:sz="4" w:space="0" w:color="000000"/>
              <w:right w:val="single" w:sz="4" w:space="0" w:color="000000"/>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2,2 %</w:t>
            </w:r>
          </w:p>
        </w:tc>
        <w:tc>
          <w:tcPr>
            <w:tcW w:w="1060" w:type="dxa"/>
            <w:tcBorders>
              <w:top w:val="dotted" w:sz="4" w:space="0" w:color="auto"/>
              <w:left w:val="nil"/>
              <w:bottom w:val="single" w:sz="4" w:space="0" w:color="000000"/>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56</w:t>
            </w:r>
          </w:p>
        </w:tc>
        <w:tc>
          <w:tcPr>
            <w:tcW w:w="1300" w:type="dxa"/>
            <w:tcBorders>
              <w:top w:val="dotted" w:sz="4" w:space="0" w:color="auto"/>
              <w:left w:val="dotted" w:sz="4" w:space="0" w:color="auto"/>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45</w:t>
            </w:r>
          </w:p>
        </w:tc>
        <w:tc>
          <w:tcPr>
            <w:tcW w:w="1080" w:type="dxa"/>
            <w:tcBorders>
              <w:top w:val="dotted" w:sz="4" w:space="0" w:color="auto"/>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68</w:t>
            </w:r>
          </w:p>
        </w:tc>
        <w:tc>
          <w:tcPr>
            <w:tcW w:w="1100" w:type="dxa"/>
            <w:tcBorders>
              <w:top w:val="dotted" w:sz="4" w:space="0" w:color="auto"/>
              <w:left w:val="single" w:sz="4" w:space="0" w:color="000000"/>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3,4 %</w:t>
            </w:r>
          </w:p>
        </w:tc>
        <w:tc>
          <w:tcPr>
            <w:tcW w:w="1120" w:type="dxa"/>
            <w:tcBorders>
              <w:top w:val="dotted" w:sz="4" w:space="0" w:color="auto"/>
              <w:left w:val="nil"/>
              <w:bottom w:val="single" w:sz="4" w:space="0" w:color="000000"/>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12 </w:t>
            </w:r>
          </w:p>
        </w:tc>
        <w:tc>
          <w:tcPr>
            <w:tcW w:w="960" w:type="dxa"/>
            <w:tcBorders>
              <w:top w:val="dotted" w:sz="4" w:space="0" w:color="auto"/>
              <w:left w:val="dotted" w:sz="4" w:space="0" w:color="auto"/>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122 %</w:t>
            </w:r>
          </w:p>
        </w:tc>
        <w:tc>
          <w:tcPr>
            <w:tcW w:w="1207" w:type="dxa"/>
            <w:tcBorders>
              <w:top w:val="dotted" w:sz="4" w:space="0" w:color="auto"/>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bl>
    <w:p w:rsidR="00E91048" w:rsidRDefault="00E91048">
      <w:pPr>
        <w:spacing w:after="0" w:line="240" w:lineRule="auto"/>
        <w:rPr>
          <w:rFonts w:ascii="Times New Roman" w:eastAsia="Times New Roman" w:hAnsi="Times New Roman" w:cs="Times New Roman"/>
          <w:noProof/>
          <w:sz w:val="24"/>
          <w:szCs w:val="20"/>
        </w:rPr>
      </w:pPr>
    </w:p>
    <w:p w:rsidR="00E91048" w:rsidRPr="005E3A8B" w:rsidRDefault="005E3A8B">
      <w:pPr>
        <w:spacing w:after="240" w:line="240" w:lineRule="auto"/>
        <w:jc w:val="both"/>
        <w:rPr>
          <w:rFonts w:ascii="Times New Roman" w:eastAsia="Times New Roman" w:hAnsi="Times New Roman" w:cs="Times New Roman"/>
          <w:b/>
          <w:noProof/>
          <w:sz w:val="24"/>
          <w:szCs w:val="24"/>
          <w:lang w:val="fr-FR"/>
        </w:rPr>
      </w:pPr>
      <w:r w:rsidRPr="005E3A8B">
        <w:rPr>
          <w:rFonts w:ascii="Times New Roman" w:hAnsi="Times New Roman"/>
          <w:b/>
          <w:noProof/>
          <w:sz w:val="24"/>
          <w:lang w:val="fr-FR"/>
        </w:rPr>
        <w:t>Annexe 7 bis: Répartition du personnel AD5-AD8 affecté à d’autres services que la DGT ou le SCIC a</w:t>
      </w:r>
      <w:r w:rsidRPr="005E3A8B">
        <w:rPr>
          <w:rFonts w:ascii="Times New Roman" w:hAnsi="Times New Roman"/>
          <w:b/>
          <w:noProof/>
          <w:sz w:val="24"/>
          <w:lang w:val="fr-FR"/>
        </w:rPr>
        <w:t>u 1.1.2017</w:t>
      </w:r>
    </w:p>
    <w:tbl>
      <w:tblPr>
        <w:tblW w:w="11727" w:type="dxa"/>
        <w:tblInd w:w="-34" w:type="dxa"/>
        <w:tblLook w:val="04A0" w:firstRow="1" w:lastRow="0" w:firstColumn="1" w:lastColumn="0" w:noHBand="0" w:noVBand="1"/>
      </w:tblPr>
      <w:tblGrid>
        <w:gridCol w:w="1526"/>
        <w:gridCol w:w="987"/>
        <w:gridCol w:w="1297"/>
        <w:gridCol w:w="1060"/>
        <w:gridCol w:w="1300"/>
        <w:gridCol w:w="1080"/>
        <w:gridCol w:w="1100"/>
        <w:gridCol w:w="1120"/>
        <w:gridCol w:w="960"/>
        <w:gridCol w:w="1297"/>
      </w:tblGrid>
      <w:tr w:rsidR="00E91048">
        <w:trPr>
          <w:trHeight w:val="758"/>
        </w:trPr>
        <w:tc>
          <w:tcPr>
            <w:tcW w:w="1776" w:type="dxa"/>
            <w:tcBorders>
              <w:top w:val="single" w:sz="4" w:space="0" w:color="000000"/>
              <w:left w:val="single" w:sz="4" w:space="0" w:color="000000"/>
              <w:bottom w:val="single" w:sz="4" w:space="0" w:color="000000"/>
              <w:right w:val="nil"/>
            </w:tcBorders>
            <w:shd w:val="clear" w:color="000000" w:fill="99CCFF"/>
            <w:vAlign w:val="center"/>
            <w:hideMark/>
          </w:tcPr>
          <w:p w:rsidR="00E91048" w:rsidRPr="005E3A8B" w:rsidRDefault="005E3A8B">
            <w:pPr>
              <w:spacing w:after="0" w:line="240" w:lineRule="auto"/>
              <w:rPr>
                <w:rFonts w:ascii="Arial" w:eastAsia="Times New Roman" w:hAnsi="Arial" w:cs="Arial"/>
                <w:b/>
                <w:bCs/>
                <w:noProof/>
                <w:sz w:val="18"/>
                <w:szCs w:val="18"/>
                <w:lang w:val="fr-FR"/>
              </w:rPr>
            </w:pPr>
            <w:r w:rsidRPr="005E3A8B">
              <w:rPr>
                <w:rFonts w:ascii="Arial" w:hAnsi="Arial"/>
                <w:b/>
                <w:noProof/>
                <w:sz w:val="18"/>
                <w:lang w:val="fr-FR"/>
              </w:rPr>
              <w:t>Population 2015 &amp; députés PE &amp; voix au Conseil</w:t>
            </w:r>
          </w:p>
        </w:tc>
        <w:tc>
          <w:tcPr>
            <w:tcW w:w="2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Taux de référence</w:t>
            </w:r>
          </w:p>
        </w:tc>
        <w:tc>
          <w:tcPr>
            <w:tcW w:w="2360" w:type="dxa"/>
            <w:gridSpan w:val="2"/>
            <w:tcBorders>
              <w:top w:val="single" w:sz="4" w:space="0" w:color="000000"/>
              <w:left w:val="nil"/>
              <w:bottom w:val="single" w:sz="4" w:space="0" w:color="000000"/>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Objectifs (en effectifs)</w:t>
            </w:r>
            <w:r>
              <w:rPr>
                <w:rFonts w:ascii="Arial" w:eastAsia="Times New Roman" w:hAnsi="Arial" w:cs="Arial"/>
                <w:b/>
                <w:bCs/>
                <w:noProof/>
                <w:sz w:val="18"/>
                <w:szCs w:val="18"/>
              </w:rPr>
              <w:br/>
            </w:r>
            <w:r>
              <w:rPr>
                <w:rFonts w:ascii="Arial" w:hAnsi="Arial"/>
                <w:b/>
                <w:noProof/>
                <w:sz w:val="18"/>
              </w:rPr>
              <w:t xml:space="preserve">(en 2017) </w:t>
            </w:r>
          </w:p>
        </w:tc>
        <w:tc>
          <w:tcPr>
            <w:tcW w:w="2180" w:type="dxa"/>
            <w:gridSpan w:val="2"/>
            <w:tcBorders>
              <w:top w:val="single" w:sz="4" w:space="0" w:color="000000"/>
              <w:left w:val="nil"/>
              <w:bottom w:val="single" w:sz="4" w:space="0" w:color="000000"/>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Situation réelle au 1.1.2017</w:t>
            </w:r>
          </w:p>
        </w:tc>
        <w:tc>
          <w:tcPr>
            <w:tcW w:w="2080" w:type="dxa"/>
            <w:gridSpan w:val="2"/>
            <w:tcBorders>
              <w:top w:val="single" w:sz="4" w:space="0" w:color="000000"/>
              <w:left w:val="nil"/>
              <w:bottom w:val="single" w:sz="4" w:space="0" w:color="000000"/>
              <w:right w:val="single" w:sz="4" w:space="0" w:color="000000"/>
            </w:tcBorders>
            <w:shd w:val="clear" w:color="auto" w:fill="auto"/>
            <w:vAlign w:val="center"/>
            <w:hideMark/>
          </w:tcPr>
          <w:p w:rsidR="00E91048" w:rsidRPr="005E3A8B" w:rsidRDefault="005E3A8B">
            <w:pPr>
              <w:spacing w:after="0" w:line="240" w:lineRule="auto"/>
              <w:jc w:val="center"/>
              <w:rPr>
                <w:rFonts w:ascii="Arial" w:eastAsia="Times New Roman" w:hAnsi="Arial" w:cs="Arial"/>
                <w:b/>
                <w:bCs/>
                <w:noProof/>
                <w:sz w:val="18"/>
                <w:szCs w:val="18"/>
                <w:lang w:val="fr-FR"/>
              </w:rPr>
            </w:pPr>
            <w:r w:rsidRPr="005E3A8B">
              <w:rPr>
                <w:rFonts w:ascii="Arial" w:hAnsi="Arial"/>
                <w:b/>
                <w:noProof/>
                <w:sz w:val="18"/>
                <w:lang w:val="fr-FR"/>
              </w:rPr>
              <w:t xml:space="preserve">Dépassement ou déficit </w:t>
            </w:r>
            <w:r w:rsidRPr="005E3A8B">
              <w:rPr>
                <w:rFonts w:ascii="Arial" w:eastAsia="Times New Roman" w:hAnsi="Arial" w:cs="Arial"/>
                <w:b/>
                <w:bCs/>
                <w:noProof/>
                <w:sz w:val="18"/>
                <w:szCs w:val="18"/>
                <w:lang w:val="fr-FR"/>
              </w:rPr>
              <w:br/>
            </w:r>
            <w:r w:rsidRPr="005E3A8B">
              <w:rPr>
                <w:rFonts w:ascii="Arial" w:hAnsi="Arial"/>
                <w:b/>
                <w:noProof/>
                <w:sz w:val="18"/>
                <w:lang w:val="fr-FR"/>
              </w:rPr>
              <w:t>par rapport à l’objectif</w:t>
            </w:r>
          </w:p>
        </w:tc>
        <w:tc>
          <w:tcPr>
            <w:tcW w:w="1207"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Déséquilibre important constaté?</w:t>
            </w:r>
          </w:p>
        </w:tc>
      </w:tr>
      <w:tr w:rsidR="00E91048">
        <w:trPr>
          <w:trHeight w:val="720"/>
        </w:trPr>
        <w:tc>
          <w:tcPr>
            <w:tcW w:w="1776" w:type="dxa"/>
            <w:tcBorders>
              <w:top w:val="nil"/>
              <w:left w:val="single" w:sz="4" w:space="0" w:color="auto"/>
              <w:bottom w:val="single" w:sz="4" w:space="0" w:color="auto"/>
              <w:right w:val="single" w:sz="4" w:space="0" w:color="auto"/>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AD5-AD8 hors</w:t>
            </w:r>
            <w:r>
              <w:rPr>
                <w:rFonts w:ascii="Arial" w:eastAsia="Times New Roman" w:hAnsi="Arial" w:cs="Arial"/>
                <w:b/>
                <w:bCs/>
                <w:noProof/>
                <w:sz w:val="18"/>
                <w:szCs w:val="18"/>
              </w:rPr>
              <w:br/>
            </w:r>
            <w:r>
              <w:rPr>
                <w:rFonts w:ascii="Arial" w:hAnsi="Arial"/>
                <w:b/>
                <w:noProof/>
                <w:sz w:val="18"/>
              </w:rPr>
              <w:t>DGT &amp; SCIC</w:t>
            </w:r>
          </w:p>
        </w:tc>
        <w:tc>
          <w:tcPr>
            <w:tcW w:w="987" w:type="dxa"/>
            <w:tcBorders>
              <w:top w:val="single" w:sz="4" w:space="0" w:color="000000"/>
              <w:left w:val="nil"/>
              <w:bottom w:val="single" w:sz="4" w:space="0" w:color="000000"/>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Absolu</w:t>
            </w:r>
          </w:p>
        </w:tc>
        <w:tc>
          <w:tcPr>
            <w:tcW w:w="113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E91048" w:rsidRPr="005E3A8B" w:rsidRDefault="005E3A8B">
            <w:pPr>
              <w:spacing w:after="0" w:line="240" w:lineRule="auto"/>
              <w:jc w:val="center"/>
              <w:rPr>
                <w:rFonts w:ascii="Arial" w:eastAsia="Times New Roman" w:hAnsi="Arial" w:cs="Arial"/>
                <w:b/>
                <w:bCs/>
                <w:noProof/>
                <w:sz w:val="18"/>
                <w:szCs w:val="18"/>
                <w:lang w:val="fr-FR"/>
              </w:rPr>
            </w:pPr>
            <w:r w:rsidRPr="005E3A8B">
              <w:rPr>
                <w:rFonts w:ascii="Arial" w:hAnsi="Arial"/>
                <w:b/>
                <w:noProof/>
                <w:sz w:val="18"/>
                <w:lang w:val="fr-FR"/>
              </w:rPr>
              <w:t>Déséquilibre important si moins de</w:t>
            </w:r>
          </w:p>
        </w:tc>
        <w:tc>
          <w:tcPr>
            <w:tcW w:w="1060" w:type="dxa"/>
            <w:tcBorders>
              <w:top w:val="nil"/>
              <w:left w:val="nil"/>
              <w:bottom w:val="single" w:sz="4" w:space="0" w:color="000000"/>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Absolu</w:t>
            </w:r>
          </w:p>
        </w:tc>
        <w:tc>
          <w:tcPr>
            <w:tcW w:w="1300" w:type="dxa"/>
            <w:tcBorders>
              <w:top w:val="nil"/>
              <w:left w:val="nil"/>
              <w:bottom w:val="single" w:sz="4" w:space="0" w:color="auto"/>
              <w:right w:val="single" w:sz="4" w:space="0" w:color="000000"/>
            </w:tcBorders>
            <w:shd w:val="clear" w:color="auto" w:fill="auto"/>
            <w:vAlign w:val="center"/>
            <w:hideMark/>
          </w:tcPr>
          <w:p w:rsidR="00E91048" w:rsidRPr="005E3A8B" w:rsidRDefault="005E3A8B">
            <w:pPr>
              <w:spacing w:after="0" w:line="240" w:lineRule="auto"/>
              <w:jc w:val="center"/>
              <w:rPr>
                <w:rFonts w:ascii="Arial" w:eastAsia="Times New Roman" w:hAnsi="Arial" w:cs="Arial"/>
                <w:b/>
                <w:bCs/>
                <w:noProof/>
                <w:sz w:val="18"/>
                <w:szCs w:val="18"/>
                <w:lang w:val="fr-FR"/>
              </w:rPr>
            </w:pPr>
            <w:r w:rsidRPr="005E3A8B">
              <w:rPr>
                <w:rFonts w:ascii="Arial" w:hAnsi="Arial"/>
                <w:b/>
                <w:noProof/>
                <w:sz w:val="18"/>
                <w:lang w:val="fr-FR"/>
              </w:rPr>
              <w:t>Déséquilibre important si moins de</w:t>
            </w:r>
          </w:p>
        </w:tc>
        <w:tc>
          <w:tcPr>
            <w:tcW w:w="1080" w:type="dxa"/>
            <w:tcBorders>
              <w:top w:val="single" w:sz="4" w:space="0" w:color="000000"/>
              <w:left w:val="nil"/>
              <w:bottom w:val="single" w:sz="4" w:space="0" w:color="000000"/>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Effectifs</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w:t>
            </w:r>
          </w:p>
        </w:tc>
        <w:tc>
          <w:tcPr>
            <w:tcW w:w="1120" w:type="dxa"/>
            <w:tcBorders>
              <w:top w:val="nil"/>
              <w:left w:val="nil"/>
              <w:bottom w:val="single" w:sz="4" w:space="0" w:color="000000"/>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Effectifs</w:t>
            </w:r>
            <w:r>
              <w:rPr>
                <w:rFonts w:ascii="Arial" w:eastAsia="Times New Roman" w:hAnsi="Arial" w:cs="Arial"/>
                <w:b/>
                <w:bCs/>
                <w:noProof/>
                <w:sz w:val="18"/>
                <w:szCs w:val="18"/>
              </w:rPr>
              <w:br/>
            </w:r>
            <w:r>
              <w:rPr>
                <w:rFonts w:ascii="Arial" w:hAnsi="Arial"/>
                <w:b/>
                <w:noProof/>
                <w:sz w:val="18"/>
              </w:rPr>
              <w:t>(en 2017)</w:t>
            </w:r>
          </w:p>
        </w:tc>
        <w:tc>
          <w:tcPr>
            <w:tcW w:w="960" w:type="dxa"/>
            <w:tcBorders>
              <w:top w:val="nil"/>
              <w:left w:val="nil"/>
              <w:bottom w:val="single" w:sz="4" w:space="0" w:color="000000"/>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 xml:space="preserve">% de </w:t>
            </w:r>
            <w:r>
              <w:rPr>
                <w:rFonts w:ascii="Arial" w:eastAsia="Times New Roman" w:hAnsi="Arial" w:cs="Arial"/>
                <w:b/>
                <w:bCs/>
                <w:noProof/>
                <w:sz w:val="18"/>
                <w:szCs w:val="18"/>
              </w:rPr>
              <w:br/>
            </w:r>
            <w:r>
              <w:rPr>
                <w:rFonts w:ascii="Arial" w:hAnsi="Arial"/>
                <w:b/>
                <w:noProof/>
                <w:sz w:val="18"/>
              </w:rPr>
              <w:t>l’objectif</w:t>
            </w:r>
          </w:p>
        </w:tc>
        <w:tc>
          <w:tcPr>
            <w:tcW w:w="1207" w:type="dxa"/>
            <w:vMerge/>
            <w:tcBorders>
              <w:top w:val="single" w:sz="4" w:space="0" w:color="000000"/>
              <w:left w:val="single" w:sz="4" w:space="0" w:color="000000"/>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sz w:val="18"/>
                <w:szCs w:val="18"/>
              </w:rPr>
            </w:pP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Belgique</w:t>
            </w:r>
          </w:p>
        </w:tc>
        <w:tc>
          <w:tcPr>
            <w:tcW w:w="987" w:type="dxa"/>
            <w:tcBorders>
              <w:top w:val="nil"/>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nil"/>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2,5 %</w:t>
            </w:r>
          </w:p>
        </w:tc>
        <w:tc>
          <w:tcPr>
            <w:tcW w:w="1060" w:type="dxa"/>
            <w:tcBorders>
              <w:top w:val="single" w:sz="4" w:space="0" w:color="000000"/>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131</w:t>
            </w:r>
          </w:p>
        </w:tc>
        <w:tc>
          <w:tcPr>
            <w:tcW w:w="1300" w:type="dxa"/>
            <w:tcBorders>
              <w:top w:val="single" w:sz="4" w:space="0" w:color="000000"/>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105</w:t>
            </w:r>
          </w:p>
        </w:tc>
        <w:tc>
          <w:tcPr>
            <w:tcW w:w="1080" w:type="dxa"/>
            <w:tcBorders>
              <w:top w:val="single" w:sz="4" w:space="0" w:color="000000"/>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300</w:t>
            </w:r>
          </w:p>
        </w:tc>
        <w:tc>
          <w:tcPr>
            <w:tcW w:w="1100" w:type="dxa"/>
            <w:tcBorders>
              <w:top w:val="single" w:sz="4" w:space="0" w:color="000000"/>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7,1 %</w:t>
            </w:r>
          </w:p>
        </w:tc>
        <w:tc>
          <w:tcPr>
            <w:tcW w:w="1120" w:type="dxa"/>
            <w:tcBorders>
              <w:top w:val="single" w:sz="4" w:space="0" w:color="000000"/>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169 </w:t>
            </w:r>
          </w:p>
        </w:tc>
        <w:tc>
          <w:tcPr>
            <w:tcW w:w="960" w:type="dxa"/>
            <w:tcBorders>
              <w:top w:val="single" w:sz="4" w:space="0" w:color="000000"/>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229 %</w:t>
            </w:r>
          </w:p>
        </w:tc>
        <w:tc>
          <w:tcPr>
            <w:tcW w:w="1207" w:type="dxa"/>
            <w:tcBorders>
              <w:top w:val="single" w:sz="4" w:space="0" w:color="000000"/>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Bulgarie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2,4 %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1,9 %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102</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81</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259</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6,1 %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157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255 %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République tchèque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129</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103</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135</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3,2 %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6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105 %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Danemark</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75</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60</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25</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0,6 %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-50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33 %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Allemagne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11,1 %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582</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466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354</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8,4 %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-228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61 %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Estonie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34</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27</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39</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0,9 %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5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115 %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Irlande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68</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54</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28</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0,7 %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-40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41 %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Grèce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130</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104</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145</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3,4 %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15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111 %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Espagne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8,9 %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7,1 %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377</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301</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318</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7,5 %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-59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84 %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France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11,6 %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9,3 %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490</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392</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353</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8,4 %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-137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72 %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Croatie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67</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53</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93</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2,2 %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26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140 %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Italie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11,2 %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8,9 %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470</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376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441</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10,5 %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-29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94 %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Chypre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33</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34</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0,8 %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1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105 %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Lettonie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0,8 %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40</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32</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48</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1,1 %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8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119 %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Lituanie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1,5 %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63</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50</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77</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1,8 %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14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123 %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Luxembourg</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32</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25</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0,0 %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-32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Hongrie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3,0 %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127</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102</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218</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5,2 %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91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172 %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Malte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27</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21</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30</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0,7 %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3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112 %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Pays-Bas</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3,9 %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3,1 %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164</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131</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82</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1,9 %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-82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Autriche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2,0 %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108</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65</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1,5 %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-43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Pologne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8,2 %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344</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275</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462</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11,0 %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118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134 %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Portugal</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129</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103</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61</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1,4 %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-68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47 %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Roumanie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4,5 %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190</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152</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453</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10,7 %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263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238 %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Slovénie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0,8 %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41</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32</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50</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9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123 %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Slovaquie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75</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60</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80</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1,9 %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5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107 %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Finlande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75</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60</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30</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0,7 %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-45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776"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Suède</w:t>
            </w:r>
          </w:p>
        </w:tc>
        <w:tc>
          <w:tcPr>
            <w:tcW w:w="987" w:type="dxa"/>
            <w:tcBorders>
              <w:top w:val="dotted" w:sz="4" w:space="0" w:color="auto"/>
              <w:left w:val="nil"/>
              <w:bottom w:val="single" w:sz="4" w:space="0" w:color="000000"/>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2,7 %</w:t>
            </w:r>
          </w:p>
        </w:tc>
        <w:tc>
          <w:tcPr>
            <w:tcW w:w="1137" w:type="dxa"/>
            <w:tcBorders>
              <w:top w:val="dotted" w:sz="4" w:space="0" w:color="auto"/>
              <w:left w:val="dotted" w:sz="4" w:space="0" w:color="auto"/>
              <w:bottom w:val="single" w:sz="4" w:space="0" w:color="auto"/>
              <w:right w:val="single" w:sz="4" w:space="0" w:color="000000"/>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2,2 %</w:t>
            </w:r>
          </w:p>
        </w:tc>
        <w:tc>
          <w:tcPr>
            <w:tcW w:w="1060" w:type="dxa"/>
            <w:tcBorders>
              <w:top w:val="dotted" w:sz="4" w:space="0" w:color="auto"/>
              <w:left w:val="nil"/>
              <w:bottom w:val="single" w:sz="4" w:space="0" w:color="000000"/>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116</w:t>
            </w:r>
          </w:p>
        </w:tc>
        <w:tc>
          <w:tcPr>
            <w:tcW w:w="1300" w:type="dxa"/>
            <w:tcBorders>
              <w:top w:val="dotted" w:sz="4" w:space="0" w:color="auto"/>
              <w:left w:val="dotted" w:sz="4" w:space="0" w:color="auto"/>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93</w:t>
            </w:r>
          </w:p>
        </w:tc>
        <w:tc>
          <w:tcPr>
            <w:tcW w:w="1080" w:type="dxa"/>
            <w:tcBorders>
              <w:top w:val="dotted" w:sz="4" w:space="0" w:color="auto"/>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36</w:t>
            </w:r>
          </w:p>
        </w:tc>
        <w:tc>
          <w:tcPr>
            <w:tcW w:w="1100" w:type="dxa"/>
            <w:tcBorders>
              <w:top w:val="dotted" w:sz="4" w:space="0" w:color="auto"/>
              <w:left w:val="single" w:sz="4" w:space="0" w:color="000000"/>
              <w:bottom w:val="single"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0,9 %</w:t>
            </w:r>
          </w:p>
        </w:tc>
        <w:tc>
          <w:tcPr>
            <w:tcW w:w="1120" w:type="dxa"/>
            <w:tcBorders>
              <w:top w:val="dotted" w:sz="4" w:space="0" w:color="auto"/>
              <w:left w:val="nil"/>
              <w:bottom w:val="single" w:sz="4" w:space="0" w:color="000000"/>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-80 </w:t>
            </w:r>
          </w:p>
        </w:tc>
        <w:tc>
          <w:tcPr>
            <w:tcW w:w="960" w:type="dxa"/>
            <w:tcBorders>
              <w:top w:val="dotted" w:sz="4" w:space="0" w:color="auto"/>
              <w:left w:val="dotted" w:sz="4" w:space="0" w:color="auto"/>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31 %</w:t>
            </w:r>
          </w:p>
        </w:tc>
        <w:tc>
          <w:tcPr>
            <w:tcW w:w="1207" w:type="dxa"/>
            <w:tcBorders>
              <w:top w:val="dotted" w:sz="4" w:space="0" w:color="auto"/>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bl>
    <w:p w:rsidR="00E91048" w:rsidRPr="005E3A8B" w:rsidRDefault="005E3A8B">
      <w:pPr>
        <w:spacing w:after="0" w:line="240" w:lineRule="auto"/>
        <w:rPr>
          <w:rFonts w:ascii="Times New Roman" w:eastAsia="Times New Roman" w:hAnsi="Times New Roman" w:cs="Times New Roman"/>
          <w:b/>
          <w:noProof/>
          <w:sz w:val="24"/>
          <w:szCs w:val="24"/>
          <w:lang w:val="fr-FR"/>
        </w:rPr>
      </w:pPr>
      <w:r w:rsidRPr="005E3A8B">
        <w:rPr>
          <w:noProof/>
          <w:lang w:val="fr-FR"/>
        </w:rPr>
        <w:br w:type="page"/>
      </w:r>
      <w:r w:rsidRPr="005E3A8B">
        <w:rPr>
          <w:rFonts w:ascii="Times New Roman" w:hAnsi="Times New Roman"/>
          <w:b/>
          <w:noProof/>
          <w:sz w:val="24"/>
          <w:lang w:val="fr-FR"/>
        </w:rPr>
        <w:t>Annexe 7 ter: Répartition du personnel AD9-AD12 hors encadrement affecté à d’autres services que la DGT ou le SCIC au 1.1.2017</w:t>
      </w:r>
    </w:p>
    <w:tbl>
      <w:tblPr>
        <w:tblW w:w="11869" w:type="dxa"/>
        <w:tblInd w:w="-176" w:type="dxa"/>
        <w:tblLook w:val="04A0" w:firstRow="1" w:lastRow="0" w:firstColumn="1" w:lastColumn="0" w:noHBand="0" w:noVBand="1"/>
      </w:tblPr>
      <w:tblGrid>
        <w:gridCol w:w="1668"/>
        <w:gridCol w:w="987"/>
        <w:gridCol w:w="1297"/>
        <w:gridCol w:w="1060"/>
        <w:gridCol w:w="1300"/>
        <w:gridCol w:w="1080"/>
        <w:gridCol w:w="1100"/>
        <w:gridCol w:w="1120"/>
        <w:gridCol w:w="960"/>
        <w:gridCol w:w="1297"/>
      </w:tblGrid>
      <w:tr w:rsidR="00E91048">
        <w:trPr>
          <w:trHeight w:val="758"/>
        </w:trPr>
        <w:tc>
          <w:tcPr>
            <w:tcW w:w="1918" w:type="dxa"/>
            <w:tcBorders>
              <w:top w:val="single" w:sz="4" w:space="0" w:color="000000"/>
              <w:left w:val="single" w:sz="4" w:space="0" w:color="000000"/>
              <w:bottom w:val="single" w:sz="4" w:space="0" w:color="000000"/>
              <w:right w:val="nil"/>
            </w:tcBorders>
            <w:shd w:val="clear" w:color="000000" w:fill="99CCFF"/>
            <w:vAlign w:val="center"/>
            <w:hideMark/>
          </w:tcPr>
          <w:p w:rsidR="00E91048" w:rsidRPr="005E3A8B" w:rsidRDefault="005E3A8B">
            <w:pPr>
              <w:spacing w:after="0" w:line="240" w:lineRule="auto"/>
              <w:rPr>
                <w:rFonts w:ascii="Arial" w:eastAsia="Times New Roman" w:hAnsi="Arial" w:cs="Arial"/>
                <w:b/>
                <w:bCs/>
                <w:noProof/>
                <w:sz w:val="18"/>
                <w:szCs w:val="18"/>
                <w:lang w:val="fr-FR"/>
              </w:rPr>
            </w:pPr>
            <w:r w:rsidRPr="005E3A8B">
              <w:rPr>
                <w:rFonts w:ascii="Arial" w:hAnsi="Arial"/>
                <w:b/>
                <w:noProof/>
                <w:sz w:val="18"/>
                <w:lang w:val="fr-FR"/>
              </w:rPr>
              <w:t>Population 2015 &amp; députés PE &amp; voix au Conseil</w:t>
            </w:r>
          </w:p>
        </w:tc>
        <w:tc>
          <w:tcPr>
            <w:tcW w:w="2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Taux</w:t>
            </w:r>
            <w:r>
              <w:rPr>
                <w:rFonts w:ascii="Arial" w:hAnsi="Arial"/>
                <w:b/>
                <w:noProof/>
                <w:sz w:val="18"/>
              </w:rPr>
              <w:t xml:space="preserve"> de référence</w:t>
            </w:r>
          </w:p>
        </w:tc>
        <w:tc>
          <w:tcPr>
            <w:tcW w:w="2360" w:type="dxa"/>
            <w:gridSpan w:val="2"/>
            <w:tcBorders>
              <w:top w:val="single" w:sz="4" w:space="0" w:color="000000"/>
              <w:left w:val="nil"/>
              <w:bottom w:val="single" w:sz="4" w:space="0" w:color="000000"/>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Objectifs (en effectifs)</w:t>
            </w:r>
            <w:r>
              <w:rPr>
                <w:rFonts w:ascii="Arial" w:eastAsia="Times New Roman" w:hAnsi="Arial" w:cs="Arial"/>
                <w:b/>
                <w:bCs/>
                <w:noProof/>
                <w:sz w:val="18"/>
                <w:szCs w:val="18"/>
              </w:rPr>
              <w:br/>
            </w:r>
            <w:r>
              <w:rPr>
                <w:rFonts w:ascii="Arial" w:hAnsi="Arial"/>
                <w:b/>
                <w:noProof/>
                <w:sz w:val="18"/>
              </w:rPr>
              <w:t xml:space="preserve">(en 2017) </w:t>
            </w:r>
          </w:p>
        </w:tc>
        <w:tc>
          <w:tcPr>
            <w:tcW w:w="2180" w:type="dxa"/>
            <w:gridSpan w:val="2"/>
            <w:tcBorders>
              <w:top w:val="single" w:sz="4" w:space="0" w:color="000000"/>
              <w:left w:val="nil"/>
              <w:bottom w:val="single" w:sz="4" w:space="0" w:color="000000"/>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Situation réelle au 1.1.2017</w:t>
            </w:r>
          </w:p>
        </w:tc>
        <w:tc>
          <w:tcPr>
            <w:tcW w:w="2080" w:type="dxa"/>
            <w:gridSpan w:val="2"/>
            <w:tcBorders>
              <w:top w:val="single" w:sz="4" w:space="0" w:color="000000"/>
              <w:left w:val="nil"/>
              <w:bottom w:val="single" w:sz="4" w:space="0" w:color="000000"/>
              <w:right w:val="single" w:sz="4" w:space="0" w:color="000000"/>
            </w:tcBorders>
            <w:shd w:val="clear" w:color="auto" w:fill="auto"/>
            <w:vAlign w:val="center"/>
            <w:hideMark/>
          </w:tcPr>
          <w:p w:rsidR="00E91048" w:rsidRPr="005E3A8B" w:rsidRDefault="005E3A8B">
            <w:pPr>
              <w:spacing w:after="0" w:line="240" w:lineRule="auto"/>
              <w:jc w:val="center"/>
              <w:rPr>
                <w:rFonts w:ascii="Arial" w:eastAsia="Times New Roman" w:hAnsi="Arial" w:cs="Arial"/>
                <w:b/>
                <w:bCs/>
                <w:noProof/>
                <w:sz w:val="18"/>
                <w:szCs w:val="18"/>
                <w:lang w:val="fr-FR"/>
              </w:rPr>
            </w:pPr>
            <w:r w:rsidRPr="005E3A8B">
              <w:rPr>
                <w:rFonts w:ascii="Arial" w:hAnsi="Arial"/>
                <w:b/>
                <w:noProof/>
                <w:sz w:val="18"/>
                <w:lang w:val="fr-FR"/>
              </w:rPr>
              <w:t xml:space="preserve">Dépassement ou déficit </w:t>
            </w:r>
            <w:r w:rsidRPr="005E3A8B">
              <w:rPr>
                <w:rFonts w:ascii="Arial" w:eastAsia="Times New Roman" w:hAnsi="Arial" w:cs="Arial"/>
                <w:b/>
                <w:bCs/>
                <w:noProof/>
                <w:sz w:val="18"/>
                <w:szCs w:val="18"/>
                <w:lang w:val="fr-FR"/>
              </w:rPr>
              <w:br/>
            </w:r>
            <w:r w:rsidRPr="005E3A8B">
              <w:rPr>
                <w:rFonts w:ascii="Arial" w:hAnsi="Arial"/>
                <w:b/>
                <w:noProof/>
                <w:sz w:val="18"/>
                <w:lang w:val="fr-FR"/>
              </w:rPr>
              <w:t>par rapport à l’objectif</w:t>
            </w:r>
          </w:p>
        </w:tc>
        <w:tc>
          <w:tcPr>
            <w:tcW w:w="1207"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Déséquilibre important constaté?</w:t>
            </w:r>
          </w:p>
        </w:tc>
      </w:tr>
      <w:tr w:rsidR="00E91048">
        <w:trPr>
          <w:trHeight w:val="720"/>
        </w:trPr>
        <w:tc>
          <w:tcPr>
            <w:tcW w:w="1918" w:type="dxa"/>
            <w:tcBorders>
              <w:top w:val="nil"/>
              <w:left w:val="single" w:sz="4" w:space="0" w:color="auto"/>
              <w:bottom w:val="single" w:sz="4" w:space="0" w:color="auto"/>
              <w:right w:val="single" w:sz="4" w:space="0" w:color="auto"/>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Hors encadrement</w:t>
            </w:r>
            <w:r>
              <w:rPr>
                <w:rFonts w:ascii="Arial" w:eastAsia="Times New Roman" w:hAnsi="Arial" w:cs="Arial"/>
                <w:b/>
                <w:bCs/>
                <w:noProof/>
                <w:sz w:val="18"/>
                <w:szCs w:val="18"/>
              </w:rPr>
              <w:br/>
            </w:r>
            <w:r>
              <w:rPr>
                <w:rFonts w:ascii="Arial" w:hAnsi="Arial"/>
                <w:b/>
                <w:noProof/>
                <w:sz w:val="18"/>
              </w:rPr>
              <w:t>AD9-AD12 hors</w:t>
            </w:r>
            <w:r>
              <w:rPr>
                <w:rFonts w:ascii="Arial" w:eastAsia="Times New Roman" w:hAnsi="Arial" w:cs="Arial"/>
                <w:b/>
                <w:bCs/>
                <w:noProof/>
                <w:sz w:val="18"/>
                <w:szCs w:val="18"/>
              </w:rPr>
              <w:br/>
            </w:r>
            <w:r>
              <w:rPr>
                <w:rFonts w:ascii="Arial" w:hAnsi="Arial"/>
                <w:b/>
                <w:noProof/>
                <w:sz w:val="18"/>
              </w:rPr>
              <w:t>DGT &amp; SCIC</w:t>
            </w:r>
          </w:p>
        </w:tc>
        <w:tc>
          <w:tcPr>
            <w:tcW w:w="987" w:type="dxa"/>
            <w:tcBorders>
              <w:top w:val="single" w:sz="4" w:space="0" w:color="000000"/>
              <w:left w:val="nil"/>
              <w:bottom w:val="single" w:sz="4" w:space="0" w:color="000000"/>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Absolu</w:t>
            </w:r>
          </w:p>
        </w:tc>
        <w:tc>
          <w:tcPr>
            <w:tcW w:w="113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E91048" w:rsidRPr="005E3A8B" w:rsidRDefault="005E3A8B">
            <w:pPr>
              <w:spacing w:after="0" w:line="240" w:lineRule="auto"/>
              <w:jc w:val="center"/>
              <w:rPr>
                <w:rFonts w:ascii="Arial" w:eastAsia="Times New Roman" w:hAnsi="Arial" w:cs="Arial"/>
                <w:b/>
                <w:bCs/>
                <w:noProof/>
                <w:sz w:val="18"/>
                <w:szCs w:val="18"/>
                <w:lang w:val="fr-FR"/>
              </w:rPr>
            </w:pPr>
            <w:r w:rsidRPr="005E3A8B">
              <w:rPr>
                <w:rFonts w:ascii="Arial" w:hAnsi="Arial"/>
                <w:b/>
                <w:noProof/>
                <w:sz w:val="18"/>
                <w:lang w:val="fr-FR"/>
              </w:rPr>
              <w:t>Déséquilibre important si moins de</w:t>
            </w:r>
          </w:p>
        </w:tc>
        <w:tc>
          <w:tcPr>
            <w:tcW w:w="1060" w:type="dxa"/>
            <w:tcBorders>
              <w:top w:val="nil"/>
              <w:left w:val="nil"/>
              <w:bottom w:val="single" w:sz="4" w:space="0" w:color="000000"/>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Absolu</w:t>
            </w:r>
          </w:p>
        </w:tc>
        <w:tc>
          <w:tcPr>
            <w:tcW w:w="1300" w:type="dxa"/>
            <w:tcBorders>
              <w:top w:val="nil"/>
              <w:left w:val="nil"/>
              <w:bottom w:val="single" w:sz="4" w:space="0" w:color="auto"/>
              <w:right w:val="single" w:sz="4" w:space="0" w:color="000000"/>
            </w:tcBorders>
            <w:shd w:val="clear" w:color="auto" w:fill="auto"/>
            <w:vAlign w:val="center"/>
            <w:hideMark/>
          </w:tcPr>
          <w:p w:rsidR="00E91048" w:rsidRPr="005E3A8B" w:rsidRDefault="005E3A8B">
            <w:pPr>
              <w:spacing w:after="0" w:line="240" w:lineRule="auto"/>
              <w:jc w:val="center"/>
              <w:rPr>
                <w:rFonts w:ascii="Arial" w:eastAsia="Times New Roman" w:hAnsi="Arial" w:cs="Arial"/>
                <w:b/>
                <w:bCs/>
                <w:noProof/>
                <w:sz w:val="18"/>
                <w:szCs w:val="18"/>
                <w:lang w:val="fr-FR"/>
              </w:rPr>
            </w:pPr>
            <w:r w:rsidRPr="005E3A8B">
              <w:rPr>
                <w:rFonts w:ascii="Arial" w:hAnsi="Arial"/>
                <w:b/>
                <w:noProof/>
                <w:sz w:val="18"/>
                <w:lang w:val="fr-FR"/>
              </w:rPr>
              <w:t>Déséquilibre important si moins de</w:t>
            </w:r>
          </w:p>
        </w:tc>
        <w:tc>
          <w:tcPr>
            <w:tcW w:w="1080" w:type="dxa"/>
            <w:tcBorders>
              <w:top w:val="single" w:sz="4" w:space="0" w:color="000000"/>
              <w:left w:val="nil"/>
              <w:bottom w:val="single" w:sz="4" w:space="0" w:color="000000"/>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Effectifs</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w:t>
            </w:r>
          </w:p>
        </w:tc>
        <w:tc>
          <w:tcPr>
            <w:tcW w:w="1120" w:type="dxa"/>
            <w:tcBorders>
              <w:top w:val="nil"/>
              <w:left w:val="nil"/>
              <w:bottom w:val="single" w:sz="4" w:space="0" w:color="000000"/>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Effectifs</w:t>
            </w:r>
            <w:r>
              <w:rPr>
                <w:rFonts w:ascii="Arial" w:eastAsia="Times New Roman" w:hAnsi="Arial" w:cs="Arial"/>
                <w:b/>
                <w:bCs/>
                <w:noProof/>
                <w:sz w:val="18"/>
                <w:szCs w:val="18"/>
              </w:rPr>
              <w:br/>
            </w:r>
            <w:r>
              <w:rPr>
                <w:rFonts w:ascii="Arial" w:hAnsi="Arial"/>
                <w:b/>
                <w:noProof/>
                <w:sz w:val="18"/>
              </w:rPr>
              <w:t>(en 2017)</w:t>
            </w:r>
          </w:p>
        </w:tc>
        <w:tc>
          <w:tcPr>
            <w:tcW w:w="960" w:type="dxa"/>
            <w:tcBorders>
              <w:top w:val="nil"/>
              <w:left w:val="nil"/>
              <w:bottom w:val="single" w:sz="4" w:space="0" w:color="000000"/>
              <w:right w:val="single" w:sz="4" w:space="0" w:color="000000"/>
            </w:tcBorders>
            <w:shd w:val="clear" w:color="auto" w:fill="auto"/>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 xml:space="preserve">% de </w:t>
            </w:r>
            <w:r>
              <w:rPr>
                <w:rFonts w:ascii="Arial" w:eastAsia="Times New Roman" w:hAnsi="Arial" w:cs="Arial"/>
                <w:b/>
                <w:bCs/>
                <w:noProof/>
                <w:sz w:val="18"/>
                <w:szCs w:val="18"/>
              </w:rPr>
              <w:br/>
            </w:r>
            <w:r>
              <w:rPr>
                <w:rFonts w:ascii="Arial" w:hAnsi="Arial"/>
                <w:b/>
                <w:noProof/>
                <w:sz w:val="18"/>
              </w:rPr>
              <w:t>l’objectif</w:t>
            </w:r>
          </w:p>
        </w:tc>
        <w:tc>
          <w:tcPr>
            <w:tcW w:w="1207" w:type="dxa"/>
            <w:vMerge/>
            <w:tcBorders>
              <w:top w:val="single" w:sz="4" w:space="0" w:color="000000"/>
              <w:left w:val="single" w:sz="4" w:space="0" w:color="000000"/>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sz w:val="18"/>
                <w:szCs w:val="18"/>
              </w:rPr>
            </w:pP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Belgique</w:t>
            </w:r>
          </w:p>
        </w:tc>
        <w:tc>
          <w:tcPr>
            <w:tcW w:w="987" w:type="dxa"/>
            <w:tcBorders>
              <w:top w:val="nil"/>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nil"/>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2,5 %</w:t>
            </w:r>
          </w:p>
        </w:tc>
        <w:tc>
          <w:tcPr>
            <w:tcW w:w="1060" w:type="dxa"/>
            <w:tcBorders>
              <w:top w:val="single" w:sz="4" w:space="0" w:color="000000"/>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123</w:t>
            </w:r>
          </w:p>
        </w:tc>
        <w:tc>
          <w:tcPr>
            <w:tcW w:w="1300" w:type="dxa"/>
            <w:tcBorders>
              <w:top w:val="single" w:sz="4" w:space="0" w:color="000000"/>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98</w:t>
            </w:r>
          </w:p>
        </w:tc>
        <w:tc>
          <w:tcPr>
            <w:tcW w:w="1080" w:type="dxa"/>
            <w:tcBorders>
              <w:top w:val="single" w:sz="4" w:space="0" w:color="000000"/>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571</w:t>
            </w:r>
          </w:p>
        </w:tc>
        <w:tc>
          <w:tcPr>
            <w:tcW w:w="1100" w:type="dxa"/>
            <w:tcBorders>
              <w:top w:val="single" w:sz="4" w:space="0" w:color="000000"/>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14,4 %</w:t>
            </w:r>
          </w:p>
        </w:tc>
        <w:tc>
          <w:tcPr>
            <w:tcW w:w="1120" w:type="dxa"/>
            <w:tcBorders>
              <w:top w:val="nil"/>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448 </w:t>
            </w:r>
          </w:p>
        </w:tc>
        <w:tc>
          <w:tcPr>
            <w:tcW w:w="960" w:type="dxa"/>
            <w:tcBorders>
              <w:top w:val="nil"/>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464 %</w:t>
            </w:r>
          </w:p>
        </w:tc>
        <w:tc>
          <w:tcPr>
            <w:tcW w:w="1207" w:type="dxa"/>
            <w:tcBorders>
              <w:top w:val="single" w:sz="4" w:space="0" w:color="000000"/>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Bulgarie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2,4 %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1,9 %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95</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0,2 %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-87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République tchèque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121</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97</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68</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1,7 %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-53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56 %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Danemark</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71</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71</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1,8 %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0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101 %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Allemagne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11,1 %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546</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437</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503</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12,7 %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-43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92 %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Estonie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32</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25</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22</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0,6 %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-10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69 %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Irlande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64</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51</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74</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1,9 %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10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116 %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Grèce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122</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98</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164</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4,1 %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42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134 %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Espagne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8,9 %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7,1 %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353</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282</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376</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9,5 %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23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107 %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France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11,6 %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9,3 %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459</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367</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505</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12,8 %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46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110 %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Croatie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62</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50</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0,1 %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-59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Italie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11,2 %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8,9 %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441</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353</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481</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12,2 %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40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109 %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Chypre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30</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24</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21</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0,5 %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-9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69 %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Lettonie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0,8 %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38</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30</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21</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0,5 %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-17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56 %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Lituanie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1,5 %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59</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47</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41</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-18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Luxembourg</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30</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24</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20</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0,5 %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-10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67 %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Hongrie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3,0 %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119</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95</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82</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2,1 %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-37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69 %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Malte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25</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20</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17</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0,4 %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-8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68 %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Pays-Bas</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3,9 %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3,1 %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154</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123</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160</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4,0 %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6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104 %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Autriche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2,6 %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2,0 %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101</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81</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121</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3,1 %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20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Pologne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8,2 %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6,5 %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322</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258</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162</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4,1 %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-160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50 %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Portugal</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3,1 %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121</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96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107</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2,7 %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-14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89 %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Roumanie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4,5 %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3,6 %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178</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143</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23</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0,6 %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-155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Slovénie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0,8 %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38</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30</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29</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0,7 %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-9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76 %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Slovaquie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70</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36</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0,9 %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color w:val="FF0000"/>
                <w:sz w:val="18"/>
              </w:rPr>
              <w:t xml:space="preserve">-34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51 %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OUI</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Finlande</w:t>
            </w:r>
          </w:p>
        </w:tc>
        <w:tc>
          <w:tcPr>
            <w:tcW w:w="987" w:type="dxa"/>
            <w:tcBorders>
              <w:top w:val="dotted" w:sz="4" w:space="0" w:color="auto"/>
              <w:left w:val="nil"/>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1,8 %</w:t>
            </w:r>
          </w:p>
        </w:tc>
        <w:tc>
          <w:tcPr>
            <w:tcW w:w="1137" w:type="dxa"/>
            <w:tcBorders>
              <w:top w:val="dotted" w:sz="4" w:space="0" w:color="auto"/>
              <w:left w:val="dotted" w:sz="4" w:space="0" w:color="auto"/>
              <w:bottom w:val="dotted" w:sz="4" w:space="0" w:color="auto"/>
              <w:right w:val="nil"/>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1,4 %</w:t>
            </w:r>
          </w:p>
        </w:tc>
        <w:tc>
          <w:tcPr>
            <w:tcW w:w="106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70</w:t>
            </w:r>
          </w:p>
        </w:tc>
        <w:tc>
          <w:tcPr>
            <w:tcW w:w="130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56</w:t>
            </w:r>
          </w:p>
        </w:tc>
        <w:tc>
          <w:tcPr>
            <w:tcW w:w="1080"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129</w:t>
            </w:r>
          </w:p>
        </w:tc>
        <w:tc>
          <w:tcPr>
            <w:tcW w:w="1100" w:type="dxa"/>
            <w:tcBorders>
              <w:top w:val="dotted" w:sz="4" w:space="0" w:color="auto"/>
              <w:left w:val="nil"/>
              <w:bottom w:val="dotted" w:sz="4" w:space="0" w:color="auto"/>
              <w:right w:val="nil"/>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3,3 %</w:t>
            </w:r>
          </w:p>
        </w:tc>
        <w:tc>
          <w:tcPr>
            <w:tcW w:w="1120" w:type="dxa"/>
            <w:tcBorders>
              <w:top w:val="dotted" w:sz="4" w:space="0" w:color="auto"/>
              <w:left w:val="single" w:sz="4" w:space="0" w:color="000000"/>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59 </w:t>
            </w:r>
          </w:p>
        </w:tc>
        <w:tc>
          <w:tcPr>
            <w:tcW w:w="960" w:type="dxa"/>
            <w:tcBorders>
              <w:top w:val="dotted" w:sz="4" w:space="0" w:color="auto"/>
              <w:left w:val="dotted" w:sz="4" w:space="0" w:color="auto"/>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184 %</w:t>
            </w:r>
          </w:p>
        </w:tc>
        <w:tc>
          <w:tcPr>
            <w:tcW w:w="1207" w:type="dxa"/>
            <w:tcBorders>
              <w:top w:val="dotted" w:sz="4" w:space="0" w:color="auto"/>
              <w:left w:val="nil"/>
              <w:bottom w:val="dotted"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r w:rsidR="00E91048">
        <w:trPr>
          <w:trHeight w:val="240"/>
        </w:trPr>
        <w:tc>
          <w:tcPr>
            <w:tcW w:w="1918" w:type="dxa"/>
            <w:tcBorders>
              <w:top w:val="nil"/>
              <w:left w:val="single" w:sz="4" w:space="0" w:color="000000"/>
              <w:bottom w:val="single" w:sz="4" w:space="0" w:color="000000"/>
              <w:right w:val="single" w:sz="4" w:space="0" w:color="000000"/>
            </w:tcBorders>
            <w:shd w:val="clear" w:color="000000" w:fill="99CCFF"/>
            <w:vAlign w:val="bottom"/>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Suède</w:t>
            </w:r>
          </w:p>
        </w:tc>
        <w:tc>
          <w:tcPr>
            <w:tcW w:w="987" w:type="dxa"/>
            <w:tcBorders>
              <w:top w:val="dotted" w:sz="4" w:space="0" w:color="auto"/>
              <w:left w:val="nil"/>
              <w:bottom w:val="single" w:sz="4" w:space="0" w:color="000000"/>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2,7 %</w:t>
            </w:r>
          </w:p>
        </w:tc>
        <w:tc>
          <w:tcPr>
            <w:tcW w:w="1137" w:type="dxa"/>
            <w:tcBorders>
              <w:top w:val="dotted" w:sz="4" w:space="0" w:color="auto"/>
              <w:left w:val="dotted" w:sz="4" w:space="0" w:color="auto"/>
              <w:bottom w:val="single" w:sz="4" w:space="0" w:color="auto"/>
              <w:right w:val="single" w:sz="4" w:space="0" w:color="000000"/>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2,2 %</w:t>
            </w:r>
          </w:p>
        </w:tc>
        <w:tc>
          <w:tcPr>
            <w:tcW w:w="1060" w:type="dxa"/>
            <w:tcBorders>
              <w:top w:val="dotted" w:sz="4" w:space="0" w:color="auto"/>
              <w:left w:val="nil"/>
              <w:bottom w:val="single" w:sz="4" w:space="0" w:color="000000"/>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109</w:t>
            </w:r>
          </w:p>
        </w:tc>
        <w:tc>
          <w:tcPr>
            <w:tcW w:w="1300" w:type="dxa"/>
            <w:tcBorders>
              <w:top w:val="dotted" w:sz="4" w:space="0" w:color="auto"/>
              <w:left w:val="dotted" w:sz="4" w:space="0" w:color="auto"/>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87</w:t>
            </w:r>
          </w:p>
        </w:tc>
        <w:tc>
          <w:tcPr>
            <w:tcW w:w="1080" w:type="dxa"/>
            <w:tcBorders>
              <w:top w:val="dotted" w:sz="4" w:space="0" w:color="auto"/>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137</w:t>
            </w:r>
          </w:p>
        </w:tc>
        <w:tc>
          <w:tcPr>
            <w:tcW w:w="1100" w:type="dxa"/>
            <w:tcBorders>
              <w:top w:val="dotted" w:sz="4" w:space="0" w:color="auto"/>
              <w:left w:val="single" w:sz="4" w:space="0" w:color="000000"/>
              <w:bottom w:val="single" w:sz="4" w:space="0" w:color="auto"/>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3,5 %</w:t>
            </w:r>
          </w:p>
        </w:tc>
        <w:tc>
          <w:tcPr>
            <w:tcW w:w="1120" w:type="dxa"/>
            <w:tcBorders>
              <w:top w:val="dotted" w:sz="4" w:space="0" w:color="auto"/>
              <w:left w:val="nil"/>
              <w:bottom w:val="single" w:sz="4" w:space="0" w:color="000000"/>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 xml:space="preserve">28 </w:t>
            </w:r>
          </w:p>
        </w:tc>
        <w:tc>
          <w:tcPr>
            <w:tcW w:w="960" w:type="dxa"/>
            <w:tcBorders>
              <w:top w:val="dotted" w:sz="4" w:space="0" w:color="auto"/>
              <w:left w:val="dotted" w:sz="4" w:space="0" w:color="auto"/>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8"/>
                <w:szCs w:val="18"/>
              </w:rPr>
            </w:pPr>
            <w:r>
              <w:rPr>
                <w:rFonts w:ascii="Arial" w:hAnsi="Arial"/>
                <w:noProof/>
                <w:sz w:val="18"/>
              </w:rPr>
              <w:t>126 %</w:t>
            </w:r>
          </w:p>
        </w:tc>
        <w:tc>
          <w:tcPr>
            <w:tcW w:w="1207" w:type="dxa"/>
            <w:tcBorders>
              <w:top w:val="dotted" w:sz="4" w:space="0" w:color="auto"/>
              <w:left w:val="nil"/>
              <w:bottom w:val="single" w:sz="4" w:space="0" w:color="000000"/>
              <w:right w:val="single" w:sz="4" w:space="0" w:color="000000"/>
            </w:tcBorders>
            <w:shd w:val="clear" w:color="auto" w:fill="auto"/>
            <w:noWrap/>
            <w:vAlign w:val="bottom"/>
            <w:hideMark/>
          </w:tcPr>
          <w:p w:rsidR="00E91048" w:rsidRDefault="005E3A8B">
            <w:pPr>
              <w:spacing w:after="0" w:line="240" w:lineRule="auto"/>
              <w:jc w:val="center"/>
              <w:rPr>
                <w:rFonts w:ascii="Arial" w:eastAsia="Times New Roman" w:hAnsi="Arial" w:cs="Arial"/>
                <w:noProof/>
                <w:color w:val="FF0000"/>
                <w:sz w:val="18"/>
                <w:szCs w:val="18"/>
              </w:rPr>
            </w:pPr>
            <w:r>
              <w:rPr>
                <w:rFonts w:ascii="Arial" w:hAnsi="Arial"/>
                <w:noProof/>
                <w:color w:val="FF0000"/>
                <w:sz w:val="18"/>
              </w:rPr>
              <w:t xml:space="preserve"> </w:t>
            </w:r>
          </w:p>
        </w:tc>
      </w:tr>
    </w:tbl>
    <w:p w:rsidR="00E91048" w:rsidRDefault="00E91048">
      <w:pPr>
        <w:spacing w:after="0" w:line="240" w:lineRule="auto"/>
        <w:rPr>
          <w:rFonts w:ascii="Times New Roman" w:eastAsia="Times New Roman" w:hAnsi="Times New Roman" w:cs="Times New Roman"/>
          <w:b/>
          <w:noProof/>
          <w:sz w:val="24"/>
          <w:szCs w:val="20"/>
        </w:rPr>
      </w:pPr>
    </w:p>
    <w:p w:rsidR="00E91048" w:rsidRPr="005E3A8B" w:rsidRDefault="005E3A8B">
      <w:pPr>
        <w:spacing w:after="240" w:line="240" w:lineRule="auto"/>
        <w:rPr>
          <w:rFonts w:ascii="Times New Roman" w:eastAsia="Times New Roman" w:hAnsi="Times New Roman" w:cs="Times New Roman"/>
          <w:b/>
          <w:noProof/>
          <w:sz w:val="24"/>
          <w:szCs w:val="24"/>
          <w:lang w:val="fr-FR"/>
        </w:rPr>
      </w:pPr>
      <w:r w:rsidRPr="005E3A8B">
        <w:rPr>
          <w:rFonts w:ascii="Times New Roman" w:hAnsi="Times New Roman"/>
          <w:b/>
          <w:noProof/>
          <w:sz w:val="24"/>
          <w:lang w:val="fr-FR"/>
        </w:rPr>
        <w:t>Annexe 7 quater:  Personnel britannique AD hors encadrement au 1.1.2017</w:t>
      </w:r>
    </w:p>
    <w:p w:rsidR="00E91048" w:rsidRDefault="005E3A8B">
      <w:pPr>
        <w:spacing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Répartition par grade</w:t>
      </w:r>
    </w:p>
    <w:tbl>
      <w:tblPr>
        <w:tblStyle w:val="TableGrid"/>
        <w:tblW w:w="0" w:type="auto"/>
        <w:tblLook w:val="04A0" w:firstRow="1" w:lastRow="0" w:firstColumn="1" w:lastColumn="0" w:noHBand="0" w:noVBand="1"/>
      </w:tblPr>
      <w:tblGrid>
        <w:gridCol w:w="3369"/>
        <w:gridCol w:w="2657"/>
        <w:gridCol w:w="2658"/>
        <w:gridCol w:w="2658"/>
        <w:gridCol w:w="2658"/>
      </w:tblGrid>
      <w:tr w:rsidR="00E91048">
        <w:tc>
          <w:tcPr>
            <w:tcW w:w="3369" w:type="dxa"/>
            <w:tcBorders>
              <w:bottom w:val="single" w:sz="4" w:space="0" w:color="auto"/>
            </w:tcBorders>
            <w:shd w:val="clear" w:color="auto" w:fill="99CCFF"/>
          </w:tcPr>
          <w:p w:rsidR="00E91048" w:rsidRPr="005E3A8B" w:rsidRDefault="005E3A8B">
            <w:pPr>
              <w:spacing w:after="0" w:line="240" w:lineRule="auto"/>
              <w:rPr>
                <w:b/>
                <w:noProof/>
                <w:sz w:val="24"/>
                <w:lang w:val="fr-FR"/>
              </w:rPr>
            </w:pPr>
            <w:r w:rsidRPr="005E3A8B">
              <w:rPr>
                <w:b/>
                <w:noProof/>
                <w:sz w:val="24"/>
                <w:lang w:val="fr-FR"/>
              </w:rPr>
              <w:t xml:space="preserve">Ressortissants britanniques affectés à </w:t>
            </w:r>
            <w:r w:rsidRPr="005E3A8B">
              <w:rPr>
                <w:b/>
                <w:noProof/>
                <w:sz w:val="24"/>
                <w:lang w:val="fr-FR"/>
              </w:rPr>
              <w:br/>
              <w:t>des tâches hors encadrement...</w:t>
            </w:r>
          </w:p>
        </w:tc>
        <w:tc>
          <w:tcPr>
            <w:tcW w:w="2657" w:type="dxa"/>
            <w:shd w:val="clear" w:color="auto" w:fill="99CCFF"/>
            <w:vAlign w:val="center"/>
          </w:tcPr>
          <w:p w:rsidR="00E91048" w:rsidRDefault="005E3A8B">
            <w:pPr>
              <w:spacing w:after="0" w:line="240" w:lineRule="auto"/>
              <w:jc w:val="center"/>
              <w:rPr>
                <w:b/>
                <w:noProof/>
                <w:sz w:val="24"/>
              </w:rPr>
            </w:pPr>
            <w:r>
              <w:rPr>
                <w:b/>
                <w:noProof/>
                <w:sz w:val="24"/>
              </w:rPr>
              <w:t>AD5-AD8</w:t>
            </w:r>
          </w:p>
        </w:tc>
        <w:tc>
          <w:tcPr>
            <w:tcW w:w="2658" w:type="dxa"/>
            <w:shd w:val="clear" w:color="auto" w:fill="99CCFF"/>
            <w:vAlign w:val="center"/>
          </w:tcPr>
          <w:p w:rsidR="00E91048" w:rsidRDefault="005E3A8B">
            <w:pPr>
              <w:spacing w:after="0" w:line="240" w:lineRule="auto"/>
              <w:jc w:val="center"/>
              <w:rPr>
                <w:b/>
                <w:noProof/>
                <w:sz w:val="24"/>
              </w:rPr>
            </w:pPr>
            <w:r>
              <w:rPr>
                <w:b/>
                <w:noProof/>
                <w:sz w:val="24"/>
              </w:rPr>
              <w:t>AD9-AD12</w:t>
            </w:r>
          </w:p>
        </w:tc>
        <w:tc>
          <w:tcPr>
            <w:tcW w:w="2658" w:type="dxa"/>
            <w:shd w:val="clear" w:color="auto" w:fill="99CCFF"/>
            <w:vAlign w:val="center"/>
          </w:tcPr>
          <w:p w:rsidR="00E91048" w:rsidRDefault="005E3A8B">
            <w:pPr>
              <w:spacing w:after="0" w:line="240" w:lineRule="auto"/>
              <w:jc w:val="center"/>
              <w:rPr>
                <w:b/>
                <w:noProof/>
                <w:sz w:val="24"/>
              </w:rPr>
            </w:pPr>
            <w:r>
              <w:rPr>
                <w:b/>
                <w:noProof/>
                <w:sz w:val="24"/>
              </w:rPr>
              <w:t>AD13-AD14</w:t>
            </w:r>
          </w:p>
        </w:tc>
        <w:tc>
          <w:tcPr>
            <w:tcW w:w="2658" w:type="dxa"/>
            <w:shd w:val="clear" w:color="auto" w:fill="99CCFF"/>
            <w:vAlign w:val="center"/>
          </w:tcPr>
          <w:p w:rsidR="00E91048" w:rsidRDefault="005E3A8B">
            <w:pPr>
              <w:spacing w:after="0" w:line="240" w:lineRule="auto"/>
              <w:jc w:val="center"/>
              <w:rPr>
                <w:b/>
                <w:noProof/>
                <w:sz w:val="24"/>
              </w:rPr>
            </w:pPr>
            <w:r>
              <w:rPr>
                <w:b/>
                <w:noProof/>
                <w:sz w:val="24"/>
              </w:rPr>
              <w:t>Total</w:t>
            </w:r>
          </w:p>
        </w:tc>
      </w:tr>
      <w:tr w:rsidR="00E91048">
        <w:tc>
          <w:tcPr>
            <w:tcW w:w="3369" w:type="dxa"/>
            <w:shd w:val="clear" w:color="auto" w:fill="99CCFF"/>
          </w:tcPr>
          <w:p w:rsidR="00E91048" w:rsidRDefault="005E3A8B">
            <w:pPr>
              <w:spacing w:after="0" w:line="240" w:lineRule="auto"/>
              <w:jc w:val="both"/>
              <w:rPr>
                <w:b/>
                <w:noProof/>
                <w:sz w:val="24"/>
              </w:rPr>
            </w:pPr>
            <w:r>
              <w:rPr>
                <w:b/>
                <w:noProof/>
                <w:sz w:val="24"/>
              </w:rPr>
              <w:t>... hors DGT &amp; SCIC</w:t>
            </w:r>
          </w:p>
        </w:tc>
        <w:tc>
          <w:tcPr>
            <w:tcW w:w="2657" w:type="dxa"/>
            <w:vAlign w:val="center"/>
          </w:tcPr>
          <w:p w:rsidR="00E91048" w:rsidRDefault="005E3A8B">
            <w:pPr>
              <w:spacing w:after="0" w:line="240" w:lineRule="auto"/>
              <w:jc w:val="center"/>
              <w:rPr>
                <w:noProof/>
                <w:sz w:val="24"/>
              </w:rPr>
            </w:pPr>
            <w:r>
              <w:rPr>
                <w:noProof/>
                <w:sz w:val="24"/>
              </w:rPr>
              <w:t>81</w:t>
            </w:r>
          </w:p>
        </w:tc>
        <w:tc>
          <w:tcPr>
            <w:tcW w:w="2658" w:type="dxa"/>
            <w:vAlign w:val="center"/>
          </w:tcPr>
          <w:p w:rsidR="00E91048" w:rsidRDefault="005E3A8B">
            <w:pPr>
              <w:spacing w:after="0" w:line="240" w:lineRule="auto"/>
              <w:jc w:val="center"/>
              <w:rPr>
                <w:noProof/>
                <w:sz w:val="24"/>
              </w:rPr>
            </w:pPr>
            <w:r>
              <w:rPr>
                <w:noProof/>
                <w:sz w:val="24"/>
              </w:rPr>
              <w:t>170</w:t>
            </w:r>
          </w:p>
        </w:tc>
        <w:tc>
          <w:tcPr>
            <w:tcW w:w="2658" w:type="dxa"/>
            <w:vAlign w:val="center"/>
          </w:tcPr>
          <w:p w:rsidR="00E91048" w:rsidRDefault="005E3A8B">
            <w:pPr>
              <w:spacing w:after="0" w:line="240" w:lineRule="auto"/>
              <w:jc w:val="center"/>
              <w:rPr>
                <w:noProof/>
                <w:sz w:val="24"/>
              </w:rPr>
            </w:pPr>
            <w:r>
              <w:rPr>
                <w:noProof/>
                <w:sz w:val="24"/>
              </w:rPr>
              <w:t>110</w:t>
            </w:r>
          </w:p>
        </w:tc>
        <w:tc>
          <w:tcPr>
            <w:tcW w:w="2658" w:type="dxa"/>
            <w:vAlign w:val="center"/>
          </w:tcPr>
          <w:p w:rsidR="00E91048" w:rsidRDefault="005E3A8B">
            <w:pPr>
              <w:spacing w:after="0" w:line="240" w:lineRule="auto"/>
              <w:jc w:val="center"/>
              <w:rPr>
                <w:noProof/>
                <w:sz w:val="24"/>
              </w:rPr>
            </w:pPr>
            <w:r>
              <w:rPr>
                <w:noProof/>
                <w:sz w:val="24"/>
              </w:rPr>
              <w:t>361</w:t>
            </w:r>
          </w:p>
        </w:tc>
      </w:tr>
      <w:tr w:rsidR="00E91048">
        <w:tc>
          <w:tcPr>
            <w:tcW w:w="3369" w:type="dxa"/>
            <w:shd w:val="clear" w:color="auto" w:fill="99CCFF"/>
          </w:tcPr>
          <w:p w:rsidR="00E91048" w:rsidRPr="005E3A8B" w:rsidRDefault="005E3A8B">
            <w:pPr>
              <w:spacing w:after="0" w:line="240" w:lineRule="auto"/>
              <w:jc w:val="both"/>
              <w:rPr>
                <w:b/>
                <w:noProof/>
                <w:sz w:val="24"/>
                <w:lang w:val="fr-FR"/>
              </w:rPr>
            </w:pPr>
            <w:r w:rsidRPr="005E3A8B">
              <w:rPr>
                <w:b/>
                <w:noProof/>
                <w:sz w:val="24"/>
                <w:lang w:val="fr-FR"/>
              </w:rPr>
              <w:t>... à la DGT &amp; au SCIC</w:t>
            </w:r>
          </w:p>
        </w:tc>
        <w:tc>
          <w:tcPr>
            <w:tcW w:w="2657" w:type="dxa"/>
            <w:vAlign w:val="center"/>
          </w:tcPr>
          <w:p w:rsidR="00E91048" w:rsidRDefault="005E3A8B">
            <w:pPr>
              <w:spacing w:after="0" w:line="240" w:lineRule="auto"/>
              <w:jc w:val="center"/>
              <w:rPr>
                <w:noProof/>
                <w:sz w:val="24"/>
              </w:rPr>
            </w:pPr>
            <w:r>
              <w:rPr>
                <w:noProof/>
                <w:sz w:val="24"/>
              </w:rPr>
              <w:t>50</w:t>
            </w:r>
          </w:p>
        </w:tc>
        <w:tc>
          <w:tcPr>
            <w:tcW w:w="2658" w:type="dxa"/>
            <w:vAlign w:val="center"/>
          </w:tcPr>
          <w:p w:rsidR="00E91048" w:rsidRDefault="005E3A8B">
            <w:pPr>
              <w:spacing w:after="0" w:line="240" w:lineRule="auto"/>
              <w:jc w:val="center"/>
              <w:rPr>
                <w:noProof/>
                <w:sz w:val="24"/>
              </w:rPr>
            </w:pPr>
            <w:r>
              <w:rPr>
                <w:noProof/>
                <w:sz w:val="24"/>
              </w:rPr>
              <w:t>56</w:t>
            </w:r>
          </w:p>
        </w:tc>
        <w:tc>
          <w:tcPr>
            <w:tcW w:w="2658" w:type="dxa"/>
            <w:vAlign w:val="center"/>
          </w:tcPr>
          <w:p w:rsidR="00E91048" w:rsidRDefault="005E3A8B">
            <w:pPr>
              <w:spacing w:after="0" w:line="240" w:lineRule="auto"/>
              <w:jc w:val="center"/>
              <w:rPr>
                <w:noProof/>
                <w:sz w:val="24"/>
              </w:rPr>
            </w:pPr>
            <w:r>
              <w:rPr>
                <w:noProof/>
                <w:sz w:val="24"/>
              </w:rPr>
              <w:t>41</w:t>
            </w:r>
          </w:p>
        </w:tc>
        <w:tc>
          <w:tcPr>
            <w:tcW w:w="2658" w:type="dxa"/>
            <w:vAlign w:val="center"/>
          </w:tcPr>
          <w:p w:rsidR="00E91048" w:rsidRDefault="005E3A8B">
            <w:pPr>
              <w:spacing w:after="0" w:line="240" w:lineRule="auto"/>
              <w:jc w:val="center"/>
              <w:rPr>
                <w:noProof/>
                <w:sz w:val="24"/>
              </w:rPr>
            </w:pPr>
            <w:r>
              <w:rPr>
                <w:noProof/>
                <w:sz w:val="24"/>
              </w:rPr>
              <w:t>147</w:t>
            </w:r>
          </w:p>
        </w:tc>
      </w:tr>
      <w:tr w:rsidR="00E91048">
        <w:tc>
          <w:tcPr>
            <w:tcW w:w="3369" w:type="dxa"/>
            <w:shd w:val="clear" w:color="auto" w:fill="99CCFF"/>
          </w:tcPr>
          <w:p w:rsidR="00E91048" w:rsidRDefault="005E3A8B">
            <w:pPr>
              <w:spacing w:after="0" w:line="240" w:lineRule="auto"/>
              <w:jc w:val="both"/>
              <w:rPr>
                <w:b/>
                <w:noProof/>
                <w:sz w:val="24"/>
              </w:rPr>
            </w:pPr>
            <w:r>
              <w:rPr>
                <w:b/>
                <w:noProof/>
                <w:sz w:val="24"/>
              </w:rPr>
              <w:t>Total</w:t>
            </w:r>
          </w:p>
        </w:tc>
        <w:tc>
          <w:tcPr>
            <w:tcW w:w="2657" w:type="dxa"/>
            <w:vAlign w:val="center"/>
          </w:tcPr>
          <w:p w:rsidR="00E91048" w:rsidRDefault="005E3A8B">
            <w:pPr>
              <w:spacing w:after="0" w:line="240" w:lineRule="auto"/>
              <w:jc w:val="center"/>
              <w:rPr>
                <w:noProof/>
                <w:sz w:val="24"/>
              </w:rPr>
            </w:pPr>
            <w:r>
              <w:rPr>
                <w:noProof/>
                <w:sz w:val="24"/>
              </w:rPr>
              <w:t>131</w:t>
            </w:r>
          </w:p>
        </w:tc>
        <w:tc>
          <w:tcPr>
            <w:tcW w:w="2658" w:type="dxa"/>
            <w:vAlign w:val="center"/>
          </w:tcPr>
          <w:p w:rsidR="00E91048" w:rsidRDefault="005E3A8B">
            <w:pPr>
              <w:spacing w:after="0" w:line="240" w:lineRule="auto"/>
              <w:jc w:val="center"/>
              <w:rPr>
                <w:noProof/>
                <w:sz w:val="24"/>
              </w:rPr>
            </w:pPr>
            <w:r>
              <w:rPr>
                <w:noProof/>
                <w:sz w:val="24"/>
              </w:rPr>
              <w:t>226</w:t>
            </w:r>
          </w:p>
        </w:tc>
        <w:tc>
          <w:tcPr>
            <w:tcW w:w="2658" w:type="dxa"/>
            <w:vAlign w:val="center"/>
          </w:tcPr>
          <w:p w:rsidR="00E91048" w:rsidRDefault="005E3A8B">
            <w:pPr>
              <w:spacing w:after="0" w:line="240" w:lineRule="auto"/>
              <w:jc w:val="center"/>
              <w:rPr>
                <w:noProof/>
                <w:sz w:val="24"/>
              </w:rPr>
            </w:pPr>
            <w:r>
              <w:rPr>
                <w:noProof/>
                <w:sz w:val="24"/>
              </w:rPr>
              <w:t>151</w:t>
            </w:r>
          </w:p>
        </w:tc>
        <w:tc>
          <w:tcPr>
            <w:tcW w:w="2658" w:type="dxa"/>
            <w:vAlign w:val="center"/>
          </w:tcPr>
          <w:p w:rsidR="00E91048" w:rsidRDefault="005E3A8B">
            <w:pPr>
              <w:spacing w:after="0" w:line="240" w:lineRule="auto"/>
              <w:jc w:val="center"/>
              <w:rPr>
                <w:noProof/>
                <w:sz w:val="24"/>
              </w:rPr>
            </w:pPr>
            <w:r>
              <w:rPr>
                <w:noProof/>
                <w:sz w:val="24"/>
              </w:rPr>
              <w:t>508</w:t>
            </w:r>
          </w:p>
        </w:tc>
      </w:tr>
    </w:tbl>
    <w:p w:rsidR="00E91048" w:rsidRDefault="00E91048">
      <w:pPr>
        <w:spacing w:after="240" w:line="240" w:lineRule="auto"/>
        <w:jc w:val="both"/>
        <w:rPr>
          <w:rFonts w:ascii="Times New Roman" w:eastAsia="Times New Roman" w:hAnsi="Times New Roman" w:cs="Times New Roman"/>
          <w:noProof/>
          <w:sz w:val="24"/>
          <w:szCs w:val="20"/>
        </w:rPr>
      </w:pPr>
    </w:p>
    <w:p w:rsidR="00E91048" w:rsidRDefault="005E3A8B">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Répartition par âge</w:t>
      </w:r>
    </w:p>
    <w:p w:rsidR="00E91048" w:rsidRDefault="005E3A8B">
      <w:pPr>
        <w:rPr>
          <w:noProof/>
        </w:rPr>
      </w:pPr>
      <w:r>
        <w:rPr>
          <w:noProof/>
          <w:lang w:bidi="ar-SA"/>
        </w:rPr>
        <w:drawing>
          <wp:inline distT="0" distB="0" distL="0" distR="0" wp14:anchorId="1070E55F" wp14:editId="561C2FBF">
            <wp:extent cx="3927945" cy="2743200"/>
            <wp:effectExtent l="0" t="0" r="1587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Pr>
          <w:noProof/>
        </w:rPr>
        <w:t xml:space="preserve">   </w:t>
      </w:r>
      <w:r>
        <w:rPr>
          <w:noProof/>
          <w:lang w:bidi="ar-SA"/>
        </w:rPr>
        <w:drawing>
          <wp:inline distT="0" distB="0" distL="0" distR="0" wp14:anchorId="1260A21C" wp14:editId="2037B8FB">
            <wp:extent cx="3967701" cy="2743200"/>
            <wp:effectExtent l="0" t="0" r="1397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E91048" w:rsidRDefault="00E91048">
      <w:pPr>
        <w:rPr>
          <w:noProof/>
        </w:rPr>
      </w:pPr>
    </w:p>
    <w:p w:rsidR="00E91048" w:rsidRPr="005E3A8B" w:rsidRDefault="005E3A8B">
      <w:pPr>
        <w:spacing w:after="240" w:line="240" w:lineRule="auto"/>
        <w:jc w:val="both"/>
        <w:rPr>
          <w:rFonts w:ascii="Times New Roman" w:eastAsia="Times New Roman" w:hAnsi="Times New Roman" w:cs="Times New Roman"/>
          <w:b/>
          <w:noProof/>
          <w:sz w:val="24"/>
          <w:szCs w:val="24"/>
          <w:lang w:val="fr-FR"/>
        </w:rPr>
      </w:pPr>
      <w:r w:rsidRPr="005E3A8B">
        <w:rPr>
          <w:noProof/>
          <w:lang w:val="fr-FR"/>
        </w:rPr>
        <w:br w:type="page"/>
      </w:r>
      <w:r w:rsidRPr="005E3A8B">
        <w:rPr>
          <w:rFonts w:ascii="Times New Roman" w:hAnsi="Times New Roman"/>
          <w:b/>
          <w:noProof/>
          <w:sz w:val="24"/>
          <w:lang w:val="fr-FR"/>
        </w:rPr>
        <w:t xml:space="preserve">Annexe 7 quinquies : Doubles nationalités détenues par les fonctionnaires et agents temporaires de la Commission au 1.1.2018 </w:t>
      </w:r>
    </w:p>
    <w:tbl>
      <w:tblPr>
        <w:tblW w:w="14130" w:type="dxa"/>
        <w:tblInd w:w="-459" w:type="dxa"/>
        <w:tblLook w:val="04A0" w:firstRow="1" w:lastRow="0" w:firstColumn="1" w:lastColumn="0" w:noHBand="0" w:noVBand="1"/>
      </w:tblPr>
      <w:tblGrid>
        <w:gridCol w:w="411"/>
        <w:gridCol w:w="70"/>
        <w:gridCol w:w="530"/>
        <w:gridCol w:w="439"/>
        <w:gridCol w:w="483"/>
        <w:gridCol w:w="474"/>
        <w:gridCol w:w="441"/>
        <w:gridCol w:w="429"/>
        <w:gridCol w:w="452"/>
        <w:gridCol w:w="463"/>
        <w:gridCol w:w="431"/>
        <w:gridCol w:w="419"/>
        <w:gridCol w:w="411"/>
        <w:gridCol w:w="483"/>
        <w:gridCol w:w="483"/>
        <w:gridCol w:w="475"/>
        <w:gridCol w:w="453"/>
        <w:gridCol w:w="464"/>
        <w:gridCol w:w="411"/>
        <w:gridCol w:w="411"/>
        <w:gridCol w:w="419"/>
        <w:gridCol w:w="430"/>
        <w:gridCol w:w="430"/>
        <w:gridCol w:w="441"/>
        <w:gridCol w:w="442"/>
        <w:gridCol w:w="442"/>
        <w:gridCol w:w="430"/>
        <w:gridCol w:w="475"/>
        <w:gridCol w:w="442"/>
        <w:gridCol w:w="442"/>
        <w:gridCol w:w="486"/>
        <w:gridCol w:w="618"/>
      </w:tblGrid>
      <w:tr w:rsidR="00E91048">
        <w:trPr>
          <w:trHeight w:val="60"/>
        </w:trPr>
        <w:tc>
          <w:tcPr>
            <w:tcW w:w="481" w:type="dxa"/>
            <w:gridSpan w:val="2"/>
            <w:tcBorders>
              <w:top w:val="nil"/>
              <w:left w:val="nil"/>
              <w:bottom w:val="nil"/>
              <w:right w:val="nil"/>
            </w:tcBorders>
            <w:shd w:val="clear" w:color="auto" w:fill="auto"/>
            <w:noWrap/>
            <w:vAlign w:val="bottom"/>
            <w:hideMark/>
          </w:tcPr>
          <w:p w:rsidR="00E91048" w:rsidRPr="005E3A8B" w:rsidRDefault="00E91048">
            <w:pPr>
              <w:spacing w:after="0" w:line="240" w:lineRule="auto"/>
              <w:ind w:left="-377"/>
              <w:rPr>
                <w:rFonts w:ascii="Arial" w:eastAsia="Times New Roman" w:hAnsi="Arial" w:cs="Arial"/>
                <w:b/>
                <w:bCs/>
                <w:noProof/>
                <w:color w:val="000000"/>
                <w:sz w:val="16"/>
                <w:szCs w:val="16"/>
                <w:lang w:val="fr-FR"/>
              </w:rPr>
            </w:pPr>
          </w:p>
        </w:tc>
        <w:tc>
          <w:tcPr>
            <w:tcW w:w="530" w:type="dxa"/>
            <w:tcBorders>
              <w:top w:val="nil"/>
              <w:left w:val="nil"/>
              <w:bottom w:val="nil"/>
              <w:right w:val="nil"/>
            </w:tcBorders>
            <w:shd w:val="clear" w:color="auto" w:fill="auto"/>
            <w:vAlign w:val="bottom"/>
            <w:hideMark/>
          </w:tcPr>
          <w:p w:rsidR="00E91048" w:rsidRPr="005E3A8B" w:rsidRDefault="00E91048">
            <w:pPr>
              <w:spacing w:after="0" w:line="240" w:lineRule="auto"/>
              <w:rPr>
                <w:rFonts w:ascii="Arial" w:eastAsia="Times New Roman" w:hAnsi="Arial" w:cs="Arial"/>
                <w:b/>
                <w:bCs/>
                <w:noProof/>
                <w:color w:val="000000"/>
                <w:sz w:val="16"/>
                <w:szCs w:val="16"/>
                <w:lang w:val="fr-FR"/>
              </w:rPr>
            </w:pPr>
          </w:p>
        </w:tc>
        <w:tc>
          <w:tcPr>
            <w:tcW w:w="12501" w:type="dxa"/>
            <w:gridSpan w:val="28"/>
            <w:tcBorders>
              <w:top w:val="single" w:sz="4" w:space="0" w:color="auto"/>
              <w:left w:val="single" w:sz="4" w:space="0" w:color="auto"/>
              <w:bottom w:val="single" w:sz="4" w:space="0" w:color="auto"/>
              <w:right w:val="single" w:sz="4" w:space="0" w:color="000000"/>
            </w:tcBorders>
            <w:shd w:val="clear" w:color="000000" w:fill="8DB4E2"/>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Seconde nationalité</w:t>
            </w:r>
          </w:p>
        </w:tc>
        <w:tc>
          <w:tcPr>
            <w:tcW w:w="618" w:type="dxa"/>
            <w:tcBorders>
              <w:top w:val="nil"/>
              <w:left w:val="nil"/>
              <w:bottom w:val="nil"/>
              <w:right w:val="nil"/>
            </w:tcBorders>
            <w:shd w:val="clear" w:color="auto" w:fill="auto"/>
            <w:noWrap/>
            <w:vAlign w:val="center"/>
            <w:hideMark/>
          </w:tcPr>
          <w:p w:rsidR="00E91048" w:rsidRDefault="00E91048">
            <w:pPr>
              <w:spacing w:after="0" w:line="240" w:lineRule="auto"/>
              <w:rPr>
                <w:rFonts w:ascii="Arial" w:eastAsia="Times New Roman" w:hAnsi="Arial" w:cs="Arial"/>
                <w:b/>
                <w:bCs/>
                <w:noProof/>
                <w:color w:val="000000"/>
                <w:sz w:val="16"/>
                <w:szCs w:val="16"/>
              </w:rPr>
            </w:pPr>
          </w:p>
        </w:tc>
      </w:tr>
      <w:tr w:rsidR="00E91048">
        <w:trPr>
          <w:cantSplit/>
          <w:trHeight w:val="850"/>
        </w:trPr>
        <w:tc>
          <w:tcPr>
            <w:tcW w:w="481" w:type="dxa"/>
            <w:gridSpan w:val="2"/>
            <w:tcBorders>
              <w:top w:val="nil"/>
              <w:left w:val="nil"/>
              <w:bottom w:val="nil"/>
              <w:right w:val="nil"/>
            </w:tcBorders>
            <w:shd w:val="clear" w:color="auto" w:fill="auto"/>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530" w:type="dxa"/>
            <w:tcBorders>
              <w:top w:val="nil"/>
              <w:left w:val="nil"/>
              <w:bottom w:val="single" w:sz="4" w:space="0" w:color="auto"/>
              <w:right w:val="single" w:sz="4" w:space="0" w:color="auto"/>
            </w:tcBorders>
            <w:shd w:val="clear" w:color="auto" w:fill="auto"/>
            <w:vAlign w:val="center"/>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 </w:t>
            </w:r>
          </w:p>
        </w:tc>
        <w:tc>
          <w:tcPr>
            <w:tcW w:w="439"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AT</w:t>
            </w:r>
          </w:p>
        </w:tc>
        <w:tc>
          <w:tcPr>
            <w:tcW w:w="483"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BE</w:t>
            </w:r>
          </w:p>
        </w:tc>
        <w:tc>
          <w:tcPr>
            <w:tcW w:w="474"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BG</w:t>
            </w:r>
          </w:p>
        </w:tc>
        <w:tc>
          <w:tcPr>
            <w:tcW w:w="441"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CY</w:t>
            </w:r>
          </w:p>
        </w:tc>
        <w:tc>
          <w:tcPr>
            <w:tcW w:w="429"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CZ</w:t>
            </w:r>
          </w:p>
        </w:tc>
        <w:tc>
          <w:tcPr>
            <w:tcW w:w="452"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DE</w:t>
            </w:r>
          </w:p>
        </w:tc>
        <w:tc>
          <w:tcPr>
            <w:tcW w:w="463"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DK</w:t>
            </w:r>
          </w:p>
        </w:tc>
        <w:tc>
          <w:tcPr>
            <w:tcW w:w="431"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ES</w:t>
            </w:r>
          </w:p>
        </w:tc>
        <w:tc>
          <w:tcPr>
            <w:tcW w:w="419"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EE</w:t>
            </w:r>
          </w:p>
        </w:tc>
        <w:tc>
          <w:tcPr>
            <w:tcW w:w="411"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FI</w:t>
            </w:r>
          </w:p>
        </w:tc>
        <w:tc>
          <w:tcPr>
            <w:tcW w:w="483"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FR</w:t>
            </w:r>
          </w:p>
        </w:tc>
        <w:tc>
          <w:tcPr>
            <w:tcW w:w="483"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UK</w:t>
            </w:r>
          </w:p>
        </w:tc>
        <w:tc>
          <w:tcPr>
            <w:tcW w:w="475"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EL</w:t>
            </w:r>
          </w:p>
        </w:tc>
        <w:tc>
          <w:tcPr>
            <w:tcW w:w="453"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HR</w:t>
            </w:r>
          </w:p>
        </w:tc>
        <w:tc>
          <w:tcPr>
            <w:tcW w:w="464"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HU</w:t>
            </w:r>
          </w:p>
        </w:tc>
        <w:tc>
          <w:tcPr>
            <w:tcW w:w="411"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IE</w:t>
            </w:r>
          </w:p>
        </w:tc>
        <w:tc>
          <w:tcPr>
            <w:tcW w:w="411"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IT</w:t>
            </w:r>
          </w:p>
        </w:tc>
        <w:tc>
          <w:tcPr>
            <w:tcW w:w="419"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LT</w:t>
            </w:r>
          </w:p>
        </w:tc>
        <w:tc>
          <w:tcPr>
            <w:tcW w:w="430"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LU</w:t>
            </w:r>
          </w:p>
        </w:tc>
        <w:tc>
          <w:tcPr>
            <w:tcW w:w="430"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LV</w:t>
            </w:r>
          </w:p>
        </w:tc>
        <w:tc>
          <w:tcPr>
            <w:tcW w:w="441"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MT</w:t>
            </w:r>
          </w:p>
        </w:tc>
        <w:tc>
          <w:tcPr>
            <w:tcW w:w="442"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NL</w:t>
            </w:r>
          </w:p>
        </w:tc>
        <w:tc>
          <w:tcPr>
            <w:tcW w:w="442"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PL</w:t>
            </w:r>
          </w:p>
        </w:tc>
        <w:tc>
          <w:tcPr>
            <w:tcW w:w="430"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PT</w:t>
            </w:r>
          </w:p>
        </w:tc>
        <w:tc>
          <w:tcPr>
            <w:tcW w:w="475"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RO</w:t>
            </w:r>
          </w:p>
        </w:tc>
        <w:tc>
          <w:tcPr>
            <w:tcW w:w="442"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SK</w:t>
            </w:r>
          </w:p>
        </w:tc>
        <w:tc>
          <w:tcPr>
            <w:tcW w:w="442"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SI</w:t>
            </w:r>
          </w:p>
        </w:tc>
        <w:tc>
          <w:tcPr>
            <w:tcW w:w="486" w:type="dxa"/>
            <w:tcBorders>
              <w:top w:val="nil"/>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SE</w:t>
            </w:r>
          </w:p>
        </w:tc>
        <w:tc>
          <w:tcPr>
            <w:tcW w:w="618" w:type="dxa"/>
            <w:tcBorders>
              <w:top w:val="single" w:sz="4" w:space="0" w:color="auto"/>
              <w:left w:val="nil"/>
              <w:bottom w:val="single" w:sz="4" w:space="0" w:color="auto"/>
              <w:right w:val="single" w:sz="4" w:space="0" w:color="auto"/>
            </w:tcBorders>
            <w:shd w:val="clear" w:color="000000" w:fill="8DB4E2"/>
            <w:textDirection w:val="btLr"/>
            <w:vAlign w:val="center"/>
            <w:hideMark/>
          </w:tcPr>
          <w:p w:rsidR="00E91048" w:rsidRDefault="005E3A8B">
            <w:pPr>
              <w:spacing w:after="0" w:line="240" w:lineRule="auto"/>
              <w:ind w:left="113" w:right="113"/>
              <w:rPr>
                <w:rFonts w:ascii="Arial" w:eastAsia="Times New Roman" w:hAnsi="Arial" w:cs="Arial"/>
                <w:b/>
                <w:bCs/>
                <w:noProof/>
                <w:color w:val="000000"/>
                <w:sz w:val="16"/>
                <w:szCs w:val="16"/>
              </w:rPr>
            </w:pPr>
            <w:r>
              <w:rPr>
                <w:rFonts w:ascii="Arial" w:hAnsi="Arial"/>
                <w:b/>
                <w:noProof/>
                <w:color w:val="000000"/>
                <w:sz w:val="16"/>
              </w:rPr>
              <w:t>Total</w:t>
            </w:r>
          </w:p>
        </w:tc>
      </w:tr>
      <w:tr w:rsidR="00E91048">
        <w:trPr>
          <w:trHeight w:val="255"/>
        </w:trPr>
        <w:tc>
          <w:tcPr>
            <w:tcW w:w="411" w:type="dxa"/>
            <w:vMerge w:val="restart"/>
            <w:tcBorders>
              <w:top w:val="single" w:sz="4" w:space="0" w:color="auto"/>
              <w:left w:val="single" w:sz="4" w:space="0" w:color="auto"/>
              <w:bottom w:val="single" w:sz="4" w:space="0" w:color="000000"/>
              <w:right w:val="single" w:sz="4" w:space="0" w:color="auto"/>
            </w:tcBorders>
            <w:shd w:val="clear" w:color="000000" w:fill="8DB4E2"/>
            <w:noWrap/>
            <w:textDirection w:val="btLr"/>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Première nationalité</w:t>
            </w: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AT</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BE</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7</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26</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15</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12</w:t>
            </w: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13</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5</w:t>
            </w: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6</w:t>
            </w: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114</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BG</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17</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6</w:t>
            </w: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14</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46</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CY</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6</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9</w:t>
            </w: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24</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CZ</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5</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15</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DE</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7</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12</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12</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59</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DK</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9</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ES</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7</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16</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5</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34</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EE</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FI</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FR</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28</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14</w:t>
            </w: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8</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31</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14</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7</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7</w:t>
            </w: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5</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128</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UK</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12</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25</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27</w:t>
            </w: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7</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15</w:t>
            </w: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111</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EL</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20</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11</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48</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HR</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14</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HU</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5</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7</w:t>
            </w: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13</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34</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IE</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57</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68</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IT</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13</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10</w:t>
            </w: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13</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17</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67</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LT</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LU</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LV</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MT</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NL</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5</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10</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PL</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22</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9</w:t>
            </w: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22</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71</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PT</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8</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17</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RO</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56</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6</w:t>
            </w: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20</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8</w:t>
            </w: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6</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108</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SK</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5</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4</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20</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SI</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w:t>
            </w:r>
          </w:p>
        </w:tc>
      </w:tr>
      <w:tr w:rsidR="00E91048">
        <w:trPr>
          <w:trHeight w:val="255"/>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color w:val="000000"/>
                <w:sz w:val="16"/>
                <w:szCs w:val="16"/>
              </w:rPr>
            </w:pPr>
          </w:p>
        </w:tc>
        <w:tc>
          <w:tcPr>
            <w:tcW w:w="600" w:type="dxa"/>
            <w:gridSpan w:val="2"/>
            <w:tcBorders>
              <w:top w:val="nil"/>
              <w:left w:val="nil"/>
              <w:bottom w:val="single" w:sz="4" w:space="0" w:color="auto"/>
              <w:right w:val="single" w:sz="4" w:space="0" w:color="auto"/>
            </w:tcBorders>
            <w:shd w:val="clear" w:color="000000" w:fill="8DB4E2"/>
            <w:vAlign w:val="bottom"/>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SE</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3</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2</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000000"/>
                <w:sz w:val="16"/>
                <w:szCs w:val="16"/>
              </w:rPr>
            </w:pPr>
            <w:r>
              <w:rPr>
                <w:rFonts w:ascii="Arial" w:hAnsi="Arial"/>
                <w:noProof/>
                <w:color w:val="000000"/>
                <w:sz w:val="16"/>
              </w:rPr>
              <w:t>1</w:t>
            </w: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E91048">
            <w:pPr>
              <w:spacing w:after="0" w:line="240" w:lineRule="auto"/>
              <w:jc w:val="center"/>
              <w:rPr>
                <w:rFonts w:ascii="Arial" w:eastAsia="Times New Roman" w:hAnsi="Arial" w:cs="Arial"/>
                <w:noProof/>
                <w:color w:val="000000"/>
                <w:sz w:val="16"/>
                <w:szCs w:val="16"/>
              </w:rPr>
            </w:pP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13</w:t>
            </w:r>
          </w:p>
        </w:tc>
      </w:tr>
      <w:tr w:rsidR="00E91048">
        <w:trPr>
          <w:trHeight w:val="283"/>
        </w:trPr>
        <w:tc>
          <w:tcPr>
            <w:tcW w:w="411" w:type="dxa"/>
            <w:tcBorders>
              <w:top w:val="nil"/>
              <w:left w:val="nil"/>
              <w:bottom w:val="nil"/>
              <w:right w:val="single" w:sz="4" w:space="0" w:color="auto"/>
            </w:tcBorders>
            <w:shd w:val="clear" w:color="auto" w:fill="auto"/>
            <w:noWrap/>
            <w:textDirection w:val="btLr"/>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 </w:t>
            </w:r>
          </w:p>
        </w:tc>
        <w:tc>
          <w:tcPr>
            <w:tcW w:w="600" w:type="dxa"/>
            <w:gridSpan w:val="2"/>
            <w:tcBorders>
              <w:top w:val="nil"/>
              <w:left w:val="nil"/>
              <w:bottom w:val="single" w:sz="4" w:space="0" w:color="auto"/>
              <w:right w:val="single" w:sz="4" w:space="0" w:color="auto"/>
            </w:tcBorders>
            <w:shd w:val="clear" w:color="000000" w:fill="8DB4E2"/>
            <w:vAlign w:val="center"/>
            <w:hideMark/>
          </w:tcPr>
          <w:p w:rsidR="00E91048" w:rsidRDefault="005E3A8B">
            <w:pPr>
              <w:spacing w:after="0" w:line="240" w:lineRule="auto"/>
              <w:rPr>
                <w:rFonts w:ascii="Arial" w:eastAsia="Times New Roman" w:hAnsi="Arial" w:cs="Arial"/>
                <w:b/>
                <w:bCs/>
                <w:noProof/>
                <w:color w:val="000000"/>
                <w:sz w:val="16"/>
                <w:szCs w:val="16"/>
              </w:rPr>
            </w:pPr>
            <w:r>
              <w:rPr>
                <w:rFonts w:ascii="Arial" w:hAnsi="Arial"/>
                <w:b/>
                <w:noProof/>
                <w:color w:val="000000"/>
                <w:sz w:val="16"/>
              </w:rPr>
              <w:t>Total</w:t>
            </w:r>
          </w:p>
        </w:tc>
        <w:tc>
          <w:tcPr>
            <w:tcW w:w="439"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11</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220</w:t>
            </w:r>
          </w:p>
        </w:tc>
        <w:tc>
          <w:tcPr>
            <w:tcW w:w="474"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w:t>
            </w:r>
          </w:p>
        </w:tc>
        <w:tc>
          <w:tcPr>
            <w:tcW w:w="429"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9</w:t>
            </w:r>
          </w:p>
        </w:tc>
        <w:tc>
          <w:tcPr>
            <w:tcW w:w="45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83</w:t>
            </w:r>
          </w:p>
        </w:tc>
        <w:tc>
          <w:tcPr>
            <w:tcW w:w="46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43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25</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203</w:t>
            </w:r>
          </w:p>
        </w:tc>
        <w:tc>
          <w:tcPr>
            <w:tcW w:w="48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173</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36</w:t>
            </w:r>
          </w:p>
        </w:tc>
        <w:tc>
          <w:tcPr>
            <w:tcW w:w="453"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10</w:t>
            </w:r>
          </w:p>
        </w:tc>
        <w:tc>
          <w:tcPr>
            <w:tcW w:w="464"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19</w:t>
            </w: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33</w:t>
            </w:r>
          </w:p>
        </w:tc>
        <w:tc>
          <w:tcPr>
            <w:tcW w:w="41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72</w:t>
            </w:r>
          </w:p>
        </w:tc>
        <w:tc>
          <w:tcPr>
            <w:tcW w:w="419"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30</w:t>
            </w: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441"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25</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21</w:t>
            </w:r>
          </w:p>
        </w:tc>
        <w:tc>
          <w:tcPr>
            <w:tcW w:w="430"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13</w:t>
            </w:r>
          </w:p>
        </w:tc>
        <w:tc>
          <w:tcPr>
            <w:tcW w:w="475"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15</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w:t>
            </w:r>
          </w:p>
        </w:tc>
        <w:tc>
          <w:tcPr>
            <w:tcW w:w="442"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486"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15</w:t>
            </w:r>
          </w:p>
        </w:tc>
        <w:tc>
          <w:tcPr>
            <w:tcW w:w="618" w:type="dxa"/>
            <w:tcBorders>
              <w:top w:val="nil"/>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1041</w:t>
            </w:r>
          </w:p>
        </w:tc>
      </w:tr>
    </w:tbl>
    <w:p w:rsidR="00E91048" w:rsidRPr="005E3A8B" w:rsidRDefault="005E3A8B">
      <w:pPr>
        <w:spacing w:after="240" w:line="240" w:lineRule="auto"/>
        <w:jc w:val="both"/>
        <w:rPr>
          <w:rFonts w:ascii="Times New Roman" w:eastAsia="Times New Roman" w:hAnsi="Times New Roman" w:cs="Times New Roman"/>
          <w:b/>
          <w:noProof/>
          <w:sz w:val="24"/>
          <w:szCs w:val="20"/>
          <w:lang w:val="fr-FR"/>
        </w:rPr>
      </w:pPr>
      <w:r w:rsidRPr="005E3A8B">
        <w:rPr>
          <w:rFonts w:ascii="Times New Roman" w:hAnsi="Times New Roman"/>
          <w:b/>
          <w:noProof/>
          <w:sz w:val="24"/>
          <w:lang w:val="fr-FR"/>
        </w:rPr>
        <w:t xml:space="preserve">Annexe 8 bis: Statistiques des concours EPSO AD5 (à l’exclusion des linguistes) sur la période 2010 </w:t>
      </w:r>
      <w:r w:rsidRPr="005E3A8B">
        <w:rPr>
          <w:rFonts w:ascii="Times New Roman" w:hAnsi="Times New Roman"/>
          <w:b/>
          <w:noProof/>
          <w:sz w:val="24"/>
          <w:lang w:val="fr-FR"/>
        </w:rPr>
        <w:t>à mi-2017</w:t>
      </w:r>
    </w:p>
    <w:tbl>
      <w:tblPr>
        <w:tblW w:w="13882" w:type="dxa"/>
        <w:tblInd w:w="93" w:type="dxa"/>
        <w:tblLook w:val="04A0" w:firstRow="1" w:lastRow="0" w:firstColumn="1" w:lastColumn="0" w:noHBand="0" w:noVBand="1"/>
      </w:tblPr>
      <w:tblGrid>
        <w:gridCol w:w="1430"/>
        <w:gridCol w:w="1297"/>
        <w:gridCol w:w="1147"/>
        <w:gridCol w:w="1146"/>
        <w:gridCol w:w="1060"/>
        <w:gridCol w:w="1396"/>
        <w:gridCol w:w="1661"/>
        <w:gridCol w:w="1226"/>
        <w:gridCol w:w="1235"/>
        <w:gridCol w:w="1247"/>
        <w:gridCol w:w="1037"/>
      </w:tblGrid>
      <w:tr w:rsidR="00E91048">
        <w:trPr>
          <w:trHeight w:val="720"/>
        </w:trPr>
        <w:tc>
          <w:tcPr>
            <w:tcW w:w="1430" w:type="dxa"/>
            <w:tcBorders>
              <w:top w:val="single" w:sz="4" w:space="0" w:color="000000"/>
              <w:left w:val="single" w:sz="4" w:space="0" w:color="000000"/>
              <w:bottom w:val="single" w:sz="4" w:space="0" w:color="000000"/>
              <w:right w:val="nil"/>
            </w:tcBorders>
            <w:shd w:val="clear" w:color="000000" w:fill="99CCFF"/>
            <w:vAlign w:val="center"/>
            <w:hideMark/>
          </w:tcPr>
          <w:p w:rsidR="00E91048" w:rsidRPr="005E3A8B" w:rsidRDefault="005E3A8B">
            <w:pPr>
              <w:spacing w:after="0" w:line="240" w:lineRule="auto"/>
              <w:rPr>
                <w:rFonts w:ascii="Arial" w:eastAsia="Times New Roman" w:hAnsi="Arial" w:cs="Arial"/>
                <w:b/>
                <w:bCs/>
                <w:noProof/>
                <w:sz w:val="16"/>
                <w:szCs w:val="16"/>
                <w:lang w:val="fr-FR"/>
              </w:rPr>
            </w:pPr>
            <w:r w:rsidRPr="005E3A8B">
              <w:rPr>
                <w:rFonts w:ascii="Arial" w:hAnsi="Arial"/>
                <w:b/>
                <w:noProof/>
                <w:sz w:val="16"/>
                <w:lang w:val="fr-FR"/>
              </w:rPr>
              <w:t>Concours EPSO AD5 de 2010 à mi-2017</w:t>
            </w:r>
          </w:p>
        </w:tc>
        <w:tc>
          <w:tcPr>
            <w:tcW w:w="1297" w:type="dxa"/>
            <w:tcBorders>
              <w:top w:val="single" w:sz="4" w:space="0" w:color="000000"/>
              <w:left w:val="single" w:sz="4" w:space="0" w:color="000000"/>
              <w:bottom w:val="single" w:sz="4" w:space="0" w:color="auto"/>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Candidatures cumulées</w:t>
            </w:r>
          </w:p>
        </w:tc>
        <w:tc>
          <w:tcPr>
            <w:tcW w:w="1147" w:type="dxa"/>
            <w:tcBorders>
              <w:top w:val="single" w:sz="4" w:space="0" w:color="000000"/>
              <w:left w:val="single" w:sz="4" w:space="0" w:color="000000"/>
              <w:bottom w:val="single" w:sz="4" w:space="0" w:color="auto"/>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Lauréats cumulés</w:t>
            </w:r>
          </w:p>
        </w:tc>
        <w:tc>
          <w:tcPr>
            <w:tcW w:w="1146" w:type="dxa"/>
            <w:tcBorders>
              <w:top w:val="single" w:sz="4" w:space="0" w:color="000000"/>
              <w:left w:val="single" w:sz="4" w:space="0" w:color="000000"/>
              <w:bottom w:val="single" w:sz="4" w:space="0" w:color="auto"/>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Population (millions)</w:t>
            </w:r>
          </w:p>
        </w:tc>
        <w:tc>
          <w:tcPr>
            <w:tcW w:w="1060" w:type="dxa"/>
            <w:tcBorders>
              <w:top w:val="single" w:sz="4" w:space="0" w:color="000000"/>
              <w:left w:val="single" w:sz="4" w:space="0" w:color="000000"/>
              <w:bottom w:val="single" w:sz="4" w:space="0" w:color="auto"/>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Taux de référence</w:t>
            </w:r>
          </w:p>
        </w:tc>
        <w:tc>
          <w:tcPr>
            <w:tcW w:w="1396" w:type="dxa"/>
            <w:tcBorders>
              <w:top w:val="single" w:sz="4" w:space="0" w:color="000000"/>
              <w:left w:val="single" w:sz="4" w:space="0" w:color="000000"/>
              <w:bottom w:val="single" w:sz="4" w:space="0" w:color="auto"/>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Répartition des lauréats</w:t>
            </w:r>
          </w:p>
        </w:tc>
        <w:tc>
          <w:tcPr>
            <w:tcW w:w="1661" w:type="dxa"/>
            <w:tcBorders>
              <w:top w:val="single" w:sz="4" w:space="0" w:color="000000"/>
              <w:left w:val="single" w:sz="4" w:space="0" w:color="000000"/>
              <w:bottom w:val="single" w:sz="4" w:space="0" w:color="auto"/>
              <w:right w:val="nil"/>
            </w:tcBorders>
            <w:shd w:val="clear" w:color="000000" w:fill="99CCFF"/>
            <w:vAlign w:val="center"/>
            <w:hideMark/>
          </w:tcPr>
          <w:p w:rsidR="00E91048" w:rsidRPr="005E3A8B" w:rsidRDefault="005E3A8B">
            <w:pPr>
              <w:spacing w:after="0" w:line="240" w:lineRule="auto"/>
              <w:jc w:val="center"/>
              <w:rPr>
                <w:rFonts w:ascii="Arial" w:eastAsia="Times New Roman" w:hAnsi="Arial" w:cs="Arial"/>
                <w:b/>
                <w:bCs/>
                <w:noProof/>
                <w:sz w:val="16"/>
                <w:szCs w:val="16"/>
                <w:lang w:val="fr-FR"/>
              </w:rPr>
            </w:pPr>
            <w:r w:rsidRPr="005E3A8B">
              <w:rPr>
                <w:rFonts w:ascii="Arial" w:hAnsi="Arial"/>
                <w:b/>
                <w:noProof/>
                <w:sz w:val="16"/>
                <w:lang w:val="fr-FR"/>
              </w:rPr>
              <w:t>Dépassement ou déficit par rapport au taux de référence</w:t>
            </w:r>
          </w:p>
        </w:tc>
        <w:tc>
          <w:tcPr>
            <w:tcW w:w="1226" w:type="dxa"/>
            <w:tcBorders>
              <w:top w:val="single" w:sz="4" w:space="0" w:color="000000"/>
              <w:left w:val="single" w:sz="4" w:space="0" w:color="000000"/>
              <w:bottom w:val="single" w:sz="4" w:space="0" w:color="auto"/>
              <w:right w:val="nil"/>
            </w:tcBorders>
            <w:shd w:val="clear" w:color="000000" w:fill="99CCFF"/>
            <w:vAlign w:val="center"/>
            <w:hideMark/>
          </w:tcPr>
          <w:p w:rsidR="00E91048" w:rsidRPr="005E3A8B" w:rsidRDefault="005E3A8B">
            <w:pPr>
              <w:spacing w:after="0" w:line="240" w:lineRule="auto"/>
              <w:jc w:val="center"/>
              <w:rPr>
                <w:rFonts w:ascii="Arial" w:eastAsia="Times New Roman" w:hAnsi="Arial" w:cs="Arial"/>
                <w:b/>
                <w:bCs/>
                <w:noProof/>
                <w:sz w:val="16"/>
                <w:szCs w:val="16"/>
                <w:lang w:val="fr-FR"/>
              </w:rPr>
            </w:pPr>
            <w:r w:rsidRPr="005E3A8B">
              <w:rPr>
                <w:rFonts w:ascii="Arial" w:hAnsi="Arial"/>
                <w:b/>
                <w:noProof/>
                <w:sz w:val="16"/>
                <w:lang w:val="fr-FR"/>
              </w:rPr>
              <w:t>Lauréats en % du taux de référence</w:t>
            </w:r>
          </w:p>
        </w:tc>
        <w:tc>
          <w:tcPr>
            <w:tcW w:w="1235" w:type="dxa"/>
            <w:tcBorders>
              <w:top w:val="single" w:sz="4" w:space="0" w:color="000000"/>
              <w:left w:val="single" w:sz="4" w:space="0" w:color="000000"/>
              <w:bottom w:val="single" w:sz="4" w:space="0" w:color="auto"/>
              <w:right w:val="nil"/>
            </w:tcBorders>
            <w:shd w:val="clear" w:color="000000" w:fill="99CCFF"/>
            <w:vAlign w:val="center"/>
            <w:hideMark/>
          </w:tcPr>
          <w:p w:rsidR="00E91048" w:rsidRPr="005E3A8B" w:rsidRDefault="005E3A8B">
            <w:pPr>
              <w:spacing w:after="0" w:line="240" w:lineRule="auto"/>
              <w:jc w:val="center"/>
              <w:rPr>
                <w:rFonts w:ascii="Arial" w:eastAsia="Times New Roman" w:hAnsi="Arial" w:cs="Arial"/>
                <w:b/>
                <w:bCs/>
                <w:noProof/>
                <w:sz w:val="16"/>
                <w:szCs w:val="16"/>
                <w:lang w:val="fr-FR"/>
              </w:rPr>
            </w:pPr>
            <w:r w:rsidRPr="005E3A8B">
              <w:rPr>
                <w:rFonts w:ascii="Arial" w:hAnsi="Arial"/>
                <w:b/>
                <w:noProof/>
                <w:sz w:val="16"/>
                <w:lang w:val="fr-FR"/>
              </w:rPr>
              <w:t>Déséquilibre im</w:t>
            </w:r>
            <w:r w:rsidRPr="005E3A8B">
              <w:rPr>
                <w:rFonts w:ascii="Arial" w:hAnsi="Arial"/>
                <w:b/>
                <w:noProof/>
                <w:sz w:val="16"/>
                <w:lang w:val="fr-FR"/>
              </w:rPr>
              <w:t>portant sur les listes EPSO*?</w:t>
            </w:r>
          </w:p>
        </w:tc>
        <w:tc>
          <w:tcPr>
            <w:tcW w:w="1247" w:type="dxa"/>
            <w:tcBorders>
              <w:top w:val="single" w:sz="4" w:space="0" w:color="000000"/>
              <w:left w:val="single" w:sz="4" w:space="0" w:color="000000"/>
              <w:bottom w:val="single" w:sz="4" w:space="0" w:color="auto"/>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Participants</w:t>
            </w:r>
            <w:r>
              <w:rPr>
                <w:rFonts w:ascii="Arial" w:eastAsia="Times New Roman" w:hAnsi="Arial" w:cs="Arial"/>
                <w:b/>
                <w:bCs/>
                <w:noProof/>
                <w:sz w:val="16"/>
                <w:szCs w:val="16"/>
              </w:rPr>
              <w:br/>
            </w:r>
            <w:r>
              <w:rPr>
                <w:rFonts w:ascii="Arial" w:hAnsi="Arial"/>
                <w:b/>
                <w:noProof/>
                <w:sz w:val="16"/>
              </w:rPr>
              <w:t>/Mio hab</w:t>
            </w:r>
          </w:p>
        </w:tc>
        <w:tc>
          <w:tcPr>
            <w:tcW w:w="1037" w:type="dxa"/>
            <w:tcBorders>
              <w:top w:val="single" w:sz="4" w:space="0" w:color="000000"/>
              <w:left w:val="single" w:sz="4" w:space="0" w:color="000000"/>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Taux de réussite</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Belgique</w:t>
            </w:r>
          </w:p>
        </w:tc>
        <w:tc>
          <w:tcPr>
            <w:tcW w:w="1297"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19 795</w:t>
            </w:r>
          </w:p>
        </w:tc>
        <w:tc>
          <w:tcPr>
            <w:tcW w:w="1147"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171</w:t>
            </w:r>
          </w:p>
        </w:tc>
        <w:tc>
          <w:tcPr>
            <w:tcW w:w="1146"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11,2</w:t>
            </w:r>
          </w:p>
        </w:tc>
        <w:tc>
          <w:tcPr>
            <w:tcW w:w="1060"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3,1 %</w:t>
            </w:r>
          </w:p>
        </w:tc>
        <w:tc>
          <w:tcPr>
            <w:tcW w:w="1396"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11,1 %</w:t>
            </w:r>
          </w:p>
        </w:tc>
        <w:tc>
          <w:tcPr>
            <w:tcW w:w="1661"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8,0 %</w:t>
            </w:r>
          </w:p>
        </w:tc>
        <w:tc>
          <w:tcPr>
            <w:tcW w:w="1226"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357 %</w:t>
            </w:r>
          </w:p>
        </w:tc>
        <w:tc>
          <w:tcPr>
            <w:tcW w:w="1235"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1 766</w:t>
            </w:r>
          </w:p>
        </w:tc>
        <w:tc>
          <w:tcPr>
            <w:tcW w:w="1037" w:type="dxa"/>
            <w:tcBorders>
              <w:top w:val="single"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0,9 %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Bulgarie</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11 275</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38</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7,2</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2,4 %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2,5 %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0,1 %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103 %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1 565</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0,3 %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République tchèque</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3 452</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15</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10,5</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3,1 %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-2,1 %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32 %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OUI</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328</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0,4 %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Danemark</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1 966</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5,7</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1,8 %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0,7 %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-1,1 %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36 %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OUI</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347</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0,5 %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Allemagne</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17 583</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205</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81,2</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13,8 %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13,3 %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-0,5 %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97 %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217</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1,2 %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Estonie</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1 789</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1,3</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0,8 %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0,1 %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-0,7 %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16 %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OUI</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1 362</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0,1 %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Irlande</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2 028</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11</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1,6 %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0,7 %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-0,9 %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44 %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OUI</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438</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0,5 %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Grèce</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18 787</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49</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3,1 %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3,2 %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0,1 %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103 %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1 730</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0,3 %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Espagne</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27 569</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177</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46,4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8,9 %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11,5 %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2,6 %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129 %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594</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0,6 %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France</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19 208</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163</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66,4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11,6 %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10,6 %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91 %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289</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0,8 %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Croatie</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4 239</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26</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4,2</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1,6 %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1,7 %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0,1 %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109 %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1 003</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0,6 %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Italie</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49 325</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261</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60,8</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11,2 %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17,0 %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5,8 %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152 %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811</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0,5 %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Chypre</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1 077</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0,8</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0,8 %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0,0 %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-0,8 %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OUI</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1 272</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0,0 %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Lettonie</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2 172</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7</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2,0</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0,5 %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-0,5 %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48 %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OUI</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1 094</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0,3 %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Lituanie</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4 339</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9</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1,5 %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0,6 %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-0,9 %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39 %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OUI</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1 485</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0,2 %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Luxembourg</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526</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0,8 %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0,0 %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-0,8 %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OUI</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934</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0,0 %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Hongrie</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6 435</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56</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9,9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3,0 %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3,6 %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0,6 %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121 %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653</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0,9 %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Malte</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930</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0,6 %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0,3 %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-0,3 %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51 %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2 166</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0,5 %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Pays-Bas</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4 532</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71</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16,9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3,9 %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4,6 %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0,7 %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119 %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268</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1,6 %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Autriche</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3 779</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38</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8,6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2,6 %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2,5 %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-0,1 %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96 %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441</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Pologne</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11 452</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30</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38,0</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8,2 %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2,0 %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-6,2 %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24 %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OUI</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301</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0,3 %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Portugal</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10 322</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32</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3,1 %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2,1 %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68 %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995</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0,3 %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Roumanie</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25 933</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91</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19,9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4,5 %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5,9 %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1,4 %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131 %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1 305</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0,4 %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Slovénie</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2 475</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6</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2,1</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0,4 %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-0,6 %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41 %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OUI</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1 200</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0,2 %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Slovaquie</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4 144</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17</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1,8 %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1,1 %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-0,7 %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63 %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764</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0,4 %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Finlande</w:t>
            </w:r>
          </w:p>
        </w:tc>
        <w:tc>
          <w:tcPr>
            <w:tcW w:w="129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3 208</w:t>
            </w:r>
          </w:p>
        </w:tc>
        <w:tc>
          <w:tcPr>
            <w:tcW w:w="114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23</w:t>
            </w:r>
          </w:p>
        </w:tc>
        <w:tc>
          <w:tcPr>
            <w:tcW w:w="11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5,5</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1,8 %</w:t>
            </w:r>
          </w:p>
        </w:tc>
        <w:tc>
          <w:tcPr>
            <w:tcW w:w="139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1,5 %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-0,3 %</w:t>
            </w:r>
          </w:p>
        </w:tc>
        <w:tc>
          <w:tcPr>
            <w:tcW w:w="12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84 %</w:t>
            </w:r>
          </w:p>
        </w:tc>
        <w:tc>
          <w:tcPr>
            <w:tcW w:w="123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586</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0,7 %</w:t>
            </w:r>
          </w:p>
        </w:tc>
      </w:tr>
      <w:tr w:rsidR="00E91048">
        <w:trPr>
          <w:trHeight w:val="240"/>
        </w:trPr>
        <w:tc>
          <w:tcPr>
            <w:tcW w:w="1430" w:type="dxa"/>
            <w:tcBorders>
              <w:top w:val="nil"/>
              <w:left w:val="single" w:sz="4" w:space="0" w:color="000000"/>
              <w:bottom w:val="single" w:sz="4" w:space="0" w:color="000000"/>
              <w:right w:val="nil"/>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Suède</w:t>
            </w:r>
          </w:p>
        </w:tc>
        <w:tc>
          <w:tcPr>
            <w:tcW w:w="1297"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3 132</w:t>
            </w:r>
          </w:p>
        </w:tc>
        <w:tc>
          <w:tcPr>
            <w:tcW w:w="1147"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24</w:t>
            </w:r>
          </w:p>
        </w:tc>
        <w:tc>
          <w:tcPr>
            <w:tcW w:w="1146"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9,7</w:t>
            </w:r>
          </w:p>
        </w:tc>
        <w:tc>
          <w:tcPr>
            <w:tcW w:w="1060"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2,7 %</w:t>
            </w:r>
          </w:p>
        </w:tc>
        <w:tc>
          <w:tcPr>
            <w:tcW w:w="1396"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1,6 %</w:t>
            </w:r>
          </w:p>
        </w:tc>
        <w:tc>
          <w:tcPr>
            <w:tcW w:w="1661"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-1,2 %</w:t>
            </w:r>
          </w:p>
        </w:tc>
        <w:tc>
          <w:tcPr>
            <w:tcW w:w="1226"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57 %</w:t>
            </w:r>
          </w:p>
        </w:tc>
        <w:tc>
          <w:tcPr>
            <w:tcW w:w="1235"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247"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321</w:t>
            </w:r>
          </w:p>
        </w:tc>
        <w:tc>
          <w:tcPr>
            <w:tcW w:w="1037"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0,8 %</w:t>
            </w:r>
          </w:p>
        </w:tc>
      </w:tr>
      <w:tr w:rsidR="00E91048">
        <w:trPr>
          <w:trHeight w:val="240"/>
        </w:trPr>
        <w:tc>
          <w:tcPr>
            <w:tcW w:w="1430" w:type="dxa"/>
            <w:tcBorders>
              <w:top w:val="nil"/>
              <w:left w:val="single" w:sz="4" w:space="0" w:color="000000"/>
              <w:bottom w:val="single" w:sz="4" w:space="0" w:color="000000"/>
              <w:right w:val="single" w:sz="4" w:space="0" w:color="auto"/>
            </w:tcBorders>
            <w:shd w:val="clear" w:color="000000" w:fill="99CCFF"/>
            <w:vAlign w:val="bottom"/>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EU27</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26 1472</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1 537</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443,5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100,0 %</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100,0 %</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0,0 %</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 </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590</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0,6 %</w:t>
            </w:r>
          </w:p>
        </w:tc>
      </w:tr>
    </w:tbl>
    <w:p w:rsidR="00E91048" w:rsidRPr="005E3A8B" w:rsidRDefault="005E3A8B">
      <w:pPr>
        <w:spacing w:after="240" w:line="240" w:lineRule="auto"/>
        <w:jc w:val="both"/>
        <w:rPr>
          <w:rFonts w:ascii="Arial" w:eastAsia="Times New Roman" w:hAnsi="Arial" w:cs="Arial"/>
          <w:b/>
          <w:bCs/>
          <w:noProof/>
          <w:sz w:val="16"/>
          <w:szCs w:val="16"/>
          <w:lang w:val="fr-FR"/>
        </w:rPr>
      </w:pPr>
      <w:r w:rsidRPr="005E3A8B">
        <w:rPr>
          <w:rFonts w:ascii="Arial" w:hAnsi="Arial"/>
          <w:b/>
          <w:noProof/>
          <w:sz w:val="16"/>
          <w:lang w:val="fr-FR"/>
        </w:rPr>
        <w:t xml:space="preserve">NB: Les chiffres de la Croatie sont corrigés afin de tenir compte des concours organisés en vue de l’«élargissement» pendant la période. </w:t>
      </w:r>
      <w:r w:rsidRPr="005E3A8B">
        <w:rPr>
          <w:noProof/>
          <w:lang w:val="fr-FR"/>
        </w:rPr>
        <w:tab/>
      </w:r>
      <w:r w:rsidRPr="005E3A8B">
        <w:rPr>
          <w:rFonts w:ascii="Arial" w:eastAsia="Times New Roman" w:hAnsi="Arial" w:cs="Arial"/>
          <w:b/>
          <w:bCs/>
          <w:noProof/>
          <w:sz w:val="16"/>
          <w:szCs w:val="16"/>
          <w:lang w:val="fr-FR"/>
        </w:rPr>
        <w:br/>
      </w:r>
      <w:r w:rsidRPr="005E3A8B">
        <w:rPr>
          <w:rFonts w:ascii="Arial" w:hAnsi="Arial"/>
          <w:b/>
          <w:noProof/>
          <w:sz w:val="16"/>
          <w:lang w:val="fr-FR"/>
        </w:rPr>
        <w:t>*: proportion parmi les lauréats inférieure à 50 % des taux de référence.</w:t>
      </w:r>
    </w:p>
    <w:p w:rsidR="00E91048" w:rsidRPr="005E3A8B" w:rsidRDefault="005E3A8B">
      <w:pPr>
        <w:spacing w:after="0" w:line="240" w:lineRule="auto"/>
        <w:rPr>
          <w:rFonts w:ascii="Times New Roman" w:eastAsia="Times New Roman" w:hAnsi="Times New Roman" w:cs="Times New Roman"/>
          <w:noProof/>
          <w:sz w:val="24"/>
          <w:szCs w:val="20"/>
          <w:lang w:val="fr-FR"/>
        </w:rPr>
      </w:pPr>
      <w:r w:rsidRPr="005E3A8B">
        <w:rPr>
          <w:noProof/>
          <w:lang w:val="fr-FR"/>
        </w:rPr>
        <w:br w:type="page"/>
      </w:r>
    </w:p>
    <w:p w:rsidR="00E91048" w:rsidRPr="005E3A8B" w:rsidRDefault="005E3A8B">
      <w:pPr>
        <w:spacing w:after="240" w:line="240" w:lineRule="auto"/>
        <w:jc w:val="both"/>
        <w:rPr>
          <w:rFonts w:ascii="Times New Roman" w:eastAsia="Times New Roman" w:hAnsi="Times New Roman" w:cs="Times New Roman"/>
          <w:b/>
          <w:noProof/>
          <w:sz w:val="24"/>
          <w:szCs w:val="20"/>
          <w:lang w:val="fr-FR"/>
        </w:rPr>
      </w:pPr>
      <w:r w:rsidRPr="005E3A8B">
        <w:rPr>
          <w:rFonts w:ascii="Times New Roman" w:hAnsi="Times New Roman"/>
          <w:b/>
          <w:noProof/>
          <w:sz w:val="24"/>
          <w:lang w:val="fr-FR"/>
        </w:rPr>
        <w:t>Annexe 8 ter: Statistiques des concours</w:t>
      </w:r>
      <w:r w:rsidRPr="005E3A8B">
        <w:rPr>
          <w:rFonts w:ascii="Times New Roman" w:hAnsi="Times New Roman"/>
          <w:b/>
          <w:noProof/>
          <w:sz w:val="24"/>
          <w:lang w:val="fr-FR"/>
        </w:rPr>
        <w:t xml:space="preserve"> EPSO AD de spécialistes (à l’exclusion des linguistes) sur la période 2010-2016</w:t>
      </w:r>
    </w:p>
    <w:tbl>
      <w:tblPr>
        <w:tblW w:w="13802" w:type="dxa"/>
        <w:tblInd w:w="-34" w:type="dxa"/>
        <w:tblLook w:val="04A0" w:firstRow="1" w:lastRow="0" w:firstColumn="1" w:lastColumn="0" w:noHBand="0" w:noVBand="1"/>
      </w:tblPr>
      <w:tblGrid>
        <w:gridCol w:w="1788"/>
        <w:gridCol w:w="1239"/>
        <w:gridCol w:w="1060"/>
        <w:gridCol w:w="1060"/>
        <w:gridCol w:w="1060"/>
        <w:gridCol w:w="1265"/>
        <w:gridCol w:w="1661"/>
        <w:gridCol w:w="1215"/>
        <w:gridCol w:w="1246"/>
        <w:gridCol w:w="1171"/>
        <w:gridCol w:w="1037"/>
      </w:tblGrid>
      <w:tr w:rsidR="00E91048">
        <w:trPr>
          <w:trHeight w:val="439"/>
        </w:trPr>
        <w:tc>
          <w:tcPr>
            <w:tcW w:w="1847"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Concours spécialisés EPSO AD 2010-16</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Candidatures cumulées</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Lauréats cumulés</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Population (millions)</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Taux de référence</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Répartition des lauréats</w:t>
            </w:r>
          </w:p>
        </w:tc>
        <w:tc>
          <w:tcPr>
            <w:tcW w:w="1661" w:type="dxa"/>
            <w:vMerge w:val="restart"/>
            <w:tcBorders>
              <w:top w:val="single" w:sz="4" w:space="0" w:color="000000"/>
              <w:left w:val="single" w:sz="4" w:space="0" w:color="000000"/>
              <w:bottom w:val="single" w:sz="4" w:space="0" w:color="000000"/>
              <w:right w:val="nil"/>
            </w:tcBorders>
            <w:shd w:val="clear" w:color="000000" w:fill="99CCFF"/>
            <w:vAlign w:val="center"/>
            <w:hideMark/>
          </w:tcPr>
          <w:p w:rsidR="00E91048" w:rsidRPr="005E3A8B" w:rsidRDefault="005E3A8B">
            <w:pPr>
              <w:spacing w:after="0" w:line="240" w:lineRule="auto"/>
              <w:jc w:val="center"/>
              <w:rPr>
                <w:rFonts w:ascii="Arial" w:eastAsia="Times New Roman" w:hAnsi="Arial" w:cs="Arial"/>
                <w:b/>
                <w:bCs/>
                <w:noProof/>
                <w:sz w:val="16"/>
                <w:szCs w:val="16"/>
                <w:lang w:val="fr-FR"/>
              </w:rPr>
            </w:pPr>
            <w:r w:rsidRPr="005E3A8B">
              <w:rPr>
                <w:rFonts w:ascii="Arial" w:hAnsi="Arial"/>
                <w:b/>
                <w:noProof/>
                <w:sz w:val="16"/>
                <w:lang w:val="fr-FR"/>
              </w:rPr>
              <w:t>Dépassement ou déficit par rapport</w:t>
            </w:r>
            <w:r w:rsidRPr="005E3A8B">
              <w:rPr>
                <w:rFonts w:ascii="Arial" w:hAnsi="Arial"/>
                <w:b/>
                <w:noProof/>
                <w:sz w:val="16"/>
                <w:lang w:val="fr-FR"/>
              </w:rPr>
              <w:t xml:space="preserve"> au taux de référence</w:t>
            </w:r>
          </w:p>
        </w:tc>
        <w:tc>
          <w:tcPr>
            <w:tcW w:w="1215"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rsidR="00E91048" w:rsidRPr="005E3A8B" w:rsidRDefault="005E3A8B">
            <w:pPr>
              <w:spacing w:after="0" w:line="240" w:lineRule="auto"/>
              <w:jc w:val="center"/>
              <w:rPr>
                <w:rFonts w:ascii="Arial" w:eastAsia="Times New Roman" w:hAnsi="Arial" w:cs="Arial"/>
                <w:b/>
                <w:bCs/>
                <w:noProof/>
                <w:sz w:val="16"/>
                <w:szCs w:val="16"/>
                <w:lang w:val="fr-FR"/>
              </w:rPr>
            </w:pPr>
            <w:r w:rsidRPr="005E3A8B">
              <w:rPr>
                <w:rFonts w:ascii="Arial" w:hAnsi="Arial"/>
                <w:b/>
                <w:noProof/>
                <w:sz w:val="16"/>
                <w:lang w:val="fr-FR"/>
              </w:rPr>
              <w:t>Lauréats en % du taux de référence</w:t>
            </w:r>
          </w:p>
        </w:tc>
        <w:tc>
          <w:tcPr>
            <w:tcW w:w="1246"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rsidR="00E91048" w:rsidRPr="005E3A8B" w:rsidRDefault="005E3A8B">
            <w:pPr>
              <w:spacing w:after="0" w:line="240" w:lineRule="auto"/>
              <w:jc w:val="center"/>
              <w:rPr>
                <w:rFonts w:ascii="Arial" w:eastAsia="Times New Roman" w:hAnsi="Arial" w:cs="Arial"/>
                <w:b/>
                <w:bCs/>
                <w:noProof/>
                <w:sz w:val="16"/>
                <w:szCs w:val="16"/>
                <w:lang w:val="fr-FR"/>
              </w:rPr>
            </w:pPr>
            <w:r w:rsidRPr="005E3A8B">
              <w:rPr>
                <w:rFonts w:ascii="Arial" w:hAnsi="Arial"/>
                <w:b/>
                <w:noProof/>
                <w:sz w:val="16"/>
                <w:lang w:val="fr-FR"/>
              </w:rPr>
              <w:t>Déséquilibre important sur les listes EPSO*?</w:t>
            </w:r>
          </w:p>
        </w:tc>
        <w:tc>
          <w:tcPr>
            <w:tcW w:w="1171" w:type="dxa"/>
            <w:tcBorders>
              <w:top w:val="single" w:sz="4" w:space="0" w:color="000000"/>
              <w:left w:val="nil"/>
              <w:bottom w:val="nil"/>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Participants</w:t>
            </w:r>
          </w:p>
        </w:tc>
        <w:tc>
          <w:tcPr>
            <w:tcW w:w="1037" w:type="dxa"/>
            <w:vMerge w:val="restart"/>
            <w:tcBorders>
              <w:top w:val="single" w:sz="4" w:space="0" w:color="000000"/>
              <w:left w:val="single" w:sz="4" w:space="0" w:color="000000"/>
              <w:bottom w:val="single" w:sz="4" w:space="0" w:color="000000"/>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Taux de réussite</w:t>
            </w:r>
          </w:p>
        </w:tc>
      </w:tr>
      <w:tr w:rsidR="00E91048">
        <w:trPr>
          <w:trHeight w:val="240"/>
        </w:trPr>
        <w:tc>
          <w:tcPr>
            <w:tcW w:w="1847" w:type="dxa"/>
            <w:vMerge/>
            <w:tcBorders>
              <w:top w:val="single" w:sz="4" w:space="0" w:color="000000"/>
              <w:left w:val="single" w:sz="4" w:space="0" w:color="000000"/>
              <w:bottom w:val="single" w:sz="4" w:space="0" w:color="000000"/>
              <w:right w:val="single" w:sz="4" w:space="0" w:color="000000"/>
            </w:tcBorders>
            <w:vAlign w:val="center"/>
            <w:hideMark/>
          </w:tcPr>
          <w:p w:rsidR="00E91048" w:rsidRDefault="00E91048">
            <w:pPr>
              <w:spacing w:after="0" w:line="240" w:lineRule="auto"/>
              <w:rPr>
                <w:rFonts w:ascii="Arial" w:eastAsia="Times New Roman" w:hAnsi="Arial" w:cs="Arial"/>
                <w:b/>
                <w:bCs/>
                <w:noProof/>
                <w:sz w:val="16"/>
                <w:szCs w:val="16"/>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rsidR="00E91048" w:rsidRDefault="00E91048">
            <w:pPr>
              <w:spacing w:after="0" w:line="240" w:lineRule="auto"/>
              <w:rPr>
                <w:rFonts w:ascii="Arial" w:eastAsia="Times New Roman" w:hAnsi="Arial" w:cs="Arial"/>
                <w:b/>
                <w:bCs/>
                <w:noProof/>
                <w:sz w:val="16"/>
                <w:szCs w:val="16"/>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E91048" w:rsidRDefault="00E91048">
            <w:pPr>
              <w:spacing w:after="0" w:line="240" w:lineRule="auto"/>
              <w:rPr>
                <w:rFonts w:ascii="Arial" w:eastAsia="Times New Roman" w:hAnsi="Arial" w:cs="Arial"/>
                <w:b/>
                <w:bCs/>
                <w:noProof/>
                <w:sz w:val="16"/>
                <w:szCs w:val="16"/>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E91048" w:rsidRDefault="00E91048">
            <w:pPr>
              <w:spacing w:after="0" w:line="240" w:lineRule="auto"/>
              <w:rPr>
                <w:rFonts w:ascii="Arial" w:eastAsia="Times New Roman" w:hAnsi="Arial" w:cs="Arial"/>
                <w:b/>
                <w:bCs/>
                <w:noProof/>
                <w:sz w:val="16"/>
                <w:szCs w:val="16"/>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E91048" w:rsidRDefault="00E91048">
            <w:pPr>
              <w:spacing w:after="0" w:line="240" w:lineRule="auto"/>
              <w:rPr>
                <w:rFonts w:ascii="Arial" w:eastAsia="Times New Roman" w:hAnsi="Arial" w:cs="Arial"/>
                <w:b/>
                <w:bCs/>
                <w:noProof/>
                <w:sz w:val="16"/>
                <w:szCs w:val="16"/>
              </w:rPr>
            </w:pPr>
          </w:p>
        </w:tc>
        <w:tc>
          <w:tcPr>
            <w:tcW w:w="1265" w:type="dxa"/>
            <w:vMerge/>
            <w:tcBorders>
              <w:top w:val="single" w:sz="4" w:space="0" w:color="000000"/>
              <w:left w:val="single" w:sz="4" w:space="0" w:color="000000"/>
              <w:bottom w:val="single" w:sz="4" w:space="0" w:color="000000"/>
              <w:right w:val="single" w:sz="4" w:space="0" w:color="000000"/>
            </w:tcBorders>
            <w:vAlign w:val="center"/>
            <w:hideMark/>
          </w:tcPr>
          <w:p w:rsidR="00E91048" w:rsidRDefault="00E91048">
            <w:pPr>
              <w:spacing w:after="0" w:line="240" w:lineRule="auto"/>
              <w:rPr>
                <w:rFonts w:ascii="Arial" w:eastAsia="Times New Roman" w:hAnsi="Arial" w:cs="Arial"/>
                <w:b/>
                <w:bCs/>
                <w:noProof/>
                <w:sz w:val="16"/>
                <w:szCs w:val="16"/>
              </w:rPr>
            </w:pPr>
          </w:p>
        </w:tc>
        <w:tc>
          <w:tcPr>
            <w:tcW w:w="1661" w:type="dxa"/>
            <w:vMerge/>
            <w:tcBorders>
              <w:top w:val="single" w:sz="4" w:space="0" w:color="000000"/>
              <w:left w:val="single" w:sz="4" w:space="0" w:color="000000"/>
              <w:bottom w:val="single" w:sz="4" w:space="0" w:color="000000"/>
              <w:right w:val="nil"/>
            </w:tcBorders>
            <w:vAlign w:val="center"/>
            <w:hideMark/>
          </w:tcPr>
          <w:p w:rsidR="00E91048" w:rsidRDefault="00E91048">
            <w:pPr>
              <w:spacing w:after="0" w:line="240" w:lineRule="auto"/>
              <w:rPr>
                <w:rFonts w:ascii="Arial" w:eastAsia="Times New Roman" w:hAnsi="Arial" w:cs="Arial"/>
                <w:b/>
                <w:bCs/>
                <w:noProof/>
                <w:sz w:val="16"/>
                <w:szCs w:val="16"/>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E91048" w:rsidRDefault="00E91048">
            <w:pPr>
              <w:spacing w:after="0" w:line="240" w:lineRule="auto"/>
              <w:rPr>
                <w:rFonts w:ascii="Arial" w:eastAsia="Times New Roman" w:hAnsi="Arial" w:cs="Arial"/>
                <w:b/>
                <w:bCs/>
                <w:noProof/>
                <w:sz w:val="16"/>
                <w:szCs w:val="16"/>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E91048" w:rsidRDefault="00E91048">
            <w:pPr>
              <w:spacing w:after="0" w:line="240" w:lineRule="auto"/>
              <w:rPr>
                <w:rFonts w:ascii="Arial" w:eastAsia="Times New Roman" w:hAnsi="Arial" w:cs="Arial"/>
                <w:b/>
                <w:bCs/>
                <w:noProof/>
                <w:sz w:val="16"/>
                <w:szCs w:val="16"/>
              </w:rPr>
            </w:pPr>
          </w:p>
        </w:tc>
        <w:tc>
          <w:tcPr>
            <w:tcW w:w="1171" w:type="dxa"/>
            <w:tcBorders>
              <w:top w:val="nil"/>
              <w:left w:val="nil"/>
              <w:bottom w:val="nil"/>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/Mio hab</w:t>
            </w:r>
          </w:p>
        </w:tc>
        <w:tc>
          <w:tcPr>
            <w:tcW w:w="1037" w:type="dxa"/>
            <w:vMerge/>
            <w:tcBorders>
              <w:top w:val="single" w:sz="4" w:space="0" w:color="000000"/>
              <w:left w:val="single" w:sz="4" w:space="0" w:color="000000"/>
              <w:bottom w:val="single" w:sz="4" w:space="0" w:color="000000"/>
              <w:right w:val="single" w:sz="4" w:space="0" w:color="auto"/>
            </w:tcBorders>
            <w:vAlign w:val="center"/>
            <w:hideMark/>
          </w:tcPr>
          <w:p w:rsidR="00E91048" w:rsidRDefault="00E91048">
            <w:pPr>
              <w:spacing w:after="0" w:line="240" w:lineRule="auto"/>
              <w:rPr>
                <w:rFonts w:ascii="Arial" w:eastAsia="Times New Roman" w:hAnsi="Arial" w:cs="Arial"/>
                <w:b/>
                <w:bCs/>
                <w:noProof/>
                <w:sz w:val="16"/>
                <w:szCs w:val="16"/>
              </w:rPr>
            </w:pP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Belgique</w:t>
            </w:r>
          </w:p>
        </w:tc>
        <w:tc>
          <w:tcPr>
            <w:tcW w:w="1180" w:type="dxa"/>
            <w:tcBorders>
              <w:top w:val="nil"/>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4 862</w:t>
            </w:r>
          </w:p>
        </w:tc>
        <w:tc>
          <w:tcPr>
            <w:tcW w:w="1060" w:type="dxa"/>
            <w:tcBorders>
              <w:top w:val="nil"/>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122</w:t>
            </w:r>
          </w:p>
        </w:tc>
        <w:tc>
          <w:tcPr>
            <w:tcW w:w="1060" w:type="dxa"/>
            <w:tcBorders>
              <w:top w:val="nil"/>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11,2</w:t>
            </w:r>
          </w:p>
        </w:tc>
        <w:tc>
          <w:tcPr>
            <w:tcW w:w="1060" w:type="dxa"/>
            <w:tcBorders>
              <w:top w:val="nil"/>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3,1 %</w:t>
            </w:r>
          </w:p>
        </w:tc>
        <w:tc>
          <w:tcPr>
            <w:tcW w:w="1265" w:type="dxa"/>
            <w:tcBorders>
              <w:top w:val="nil"/>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10,0 %</w:t>
            </w:r>
          </w:p>
        </w:tc>
        <w:tc>
          <w:tcPr>
            <w:tcW w:w="1661" w:type="dxa"/>
            <w:tcBorders>
              <w:top w:val="nil"/>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6,9 %</w:t>
            </w:r>
          </w:p>
        </w:tc>
        <w:tc>
          <w:tcPr>
            <w:tcW w:w="1215" w:type="dxa"/>
            <w:tcBorders>
              <w:top w:val="nil"/>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322 %</w:t>
            </w:r>
          </w:p>
        </w:tc>
        <w:tc>
          <w:tcPr>
            <w:tcW w:w="1246" w:type="dxa"/>
            <w:tcBorders>
              <w:top w:val="nil"/>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434</w:t>
            </w:r>
          </w:p>
        </w:tc>
        <w:tc>
          <w:tcPr>
            <w:tcW w:w="1037" w:type="dxa"/>
            <w:tcBorders>
              <w:top w:val="nil"/>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2,5 %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Bulgarie</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2 172</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21</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7,2</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2,4 %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1,7 %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-0,7 %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72 %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302</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République tchèque</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451</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8</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10,5</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3,1 %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0,7 %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-2,4 %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21 %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OUI</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43</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1,8 %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Danemark</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219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5,7</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1,8 %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0,8 %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46 %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OUI</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39</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4,6 %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Allemagne</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2 886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132</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81,2</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13,8 %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10,9 %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-3,0 %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79 %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36</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4,6 %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Estonie</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313</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1,3</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0,8 %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0,5 %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-0,3 %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61 %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238</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1,9 %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Irlande</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571</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11</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1,6 %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0,9 %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-0,7 %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56 %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123</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1,9 %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Grèce</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3 955</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78</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3,1 %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6,4 %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3,3 %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208 %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364</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2,0 %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Espagne</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7 493</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157</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46,4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8,9 %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12,9 %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4,0 %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145 %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161</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2,1 %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France</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5 324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66,4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11,6 %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8,7 %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-2,9 %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75 %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80</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2,0 %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Croatie</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875</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4,2</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1,6 %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1,6 %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0,0 %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100 %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207</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2,2 %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Italie</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10420</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245</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60,8</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11,2 %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20,2 %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9,0 %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181 %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171</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2,4 %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Chypre</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238</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0,8</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0,8 %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0,2 %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-0,5 %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32 %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OUI</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281</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1,3 %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Lettonie</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327</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2,0</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0,5 %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-0,5 %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52 %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165</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1,8 %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Lituanie</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767</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13</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1,5 %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1,1 %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-0,4 %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72 %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263</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1,7 %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Luxembourg</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117</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0,8 %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0,2 %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-0,5 %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33 %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OUI</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208</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2,6 %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Hongrie</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1 019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32</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9,9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3,0 %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2,6 %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-0,4 %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87 %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103</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3,1 %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Malte</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147</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0,6 %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0,2 %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-0,5 %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26 %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OUI</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342</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1,4 %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Pays-Bas</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954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35</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16,9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3,9 %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2,9 %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74 %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56</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3,7 %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Autriche</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636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27</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8,6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2,6 %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2,2 %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-0,3 %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87 %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74</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4,2 %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Pologne</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2 093</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38,0</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8,2 %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3,6 %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-4,5 %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44 %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OUI</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55</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2,1 %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Portugal</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2 515</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3,1 %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2,8 %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-0,3 %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92 %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242</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1,4 %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Roumanie</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424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47</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19,9</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4,5 %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3,9 %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-0,6 %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86 %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21</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11,1 %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Slovénie</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526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11</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2,1</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0,9 %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-0,1 %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94 %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255</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2,1 %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Slovaquie</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744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16</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5,4</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1,8 %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1,3 %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-0,5 %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74 %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137</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2,2 %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Finlande</w:t>
            </w:r>
          </w:p>
        </w:tc>
        <w:tc>
          <w:tcPr>
            <w:tcW w:w="1180"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501</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12</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5,5</w:t>
            </w:r>
          </w:p>
        </w:tc>
        <w:tc>
          <w:tcPr>
            <w:tcW w:w="10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1,8 %</w:t>
            </w:r>
          </w:p>
        </w:tc>
        <w:tc>
          <w:tcPr>
            <w:tcW w:w="126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1,0 %</w:t>
            </w:r>
          </w:p>
        </w:tc>
        <w:tc>
          <w:tcPr>
            <w:tcW w:w="16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-0,8 %</w:t>
            </w:r>
          </w:p>
        </w:tc>
        <w:tc>
          <w:tcPr>
            <w:tcW w:w="121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56 %</w:t>
            </w:r>
          </w:p>
        </w:tc>
        <w:tc>
          <w:tcPr>
            <w:tcW w:w="12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 xml:space="preserve"> </w:t>
            </w:r>
          </w:p>
        </w:tc>
        <w:tc>
          <w:tcPr>
            <w:tcW w:w="1171"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92</w:t>
            </w:r>
          </w:p>
        </w:tc>
        <w:tc>
          <w:tcPr>
            <w:tcW w:w="103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2,4 %</w:t>
            </w:r>
          </w:p>
        </w:tc>
      </w:tr>
      <w:tr w:rsidR="00E91048">
        <w:trPr>
          <w:trHeight w:val="240"/>
        </w:trPr>
        <w:tc>
          <w:tcPr>
            <w:tcW w:w="1847"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Suède</w:t>
            </w:r>
          </w:p>
        </w:tc>
        <w:tc>
          <w:tcPr>
            <w:tcW w:w="1180"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476</w:t>
            </w:r>
          </w:p>
        </w:tc>
        <w:tc>
          <w:tcPr>
            <w:tcW w:w="1060"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15</w:t>
            </w:r>
          </w:p>
        </w:tc>
        <w:tc>
          <w:tcPr>
            <w:tcW w:w="1060"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9,7</w:t>
            </w:r>
          </w:p>
        </w:tc>
        <w:tc>
          <w:tcPr>
            <w:tcW w:w="1060"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2,7 %</w:t>
            </w:r>
          </w:p>
        </w:tc>
        <w:tc>
          <w:tcPr>
            <w:tcW w:w="1265"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1,2 %</w:t>
            </w:r>
          </w:p>
        </w:tc>
        <w:tc>
          <w:tcPr>
            <w:tcW w:w="1661"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-1,5 %</w:t>
            </w:r>
          </w:p>
        </w:tc>
        <w:tc>
          <w:tcPr>
            <w:tcW w:w="1215"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45 %</w:t>
            </w:r>
          </w:p>
        </w:tc>
        <w:tc>
          <w:tcPr>
            <w:tcW w:w="1246"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color w:val="FF0000"/>
                <w:sz w:val="16"/>
                <w:szCs w:val="16"/>
              </w:rPr>
            </w:pPr>
            <w:r>
              <w:rPr>
                <w:rFonts w:ascii="Arial" w:hAnsi="Arial"/>
                <w:noProof/>
                <w:color w:val="FF0000"/>
                <w:sz w:val="16"/>
              </w:rPr>
              <w:t>OUI</w:t>
            </w:r>
          </w:p>
        </w:tc>
        <w:tc>
          <w:tcPr>
            <w:tcW w:w="1171"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49</w:t>
            </w:r>
          </w:p>
        </w:tc>
        <w:tc>
          <w:tcPr>
            <w:tcW w:w="1037"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3,2 %</w:t>
            </w:r>
          </w:p>
        </w:tc>
      </w:tr>
      <w:tr w:rsidR="00E91048">
        <w:trPr>
          <w:trHeight w:val="240"/>
        </w:trPr>
        <w:tc>
          <w:tcPr>
            <w:tcW w:w="1847" w:type="dxa"/>
            <w:tcBorders>
              <w:top w:val="nil"/>
              <w:left w:val="single" w:sz="4" w:space="0" w:color="000000"/>
              <w:bottom w:val="single" w:sz="4" w:space="0" w:color="000000"/>
              <w:right w:val="single" w:sz="4" w:space="0" w:color="auto"/>
            </w:tcBorders>
            <w:shd w:val="clear" w:color="000000" w:fill="99CCFF"/>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EU27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51 025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1 215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443,5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100,0 %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100,0 %</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0,0 %</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 </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115</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2,4 %</w:t>
            </w:r>
          </w:p>
        </w:tc>
      </w:tr>
    </w:tbl>
    <w:p w:rsidR="00E91048" w:rsidRPr="005E3A8B" w:rsidRDefault="005E3A8B">
      <w:pPr>
        <w:spacing w:after="240" w:line="240" w:lineRule="auto"/>
        <w:jc w:val="both"/>
        <w:rPr>
          <w:rFonts w:ascii="Times New Roman" w:eastAsia="Times New Roman" w:hAnsi="Times New Roman" w:cs="Times New Roman"/>
          <w:noProof/>
          <w:sz w:val="24"/>
          <w:szCs w:val="20"/>
          <w:lang w:val="fr-FR"/>
        </w:rPr>
      </w:pPr>
      <w:r w:rsidRPr="005E3A8B">
        <w:rPr>
          <w:rFonts w:ascii="Arial" w:hAnsi="Arial"/>
          <w:b/>
          <w:noProof/>
          <w:sz w:val="16"/>
          <w:lang w:val="fr-FR"/>
        </w:rPr>
        <w:t>NB: Les chiffres de la Croatie sont corrigés afin de tenir compte des concours organisés en vue de l’«élargissement» pendant la période.</w:t>
      </w:r>
      <w:r w:rsidRPr="005E3A8B">
        <w:rPr>
          <w:noProof/>
          <w:lang w:val="fr-FR"/>
        </w:rPr>
        <w:tab/>
      </w:r>
      <w:r w:rsidRPr="005E3A8B">
        <w:rPr>
          <w:rFonts w:ascii="Arial" w:eastAsia="Times New Roman" w:hAnsi="Arial" w:cs="Arial"/>
          <w:b/>
          <w:bCs/>
          <w:noProof/>
          <w:sz w:val="16"/>
          <w:szCs w:val="16"/>
          <w:lang w:val="fr-FR"/>
        </w:rPr>
        <w:br/>
      </w:r>
      <w:r w:rsidRPr="005E3A8B">
        <w:rPr>
          <w:rFonts w:ascii="Arial" w:hAnsi="Arial"/>
          <w:b/>
          <w:noProof/>
          <w:sz w:val="16"/>
          <w:lang w:val="fr-FR"/>
        </w:rPr>
        <w:t>*: proportion parmi les lauréats inférieure à 50 % des taux de référence.</w:t>
      </w:r>
    </w:p>
    <w:p w:rsidR="00E91048" w:rsidRPr="005E3A8B" w:rsidRDefault="005E3A8B">
      <w:pPr>
        <w:spacing w:after="0" w:line="240" w:lineRule="auto"/>
        <w:rPr>
          <w:rFonts w:ascii="Times New Roman" w:eastAsia="Times New Roman" w:hAnsi="Times New Roman" w:cs="Times New Roman"/>
          <w:noProof/>
          <w:sz w:val="24"/>
          <w:szCs w:val="20"/>
          <w:lang w:val="fr-FR"/>
        </w:rPr>
        <w:sectPr w:rsidR="00E91048" w:rsidRPr="005E3A8B">
          <w:headerReference w:type="even" r:id="rId54"/>
          <w:headerReference w:type="default" r:id="rId55"/>
          <w:footerReference w:type="even" r:id="rId56"/>
          <w:footerReference w:type="default" r:id="rId57"/>
          <w:headerReference w:type="first" r:id="rId58"/>
          <w:footerReference w:type="first" r:id="rId59"/>
          <w:pgSz w:w="16838" w:h="11906" w:orient="landscape"/>
          <w:pgMar w:top="1134" w:right="1021" w:bottom="1134" w:left="1021" w:header="0" w:footer="567" w:gutter="0"/>
          <w:cols w:space="720"/>
          <w:docGrid w:linePitch="326"/>
        </w:sectPr>
      </w:pPr>
      <w:r w:rsidRPr="005E3A8B">
        <w:rPr>
          <w:noProof/>
          <w:lang w:val="fr-FR"/>
        </w:rPr>
        <w:br w:type="page"/>
      </w:r>
    </w:p>
    <w:p w:rsidR="00E91048" w:rsidRPr="005E3A8B" w:rsidRDefault="00E91048">
      <w:pPr>
        <w:spacing w:after="0" w:line="240" w:lineRule="auto"/>
        <w:rPr>
          <w:rFonts w:ascii="Times New Roman" w:eastAsia="Times New Roman" w:hAnsi="Times New Roman" w:cs="Times New Roman"/>
          <w:noProof/>
          <w:sz w:val="24"/>
          <w:szCs w:val="20"/>
          <w:lang w:val="fr-FR"/>
        </w:rPr>
      </w:pPr>
    </w:p>
    <w:p w:rsidR="00E91048" w:rsidRPr="005E3A8B" w:rsidRDefault="005E3A8B">
      <w:pPr>
        <w:spacing w:after="0" w:line="240" w:lineRule="auto"/>
        <w:rPr>
          <w:rFonts w:ascii="Times New Roman" w:eastAsia="Times New Roman" w:hAnsi="Times New Roman" w:cs="Times New Roman"/>
          <w:b/>
          <w:noProof/>
          <w:sz w:val="24"/>
          <w:szCs w:val="24"/>
          <w:lang w:val="fr-FR"/>
        </w:rPr>
      </w:pPr>
      <w:r w:rsidRPr="005E3A8B">
        <w:rPr>
          <w:rFonts w:ascii="Times New Roman" w:hAnsi="Times New Roman"/>
          <w:b/>
          <w:noProof/>
          <w:sz w:val="24"/>
          <w:lang w:val="fr-FR"/>
        </w:rPr>
        <w:t>Annexe 8 quater: Candidatures validées lors du dernier concours AD (en cours)</w:t>
      </w:r>
    </w:p>
    <w:p w:rsidR="00E91048" w:rsidRPr="005E3A8B" w:rsidRDefault="00E91048">
      <w:pPr>
        <w:spacing w:after="0" w:line="240" w:lineRule="auto"/>
        <w:rPr>
          <w:rFonts w:ascii="Times New Roman" w:eastAsia="Times New Roman" w:hAnsi="Times New Roman" w:cs="Times New Roman"/>
          <w:b/>
          <w:noProof/>
          <w:sz w:val="24"/>
          <w:szCs w:val="24"/>
          <w:lang w:val="fr-FR"/>
        </w:rPr>
      </w:pPr>
    </w:p>
    <w:tbl>
      <w:tblPr>
        <w:tblW w:w="7953" w:type="dxa"/>
        <w:tblInd w:w="93" w:type="dxa"/>
        <w:tblLook w:val="04A0" w:firstRow="1" w:lastRow="0" w:firstColumn="1" w:lastColumn="0" w:noHBand="0" w:noVBand="1"/>
      </w:tblPr>
      <w:tblGrid>
        <w:gridCol w:w="2000"/>
        <w:gridCol w:w="1417"/>
        <w:gridCol w:w="1418"/>
        <w:gridCol w:w="1417"/>
        <w:gridCol w:w="1701"/>
      </w:tblGrid>
      <w:tr w:rsidR="00E91048" w:rsidRPr="005E3A8B">
        <w:trPr>
          <w:trHeight w:val="300"/>
        </w:trPr>
        <w:tc>
          <w:tcPr>
            <w:tcW w:w="2000"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EPSO AD/338/17</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Candidatures</w:t>
            </w:r>
          </w:p>
        </w:tc>
        <w:tc>
          <w:tcPr>
            <w:tcW w:w="1418" w:type="dxa"/>
            <w:vMerge w:val="restart"/>
            <w:tcBorders>
              <w:top w:val="single" w:sz="4" w:space="0" w:color="000000"/>
              <w:left w:val="single" w:sz="4" w:space="0" w:color="000000"/>
              <w:bottom w:val="single" w:sz="4" w:space="0" w:color="000000"/>
              <w:right w:val="nil"/>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Population (millions)</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8"/>
                <w:szCs w:val="18"/>
              </w:rPr>
            </w:pPr>
            <w:r>
              <w:rPr>
                <w:rFonts w:ascii="Arial" w:hAnsi="Arial"/>
                <w:b/>
                <w:noProof/>
                <w:sz w:val="18"/>
              </w:rPr>
              <w:t>Participants</w:t>
            </w:r>
            <w:r>
              <w:rPr>
                <w:rFonts w:ascii="Arial" w:eastAsia="Times New Roman" w:hAnsi="Arial" w:cs="Arial"/>
                <w:b/>
                <w:bCs/>
                <w:noProof/>
                <w:sz w:val="18"/>
                <w:szCs w:val="18"/>
              </w:rPr>
              <w:br/>
            </w:r>
            <w:r>
              <w:rPr>
                <w:rFonts w:ascii="Arial" w:hAnsi="Arial"/>
                <w:b/>
                <w:noProof/>
                <w:sz w:val="18"/>
              </w:rPr>
              <w:t>/Mn hab*</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hideMark/>
          </w:tcPr>
          <w:p w:rsidR="00E91048" w:rsidRPr="005E3A8B" w:rsidRDefault="005E3A8B">
            <w:pPr>
              <w:spacing w:after="0" w:line="240" w:lineRule="auto"/>
              <w:jc w:val="center"/>
              <w:rPr>
                <w:rFonts w:ascii="Arial" w:eastAsia="Times New Roman" w:hAnsi="Arial" w:cs="Arial"/>
                <w:b/>
                <w:bCs/>
                <w:noProof/>
                <w:sz w:val="18"/>
                <w:szCs w:val="18"/>
                <w:lang w:val="fr-FR"/>
              </w:rPr>
            </w:pPr>
            <w:r w:rsidRPr="005E3A8B">
              <w:rPr>
                <w:rFonts w:ascii="Arial" w:hAnsi="Arial"/>
                <w:b/>
                <w:noProof/>
                <w:sz w:val="18"/>
                <w:lang w:val="fr-FR"/>
              </w:rPr>
              <w:t>En % de la moyenne UE</w:t>
            </w:r>
          </w:p>
        </w:tc>
      </w:tr>
      <w:tr w:rsidR="00E91048" w:rsidRPr="005E3A8B">
        <w:trPr>
          <w:trHeight w:val="31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E91048" w:rsidRPr="005E3A8B" w:rsidRDefault="00E91048">
            <w:pPr>
              <w:spacing w:after="0" w:line="240" w:lineRule="auto"/>
              <w:rPr>
                <w:rFonts w:ascii="Arial" w:eastAsia="Times New Roman" w:hAnsi="Arial" w:cs="Arial"/>
                <w:b/>
                <w:bCs/>
                <w:noProof/>
                <w:sz w:val="18"/>
                <w:szCs w:val="18"/>
                <w:lang w:val="fr-FR"/>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E91048" w:rsidRPr="005E3A8B" w:rsidRDefault="00E91048">
            <w:pPr>
              <w:spacing w:after="0" w:line="240" w:lineRule="auto"/>
              <w:rPr>
                <w:rFonts w:ascii="Arial" w:eastAsia="Times New Roman" w:hAnsi="Arial" w:cs="Arial"/>
                <w:b/>
                <w:bCs/>
                <w:noProof/>
                <w:sz w:val="18"/>
                <w:szCs w:val="18"/>
                <w:lang w:val="fr-FR"/>
              </w:rPr>
            </w:pPr>
          </w:p>
        </w:tc>
        <w:tc>
          <w:tcPr>
            <w:tcW w:w="1418" w:type="dxa"/>
            <w:vMerge/>
            <w:tcBorders>
              <w:top w:val="single" w:sz="4" w:space="0" w:color="000000"/>
              <w:left w:val="single" w:sz="4" w:space="0" w:color="000000"/>
              <w:bottom w:val="single" w:sz="4" w:space="0" w:color="000000"/>
              <w:right w:val="nil"/>
            </w:tcBorders>
            <w:vAlign w:val="center"/>
            <w:hideMark/>
          </w:tcPr>
          <w:p w:rsidR="00E91048" w:rsidRPr="005E3A8B" w:rsidRDefault="00E91048">
            <w:pPr>
              <w:spacing w:after="0" w:line="240" w:lineRule="auto"/>
              <w:rPr>
                <w:rFonts w:ascii="Arial" w:eastAsia="Times New Roman" w:hAnsi="Arial" w:cs="Arial"/>
                <w:b/>
                <w:bCs/>
                <w:noProof/>
                <w:sz w:val="18"/>
                <w:szCs w:val="18"/>
                <w:lang w:val="fr-FR"/>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91048" w:rsidRPr="005E3A8B" w:rsidRDefault="00E91048">
            <w:pPr>
              <w:spacing w:after="0" w:line="240" w:lineRule="auto"/>
              <w:rPr>
                <w:rFonts w:ascii="Arial" w:eastAsia="Times New Roman" w:hAnsi="Arial" w:cs="Arial"/>
                <w:b/>
                <w:bCs/>
                <w:noProof/>
                <w:sz w:val="18"/>
                <w:szCs w:val="18"/>
                <w:lang w:val="fr-FR"/>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91048" w:rsidRPr="005E3A8B" w:rsidRDefault="00E91048">
            <w:pPr>
              <w:spacing w:after="0" w:line="240" w:lineRule="auto"/>
              <w:rPr>
                <w:rFonts w:ascii="Arial" w:eastAsia="Times New Roman" w:hAnsi="Arial" w:cs="Arial"/>
                <w:b/>
                <w:bCs/>
                <w:noProof/>
                <w:sz w:val="18"/>
                <w:szCs w:val="18"/>
                <w:lang w:val="fr-FR"/>
              </w:rPr>
            </w:pP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Belgique</w:t>
            </w:r>
          </w:p>
        </w:tc>
        <w:tc>
          <w:tcPr>
            <w:tcW w:w="1417" w:type="dxa"/>
            <w:tcBorders>
              <w:top w:val="single" w:sz="4" w:space="0" w:color="000000"/>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2 073</w:t>
            </w:r>
          </w:p>
        </w:tc>
        <w:tc>
          <w:tcPr>
            <w:tcW w:w="1418" w:type="dxa"/>
            <w:tcBorders>
              <w:top w:val="single" w:sz="4" w:space="0" w:color="000000"/>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11,2</w:t>
            </w:r>
          </w:p>
        </w:tc>
        <w:tc>
          <w:tcPr>
            <w:tcW w:w="1417" w:type="dxa"/>
            <w:tcBorders>
              <w:top w:val="single" w:sz="4" w:space="0" w:color="000000"/>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185</w:t>
            </w:r>
          </w:p>
        </w:tc>
        <w:tc>
          <w:tcPr>
            <w:tcW w:w="1701" w:type="dxa"/>
            <w:tcBorders>
              <w:top w:val="single" w:sz="4" w:space="0" w:color="000000"/>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274 %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Bulgarie</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913</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7,2</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127</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188 %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République tchèque</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264</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10,5</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25</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37 %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Danemark</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197</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5,7</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35</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52 %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Allemagne</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1 867</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81,2</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23</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34 %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Estonie</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152</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1,3</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116</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171 %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Irlande</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245</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4,6</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53</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78 %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Grèce</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3 306</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10,9</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304</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451 %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Espagne</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3 731</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46,4</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80</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119 %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France</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 xml:space="preserve">2 </w:t>
            </w:r>
            <w:r>
              <w:rPr>
                <w:rFonts w:ascii="Arial" w:hAnsi="Arial"/>
                <w:noProof/>
              </w:rPr>
              <w:t>184</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66,4</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33</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49 %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Croatie</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525</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4,2</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124</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184 %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Italie</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6 341</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60,8</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104</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155 %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Chypre</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163</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0,8</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192</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285 %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Lettonie</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156</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2,0</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79</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116 %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Lituanie</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370</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2,9</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127</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188 %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Luxembourg</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71</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0,6</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126</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187 %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Hongrie</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533</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9,9</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54</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80 %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Malte</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103</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0,4</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240</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355 %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Pays-Bas</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1 072</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16,9</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63</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94 %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Autriche</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507</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8,6</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59</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88 %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Pologne</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1 025</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38,0</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27</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40 %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Portugal</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1 028</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10,4</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99</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147 %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Roumanie</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1 875</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19,9</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94</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140 %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Slovénie</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248</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2,1</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120</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178 %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Slovaquie</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297</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5,4</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55</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81 %</w:t>
            </w:r>
          </w:p>
        </w:tc>
      </w:tr>
      <w:tr w:rsidR="00E91048">
        <w:trPr>
          <w:trHeight w:val="315"/>
        </w:trPr>
        <w:tc>
          <w:tcPr>
            <w:tcW w:w="2000" w:type="dxa"/>
            <w:tcBorders>
              <w:top w:val="nil"/>
              <w:left w:val="single" w:sz="4" w:space="0" w:color="000000"/>
              <w:bottom w:val="single" w:sz="4" w:space="0" w:color="000000"/>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Finlande</w:t>
            </w:r>
          </w:p>
        </w:tc>
        <w:tc>
          <w:tcPr>
            <w:tcW w:w="1417"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399</w:t>
            </w:r>
          </w:p>
        </w:tc>
        <w:tc>
          <w:tcPr>
            <w:tcW w:w="141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5,5</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73</w:t>
            </w:r>
          </w:p>
        </w:tc>
        <w:tc>
          <w:tcPr>
            <w:tcW w:w="1701"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108 %</w:t>
            </w:r>
          </w:p>
        </w:tc>
      </w:tr>
      <w:tr w:rsidR="00E91048">
        <w:trPr>
          <w:trHeight w:val="315"/>
        </w:trPr>
        <w:tc>
          <w:tcPr>
            <w:tcW w:w="2000" w:type="dxa"/>
            <w:tcBorders>
              <w:top w:val="nil"/>
              <w:left w:val="single" w:sz="4" w:space="0" w:color="000000"/>
              <w:bottom w:val="nil"/>
              <w:right w:val="nil"/>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Suède</w:t>
            </w:r>
          </w:p>
        </w:tc>
        <w:tc>
          <w:tcPr>
            <w:tcW w:w="1417"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288</w:t>
            </w:r>
          </w:p>
        </w:tc>
        <w:tc>
          <w:tcPr>
            <w:tcW w:w="1418"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9,7</w:t>
            </w:r>
          </w:p>
        </w:tc>
        <w:tc>
          <w:tcPr>
            <w:tcW w:w="1417"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30</w:t>
            </w:r>
          </w:p>
        </w:tc>
        <w:tc>
          <w:tcPr>
            <w:tcW w:w="1701"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44 %</w:t>
            </w:r>
          </w:p>
        </w:tc>
      </w:tr>
      <w:tr w:rsidR="00E91048">
        <w:trPr>
          <w:trHeight w:val="315"/>
        </w:trPr>
        <w:tc>
          <w:tcPr>
            <w:tcW w:w="200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E91048" w:rsidRDefault="005E3A8B">
            <w:pPr>
              <w:spacing w:after="0" w:line="240" w:lineRule="auto"/>
              <w:rPr>
                <w:rFonts w:ascii="Arial" w:eastAsia="Times New Roman" w:hAnsi="Arial" w:cs="Arial"/>
                <w:b/>
                <w:bCs/>
                <w:noProof/>
                <w:sz w:val="18"/>
                <w:szCs w:val="18"/>
              </w:rPr>
            </w:pPr>
            <w:r>
              <w:rPr>
                <w:rFonts w:ascii="Arial" w:hAnsi="Arial"/>
                <w:b/>
                <w:noProof/>
                <w:sz w:val="18"/>
              </w:rPr>
              <w:t>UE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29 933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443,5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67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048" w:rsidRDefault="005E3A8B">
            <w:pPr>
              <w:spacing w:after="0" w:line="240" w:lineRule="auto"/>
              <w:jc w:val="center"/>
              <w:rPr>
                <w:rFonts w:ascii="Arial" w:eastAsia="Times New Roman" w:hAnsi="Arial" w:cs="Arial"/>
                <w:noProof/>
              </w:rPr>
            </w:pPr>
            <w:r>
              <w:rPr>
                <w:rFonts w:ascii="Arial" w:hAnsi="Arial"/>
                <w:noProof/>
              </w:rPr>
              <w:t>100 %</w:t>
            </w:r>
          </w:p>
        </w:tc>
      </w:tr>
    </w:tbl>
    <w:p w:rsidR="00E91048" w:rsidRPr="005E3A8B" w:rsidRDefault="005E3A8B">
      <w:pPr>
        <w:spacing w:after="0" w:line="240" w:lineRule="auto"/>
        <w:rPr>
          <w:rFonts w:ascii="Times New Roman" w:eastAsia="Times New Roman" w:hAnsi="Times New Roman" w:cs="Times New Roman"/>
          <w:b/>
          <w:noProof/>
          <w:sz w:val="24"/>
          <w:szCs w:val="24"/>
          <w:lang w:val="fr-FR"/>
        </w:rPr>
      </w:pPr>
      <w:r w:rsidRPr="005E3A8B">
        <w:rPr>
          <w:rFonts w:ascii="Arial" w:hAnsi="Arial"/>
          <w:b/>
          <w:noProof/>
          <w:sz w:val="18"/>
          <w:lang w:val="fr-FR"/>
        </w:rPr>
        <w:t xml:space="preserve">*: </w:t>
      </w:r>
      <w:r w:rsidRPr="005E3A8B">
        <w:rPr>
          <w:rFonts w:ascii="Arial" w:hAnsi="Arial"/>
          <w:b/>
          <w:noProof/>
          <w:sz w:val="18"/>
          <w:lang w:val="fr-FR"/>
        </w:rPr>
        <w:t>non comparable au tableau de 2010-17, qui englobe plusieurs concours</w:t>
      </w:r>
    </w:p>
    <w:p w:rsidR="00E91048" w:rsidRPr="005E3A8B" w:rsidRDefault="00E91048">
      <w:pPr>
        <w:spacing w:after="0" w:line="240" w:lineRule="auto"/>
        <w:rPr>
          <w:rFonts w:ascii="Times New Roman" w:eastAsia="Times New Roman" w:hAnsi="Times New Roman" w:cs="Times New Roman"/>
          <w:b/>
          <w:noProof/>
          <w:sz w:val="24"/>
          <w:szCs w:val="24"/>
          <w:lang w:val="fr-FR"/>
        </w:rPr>
      </w:pPr>
    </w:p>
    <w:p w:rsidR="00E91048" w:rsidRPr="005E3A8B" w:rsidRDefault="00E91048">
      <w:pPr>
        <w:spacing w:after="0" w:line="240" w:lineRule="auto"/>
        <w:rPr>
          <w:rFonts w:ascii="Times New Roman" w:eastAsia="Times New Roman" w:hAnsi="Times New Roman" w:cs="Times New Roman"/>
          <w:b/>
          <w:noProof/>
          <w:sz w:val="24"/>
          <w:szCs w:val="24"/>
          <w:lang w:val="fr-FR"/>
        </w:rPr>
      </w:pPr>
    </w:p>
    <w:p w:rsidR="00E91048" w:rsidRPr="005E3A8B" w:rsidRDefault="005E3A8B">
      <w:pPr>
        <w:spacing w:after="0" w:line="240" w:lineRule="auto"/>
        <w:rPr>
          <w:rFonts w:ascii="Times New Roman" w:eastAsia="Times New Roman" w:hAnsi="Times New Roman" w:cs="Times New Roman"/>
          <w:b/>
          <w:noProof/>
          <w:sz w:val="24"/>
          <w:szCs w:val="24"/>
          <w:lang w:val="fr-FR"/>
        </w:rPr>
        <w:sectPr w:rsidR="00E91048" w:rsidRPr="005E3A8B">
          <w:headerReference w:type="even" r:id="rId60"/>
          <w:headerReference w:type="default" r:id="rId61"/>
          <w:footerReference w:type="even" r:id="rId62"/>
          <w:footerReference w:type="default" r:id="rId63"/>
          <w:headerReference w:type="first" r:id="rId64"/>
          <w:footerReference w:type="first" r:id="rId65"/>
          <w:pgSz w:w="11906" w:h="16838"/>
          <w:pgMar w:top="1021" w:right="1134" w:bottom="1021" w:left="1588" w:header="601" w:footer="1077" w:gutter="0"/>
          <w:cols w:space="720"/>
          <w:docGrid w:linePitch="326"/>
        </w:sectPr>
      </w:pPr>
      <w:r w:rsidRPr="005E3A8B">
        <w:rPr>
          <w:noProof/>
          <w:lang w:val="fr-FR"/>
        </w:rPr>
        <w:br w:type="page"/>
      </w:r>
    </w:p>
    <w:p w:rsidR="00E91048" w:rsidRPr="005E3A8B" w:rsidRDefault="005E3A8B">
      <w:pPr>
        <w:spacing w:after="0" w:line="240" w:lineRule="auto"/>
        <w:rPr>
          <w:rFonts w:ascii="Times New Roman" w:eastAsia="Times New Roman" w:hAnsi="Times New Roman" w:cs="Times New Roman"/>
          <w:noProof/>
          <w:sz w:val="24"/>
          <w:szCs w:val="24"/>
          <w:lang w:val="fr-FR"/>
        </w:rPr>
      </w:pPr>
      <w:r w:rsidRPr="005E3A8B">
        <w:rPr>
          <w:rFonts w:ascii="Times New Roman" w:hAnsi="Times New Roman"/>
          <w:b/>
          <w:noProof/>
          <w:sz w:val="24"/>
          <w:lang w:val="fr-FR"/>
        </w:rPr>
        <w:t xml:space="preserve">Annexe 9: </w:t>
      </w:r>
      <w:r w:rsidRPr="005E3A8B">
        <w:rPr>
          <w:noProof/>
          <w:lang w:val="fr-FR"/>
        </w:rPr>
        <w:tab/>
      </w:r>
      <w:r w:rsidRPr="005E3A8B">
        <w:rPr>
          <w:rFonts w:ascii="Times New Roman" w:hAnsi="Times New Roman"/>
          <w:b/>
          <w:noProof/>
          <w:sz w:val="24"/>
          <w:lang w:val="fr-FR"/>
        </w:rPr>
        <w:t>Résumé des contributions des autres institutions</w:t>
      </w:r>
      <w:r w:rsidRPr="005E3A8B">
        <w:rPr>
          <w:noProof/>
          <w:lang w:val="fr-FR"/>
        </w:rPr>
        <w:tab/>
      </w:r>
      <w:r w:rsidRPr="005E3A8B">
        <w:rPr>
          <w:rFonts w:ascii="Times New Roman" w:eastAsia="Times New Roman" w:hAnsi="Times New Roman" w:cs="Times New Roman"/>
          <w:b/>
          <w:noProof/>
          <w:sz w:val="24"/>
          <w:szCs w:val="24"/>
          <w:lang w:val="fr-FR"/>
        </w:rPr>
        <w:br/>
      </w:r>
      <w:r w:rsidRPr="005E3A8B">
        <w:rPr>
          <w:noProof/>
          <w:lang w:val="fr-FR"/>
        </w:rPr>
        <w:tab/>
      </w:r>
      <w:r w:rsidRPr="005E3A8B">
        <w:rPr>
          <w:noProof/>
          <w:lang w:val="fr-FR"/>
        </w:rPr>
        <w:tab/>
      </w:r>
      <w:r w:rsidRPr="005E3A8B">
        <w:rPr>
          <w:rFonts w:ascii="Times New Roman" w:hAnsi="Times New Roman"/>
          <w:noProof/>
          <w:sz w:val="24"/>
          <w:lang w:val="fr-FR"/>
        </w:rPr>
        <w:t xml:space="preserve">NB: Toutes les mentions et </w:t>
      </w:r>
      <w:r w:rsidRPr="005E3A8B">
        <w:rPr>
          <w:rFonts w:ascii="Times New Roman" w:hAnsi="Times New Roman"/>
          <w:noProof/>
          <w:sz w:val="24"/>
          <w:lang w:val="fr-FR"/>
        </w:rPr>
        <w:t>formulations correspondent aux déclarations de l’institution concernée.</w:t>
      </w:r>
    </w:p>
    <w:p w:rsidR="00E91048" w:rsidRPr="005E3A8B" w:rsidRDefault="00E91048">
      <w:pPr>
        <w:spacing w:after="240" w:line="240" w:lineRule="auto"/>
        <w:jc w:val="both"/>
        <w:rPr>
          <w:rFonts w:ascii="Times New Roman" w:eastAsia="Times New Roman" w:hAnsi="Times New Roman" w:cs="Times New Roman"/>
          <w:noProof/>
          <w:sz w:val="24"/>
          <w:szCs w:val="20"/>
          <w:lang w:val="fr-FR"/>
        </w:rPr>
      </w:pPr>
    </w:p>
    <w:tbl>
      <w:tblPr>
        <w:tblStyle w:val="TableGrid"/>
        <w:tblW w:w="14148" w:type="dxa"/>
        <w:tblLayout w:type="fixed"/>
        <w:tblLook w:val="04A0" w:firstRow="1" w:lastRow="0" w:firstColumn="1" w:lastColumn="0" w:noHBand="0" w:noVBand="1"/>
      </w:tblPr>
      <w:tblGrid>
        <w:gridCol w:w="817"/>
        <w:gridCol w:w="3284"/>
        <w:gridCol w:w="2409"/>
        <w:gridCol w:w="2127"/>
        <w:gridCol w:w="3969"/>
        <w:gridCol w:w="708"/>
        <w:gridCol w:w="834"/>
      </w:tblGrid>
      <w:tr w:rsidR="00E91048" w:rsidRPr="005E3A8B">
        <w:trPr>
          <w:cantSplit/>
          <w:trHeight w:val="2155"/>
          <w:tblHeader/>
        </w:trPr>
        <w:tc>
          <w:tcPr>
            <w:tcW w:w="817" w:type="dxa"/>
            <w:textDirection w:val="btLr"/>
          </w:tcPr>
          <w:p w:rsidR="00E91048" w:rsidRDefault="005E3A8B">
            <w:pPr>
              <w:spacing w:after="0" w:line="240" w:lineRule="auto"/>
              <w:ind w:left="113" w:right="113"/>
              <w:jc w:val="center"/>
              <w:rPr>
                <w:b/>
                <w:noProof/>
              </w:rPr>
            </w:pPr>
            <w:r>
              <w:rPr>
                <w:b/>
                <w:noProof/>
              </w:rPr>
              <w:t>Institution</w:t>
            </w:r>
          </w:p>
        </w:tc>
        <w:tc>
          <w:tcPr>
            <w:tcW w:w="3284" w:type="dxa"/>
            <w:vAlign w:val="center"/>
          </w:tcPr>
          <w:p w:rsidR="00E91048" w:rsidRPr="005E3A8B" w:rsidRDefault="005E3A8B">
            <w:pPr>
              <w:spacing w:after="0" w:line="240" w:lineRule="auto"/>
              <w:jc w:val="center"/>
              <w:rPr>
                <w:b/>
                <w:noProof/>
                <w:lang w:val="fr-FR"/>
              </w:rPr>
            </w:pPr>
            <w:r w:rsidRPr="005E3A8B">
              <w:rPr>
                <w:b/>
                <w:noProof/>
                <w:lang w:val="fr-FR"/>
              </w:rPr>
              <w:t>Méthodes et critères d’évaluation de l’équilibre géographique</w:t>
            </w:r>
          </w:p>
        </w:tc>
        <w:tc>
          <w:tcPr>
            <w:tcW w:w="2409" w:type="dxa"/>
            <w:vAlign w:val="center"/>
          </w:tcPr>
          <w:p w:rsidR="00E91048" w:rsidRPr="005E3A8B" w:rsidRDefault="005E3A8B">
            <w:pPr>
              <w:spacing w:after="0" w:line="240" w:lineRule="auto"/>
              <w:jc w:val="center"/>
              <w:rPr>
                <w:b/>
                <w:noProof/>
                <w:lang w:val="fr-FR"/>
              </w:rPr>
            </w:pPr>
            <w:r w:rsidRPr="005E3A8B">
              <w:rPr>
                <w:b/>
                <w:noProof/>
                <w:lang w:val="fr-FR"/>
              </w:rPr>
              <w:t>Indicateur(s) de déséquilibre (important)</w:t>
            </w:r>
          </w:p>
        </w:tc>
        <w:tc>
          <w:tcPr>
            <w:tcW w:w="2127" w:type="dxa"/>
            <w:vAlign w:val="center"/>
          </w:tcPr>
          <w:p w:rsidR="00E91048" w:rsidRPr="005E3A8B" w:rsidRDefault="005E3A8B">
            <w:pPr>
              <w:spacing w:after="0" w:line="240" w:lineRule="auto"/>
              <w:jc w:val="center"/>
              <w:rPr>
                <w:noProof/>
                <w:lang w:val="fr-FR"/>
              </w:rPr>
            </w:pPr>
            <w:r w:rsidRPr="005E3A8B">
              <w:rPr>
                <w:b/>
                <w:noProof/>
                <w:lang w:val="fr-FR"/>
              </w:rPr>
              <w:t>Déséquilibre (important) constaté, par État membre</w:t>
            </w:r>
          </w:p>
        </w:tc>
        <w:tc>
          <w:tcPr>
            <w:tcW w:w="3969" w:type="dxa"/>
            <w:vAlign w:val="center"/>
          </w:tcPr>
          <w:p w:rsidR="00E91048" w:rsidRDefault="005E3A8B">
            <w:pPr>
              <w:spacing w:after="0" w:line="240" w:lineRule="auto"/>
              <w:jc w:val="center"/>
              <w:rPr>
                <w:b/>
                <w:noProof/>
              </w:rPr>
            </w:pPr>
            <w:r>
              <w:rPr>
                <w:b/>
                <w:noProof/>
              </w:rPr>
              <w:t xml:space="preserve">Justification </w:t>
            </w:r>
            <w:r>
              <w:rPr>
                <w:b/>
                <w:noProof/>
              </w:rPr>
              <w:t>objective du déséquilibre</w:t>
            </w:r>
          </w:p>
        </w:tc>
        <w:tc>
          <w:tcPr>
            <w:tcW w:w="708" w:type="dxa"/>
            <w:textDirection w:val="btLr"/>
            <w:vAlign w:val="center"/>
          </w:tcPr>
          <w:p w:rsidR="00E91048" w:rsidRDefault="005E3A8B">
            <w:pPr>
              <w:spacing w:after="0" w:line="240" w:lineRule="auto"/>
              <w:ind w:left="113" w:right="113"/>
              <w:jc w:val="center"/>
              <w:rPr>
                <w:b/>
                <w:noProof/>
              </w:rPr>
            </w:pPr>
            <w:r>
              <w:rPr>
                <w:b/>
                <w:noProof/>
              </w:rPr>
              <w:t>Déséquilibre futur attendu</w:t>
            </w:r>
          </w:p>
        </w:tc>
        <w:tc>
          <w:tcPr>
            <w:tcW w:w="834" w:type="dxa"/>
            <w:textDirection w:val="btLr"/>
            <w:vAlign w:val="center"/>
          </w:tcPr>
          <w:p w:rsidR="00E91048" w:rsidRPr="005E3A8B" w:rsidRDefault="005E3A8B">
            <w:pPr>
              <w:spacing w:after="0" w:line="240" w:lineRule="auto"/>
              <w:ind w:left="113" w:right="113"/>
              <w:jc w:val="center"/>
              <w:rPr>
                <w:b/>
                <w:noProof/>
                <w:lang w:val="fr-FR"/>
              </w:rPr>
            </w:pPr>
            <w:r w:rsidRPr="005E3A8B">
              <w:rPr>
                <w:b/>
                <w:noProof/>
                <w:lang w:val="fr-FR"/>
              </w:rPr>
              <w:t>Mesure appropriée prise/envisagée au titre de l’art.27</w:t>
            </w:r>
          </w:p>
        </w:tc>
      </w:tr>
      <w:tr w:rsidR="00E91048">
        <w:trPr>
          <w:cantSplit/>
          <w:trHeight w:val="1719"/>
        </w:trPr>
        <w:tc>
          <w:tcPr>
            <w:tcW w:w="817" w:type="dxa"/>
            <w:textDirection w:val="btLr"/>
          </w:tcPr>
          <w:p w:rsidR="00E91048" w:rsidRDefault="005E3A8B">
            <w:pPr>
              <w:spacing w:after="0" w:line="240" w:lineRule="auto"/>
              <w:ind w:left="113" w:right="113"/>
              <w:jc w:val="center"/>
              <w:rPr>
                <w:b/>
                <w:noProof/>
              </w:rPr>
            </w:pPr>
            <w:r>
              <w:rPr>
                <w:b/>
                <w:noProof/>
              </w:rPr>
              <w:t>Parlement européen</w:t>
            </w:r>
          </w:p>
        </w:tc>
        <w:tc>
          <w:tcPr>
            <w:tcW w:w="5693" w:type="dxa"/>
            <w:gridSpan w:val="2"/>
          </w:tcPr>
          <w:p w:rsidR="00E91048" w:rsidRPr="005E3A8B" w:rsidRDefault="005E3A8B">
            <w:pPr>
              <w:spacing w:after="0" w:line="240" w:lineRule="auto"/>
              <w:jc w:val="both"/>
              <w:rPr>
                <w:noProof/>
                <w:sz w:val="18"/>
                <w:szCs w:val="18"/>
                <w:lang w:val="fr-FR"/>
              </w:rPr>
            </w:pPr>
            <w:r w:rsidRPr="005E3A8B">
              <w:rPr>
                <w:noProof/>
                <w:sz w:val="18"/>
                <w:lang w:val="fr-FR"/>
              </w:rPr>
              <w:t xml:space="preserve">Le Parlement européen n’a pas encore tenu de débat ni de discussion sur la question. Le contenu des colonnes à droite repose </w:t>
            </w:r>
            <w:r w:rsidRPr="005E3A8B">
              <w:rPr>
                <w:noProof/>
                <w:sz w:val="18"/>
                <w:lang w:val="fr-FR"/>
              </w:rPr>
              <w:t>donc sur les hypothèses suivantes:</w:t>
            </w:r>
          </w:p>
          <w:p w:rsidR="00E91048" w:rsidRPr="005E3A8B" w:rsidRDefault="005E3A8B">
            <w:pPr>
              <w:numPr>
                <w:ilvl w:val="0"/>
                <w:numId w:val="25"/>
              </w:numPr>
              <w:spacing w:after="0" w:line="240" w:lineRule="auto"/>
              <w:contextualSpacing/>
              <w:jc w:val="both"/>
              <w:rPr>
                <w:noProof/>
                <w:sz w:val="18"/>
                <w:szCs w:val="18"/>
                <w:lang w:val="fr-FR"/>
              </w:rPr>
            </w:pPr>
            <w:r w:rsidRPr="005E3A8B">
              <w:rPr>
                <w:noProof/>
                <w:sz w:val="18"/>
                <w:lang w:val="fr-FR"/>
              </w:rPr>
              <w:t>L’équilibre géographique pourrait être évalué de manière globale (tous groupes de fonctions confondus).</w:t>
            </w:r>
          </w:p>
          <w:p w:rsidR="00E91048" w:rsidRPr="005E3A8B" w:rsidRDefault="005E3A8B">
            <w:pPr>
              <w:numPr>
                <w:ilvl w:val="0"/>
                <w:numId w:val="25"/>
              </w:numPr>
              <w:spacing w:after="0" w:line="240" w:lineRule="auto"/>
              <w:contextualSpacing/>
              <w:jc w:val="both"/>
              <w:rPr>
                <w:noProof/>
                <w:sz w:val="18"/>
                <w:szCs w:val="18"/>
                <w:lang w:val="fr-FR"/>
              </w:rPr>
            </w:pPr>
            <w:r w:rsidRPr="005E3A8B">
              <w:rPr>
                <w:noProof/>
                <w:sz w:val="18"/>
                <w:lang w:val="fr-FR"/>
              </w:rPr>
              <w:t>La part de chaque groupe national au sein du Secrétariat du PE pourrait être comparée à la part de chaque État membre</w:t>
            </w:r>
            <w:r w:rsidRPr="005E3A8B">
              <w:rPr>
                <w:noProof/>
                <w:sz w:val="18"/>
                <w:lang w:val="fr-FR"/>
              </w:rPr>
              <w:t xml:space="preserve"> dans la population totale de l’UE.</w:t>
            </w:r>
          </w:p>
          <w:p w:rsidR="00E91048" w:rsidRPr="005E3A8B" w:rsidRDefault="00E91048">
            <w:pPr>
              <w:spacing w:after="0" w:line="240" w:lineRule="auto"/>
              <w:rPr>
                <w:noProof/>
                <w:sz w:val="18"/>
                <w:szCs w:val="18"/>
                <w:lang w:val="fr-FR"/>
              </w:rPr>
            </w:pPr>
          </w:p>
        </w:tc>
        <w:tc>
          <w:tcPr>
            <w:tcW w:w="2127" w:type="dxa"/>
          </w:tcPr>
          <w:p w:rsidR="00E91048" w:rsidRPr="005E3A8B" w:rsidRDefault="005E3A8B">
            <w:pPr>
              <w:spacing w:after="0" w:line="240" w:lineRule="auto"/>
              <w:rPr>
                <w:noProof/>
                <w:sz w:val="18"/>
                <w:szCs w:val="18"/>
                <w:lang w:val="fr-FR"/>
              </w:rPr>
            </w:pPr>
            <w:r w:rsidRPr="005E3A8B">
              <w:rPr>
                <w:noProof/>
                <w:sz w:val="18"/>
                <w:lang w:val="fr-FR"/>
              </w:rPr>
              <w:t xml:space="preserve">Sous-représentés: UK et, dans une moindre mesure, DE </w:t>
            </w:r>
            <w:r w:rsidRPr="005E3A8B">
              <w:rPr>
                <w:noProof/>
                <w:sz w:val="18"/>
                <w:szCs w:val="18"/>
                <w:lang w:val="fr-FR"/>
              </w:rPr>
              <w:br/>
            </w:r>
          </w:p>
          <w:p w:rsidR="00E91048" w:rsidRPr="005E3A8B" w:rsidRDefault="005E3A8B">
            <w:pPr>
              <w:spacing w:after="0" w:line="240" w:lineRule="auto"/>
              <w:rPr>
                <w:noProof/>
                <w:sz w:val="18"/>
                <w:szCs w:val="18"/>
                <w:lang w:val="fr-FR"/>
              </w:rPr>
            </w:pPr>
            <w:r w:rsidRPr="005E3A8B">
              <w:rPr>
                <w:noProof/>
                <w:sz w:val="18"/>
                <w:lang w:val="fr-FR"/>
              </w:rPr>
              <w:t>Surreprésentés: BE, EE, FI, HR, LT, LU, LV, MT, SL et SK</w:t>
            </w:r>
          </w:p>
          <w:p w:rsidR="00E91048" w:rsidRPr="005E3A8B" w:rsidRDefault="00E91048">
            <w:pPr>
              <w:spacing w:after="0" w:line="240" w:lineRule="auto"/>
              <w:rPr>
                <w:noProof/>
                <w:sz w:val="18"/>
                <w:szCs w:val="18"/>
                <w:lang w:val="fr-FR"/>
              </w:rPr>
            </w:pPr>
          </w:p>
        </w:tc>
        <w:tc>
          <w:tcPr>
            <w:tcW w:w="3969" w:type="dxa"/>
          </w:tcPr>
          <w:p w:rsidR="00E91048" w:rsidRPr="005E3A8B" w:rsidRDefault="005E3A8B">
            <w:pPr>
              <w:spacing w:after="0" w:line="240" w:lineRule="auto"/>
              <w:rPr>
                <w:noProof/>
                <w:sz w:val="18"/>
                <w:szCs w:val="18"/>
                <w:lang w:val="fr-FR"/>
              </w:rPr>
            </w:pPr>
            <w:r w:rsidRPr="005E3A8B">
              <w:rPr>
                <w:noProof/>
                <w:sz w:val="18"/>
                <w:lang w:val="fr-FR"/>
              </w:rPr>
              <w:t>Tous les déséquilibres sont objectivement justifiés par</w:t>
            </w:r>
          </w:p>
          <w:p w:rsidR="00E91048" w:rsidRPr="005E3A8B" w:rsidRDefault="005E3A8B">
            <w:pPr>
              <w:pStyle w:val="ListParagraph"/>
              <w:numPr>
                <w:ilvl w:val="0"/>
                <w:numId w:val="31"/>
              </w:numPr>
              <w:tabs>
                <w:tab w:val="num" w:pos="283"/>
              </w:tabs>
              <w:spacing w:after="0" w:line="240" w:lineRule="auto"/>
              <w:ind w:left="294" w:hanging="284"/>
              <w:jc w:val="both"/>
              <w:rPr>
                <w:noProof/>
                <w:sz w:val="18"/>
                <w:szCs w:val="18"/>
                <w:lang w:val="fr-FR"/>
              </w:rPr>
            </w:pPr>
            <w:r w:rsidRPr="005E3A8B">
              <w:rPr>
                <w:noProof/>
                <w:sz w:val="18"/>
                <w:lang w:val="fr-FR"/>
              </w:rPr>
              <w:t>UK, DE : l’attrait limité des institutions de l’UE</w:t>
            </w:r>
            <w:r w:rsidRPr="005E3A8B">
              <w:rPr>
                <w:noProof/>
                <w:sz w:val="18"/>
                <w:lang w:val="fr-FR"/>
              </w:rPr>
              <w:t xml:space="preserve"> et/ou d’une carrière en leur sein; le nombre de lauréats sur des listes de réserve EPSO</w:t>
            </w:r>
          </w:p>
          <w:p w:rsidR="00E91048" w:rsidRPr="005E3A8B" w:rsidRDefault="005E3A8B">
            <w:pPr>
              <w:pStyle w:val="ListParagraph"/>
              <w:numPr>
                <w:ilvl w:val="0"/>
                <w:numId w:val="31"/>
              </w:numPr>
              <w:tabs>
                <w:tab w:val="num" w:pos="283"/>
              </w:tabs>
              <w:spacing w:after="0" w:line="240" w:lineRule="auto"/>
              <w:ind w:left="294" w:hanging="284"/>
              <w:jc w:val="both"/>
              <w:rPr>
                <w:noProof/>
                <w:sz w:val="18"/>
                <w:szCs w:val="18"/>
                <w:lang w:val="fr-FR"/>
              </w:rPr>
            </w:pPr>
            <w:r w:rsidRPr="005E3A8B">
              <w:rPr>
                <w:noProof/>
                <w:sz w:val="18"/>
                <w:lang w:val="fr-FR"/>
              </w:rPr>
              <w:t>BE, LU : l’effet du lieu de travail et des allers-retours transfrontaliers</w:t>
            </w:r>
          </w:p>
          <w:p w:rsidR="00E91048" w:rsidRPr="005E3A8B" w:rsidRDefault="005E3A8B">
            <w:pPr>
              <w:pStyle w:val="ListParagraph"/>
              <w:numPr>
                <w:ilvl w:val="0"/>
                <w:numId w:val="31"/>
              </w:numPr>
              <w:tabs>
                <w:tab w:val="num" w:pos="283"/>
              </w:tabs>
              <w:spacing w:after="0" w:line="240" w:lineRule="auto"/>
              <w:ind w:left="294" w:hanging="284"/>
              <w:jc w:val="both"/>
              <w:rPr>
                <w:noProof/>
                <w:sz w:val="24"/>
                <w:lang w:val="fr-FR"/>
              </w:rPr>
            </w:pPr>
            <w:r w:rsidRPr="005E3A8B">
              <w:rPr>
                <w:noProof/>
                <w:sz w:val="18"/>
                <w:lang w:val="fr-FR"/>
              </w:rPr>
              <w:t>EE, FI, HR, LT, LV, MT, SL et SK: les services linguistiques (traduction, interprétation, ju</w:t>
            </w:r>
            <w:r w:rsidRPr="005E3A8B">
              <w:rPr>
                <w:noProof/>
                <w:sz w:val="18"/>
                <w:lang w:val="fr-FR"/>
              </w:rPr>
              <w:t>ristes-linguistes) offerts dans toutes les langues officielles; la masse critique minimale de personnel linguistique nécessaire a davantage d’impact sur les petits États membres.</w:t>
            </w:r>
          </w:p>
        </w:tc>
        <w:tc>
          <w:tcPr>
            <w:tcW w:w="708" w:type="dxa"/>
            <w:textDirection w:val="btLr"/>
            <w:vAlign w:val="center"/>
          </w:tcPr>
          <w:p w:rsidR="00E91048" w:rsidRDefault="005E3A8B">
            <w:pPr>
              <w:spacing w:after="0" w:line="240" w:lineRule="auto"/>
              <w:ind w:left="113" w:right="113"/>
              <w:jc w:val="center"/>
              <w:rPr>
                <w:noProof/>
                <w:sz w:val="18"/>
                <w:szCs w:val="18"/>
              </w:rPr>
            </w:pPr>
            <w:r>
              <w:rPr>
                <w:noProof/>
                <w:sz w:val="18"/>
              </w:rPr>
              <w:t>NON</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w:t>
            </w:r>
          </w:p>
        </w:tc>
      </w:tr>
      <w:tr w:rsidR="00E91048">
        <w:trPr>
          <w:cantSplit/>
          <w:trHeight w:val="1719"/>
        </w:trPr>
        <w:tc>
          <w:tcPr>
            <w:tcW w:w="817" w:type="dxa"/>
            <w:textDirection w:val="btLr"/>
          </w:tcPr>
          <w:p w:rsidR="00E91048" w:rsidRDefault="005E3A8B">
            <w:pPr>
              <w:spacing w:after="0" w:line="240" w:lineRule="auto"/>
              <w:ind w:left="113" w:right="113"/>
              <w:jc w:val="center"/>
              <w:rPr>
                <w:b/>
                <w:noProof/>
              </w:rPr>
            </w:pPr>
            <w:r>
              <w:rPr>
                <w:b/>
                <w:noProof/>
              </w:rPr>
              <w:t>SG Conseil</w:t>
            </w:r>
          </w:p>
        </w:tc>
        <w:tc>
          <w:tcPr>
            <w:tcW w:w="3284" w:type="dxa"/>
          </w:tcPr>
          <w:p w:rsidR="00E91048" w:rsidRPr="005E3A8B" w:rsidRDefault="005E3A8B">
            <w:pPr>
              <w:spacing w:after="0" w:line="240" w:lineRule="auto"/>
              <w:rPr>
                <w:noProof/>
                <w:sz w:val="18"/>
                <w:szCs w:val="18"/>
                <w:lang w:val="fr-FR"/>
              </w:rPr>
            </w:pPr>
            <w:r w:rsidRPr="005E3A8B">
              <w:rPr>
                <w:noProof/>
                <w:sz w:val="18"/>
                <w:lang w:val="fr-FR"/>
              </w:rPr>
              <w:t>L’équilibre géographique est évalué de manière global</w:t>
            </w:r>
            <w:r w:rsidRPr="005E3A8B">
              <w:rPr>
                <w:noProof/>
                <w:sz w:val="18"/>
                <w:lang w:val="fr-FR"/>
              </w:rPr>
              <w:t>e (tous groupes de fonctions confondus).</w:t>
            </w:r>
          </w:p>
          <w:p w:rsidR="00E91048" w:rsidRPr="005E3A8B" w:rsidRDefault="005E3A8B">
            <w:pPr>
              <w:spacing w:after="0" w:line="240" w:lineRule="auto"/>
              <w:rPr>
                <w:noProof/>
                <w:sz w:val="18"/>
                <w:szCs w:val="18"/>
                <w:lang w:val="fr-FR"/>
              </w:rPr>
            </w:pPr>
            <w:r w:rsidRPr="005E3A8B">
              <w:rPr>
                <w:noProof/>
                <w:sz w:val="18"/>
                <w:lang w:val="fr-FR"/>
              </w:rPr>
              <w:t>Valeur de référence: la moyenne entre les parts de l’État membre concerné dans</w:t>
            </w:r>
          </w:p>
          <w:p w:rsidR="00E91048" w:rsidRDefault="005E3A8B">
            <w:pPr>
              <w:pStyle w:val="ListParagraph"/>
              <w:numPr>
                <w:ilvl w:val="0"/>
                <w:numId w:val="33"/>
              </w:numPr>
              <w:tabs>
                <w:tab w:val="num" w:pos="283"/>
              </w:tabs>
              <w:spacing w:after="0" w:line="240" w:lineRule="auto"/>
              <w:ind w:left="317" w:hanging="317"/>
              <w:rPr>
                <w:noProof/>
                <w:sz w:val="18"/>
                <w:szCs w:val="18"/>
              </w:rPr>
            </w:pPr>
            <w:r>
              <w:rPr>
                <w:noProof/>
                <w:sz w:val="18"/>
              </w:rPr>
              <w:t>la population de l’UE</w:t>
            </w:r>
          </w:p>
          <w:p w:rsidR="00E91048" w:rsidRDefault="005E3A8B">
            <w:pPr>
              <w:pStyle w:val="ListParagraph"/>
              <w:numPr>
                <w:ilvl w:val="0"/>
                <w:numId w:val="33"/>
              </w:numPr>
              <w:tabs>
                <w:tab w:val="num" w:pos="283"/>
              </w:tabs>
              <w:spacing w:after="0" w:line="240" w:lineRule="auto"/>
              <w:ind w:left="317" w:hanging="317"/>
              <w:rPr>
                <w:noProof/>
                <w:sz w:val="18"/>
                <w:szCs w:val="18"/>
              </w:rPr>
            </w:pPr>
            <w:r>
              <w:rPr>
                <w:noProof/>
                <w:sz w:val="18"/>
              </w:rPr>
              <w:t>les députés du PE</w:t>
            </w:r>
          </w:p>
          <w:p w:rsidR="00E91048" w:rsidRPr="005E3A8B" w:rsidRDefault="005E3A8B">
            <w:pPr>
              <w:pStyle w:val="ListParagraph"/>
              <w:numPr>
                <w:ilvl w:val="0"/>
                <w:numId w:val="33"/>
              </w:numPr>
              <w:tabs>
                <w:tab w:val="num" w:pos="283"/>
              </w:tabs>
              <w:spacing w:after="0" w:line="240" w:lineRule="auto"/>
              <w:ind w:left="317" w:hanging="317"/>
              <w:rPr>
                <w:noProof/>
                <w:sz w:val="18"/>
                <w:szCs w:val="18"/>
                <w:lang w:val="fr-FR"/>
              </w:rPr>
            </w:pPr>
            <w:r w:rsidRPr="005E3A8B">
              <w:rPr>
                <w:noProof/>
                <w:sz w:val="18"/>
                <w:lang w:val="fr-FR"/>
              </w:rPr>
              <w:t>les voix au sein du Conseil avant les règles de Lisbonne</w:t>
            </w:r>
          </w:p>
        </w:tc>
        <w:tc>
          <w:tcPr>
            <w:tcW w:w="2409" w:type="dxa"/>
          </w:tcPr>
          <w:p w:rsidR="00E91048" w:rsidRPr="005E3A8B" w:rsidRDefault="005E3A8B">
            <w:pPr>
              <w:spacing w:after="0" w:line="240" w:lineRule="auto"/>
              <w:rPr>
                <w:noProof/>
                <w:sz w:val="18"/>
                <w:szCs w:val="18"/>
                <w:lang w:val="fr-FR"/>
              </w:rPr>
            </w:pPr>
            <w:r w:rsidRPr="005E3A8B">
              <w:rPr>
                <w:noProof/>
                <w:sz w:val="18"/>
                <w:lang w:val="fr-FR"/>
              </w:rPr>
              <w:t xml:space="preserve">Il y a déséquilibre lorsque la part </w:t>
            </w:r>
            <w:r w:rsidRPr="005E3A8B">
              <w:rPr>
                <w:noProof/>
                <w:sz w:val="18"/>
                <w:lang w:val="fr-FR"/>
              </w:rPr>
              <w:t>réelle de ressortissants s’écarte de la valeur de référence de +/-20%.</w:t>
            </w:r>
          </w:p>
          <w:p w:rsidR="00E91048" w:rsidRPr="005E3A8B" w:rsidRDefault="005E3A8B">
            <w:pPr>
              <w:spacing w:after="0" w:line="240" w:lineRule="auto"/>
              <w:rPr>
                <w:noProof/>
                <w:sz w:val="18"/>
                <w:szCs w:val="18"/>
                <w:lang w:val="fr-FR"/>
              </w:rPr>
            </w:pPr>
            <w:r w:rsidRPr="005E3A8B">
              <w:rPr>
                <w:noProof/>
                <w:sz w:val="18"/>
                <w:lang w:val="fr-FR"/>
              </w:rPr>
              <w:t>Il y a déséquilibre important lorsque la part d’une nationalité déterminée est inférieure à 40% ou supérieure à 400% de cette valeur.</w:t>
            </w:r>
          </w:p>
        </w:tc>
        <w:tc>
          <w:tcPr>
            <w:tcW w:w="2127" w:type="dxa"/>
          </w:tcPr>
          <w:p w:rsidR="00E91048" w:rsidRPr="005E3A8B" w:rsidRDefault="005E3A8B">
            <w:pPr>
              <w:spacing w:after="0" w:line="240" w:lineRule="auto"/>
              <w:rPr>
                <w:noProof/>
                <w:sz w:val="18"/>
                <w:szCs w:val="18"/>
                <w:lang w:val="fr-FR"/>
              </w:rPr>
            </w:pPr>
            <w:r w:rsidRPr="005E3A8B">
              <w:rPr>
                <w:noProof/>
                <w:sz w:val="18"/>
                <w:lang w:val="fr-FR"/>
              </w:rPr>
              <w:t xml:space="preserve">Largement sous-représentés: CY, DE et UK </w:t>
            </w:r>
          </w:p>
          <w:p w:rsidR="00E91048" w:rsidRDefault="005E3A8B">
            <w:pPr>
              <w:spacing w:after="0" w:line="240" w:lineRule="auto"/>
              <w:rPr>
                <w:noProof/>
                <w:sz w:val="18"/>
                <w:szCs w:val="18"/>
              </w:rPr>
            </w:pPr>
            <w:r>
              <w:rPr>
                <w:noProof/>
                <w:sz w:val="18"/>
              </w:rPr>
              <w:t>Largement</w:t>
            </w:r>
            <w:r>
              <w:rPr>
                <w:noProof/>
                <w:sz w:val="18"/>
              </w:rPr>
              <w:t xml:space="preserve"> surreprésentée: BE</w:t>
            </w:r>
          </w:p>
        </w:tc>
        <w:tc>
          <w:tcPr>
            <w:tcW w:w="3969" w:type="dxa"/>
          </w:tcPr>
          <w:p w:rsidR="00E91048" w:rsidRPr="005E3A8B" w:rsidRDefault="005E3A8B">
            <w:pPr>
              <w:spacing w:after="0" w:line="240" w:lineRule="auto"/>
              <w:rPr>
                <w:noProof/>
                <w:sz w:val="18"/>
                <w:szCs w:val="18"/>
                <w:lang w:val="fr-FR"/>
              </w:rPr>
            </w:pPr>
            <w:r w:rsidRPr="005E3A8B">
              <w:rPr>
                <w:noProof/>
                <w:sz w:val="18"/>
                <w:lang w:val="fr-FR"/>
              </w:rPr>
              <w:t xml:space="preserve">Tous les déséquilibres sont objectivement justifiés par </w:t>
            </w:r>
          </w:p>
          <w:p w:rsidR="00E91048" w:rsidRPr="005E3A8B" w:rsidRDefault="005E3A8B">
            <w:pPr>
              <w:spacing w:after="0" w:line="240" w:lineRule="auto"/>
              <w:rPr>
                <w:noProof/>
                <w:sz w:val="18"/>
                <w:szCs w:val="18"/>
                <w:lang w:val="fr-FR"/>
              </w:rPr>
            </w:pPr>
            <w:r w:rsidRPr="005E3A8B">
              <w:rPr>
                <w:noProof/>
                <w:sz w:val="18"/>
                <w:lang w:val="fr-FR"/>
              </w:rPr>
              <w:t>CY, DE et UK: le faible nombre de lauréats sur des listes de réserve EPSO</w:t>
            </w:r>
          </w:p>
          <w:p w:rsidR="00E91048" w:rsidRPr="005E3A8B" w:rsidRDefault="005E3A8B">
            <w:pPr>
              <w:spacing w:after="0" w:line="240" w:lineRule="auto"/>
              <w:rPr>
                <w:noProof/>
                <w:sz w:val="18"/>
                <w:szCs w:val="18"/>
                <w:lang w:val="fr-FR"/>
              </w:rPr>
            </w:pPr>
            <w:r w:rsidRPr="005E3A8B">
              <w:rPr>
                <w:noProof/>
                <w:sz w:val="18"/>
                <w:lang w:val="fr-FR"/>
              </w:rPr>
              <w:t>BE: l’effet du siège</w:t>
            </w:r>
            <w:r w:rsidRPr="005E3A8B">
              <w:rPr>
                <w:noProof/>
                <w:sz w:val="18"/>
                <w:szCs w:val="18"/>
                <w:lang w:val="fr-FR"/>
              </w:rPr>
              <w:br/>
            </w:r>
          </w:p>
          <w:p w:rsidR="00E91048" w:rsidRPr="005E3A8B" w:rsidRDefault="005E3A8B">
            <w:pPr>
              <w:spacing w:after="0" w:line="240" w:lineRule="auto"/>
              <w:rPr>
                <w:noProof/>
                <w:sz w:val="18"/>
                <w:szCs w:val="18"/>
                <w:lang w:val="fr-FR"/>
              </w:rPr>
            </w:pPr>
            <w:r w:rsidRPr="005E3A8B">
              <w:rPr>
                <w:noProof/>
                <w:sz w:val="18"/>
                <w:lang w:val="fr-FR"/>
              </w:rPr>
              <w:t>Le poids relativement élevé des services linguistiques influe aussi sur l’équilibre</w:t>
            </w:r>
            <w:r w:rsidRPr="005E3A8B">
              <w:rPr>
                <w:noProof/>
                <w:sz w:val="18"/>
                <w:lang w:val="fr-FR"/>
              </w:rPr>
              <w:t>.</w:t>
            </w:r>
          </w:p>
        </w:tc>
        <w:tc>
          <w:tcPr>
            <w:tcW w:w="708" w:type="dxa"/>
            <w:textDirection w:val="btLr"/>
            <w:vAlign w:val="center"/>
          </w:tcPr>
          <w:p w:rsidR="00E91048" w:rsidRPr="005E3A8B" w:rsidRDefault="005E3A8B">
            <w:pPr>
              <w:spacing w:after="0" w:line="240" w:lineRule="auto"/>
              <w:ind w:left="113" w:right="113"/>
              <w:jc w:val="center"/>
              <w:rPr>
                <w:noProof/>
                <w:sz w:val="18"/>
                <w:szCs w:val="18"/>
                <w:lang w:val="fr-FR"/>
              </w:rPr>
            </w:pPr>
            <w:r w:rsidRPr="005E3A8B">
              <w:rPr>
                <w:noProof/>
                <w:sz w:val="18"/>
                <w:lang w:val="fr-FR"/>
              </w:rPr>
              <w:t>Très difficile à prévoir en raison du haut degré d’incertitude</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w:t>
            </w:r>
          </w:p>
        </w:tc>
      </w:tr>
      <w:tr w:rsidR="00E91048" w:rsidRPr="005E3A8B">
        <w:trPr>
          <w:cantSplit/>
          <w:trHeight w:val="1401"/>
        </w:trPr>
        <w:tc>
          <w:tcPr>
            <w:tcW w:w="817" w:type="dxa"/>
            <w:textDirection w:val="btLr"/>
          </w:tcPr>
          <w:p w:rsidR="00E91048" w:rsidRDefault="005E3A8B">
            <w:pPr>
              <w:spacing w:after="0" w:line="240" w:lineRule="auto"/>
              <w:ind w:left="113" w:right="113"/>
              <w:jc w:val="center"/>
              <w:rPr>
                <w:b/>
                <w:noProof/>
              </w:rPr>
            </w:pPr>
            <w:r>
              <w:rPr>
                <w:b/>
                <w:noProof/>
              </w:rPr>
              <w:t>Cour de justice</w:t>
            </w:r>
          </w:p>
        </w:tc>
        <w:tc>
          <w:tcPr>
            <w:tcW w:w="3284" w:type="dxa"/>
          </w:tcPr>
          <w:p w:rsidR="00E91048" w:rsidRPr="005E3A8B" w:rsidRDefault="005E3A8B">
            <w:pPr>
              <w:spacing w:after="0" w:line="240" w:lineRule="auto"/>
              <w:rPr>
                <w:noProof/>
                <w:sz w:val="18"/>
                <w:szCs w:val="18"/>
                <w:lang w:val="fr-FR"/>
              </w:rPr>
            </w:pPr>
            <w:r w:rsidRPr="005E3A8B">
              <w:rPr>
                <w:noProof/>
                <w:sz w:val="18"/>
                <w:lang w:val="fr-FR"/>
              </w:rPr>
              <w:t>L’équilibre géographique est évalué de manière globale (tous groupes de fonctions confondus).</w:t>
            </w:r>
          </w:p>
          <w:p w:rsidR="00E91048" w:rsidRPr="005E3A8B" w:rsidRDefault="005E3A8B">
            <w:pPr>
              <w:spacing w:after="0" w:line="240" w:lineRule="auto"/>
              <w:jc w:val="both"/>
              <w:rPr>
                <w:noProof/>
                <w:sz w:val="18"/>
                <w:szCs w:val="18"/>
                <w:lang w:val="fr-FR"/>
              </w:rPr>
            </w:pPr>
            <w:r w:rsidRPr="005E3A8B">
              <w:rPr>
                <w:noProof/>
                <w:sz w:val="18"/>
                <w:lang w:val="fr-FR"/>
              </w:rPr>
              <w:t xml:space="preserve">Valeur de référence: la part de la population de l’État membre concerné </w:t>
            </w:r>
            <w:r w:rsidRPr="005E3A8B">
              <w:rPr>
                <w:noProof/>
                <w:sz w:val="18"/>
                <w:lang w:val="fr-FR"/>
              </w:rPr>
              <w:t>dans la population de l’UE</w:t>
            </w:r>
          </w:p>
        </w:tc>
        <w:tc>
          <w:tcPr>
            <w:tcW w:w="2409" w:type="dxa"/>
          </w:tcPr>
          <w:p w:rsidR="00E91048" w:rsidRDefault="005E3A8B">
            <w:pPr>
              <w:spacing w:after="0" w:line="240" w:lineRule="auto"/>
              <w:rPr>
                <w:noProof/>
                <w:sz w:val="18"/>
                <w:szCs w:val="18"/>
              </w:rPr>
            </w:pPr>
            <w:r w:rsidRPr="005E3A8B">
              <w:rPr>
                <w:noProof/>
                <w:sz w:val="18"/>
                <w:lang w:val="fr-FR"/>
              </w:rPr>
              <w:t xml:space="preserve">Il y a déséquilibre en cas de sous-représentation ou surreprésentation manifeste. </w:t>
            </w:r>
            <w:r w:rsidRPr="005E3A8B">
              <w:rPr>
                <w:noProof/>
                <w:sz w:val="18"/>
                <w:szCs w:val="18"/>
                <w:lang w:val="fr-FR"/>
              </w:rPr>
              <w:br/>
            </w:r>
            <w:r>
              <w:rPr>
                <w:noProof/>
                <w:sz w:val="18"/>
              </w:rPr>
              <w:t>Il n’existe pas de définition du déséquilibre important.</w:t>
            </w:r>
          </w:p>
        </w:tc>
        <w:tc>
          <w:tcPr>
            <w:tcW w:w="2127" w:type="dxa"/>
          </w:tcPr>
          <w:p w:rsidR="00E91048" w:rsidRPr="005E3A8B" w:rsidRDefault="005E3A8B">
            <w:pPr>
              <w:spacing w:after="0" w:line="240" w:lineRule="auto"/>
              <w:rPr>
                <w:noProof/>
                <w:sz w:val="18"/>
                <w:szCs w:val="18"/>
                <w:lang w:val="fr-FR"/>
              </w:rPr>
            </w:pPr>
            <w:r w:rsidRPr="005E3A8B">
              <w:rPr>
                <w:noProof/>
                <w:sz w:val="18"/>
                <w:lang w:val="fr-FR"/>
              </w:rPr>
              <w:t>Sous-représenté: UK</w:t>
            </w:r>
            <w:r w:rsidRPr="005E3A8B">
              <w:rPr>
                <w:noProof/>
                <w:sz w:val="18"/>
                <w:szCs w:val="18"/>
                <w:lang w:val="fr-FR"/>
              </w:rPr>
              <w:br/>
            </w:r>
          </w:p>
          <w:p w:rsidR="00E91048" w:rsidRPr="005E3A8B" w:rsidRDefault="005E3A8B">
            <w:pPr>
              <w:spacing w:after="0" w:line="240" w:lineRule="auto"/>
              <w:jc w:val="both"/>
              <w:rPr>
                <w:noProof/>
                <w:sz w:val="18"/>
                <w:szCs w:val="18"/>
                <w:lang w:val="fr-FR"/>
              </w:rPr>
            </w:pPr>
            <w:r w:rsidRPr="005E3A8B">
              <w:rPr>
                <w:noProof/>
                <w:sz w:val="18"/>
                <w:lang w:val="fr-FR"/>
              </w:rPr>
              <w:t>Surreprésentées: FR, BE</w:t>
            </w:r>
          </w:p>
        </w:tc>
        <w:tc>
          <w:tcPr>
            <w:tcW w:w="3969" w:type="dxa"/>
          </w:tcPr>
          <w:p w:rsidR="00E91048" w:rsidRPr="005E3A8B" w:rsidRDefault="005E3A8B">
            <w:pPr>
              <w:spacing w:after="0" w:line="240" w:lineRule="auto"/>
              <w:rPr>
                <w:noProof/>
                <w:sz w:val="18"/>
                <w:szCs w:val="18"/>
                <w:lang w:val="fr-FR"/>
              </w:rPr>
            </w:pPr>
            <w:r w:rsidRPr="005E3A8B">
              <w:rPr>
                <w:noProof/>
                <w:sz w:val="18"/>
                <w:lang w:val="fr-FR"/>
              </w:rPr>
              <w:t>Tous les déséquilibres sont objectivement ju</w:t>
            </w:r>
            <w:r w:rsidRPr="005E3A8B">
              <w:rPr>
                <w:noProof/>
                <w:sz w:val="18"/>
                <w:lang w:val="fr-FR"/>
              </w:rPr>
              <w:t>stifiés par</w:t>
            </w:r>
          </w:p>
          <w:p w:rsidR="00E91048" w:rsidRPr="005E3A8B" w:rsidRDefault="005E3A8B">
            <w:pPr>
              <w:pStyle w:val="ListParagraph"/>
              <w:numPr>
                <w:ilvl w:val="0"/>
                <w:numId w:val="32"/>
              </w:numPr>
              <w:spacing w:after="0" w:line="240" w:lineRule="auto"/>
              <w:ind w:left="294" w:hanging="284"/>
              <w:rPr>
                <w:noProof/>
                <w:sz w:val="18"/>
                <w:szCs w:val="18"/>
                <w:lang w:val="fr-FR"/>
              </w:rPr>
            </w:pPr>
            <w:r w:rsidRPr="005E3A8B">
              <w:rPr>
                <w:noProof/>
                <w:sz w:val="18"/>
                <w:lang w:val="fr-FR"/>
              </w:rPr>
              <w:t>FR, BE: le fait que la Cour travaille en français (atténué par un programme étoffé de cours de langues).</w:t>
            </w:r>
          </w:p>
          <w:p w:rsidR="00E91048" w:rsidRPr="005E3A8B" w:rsidRDefault="005E3A8B">
            <w:pPr>
              <w:pStyle w:val="ListParagraph"/>
              <w:numPr>
                <w:ilvl w:val="0"/>
                <w:numId w:val="32"/>
              </w:numPr>
              <w:spacing w:after="0" w:line="240" w:lineRule="auto"/>
              <w:ind w:left="294" w:hanging="284"/>
              <w:rPr>
                <w:noProof/>
                <w:sz w:val="18"/>
                <w:szCs w:val="18"/>
                <w:lang w:val="fr-FR"/>
              </w:rPr>
            </w:pPr>
            <w:r w:rsidRPr="005E3A8B">
              <w:rPr>
                <w:noProof/>
                <w:sz w:val="18"/>
                <w:lang w:val="fr-FR"/>
              </w:rPr>
              <w:t>UK: la difficulté de recruter des ressortissants du Royaume-Uni.</w:t>
            </w:r>
          </w:p>
        </w:tc>
        <w:tc>
          <w:tcPr>
            <w:tcW w:w="708" w:type="dxa"/>
            <w:textDirection w:val="btLr"/>
            <w:vAlign w:val="center"/>
          </w:tcPr>
          <w:p w:rsidR="00E91048" w:rsidRDefault="005E3A8B">
            <w:pPr>
              <w:spacing w:after="0" w:line="240" w:lineRule="auto"/>
              <w:ind w:left="113" w:right="113"/>
              <w:jc w:val="center"/>
              <w:rPr>
                <w:noProof/>
                <w:sz w:val="18"/>
                <w:szCs w:val="18"/>
              </w:rPr>
            </w:pPr>
            <w:r>
              <w:rPr>
                <w:noProof/>
                <w:sz w:val="18"/>
              </w:rPr>
              <w:t>NON</w:t>
            </w:r>
          </w:p>
        </w:tc>
        <w:tc>
          <w:tcPr>
            <w:tcW w:w="834" w:type="dxa"/>
            <w:textDirection w:val="btLr"/>
            <w:vAlign w:val="center"/>
          </w:tcPr>
          <w:p w:rsidR="00E91048" w:rsidRPr="005E3A8B" w:rsidRDefault="005E3A8B">
            <w:pPr>
              <w:spacing w:after="0" w:line="240" w:lineRule="auto"/>
              <w:ind w:left="113" w:right="113"/>
              <w:jc w:val="center"/>
              <w:rPr>
                <w:noProof/>
                <w:sz w:val="18"/>
                <w:szCs w:val="18"/>
                <w:lang w:val="fr-FR"/>
              </w:rPr>
            </w:pPr>
            <w:r w:rsidRPr="005E3A8B">
              <w:rPr>
                <w:noProof/>
                <w:sz w:val="18"/>
                <w:lang w:val="fr-FR"/>
              </w:rPr>
              <w:t>NON/NON (également dans la perspective du Brexit)</w:t>
            </w:r>
          </w:p>
        </w:tc>
      </w:tr>
      <w:tr w:rsidR="00E91048">
        <w:trPr>
          <w:cantSplit/>
          <w:trHeight w:val="1719"/>
        </w:trPr>
        <w:tc>
          <w:tcPr>
            <w:tcW w:w="817" w:type="dxa"/>
            <w:textDirection w:val="btLr"/>
          </w:tcPr>
          <w:p w:rsidR="00E91048" w:rsidRDefault="005E3A8B">
            <w:pPr>
              <w:spacing w:after="0" w:line="240" w:lineRule="auto"/>
              <w:ind w:left="113" w:right="113"/>
              <w:jc w:val="center"/>
              <w:rPr>
                <w:b/>
                <w:noProof/>
              </w:rPr>
            </w:pPr>
            <w:r>
              <w:rPr>
                <w:b/>
                <w:noProof/>
              </w:rPr>
              <w:t>Cour des comptes</w:t>
            </w:r>
          </w:p>
        </w:tc>
        <w:tc>
          <w:tcPr>
            <w:tcW w:w="3284" w:type="dxa"/>
          </w:tcPr>
          <w:p w:rsidR="00E91048" w:rsidRPr="005E3A8B" w:rsidRDefault="005E3A8B">
            <w:pPr>
              <w:spacing w:after="0" w:line="240" w:lineRule="auto"/>
              <w:rPr>
                <w:noProof/>
                <w:sz w:val="18"/>
                <w:szCs w:val="18"/>
                <w:lang w:val="fr-FR"/>
              </w:rPr>
            </w:pPr>
            <w:r w:rsidRPr="005E3A8B">
              <w:rPr>
                <w:noProof/>
                <w:sz w:val="18"/>
                <w:lang w:val="fr-FR"/>
              </w:rPr>
              <w:t>L’équilibre géographique est évalué de manière globale (tous groupes de fonctions confondus).</w:t>
            </w:r>
          </w:p>
          <w:p w:rsidR="00E91048" w:rsidRPr="005E3A8B" w:rsidRDefault="005E3A8B">
            <w:pPr>
              <w:spacing w:after="0" w:line="240" w:lineRule="auto"/>
              <w:jc w:val="both"/>
              <w:rPr>
                <w:noProof/>
                <w:sz w:val="18"/>
                <w:szCs w:val="18"/>
                <w:lang w:val="fr-FR"/>
              </w:rPr>
            </w:pPr>
            <w:r w:rsidRPr="005E3A8B">
              <w:rPr>
                <w:noProof/>
                <w:sz w:val="18"/>
                <w:lang w:val="fr-FR"/>
              </w:rPr>
              <w:t>Valeur de référence: la part de la population de l’État membre concerné dans la population de l’UE</w:t>
            </w:r>
          </w:p>
        </w:tc>
        <w:tc>
          <w:tcPr>
            <w:tcW w:w="2409" w:type="dxa"/>
          </w:tcPr>
          <w:p w:rsidR="00E91048" w:rsidRPr="005E3A8B" w:rsidRDefault="005E3A8B">
            <w:pPr>
              <w:spacing w:after="0" w:line="240" w:lineRule="auto"/>
              <w:rPr>
                <w:noProof/>
                <w:sz w:val="18"/>
                <w:szCs w:val="18"/>
                <w:lang w:val="fr-FR"/>
              </w:rPr>
            </w:pPr>
            <w:r w:rsidRPr="005E3A8B">
              <w:rPr>
                <w:noProof/>
                <w:sz w:val="18"/>
                <w:lang w:val="fr-FR"/>
              </w:rPr>
              <w:t>Il y a déséquilibre lorsque la part réelle de ressortissants s’</w:t>
            </w:r>
            <w:r w:rsidRPr="005E3A8B">
              <w:rPr>
                <w:noProof/>
                <w:sz w:val="18"/>
                <w:lang w:val="fr-FR"/>
              </w:rPr>
              <w:t>écarte de la valeur de référence de +/-20%.</w:t>
            </w:r>
          </w:p>
          <w:p w:rsidR="00E91048" w:rsidRPr="005E3A8B" w:rsidRDefault="005E3A8B">
            <w:pPr>
              <w:spacing w:after="0" w:line="240" w:lineRule="auto"/>
              <w:rPr>
                <w:noProof/>
                <w:sz w:val="18"/>
                <w:szCs w:val="18"/>
                <w:lang w:val="fr-FR"/>
              </w:rPr>
            </w:pPr>
            <w:r w:rsidRPr="005E3A8B">
              <w:rPr>
                <w:noProof/>
                <w:sz w:val="18"/>
                <w:lang w:val="fr-FR"/>
              </w:rPr>
              <w:t>Il y a déséquilibre important lorsque cet écart dépasse +/- 50 %.</w:t>
            </w:r>
          </w:p>
        </w:tc>
        <w:tc>
          <w:tcPr>
            <w:tcW w:w="2127" w:type="dxa"/>
          </w:tcPr>
          <w:p w:rsidR="00E91048" w:rsidRPr="005E3A8B" w:rsidRDefault="005E3A8B">
            <w:pPr>
              <w:spacing w:after="0" w:line="240" w:lineRule="auto"/>
              <w:rPr>
                <w:noProof/>
                <w:sz w:val="18"/>
                <w:szCs w:val="18"/>
                <w:lang w:val="fr-FR"/>
              </w:rPr>
            </w:pPr>
            <w:r w:rsidRPr="005E3A8B">
              <w:rPr>
                <w:noProof/>
                <w:sz w:val="18"/>
                <w:lang w:val="fr-FR"/>
              </w:rPr>
              <w:t>Sous-représenté: UK</w:t>
            </w:r>
            <w:r w:rsidRPr="005E3A8B">
              <w:rPr>
                <w:noProof/>
                <w:sz w:val="18"/>
                <w:szCs w:val="18"/>
                <w:lang w:val="fr-FR"/>
              </w:rPr>
              <w:br/>
            </w:r>
          </w:p>
          <w:p w:rsidR="00E91048" w:rsidRPr="005E3A8B" w:rsidRDefault="005E3A8B">
            <w:pPr>
              <w:spacing w:after="0" w:line="240" w:lineRule="auto"/>
              <w:jc w:val="both"/>
              <w:rPr>
                <w:noProof/>
                <w:sz w:val="18"/>
                <w:szCs w:val="18"/>
                <w:lang w:val="fr-FR"/>
              </w:rPr>
            </w:pPr>
            <w:r w:rsidRPr="005E3A8B">
              <w:rPr>
                <w:noProof/>
                <w:sz w:val="18"/>
                <w:lang w:val="fr-FR"/>
              </w:rPr>
              <w:t>Surreprésentés: BE, PT</w:t>
            </w:r>
          </w:p>
        </w:tc>
        <w:tc>
          <w:tcPr>
            <w:tcW w:w="3969" w:type="dxa"/>
          </w:tcPr>
          <w:p w:rsidR="00E91048" w:rsidRPr="005E3A8B" w:rsidRDefault="005E3A8B">
            <w:pPr>
              <w:spacing w:after="0" w:line="240" w:lineRule="auto"/>
              <w:rPr>
                <w:noProof/>
                <w:sz w:val="18"/>
                <w:szCs w:val="18"/>
                <w:lang w:val="fr-FR"/>
              </w:rPr>
            </w:pPr>
            <w:r w:rsidRPr="005E3A8B">
              <w:rPr>
                <w:noProof/>
                <w:sz w:val="18"/>
                <w:lang w:val="fr-FR"/>
              </w:rPr>
              <w:t>Tous les déséquilibres sont objectivement justifiés par</w:t>
            </w:r>
          </w:p>
          <w:p w:rsidR="00E91048" w:rsidRPr="005E3A8B" w:rsidRDefault="005E3A8B">
            <w:pPr>
              <w:spacing w:after="0" w:line="240" w:lineRule="auto"/>
              <w:jc w:val="both"/>
              <w:rPr>
                <w:noProof/>
                <w:sz w:val="18"/>
                <w:szCs w:val="18"/>
                <w:lang w:val="fr-FR"/>
              </w:rPr>
            </w:pPr>
            <w:r w:rsidRPr="005E3A8B">
              <w:rPr>
                <w:noProof/>
                <w:sz w:val="18"/>
                <w:lang w:val="fr-FR"/>
              </w:rPr>
              <w:t xml:space="preserve">les particularités du Luxembourg liées à sa </w:t>
            </w:r>
            <w:r w:rsidRPr="005E3A8B">
              <w:rPr>
                <w:noProof/>
                <w:sz w:val="18"/>
                <w:lang w:val="fr-FR"/>
              </w:rPr>
              <w:t>taille, son attractivité, le grand nombre de travailleurs frontaliers et de résidents d’origine portugaise.</w:t>
            </w:r>
          </w:p>
        </w:tc>
        <w:tc>
          <w:tcPr>
            <w:tcW w:w="708" w:type="dxa"/>
            <w:textDirection w:val="btLr"/>
            <w:vAlign w:val="center"/>
          </w:tcPr>
          <w:p w:rsidR="00E91048" w:rsidRPr="005E3A8B" w:rsidRDefault="005E3A8B">
            <w:pPr>
              <w:spacing w:after="0" w:line="240" w:lineRule="auto"/>
              <w:ind w:left="113" w:right="113"/>
              <w:jc w:val="center"/>
              <w:rPr>
                <w:noProof/>
                <w:sz w:val="18"/>
                <w:szCs w:val="18"/>
                <w:lang w:val="fr-FR"/>
              </w:rPr>
            </w:pPr>
            <w:r w:rsidRPr="005E3A8B">
              <w:rPr>
                <w:noProof/>
                <w:sz w:val="18"/>
                <w:lang w:val="fr-FR"/>
              </w:rPr>
              <w:t>NON, sauf peut-être dans le groupe de fonctions AST-SC</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w:t>
            </w:r>
          </w:p>
        </w:tc>
      </w:tr>
      <w:tr w:rsidR="00E91048">
        <w:trPr>
          <w:cantSplit/>
          <w:trHeight w:val="1719"/>
        </w:trPr>
        <w:tc>
          <w:tcPr>
            <w:tcW w:w="817" w:type="dxa"/>
            <w:textDirection w:val="btLr"/>
          </w:tcPr>
          <w:p w:rsidR="00E91048" w:rsidRPr="005E3A8B" w:rsidRDefault="005E3A8B">
            <w:pPr>
              <w:spacing w:after="0" w:line="240" w:lineRule="auto"/>
              <w:ind w:left="113" w:right="113"/>
              <w:jc w:val="center"/>
              <w:rPr>
                <w:b/>
                <w:noProof/>
                <w:lang w:val="fr-FR"/>
              </w:rPr>
            </w:pPr>
            <w:r w:rsidRPr="005E3A8B">
              <w:rPr>
                <w:b/>
                <w:noProof/>
                <w:lang w:val="fr-FR"/>
              </w:rPr>
              <w:t>Service européen pour l’action extérieure</w:t>
            </w:r>
          </w:p>
        </w:tc>
        <w:tc>
          <w:tcPr>
            <w:tcW w:w="3284" w:type="dxa"/>
          </w:tcPr>
          <w:p w:rsidR="00E91048" w:rsidRPr="005E3A8B" w:rsidRDefault="005E3A8B">
            <w:pPr>
              <w:spacing w:after="0" w:line="240" w:lineRule="auto"/>
              <w:rPr>
                <w:noProof/>
                <w:sz w:val="18"/>
                <w:szCs w:val="18"/>
                <w:lang w:val="fr-FR"/>
              </w:rPr>
            </w:pPr>
            <w:r w:rsidRPr="005E3A8B">
              <w:rPr>
                <w:noProof/>
                <w:sz w:val="18"/>
                <w:lang w:val="fr-FR"/>
              </w:rPr>
              <w:t>L’équilibre géographique est évalué au niv</w:t>
            </w:r>
            <w:r w:rsidRPr="005E3A8B">
              <w:rPr>
                <w:noProof/>
                <w:sz w:val="18"/>
                <w:lang w:val="fr-FR"/>
              </w:rPr>
              <w:t>eau des groupes de fonctions, surtout les AD.</w:t>
            </w:r>
          </w:p>
          <w:p w:rsidR="00E91048" w:rsidRPr="005E3A8B" w:rsidRDefault="005E3A8B">
            <w:pPr>
              <w:spacing w:after="0" w:line="240" w:lineRule="auto"/>
              <w:rPr>
                <w:noProof/>
                <w:sz w:val="18"/>
                <w:szCs w:val="18"/>
                <w:lang w:val="fr-FR"/>
              </w:rPr>
            </w:pPr>
            <w:r w:rsidRPr="005E3A8B">
              <w:rPr>
                <w:noProof/>
                <w:sz w:val="18"/>
                <w:lang w:val="fr-FR"/>
              </w:rPr>
              <w:t>Valeur de référence: la part de la population de l’État membre concerné dans la population de l’UE</w:t>
            </w:r>
          </w:p>
        </w:tc>
        <w:tc>
          <w:tcPr>
            <w:tcW w:w="2409" w:type="dxa"/>
          </w:tcPr>
          <w:p w:rsidR="00E91048" w:rsidRPr="005E3A8B" w:rsidRDefault="005E3A8B">
            <w:pPr>
              <w:spacing w:after="0" w:line="240" w:lineRule="auto"/>
              <w:rPr>
                <w:noProof/>
                <w:sz w:val="18"/>
                <w:szCs w:val="18"/>
                <w:lang w:val="fr-FR"/>
              </w:rPr>
            </w:pPr>
            <w:r w:rsidRPr="005E3A8B">
              <w:rPr>
                <w:noProof/>
                <w:sz w:val="18"/>
                <w:lang w:val="fr-FR"/>
              </w:rPr>
              <w:t>Il y a déséquilibre important lorsque les ressortissants d’un État membre sont totalement absents (ou largement</w:t>
            </w:r>
            <w:r w:rsidRPr="005E3A8B">
              <w:rPr>
                <w:noProof/>
                <w:sz w:val="18"/>
                <w:lang w:val="fr-FR"/>
              </w:rPr>
              <w:t xml:space="preserve"> sous-représentés).</w:t>
            </w:r>
          </w:p>
        </w:tc>
        <w:tc>
          <w:tcPr>
            <w:tcW w:w="2127" w:type="dxa"/>
          </w:tcPr>
          <w:p w:rsidR="00E91048" w:rsidRDefault="005E3A8B">
            <w:pPr>
              <w:spacing w:after="0" w:line="240" w:lineRule="auto"/>
              <w:rPr>
                <w:noProof/>
                <w:sz w:val="18"/>
                <w:szCs w:val="18"/>
              </w:rPr>
            </w:pPr>
            <w:r>
              <w:rPr>
                <w:noProof/>
                <w:sz w:val="18"/>
              </w:rPr>
              <w:t xml:space="preserve">Aucun déséquilibre constaté </w:t>
            </w:r>
          </w:p>
        </w:tc>
        <w:tc>
          <w:tcPr>
            <w:tcW w:w="3969" w:type="dxa"/>
          </w:tcPr>
          <w:p w:rsidR="00E91048" w:rsidRDefault="005E3A8B">
            <w:pPr>
              <w:spacing w:after="0" w:line="240" w:lineRule="auto"/>
              <w:rPr>
                <w:noProof/>
                <w:sz w:val="18"/>
                <w:szCs w:val="18"/>
              </w:rPr>
            </w:pPr>
            <w:r>
              <w:rPr>
                <w:noProof/>
                <w:sz w:val="18"/>
              </w:rPr>
              <w:t>s.o.</w:t>
            </w:r>
          </w:p>
        </w:tc>
        <w:tc>
          <w:tcPr>
            <w:tcW w:w="708" w:type="dxa"/>
            <w:textDirection w:val="btLr"/>
            <w:vAlign w:val="center"/>
          </w:tcPr>
          <w:p w:rsidR="00E91048" w:rsidRDefault="005E3A8B">
            <w:pPr>
              <w:spacing w:after="0" w:line="240" w:lineRule="auto"/>
              <w:ind w:left="113" w:right="113"/>
              <w:jc w:val="center"/>
              <w:rPr>
                <w:noProof/>
                <w:sz w:val="18"/>
                <w:szCs w:val="18"/>
              </w:rPr>
            </w:pPr>
            <w:r>
              <w:rPr>
                <w:noProof/>
                <w:sz w:val="18"/>
              </w:rPr>
              <w:t>NON</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w:t>
            </w:r>
          </w:p>
        </w:tc>
      </w:tr>
      <w:tr w:rsidR="00E91048">
        <w:trPr>
          <w:cantSplit/>
          <w:trHeight w:val="1639"/>
        </w:trPr>
        <w:tc>
          <w:tcPr>
            <w:tcW w:w="817" w:type="dxa"/>
            <w:textDirection w:val="btLr"/>
          </w:tcPr>
          <w:p w:rsidR="00E91048" w:rsidRPr="005E3A8B" w:rsidRDefault="005E3A8B">
            <w:pPr>
              <w:spacing w:after="0" w:line="240" w:lineRule="auto"/>
              <w:ind w:left="113" w:right="113"/>
              <w:jc w:val="center"/>
              <w:rPr>
                <w:b/>
                <w:noProof/>
                <w:lang w:val="fr-FR"/>
              </w:rPr>
            </w:pPr>
            <w:r w:rsidRPr="005E3A8B">
              <w:rPr>
                <w:b/>
                <w:noProof/>
                <w:lang w:val="fr-FR"/>
              </w:rPr>
              <w:t>Comité économique et social européen</w:t>
            </w:r>
          </w:p>
        </w:tc>
        <w:tc>
          <w:tcPr>
            <w:tcW w:w="3284" w:type="dxa"/>
          </w:tcPr>
          <w:p w:rsidR="00E91048" w:rsidRPr="005E3A8B" w:rsidRDefault="005E3A8B">
            <w:pPr>
              <w:spacing w:after="0" w:line="240" w:lineRule="auto"/>
              <w:rPr>
                <w:noProof/>
                <w:sz w:val="18"/>
                <w:szCs w:val="18"/>
                <w:lang w:val="fr-FR"/>
              </w:rPr>
            </w:pPr>
            <w:r w:rsidRPr="005E3A8B">
              <w:rPr>
                <w:noProof/>
                <w:sz w:val="18"/>
                <w:lang w:val="fr-FR"/>
              </w:rPr>
              <w:t xml:space="preserve">En l’absence d’une définition officielle, le CESE n’évalue pas l’équilibre géographique en appliquant une méthode particulière. </w:t>
            </w:r>
          </w:p>
          <w:p w:rsidR="00E91048" w:rsidRPr="005E3A8B" w:rsidRDefault="00E91048">
            <w:pPr>
              <w:spacing w:after="0" w:line="240" w:lineRule="auto"/>
              <w:rPr>
                <w:noProof/>
                <w:sz w:val="18"/>
                <w:szCs w:val="18"/>
                <w:lang w:val="fr-FR"/>
              </w:rPr>
            </w:pPr>
          </w:p>
        </w:tc>
        <w:tc>
          <w:tcPr>
            <w:tcW w:w="2409" w:type="dxa"/>
          </w:tcPr>
          <w:p w:rsidR="00E91048" w:rsidRPr="005E3A8B" w:rsidRDefault="005E3A8B">
            <w:pPr>
              <w:spacing w:after="0" w:line="240" w:lineRule="auto"/>
              <w:rPr>
                <w:noProof/>
                <w:sz w:val="18"/>
                <w:szCs w:val="18"/>
                <w:lang w:val="fr-FR"/>
              </w:rPr>
            </w:pPr>
            <w:r w:rsidRPr="005E3A8B">
              <w:rPr>
                <w:noProof/>
                <w:sz w:val="18"/>
                <w:lang w:val="fr-FR"/>
              </w:rPr>
              <w:t xml:space="preserve">L’absence de </w:t>
            </w:r>
            <w:r w:rsidRPr="005E3A8B">
              <w:rPr>
                <w:noProof/>
                <w:sz w:val="18"/>
                <w:lang w:val="fr-FR"/>
              </w:rPr>
              <w:t>ressortissants d’un ou plusieurs États membres pourrait être l’indice d’un déséquilibre.</w:t>
            </w:r>
          </w:p>
        </w:tc>
        <w:tc>
          <w:tcPr>
            <w:tcW w:w="2127" w:type="dxa"/>
          </w:tcPr>
          <w:p w:rsidR="00E91048" w:rsidRPr="005E3A8B" w:rsidRDefault="005E3A8B">
            <w:pPr>
              <w:spacing w:after="0" w:line="240" w:lineRule="auto"/>
              <w:rPr>
                <w:noProof/>
                <w:sz w:val="18"/>
                <w:szCs w:val="18"/>
                <w:lang w:val="fr-FR"/>
              </w:rPr>
            </w:pPr>
            <w:r w:rsidRPr="005E3A8B">
              <w:rPr>
                <w:noProof/>
                <w:sz w:val="18"/>
                <w:lang w:val="fr-FR"/>
              </w:rPr>
              <w:t>Sous-représentée: CY</w:t>
            </w:r>
            <w:r w:rsidRPr="005E3A8B">
              <w:rPr>
                <w:noProof/>
                <w:sz w:val="18"/>
                <w:szCs w:val="18"/>
                <w:lang w:val="fr-FR"/>
              </w:rPr>
              <w:br/>
            </w:r>
            <w:r w:rsidRPr="005E3A8B">
              <w:rPr>
                <w:i/>
                <w:noProof/>
                <w:sz w:val="16"/>
                <w:lang w:val="fr-FR"/>
              </w:rPr>
              <w:t>NB: Le CESE a toutefois été en mesure de recruter un ressortissant après la date limite.</w:t>
            </w:r>
            <w:r w:rsidRPr="005E3A8B">
              <w:rPr>
                <w:i/>
                <w:noProof/>
                <w:sz w:val="16"/>
                <w:szCs w:val="16"/>
                <w:lang w:val="fr-FR"/>
              </w:rPr>
              <w:br/>
            </w:r>
          </w:p>
          <w:p w:rsidR="00E91048" w:rsidRPr="005E3A8B" w:rsidRDefault="005E3A8B">
            <w:pPr>
              <w:spacing w:after="0" w:line="240" w:lineRule="auto"/>
              <w:rPr>
                <w:noProof/>
                <w:sz w:val="18"/>
                <w:szCs w:val="18"/>
                <w:lang w:val="fr-FR"/>
              </w:rPr>
            </w:pPr>
            <w:r w:rsidRPr="005E3A8B">
              <w:rPr>
                <w:noProof/>
                <w:sz w:val="18"/>
                <w:lang w:val="fr-FR"/>
              </w:rPr>
              <w:t>Nombre élevé de ressortissants de BE, IT, EE, LV, SL, et</w:t>
            </w:r>
            <w:r w:rsidRPr="005E3A8B">
              <w:rPr>
                <w:noProof/>
                <w:sz w:val="18"/>
                <w:lang w:val="fr-FR"/>
              </w:rPr>
              <w:t>c.</w:t>
            </w:r>
          </w:p>
        </w:tc>
        <w:tc>
          <w:tcPr>
            <w:tcW w:w="3969" w:type="dxa"/>
          </w:tcPr>
          <w:p w:rsidR="00E91048" w:rsidRPr="005E3A8B" w:rsidRDefault="005E3A8B">
            <w:pPr>
              <w:spacing w:after="0" w:line="240" w:lineRule="auto"/>
              <w:rPr>
                <w:noProof/>
                <w:sz w:val="18"/>
                <w:szCs w:val="18"/>
                <w:lang w:val="fr-FR"/>
              </w:rPr>
            </w:pPr>
            <w:r w:rsidRPr="005E3A8B">
              <w:rPr>
                <w:noProof/>
                <w:sz w:val="18"/>
                <w:lang w:val="fr-FR"/>
              </w:rPr>
              <w:t>Tous les déséquilibres sont objectivement justifiés par</w:t>
            </w:r>
          </w:p>
          <w:p w:rsidR="00E91048" w:rsidRPr="005E3A8B" w:rsidRDefault="005E3A8B">
            <w:pPr>
              <w:spacing w:after="0" w:line="240" w:lineRule="auto"/>
              <w:rPr>
                <w:noProof/>
                <w:sz w:val="18"/>
                <w:szCs w:val="18"/>
                <w:lang w:val="fr-FR"/>
              </w:rPr>
            </w:pPr>
            <w:r w:rsidRPr="005E3A8B">
              <w:rPr>
                <w:noProof/>
                <w:sz w:val="18"/>
                <w:lang w:val="fr-FR"/>
              </w:rPr>
              <w:t>le faible nombre de ressortissants de CY sur les listes EPSO;</w:t>
            </w:r>
            <w:r w:rsidRPr="005E3A8B">
              <w:rPr>
                <w:noProof/>
                <w:sz w:val="18"/>
                <w:szCs w:val="18"/>
                <w:lang w:val="fr-FR"/>
              </w:rPr>
              <w:br/>
            </w:r>
            <w:r w:rsidRPr="005E3A8B">
              <w:rPr>
                <w:noProof/>
                <w:sz w:val="18"/>
                <w:lang w:val="fr-FR"/>
              </w:rPr>
              <w:t>le faible nombre de postes à pourvoir, du fait de la réduction des effectifs;</w:t>
            </w:r>
            <w:r w:rsidRPr="005E3A8B">
              <w:rPr>
                <w:noProof/>
                <w:sz w:val="18"/>
                <w:szCs w:val="18"/>
                <w:lang w:val="fr-FR"/>
              </w:rPr>
              <w:br/>
            </w:r>
            <w:r w:rsidRPr="005E3A8B">
              <w:rPr>
                <w:noProof/>
                <w:sz w:val="18"/>
                <w:lang w:val="fr-FR"/>
              </w:rPr>
              <w:t xml:space="preserve">l’effet du siège, et  </w:t>
            </w:r>
            <w:r w:rsidRPr="005E3A8B">
              <w:rPr>
                <w:noProof/>
                <w:sz w:val="18"/>
                <w:szCs w:val="18"/>
                <w:lang w:val="fr-FR"/>
              </w:rPr>
              <w:br/>
            </w:r>
            <w:r w:rsidRPr="005E3A8B">
              <w:rPr>
                <w:noProof/>
                <w:sz w:val="18"/>
                <w:lang w:val="fr-FR"/>
              </w:rPr>
              <w:t>d’autres raisons historiques (IT)</w:t>
            </w:r>
            <w:r w:rsidRPr="005E3A8B">
              <w:rPr>
                <w:noProof/>
                <w:sz w:val="18"/>
                <w:szCs w:val="18"/>
                <w:lang w:val="fr-FR"/>
              </w:rPr>
              <w:br/>
            </w:r>
          </w:p>
          <w:p w:rsidR="00E91048" w:rsidRPr="005E3A8B" w:rsidRDefault="005E3A8B">
            <w:pPr>
              <w:spacing w:after="0" w:line="240" w:lineRule="auto"/>
              <w:jc w:val="both"/>
              <w:rPr>
                <w:noProof/>
                <w:sz w:val="18"/>
                <w:szCs w:val="18"/>
                <w:lang w:val="fr-FR"/>
              </w:rPr>
            </w:pPr>
            <w:r w:rsidRPr="005E3A8B">
              <w:rPr>
                <w:noProof/>
                <w:sz w:val="18"/>
                <w:lang w:val="fr-FR"/>
              </w:rPr>
              <w:t>Le poids relatif des services linguistiques influe aussi sur l’équilibre.</w:t>
            </w:r>
          </w:p>
        </w:tc>
        <w:tc>
          <w:tcPr>
            <w:tcW w:w="708" w:type="dxa"/>
            <w:textDirection w:val="btLr"/>
            <w:vAlign w:val="center"/>
          </w:tcPr>
          <w:p w:rsidR="00E91048" w:rsidRPr="005E3A8B" w:rsidRDefault="005E3A8B">
            <w:pPr>
              <w:spacing w:after="0" w:line="240" w:lineRule="auto"/>
              <w:ind w:left="113" w:right="113"/>
              <w:jc w:val="center"/>
              <w:rPr>
                <w:noProof/>
                <w:sz w:val="18"/>
                <w:szCs w:val="18"/>
                <w:lang w:val="fr-FR"/>
              </w:rPr>
            </w:pPr>
            <w:r w:rsidRPr="005E3A8B">
              <w:rPr>
                <w:noProof/>
                <w:sz w:val="18"/>
                <w:lang w:val="fr-FR"/>
              </w:rPr>
              <w:t>NON, sauf peut-être dans le groupe de fonctions AST-SC</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w:t>
            </w:r>
          </w:p>
        </w:tc>
      </w:tr>
      <w:tr w:rsidR="00E91048">
        <w:trPr>
          <w:cantSplit/>
          <w:trHeight w:val="2251"/>
        </w:trPr>
        <w:tc>
          <w:tcPr>
            <w:tcW w:w="817" w:type="dxa"/>
            <w:textDirection w:val="btLr"/>
          </w:tcPr>
          <w:p w:rsidR="00E91048" w:rsidRDefault="005E3A8B">
            <w:pPr>
              <w:spacing w:after="0" w:line="240" w:lineRule="auto"/>
              <w:ind w:left="113" w:right="113"/>
              <w:jc w:val="center"/>
              <w:rPr>
                <w:b/>
                <w:noProof/>
              </w:rPr>
            </w:pPr>
            <w:r>
              <w:rPr>
                <w:b/>
                <w:noProof/>
              </w:rPr>
              <w:t>Comité des régions</w:t>
            </w:r>
          </w:p>
        </w:tc>
        <w:tc>
          <w:tcPr>
            <w:tcW w:w="3284" w:type="dxa"/>
          </w:tcPr>
          <w:p w:rsidR="00E91048" w:rsidRPr="005E3A8B" w:rsidRDefault="005E3A8B">
            <w:pPr>
              <w:spacing w:after="0" w:line="240" w:lineRule="auto"/>
              <w:rPr>
                <w:noProof/>
                <w:sz w:val="18"/>
                <w:szCs w:val="18"/>
                <w:lang w:val="fr-FR"/>
              </w:rPr>
            </w:pPr>
            <w:r w:rsidRPr="005E3A8B">
              <w:rPr>
                <w:noProof/>
                <w:sz w:val="18"/>
                <w:lang w:val="fr-FR"/>
              </w:rPr>
              <w:t>L’équilibre géographique est évalué de manière globale (tous groupes de fonction confondus).</w:t>
            </w:r>
          </w:p>
          <w:p w:rsidR="00E91048" w:rsidRPr="005E3A8B" w:rsidRDefault="005E3A8B">
            <w:pPr>
              <w:spacing w:after="0" w:line="240" w:lineRule="auto"/>
              <w:rPr>
                <w:noProof/>
                <w:sz w:val="18"/>
                <w:szCs w:val="18"/>
                <w:lang w:val="fr-FR"/>
              </w:rPr>
            </w:pPr>
            <w:r w:rsidRPr="005E3A8B">
              <w:rPr>
                <w:noProof/>
                <w:sz w:val="18"/>
                <w:lang w:val="fr-FR"/>
              </w:rPr>
              <w:t>Valeur de référence: la moyenne entre les parts de l’État membre concerné dans</w:t>
            </w:r>
          </w:p>
          <w:p w:rsidR="00E91048" w:rsidRDefault="005E3A8B">
            <w:pPr>
              <w:pStyle w:val="ListParagraph"/>
              <w:numPr>
                <w:ilvl w:val="0"/>
                <w:numId w:val="34"/>
              </w:numPr>
              <w:tabs>
                <w:tab w:val="num" w:pos="283"/>
              </w:tabs>
              <w:spacing w:after="0" w:line="240" w:lineRule="auto"/>
              <w:ind w:left="317" w:hanging="317"/>
              <w:rPr>
                <w:noProof/>
                <w:sz w:val="18"/>
                <w:szCs w:val="18"/>
              </w:rPr>
            </w:pPr>
            <w:r>
              <w:rPr>
                <w:noProof/>
                <w:sz w:val="18"/>
              </w:rPr>
              <w:t>la population de l’UE</w:t>
            </w:r>
          </w:p>
          <w:p w:rsidR="00E91048" w:rsidRDefault="005E3A8B">
            <w:pPr>
              <w:pStyle w:val="ListParagraph"/>
              <w:numPr>
                <w:ilvl w:val="0"/>
                <w:numId w:val="34"/>
              </w:numPr>
              <w:tabs>
                <w:tab w:val="num" w:pos="283"/>
              </w:tabs>
              <w:spacing w:after="0" w:line="240" w:lineRule="auto"/>
              <w:ind w:left="317" w:hanging="317"/>
              <w:rPr>
                <w:noProof/>
                <w:sz w:val="18"/>
                <w:szCs w:val="18"/>
              </w:rPr>
            </w:pPr>
            <w:r>
              <w:rPr>
                <w:noProof/>
                <w:sz w:val="18"/>
              </w:rPr>
              <w:t>les députés du PE</w:t>
            </w:r>
          </w:p>
          <w:p w:rsidR="00E91048" w:rsidRPr="005E3A8B" w:rsidRDefault="005E3A8B">
            <w:pPr>
              <w:pStyle w:val="ListParagraph"/>
              <w:numPr>
                <w:ilvl w:val="0"/>
                <w:numId w:val="34"/>
              </w:numPr>
              <w:tabs>
                <w:tab w:val="num" w:pos="283"/>
              </w:tabs>
              <w:spacing w:after="0" w:line="240" w:lineRule="auto"/>
              <w:ind w:left="317" w:hanging="317"/>
              <w:rPr>
                <w:noProof/>
                <w:sz w:val="18"/>
                <w:szCs w:val="18"/>
                <w:lang w:val="fr-FR"/>
              </w:rPr>
            </w:pPr>
            <w:r w:rsidRPr="005E3A8B">
              <w:rPr>
                <w:noProof/>
                <w:sz w:val="18"/>
                <w:lang w:val="fr-FR"/>
              </w:rPr>
              <w:t>les voix au sein du Conseil avant les règles de Lisbonne</w:t>
            </w:r>
          </w:p>
          <w:p w:rsidR="00E91048" w:rsidRPr="005E3A8B" w:rsidRDefault="00E91048">
            <w:pPr>
              <w:spacing w:after="0" w:line="240" w:lineRule="auto"/>
              <w:rPr>
                <w:noProof/>
                <w:sz w:val="18"/>
                <w:szCs w:val="18"/>
                <w:lang w:val="fr-FR"/>
              </w:rPr>
            </w:pPr>
          </w:p>
        </w:tc>
        <w:tc>
          <w:tcPr>
            <w:tcW w:w="2409" w:type="dxa"/>
          </w:tcPr>
          <w:p w:rsidR="00E91048" w:rsidRPr="005E3A8B" w:rsidRDefault="005E3A8B">
            <w:pPr>
              <w:spacing w:after="0" w:line="240" w:lineRule="auto"/>
              <w:rPr>
                <w:noProof/>
                <w:sz w:val="18"/>
                <w:szCs w:val="18"/>
                <w:lang w:val="fr-FR"/>
              </w:rPr>
            </w:pPr>
            <w:r w:rsidRPr="005E3A8B">
              <w:rPr>
                <w:noProof/>
                <w:sz w:val="18"/>
                <w:lang w:val="fr-FR"/>
              </w:rPr>
              <w:t xml:space="preserve">Il y a déséquilibre lorsque la part réelle de ressortissants est inférieure à </w:t>
            </w:r>
            <w:r w:rsidRPr="005E3A8B">
              <w:rPr>
                <w:noProof/>
                <w:sz w:val="18"/>
                <w:lang w:val="fr-FR"/>
              </w:rPr>
              <w:t>50% ou supérieure à 200% de la valeur de référence.</w:t>
            </w:r>
          </w:p>
          <w:p w:rsidR="00E91048" w:rsidRPr="005E3A8B" w:rsidRDefault="005E3A8B">
            <w:pPr>
              <w:spacing w:after="0" w:line="240" w:lineRule="auto"/>
              <w:rPr>
                <w:noProof/>
                <w:sz w:val="18"/>
                <w:szCs w:val="18"/>
                <w:lang w:val="fr-FR"/>
              </w:rPr>
            </w:pPr>
            <w:r w:rsidRPr="005E3A8B">
              <w:rPr>
                <w:noProof/>
                <w:sz w:val="18"/>
                <w:lang w:val="fr-FR"/>
              </w:rPr>
              <w:t xml:space="preserve">Il y a déséquilibre important lorsque la part s’écarte sensiblement de cette fourchette. </w:t>
            </w:r>
          </w:p>
        </w:tc>
        <w:tc>
          <w:tcPr>
            <w:tcW w:w="2127" w:type="dxa"/>
          </w:tcPr>
          <w:p w:rsidR="00E91048" w:rsidRPr="005E3A8B" w:rsidRDefault="005E3A8B">
            <w:pPr>
              <w:spacing w:after="0" w:line="240" w:lineRule="auto"/>
              <w:rPr>
                <w:noProof/>
                <w:sz w:val="18"/>
                <w:szCs w:val="18"/>
                <w:lang w:val="fr-FR"/>
              </w:rPr>
            </w:pPr>
            <w:r w:rsidRPr="005E3A8B">
              <w:rPr>
                <w:noProof/>
                <w:sz w:val="18"/>
                <w:lang w:val="fr-FR"/>
              </w:rPr>
              <w:t xml:space="preserve">Largement sous-représentés: LU et UK </w:t>
            </w:r>
            <w:r w:rsidRPr="005E3A8B">
              <w:rPr>
                <w:noProof/>
                <w:sz w:val="18"/>
                <w:szCs w:val="18"/>
                <w:lang w:val="fr-FR"/>
              </w:rPr>
              <w:br/>
            </w:r>
          </w:p>
          <w:p w:rsidR="00E91048" w:rsidRDefault="005E3A8B">
            <w:pPr>
              <w:spacing w:after="0" w:line="240" w:lineRule="auto"/>
              <w:rPr>
                <w:noProof/>
                <w:sz w:val="18"/>
                <w:szCs w:val="18"/>
              </w:rPr>
            </w:pPr>
            <w:r>
              <w:rPr>
                <w:noProof/>
                <w:sz w:val="18"/>
              </w:rPr>
              <w:t>Largement surreprésentée: BE</w:t>
            </w:r>
          </w:p>
        </w:tc>
        <w:tc>
          <w:tcPr>
            <w:tcW w:w="3969" w:type="dxa"/>
          </w:tcPr>
          <w:p w:rsidR="00E91048" w:rsidRPr="005E3A8B" w:rsidRDefault="005E3A8B">
            <w:pPr>
              <w:spacing w:after="0" w:line="240" w:lineRule="auto"/>
              <w:rPr>
                <w:noProof/>
                <w:sz w:val="18"/>
                <w:szCs w:val="18"/>
                <w:lang w:val="fr-FR"/>
              </w:rPr>
            </w:pPr>
            <w:r w:rsidRPr="005E3A8B">
              <w:rPr>
                <w:noProof/>
                <w:sz w:val="18"/>
                <w:lang w:val="fr-FR"/>
              </w:rPr>
              <w:t>Tous les déséquilibres sont objectivement just</w:t>
            </w:r>
            <w:r w:rsidRPr="005E3A8B">
              <w:rPr>
                <w:noProof/>
                <w:sz w:val="18"/>
                <w:lang w:val="fr-FR"/>
              </w:rPr>
              <w:t>ifiés par</w:t>
            </w:r>
          </w:p>
          <w:p w:rsidR="00E91048" w:rsidRPr="005E3A8B" w:rsidRDefault="005E3A8B">
            <w:pPr>
              <w:spacing w:after="0" w:line="240" w:lineRule="auto"/>
              <w:rPr>
                <w:noProof/>
                <w:sz w:val="18"/>
                <w:szCs w:val="18"/>
                <w:lang w:val="fr-FR"/>
              </w:rPr>
            </w:pPr>
            <w:r w:rsidRPr="005E3A8B">
              <w:rPr>
                <w:noProof/>
                <w:sz w:val="18"/>
                <w:lang w:val="fr-FR"/>
              </w:rPr>
              <w:t xml:space="preserve">la taille de l’institution </w:t>
            </w:r>
          </w:p>
          <w:p w:rsidR="00E91048" w:rsidRPr="005E3A8B" w:rsidRDefault="005E3A8B">
            <w:pPr>
              <w:spacing w:after="0" w:line="240" w:lineRule="auto"/>
              <w:rPr>
                <w:noProof/>
                <w:sz w:val="18"/>
                <w:szCs w:val="18"/>
                <w:lang w:val="fr-FR"/>
              </w:rPr>
            </w:pPr>
            <w:r w:rsidRPr="005E3A8B">
              <w:rPr>
                <w:noProof/>
                <w:sz w:val="18"/>
                <w:lang w:val="fr-FR"/>
              </w:rPr>
              <w:t>l’effet du siège</w:t>
            </w:r>
          </w:p>
          <w:p w:rsidR="00E91048" w:rsidRPr="005E3A8B" w:rsidRDefault="005E3A8B">
            <w:pPr>
              <w:spacing w:after="0" w:line="240" w:lineRule="auto"/>
              <w:rPr>
                <w:noProof/>
                <w:sz w:val="18"/>
                <w:szCs w:val="18"/>
                <w:lang w:val="fr-FR"/>
              </w:rPr>
            </w:pPr>
            <w:r w:rsidRPr="005E3A8B">
              <w:rPr>
                <w:noProof/>
                <w:sz w:val="18"/>
                <w:lang w:val="fr-FR"/>
              </w:rPr>
              <w:t>l’attrait limité des institutions de l’UE pour les ressortissants de certains États membres</w:t>
            </w:r>
          </w:p>
          <w:p w:rsidR="00E91048" w:rsidRPr="005E3A8B" w:rsidRDefault="005E3A8B">
            <w:pPr>
              <w:spacing w:after="0" w:line="240" w:lineRule="auto"/>
              <w:rPr>
                <w:noProof/>
                <w:sz w:val="18"/>
                <w:szCs w:val="18"/>
                <w:lang w:val="fr-FR"/>
              </w:rPr>
            </w:pPr>
            <w:r w:rsidRPr="005E3A8B">
              <w:rPr>
                <w:noProof/>
                <w:sz w:val="18"/>
                <w:lang w:val="fr-FR"/>
              </w:rPr>
              <w:t>la petite taille de certains États membres</w:t>
            </w:r>
          </w:p>
          <w:p w:rsidR="00E91048" w:rsidRPr="005E3A8B" w:rsidRDefault="00E91048">
            <w:pPr>
              <w:spacing w:after="0" w:line="240" w:lineRule="auto"/>
              <w:rPr>
                <w:noProof/>
                <w:sz w:val="18"/>
                <w:szCs w:val="18"/>
                <w:lang w:val="fr-FR"/>
              </w:rPr>
            </w:pPr>
          </w:p>
          <w:p w:rsidR="00E91048" w:rsidRPr="005E3A8B" w:rsidRDefault="005E3A8B">
            <w:pPr>
              <w:spacing w:after="0" w:line="240" w:lineRule="auto"/>
              <w:rPr>
                <w:noProof/>
                <w:sz w:val="18"/>
                <w:szCs w:val="18"/>
                <w:lang w:val="fr-FR"/>
              </w:rPr>
            </w:pPr>
            <w:r w:rsidRPr="005E3A8B">
              <w:rPr>
                <w:noProof/>
                <w:sz w:val="18"/>
                <w:lang w:val="fr-FR"/>
              </w:rPr>
              <w:t>Eu égard à la taille réduite du CdR, la prudence est de mise dans</w:t>
            </w:r>
            <w:r w:rsidRPr="005E3A8B">
              <w:rPr>
                <w:noProof/>
                <w:sz w:val="18"/>
                <w:lang w:val="fr-FR"/>
              </w:rPr>
              <w:t xml:space="preserve"> l’interprétation des chiffres.</w:t>
            </w:r>
          </w:p>
        </w:tc>
        <w:tc>
          <w:tcPr>
            <w:tcW w:w="708" w:type="dxa"/>
            <w:textDirection w:val="btLr"/>
            <w:vAlign w:val="center"/>
          </w:tcPr>
          <w:p w:rsidR="00E91048" w:rsidRPr="005E3A8B" w:rsidRDefault="005E3A8B">
            <w:pPr>
              <w:spacing w:after="0" w:line="240" w:lineRule="auto"/>
              <w:ind w:left="113" w:right="113"/>
              <w:jc w:val="center"/>
              <w:rPr>
                <w:noProof/>
                <w:sz w:val="18"/>
                <w:szCs w:val="18"/>
                <w:lang w:val="fr-FR"/>
              </w:rPr>
            </w:pPr>
            <w:r w:rsidRPr="005E3A8B">
              <w:rPr>
                <w:noProof/>
                <w:sz w:val="18"/>
                <w:lang w:val="fr-FR"/>
              </w:rPr>
              <w:t>NON. Toutefois, le BREXIT ou une dégradation des conditions pourrait avoir une influence.</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w:t>
            </w:r>
          </w:p>
        </w:tc>
      </w:tr>
      <w:tr w:rsidR="00E91048">
        <w:trPr>
          <w:cantSplit/>
          <w:trHeight w:val="1861"/>
        </w:trPr>
        <w:tc>
          <w:tcPr>
            <w:tcW w:w="817" w:type="dxa"/>
            <w:textDirection w:val="btLr"/>
          </w:tcPr>
          <w:p w:rsidR="00E91048" w:rsidRDefault="005E3A8B">
            <w:pPr>
              <w:spacing w:after="0" w:line="240" w:lineRule="auto"/>
              <w:ind w:left="113" w:right="113"/>
              <w:jc w:val="center"/>
              <w:rPr>
                <w:b/>
                <w:noProof/>
              </w:rPr>
            </w:pPr>
            <w:r>
              <w:rPr>
                <w:b/>
                <w:noProof/>
              </w:rPr>
              <w:t>Médiateur européen</w:t>
            </w:r>
          </w:p>
        </w:tc>
        <w:tc>
          <w:tcPr>
            <w:tcW w:w="3284" w:type="dxa"/>
          </w:tcPr>
          <w:p w:rsidR="00E91048" w:rsidRPr="005E3A8B" w:rsidRDefault="005E3A8B">
            <w:pPr>
              <w:spacing w:after="0" w:line="240" w:lineRule="auto"/>
              <w:jc w:val="both"/>
              <w:rPr>
                <w:noProof/>
                <w:sz w:val="18"/>
                <w:szCs w:val="18"/>
                <w:lang w:val="fr-FR"/>
              </w:rPr>
            </w:pPr>
            <w:r w:rsidRPr="005E3A8B">
              <w:rPr>
                <w:noProof/>
                <w:sz w:val="18"/>
                <w:lang w:val="fr-FR"/>
              </w:rPr>
              <w:t xml:space="preserve">Eu égard à sa taille, l'institution n’a jamais établi de définition de l’équilibre et du déséquilibre géographiques. </w:t>
            </w:r>
          </w:p>
          <w:p w:rsidR="00E91048" w:rsidRPr="005E3A8B" w:rsidRDefault="005E3A8B">
            <w:pPr>
              <w:spacing w:after="0" w:line="240" w:lineRule="auto"/>
              <w:jc w:val="both"/>
              <w:rPr>
                <w:noProof/>
                <w:sz w:val="18"/>
                <w:szCs w:val="18"/>
                <w:lang w:val="fr-FR"/>
              </w:rPr>
            </w:pPr>
            <w:r w:rsidRPr="005E3A8B">
              <w:rPr>
                <w:noProof/>
                <w:sz w:val="18"/>
                <w:lang w:val="fr-FR"/>
              </w:rPr>
              <w:t xml:space="preserve">La présence de ressortissants de tous les États membres, pondérée avec la taille de la population, pourrait constituer un indicateur. </w:t>
            </w:r>
          </w:p>
        </w:tc>
        <w:tc>
          <w:tcPr>
            <w:tcW w:w="2409" w:type="dxa"/>
          </w:tcPr>
          <w:p w:rsidR="00E91048" w:rsidRPr="005E3A8B" w:rsidRDefault="005E3A8B">
            <w:pPr>
              <w:spacing w:after="0" w:line="240" w:lineRule="auto"/>
              <w:rPr>
                <w:noProof/>
                <w:sz w:val="18"/>
                <w:szCs w:val="18"/>
                <w:lang w:val="fr-FR"/>
              </w:rPr>
            </w:pPr>
            <w:r w:rsidRPr="005E3A8B">
              <w:rPr>
                <w:noProof/>
                <w:sz w:val="18"/>
                <w:lang w:val="fr-FR"/>
              </w:rPr>
              <w:t xml:space="preserve">Il </w:t>
            </w:r>
            <w:r w:rsidRPr="005E3A8B">
              <w:rPr>
                <w:noProof/>
                <w:sz w:val="18"/>
                <w:lang w:val="fr-FR"/>
              </w:rPr>
              <w:t>y a déséquilibre en cas de sous-représentation ou surreprésentation sans justification objective.</w:t>
            </w:r>
          </w:p>
        </w:tc>
        <w:tc>
          <w:tcPr>
            <w:tcW w:w="2127" w:type="dxa"/>
          </w:tcPr>
          <w:p w:rsidR="00E91048" w:rsidRPr="005E3A8B" w:rsidRDefault="005E3A8B">
            <w:pPr>
              <w:spacing w:after="0" w:line="240" w:lineRule="auto"/>
              <w:rPr>
                <w:noProof/>
                <w:sz w:val="18"/>
                <w:szCs w:val="18"/>
                <w:lang w:val="fr-FR"/>
              </w:rPr>
            </w:pPr>
            <w:r w:rsidRPr="005E3A8B">
              <w:rPr>
                <w:noProof/>
                <w:sz w:val="18"/>
                <w:lang w:val="fr-FR"/>
              </w:rPr>
              <w:t>Largement surreprésentée: FR, dans le groupe de fonctions AST</w:t>
            </w:r>
          </w:p>
        </w:tc>
        <w:tc>
          <w:tcPr>
            <w:tcW w:w="3969" w:type="dxa"/>
          </w:tcPr>
          <w:p w:rsidR="00E91048" w:rsidRPr="005E3A8B" w:rsidRDefault="005E3A8B">
            <w:pPr>
              <w:spacing w:after="0" w:line="240" w:lineRule="auto"/>
              <w:rPr>
                <w:noProof/>
                <w:sz w:val="18"/>
                <w:szCs w:val="18"/>
                <w:lang w:val="fr-FR"/>
              </w:rPr>
            </w:pPr>
            <w:r w:rsidRPr="005E3A8B">
              <w:rPr>
                <w:noProof/>
                <w:sz w:val="18"/>
                <w:lang w:val="fr-FR"/>
              </w:rPr>
              <w:t>Tous les déséquilibres sont objectivement justifiés par</w:t>
            </w:r>
          </w:p>
          <w:p w:rsidR="00E91048" w:rsidRPr="005E3A8B" w:rsidRDefault="005E3A8B">
            <w:pPr>
              <w:numPr>
                <w:ilvl w:val="0"/>
                <w:numId w:val="26"/>
              </w:numPr>
              <w:spacing w:after="0" w:line="240" w:lineRule="auto"/>
              <w:jc w:val="both"/>
              <w:rPr>
                <w:noProof/>
                <w:sz w:val="18"/>
                <w:szCs w:val="18"/>
                <w:lang w:val="fr-FR"/>
              </w:rPr>
            </w:pPr>
            <w:r w:rsidRPr="005E3A8B">
              <w:rPr>
                <w:noProof/>
                <w:sz w:val="18"/>
                <w:lang w:val="fr-FR"/>
              </w:rPr>
              <w:t>l’effet du siège en France,</w:t>
            </w:r>
          </w:p>
          <w:p w:rsidR="00E91048" w:rsidRPr="005E3A8B" w:rsidRDefault="005E3A8B">
            <w:pPr>
              <w:numPr>
                <w:ilvl w:val="0"/>
                <w:numId w:val="26"/>
              </w:numPr>
              <w:spacing w:after="0" w:line="240" w:lineRule="auto"/>
              <w:jc w:val="both"/>
              <w:rPr>
                <w:noProof/>
                <w:sz w:val="18"/>
                <w:szCs w:val="18"/>
                <w:lang w:val="fr-FR"/>
              </w:rPr>
            </w:pPr>
            <w:r w:rsidRPr="005E3A8B">
              <w:rPr>
                <w:noProof/>
                <w:sz w:val="18"/>
                <w:lang w:val="fr-FR"/>
              </w:rPr>
              <w:t>les difficul</w:t>
            </w:r>
            <w:r w:rsidRPr="005E3A8B">
              <w:rPr>
                <w:noProof/>
                <w:sz w:val="18"/>
                <w:lang w:val="fr-FR"/>
              </w:rPr>
              <w:t>tés de recrutement à Strasbourg</w:t>
            </w:r>
          </w:p>
          <w:p w:rsidR="00E91048" w:rsidRPr="005E3A8B" w:rsidRDefault="005E3A8B">
            <w:pPr>
              <w:numPr>
                <w:ilvl w:val="0"/>
                <w:numId w:val="26"/>
              </w:numPr>
              <w:spacing w:after="0" w:line="240" w:lineRule="auto"/>
              <w:jc w:val="both"/>
              <w:rPr>
                <w:noProof/>
                <w:sz w:val="18"/>
                <w:szCs w:val="18"/>
                <w:lang w:val="fr-FR"/>
              </w:rPr>
            </w:pPr>
            <w:r w:rsidRPr="005E3A8B">
              <w:rPr>
                <w:noProof/>
                <w:sz w:val="18"/>
                <w:lang w:val="fr-FR"/>
              </w:rPr>
              <w:t>des raisons historiques (nombre élevé de postes temporaires)</w:t>
            </w:r>
          </w:p>
        </w:tc>
        <w:tc>
          <w:tcPr>
            <w:tcW w:w="708" w:type="dxa"/>
            <w:textDirection w:val="btLr"/>
            <w:vAlign w:val="center"/>
          </w:tcPr>
          <w:p w:rsidR="00E91048" w:rsidRDefault="005E3A8B">
            <w:pPr>
              <w:spacing w:after="0" w:line="240" w:lineRule="auto"/>
              <w:ind w:left="113" w:right="113"/>
              <w:jc w:val="center"/>
              <w:rPr>
                <w:noProof/>
                <w:sz w:val="18"/>
                <w:szCs w:val="18"/>
              </w:rPr>
            </w:pPr>
            <w:r>
              <w:rPr>
                <w:noProof/>
                <w:sz w:val="18"/>
              </w:rPr>
              <w:t>NON</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w:t>
            </w:r>
          </w:p>
        </w:tc>
      </w:tr>
      <w:tr w:rsidR="00E91048">
        <w:trPr>
          <w:cantSplit/>
          <w:trHeight w:val="2110"/>
        </w:trPr>
        <w:tc>
          <w:tcPr>
            <w:tcW w:w="817" w:type="dxa"/>
            <w:textDirection w:val="btLr"/>
          </w:tcPr>
          <w:p w:rsidR="00E91048" w:rsidRPr="005E3A8B" w:rsidRDefault="005E3A8B">
            <w:pPr>
              <w:spacing w:after="0" w:line="240" w:lineRule="auto"/>
              <w:ind w:left="113" w:right="113"/>
              <w:jc w:val="center"/>
              <w:rPr>
                <w:b/>
                <w:noProof/>
                <w:lang w:val="fr-FR"/>
              </w:rPr>
            </w:pPr>
            <w:r w:rsidRPr="005E3A8B">
              <w:rPr>
                <w:b/>
                <w:noProof/>
                <w:lang w:val="fr-FR"/>
              </w:rPr>
              <w:t>Contrôleur européen de la protection des données</w:t>
            </w:r>
          </w:p>
        </w:tc>
        <w:tc>
          <w:tcPr>
            <w:tcW w:w="3284" w:type="dxa"/>
          </w:tcPr>
          <w:p w:rsidR="00E91048" w:rsidRPr="005E3A8B" w:rsidRDefault="005E3A8B">
            <w:pPr>
              <w:spacing w:after="0" w:line="240" w:lineRule="auto"/>
              <w:rPr>
                <w:noProof/>
                <w:sz w:val="18"/>
                <w:szCs w:val="18"/>
                <w:lang w:val="fr-FR"/>
              </w:rPr>
            </w:pPr>
            <w:r w:rsidRPr="005E3A8B">
              <w:rPr>
                <w:noProof/>
                <w:sz w:val="18"/>
                <w:lang w:val="fr-FR"/>
              </w:rPr>
              <w:t>Le CEPD est une institution de taille réduite, spécialisée dans un domaine très particulier. Les recrutements se font donc sur des profils très spécifiques et sur les listes de réserve EPSO en matière de protection des données ainsi qu’en puisant dans le r</w:t>
            </w:r>
            <w:r w:rsidRPr="005E3A8B">
              <w:rPr>
                <w:noProof/>
                <w:sz w:val="18"/>
                <w:lang w:val="fr-FR"/>
              </w:rPr>
              <w:t xml:space="preserve">éservoir restreint de candidats. L’équilibre de la représentation est une question qui n’a pas été prise en considération jusqu’à présent, eu égard à la spécificité des profils et à la difficulté à recruter. </w:t>
            </w:r>
          </w:p>
        </w:tc>
        <w:tc>
          <w:tcPr>
            <w:tcW w:w="2409" w:type="dxa"/>
          </w:tcPr>
          <w:p w:rsidR="00E91048" w:rsidRDefault="005E3A8B">
            <w:pPr>
              <w:spacing w:after="0" w:line="240" w:lineRule="auto"/>
              <w:jc w:val="both"/>
              <w:rPr>
                <w:noProof/>
                <w:sz w:val="18"/>
                <w:szCs w:val="18"/>
              </w:rPr>
            </w:pPr>
            <w:r>
              <w:rPr>
                <w:noProof/>
                <w:sz w:val="18"/>
              </w:rPr>
              <w:t>s.o.</w:t>
            </w:r>
          </w:p>
        </w:tc>
        <w:tc>
          <w:tcPr>
            <w:tcW w:w="2127" w:type="dxa"/>
          </w:tcPr>
          <w:p w:rsidR="00E91048" w:rsidRDefault="005E3A8B">
            <w:pPr>
              <w:spacing w:after="0" w:line="240" w:lineRule="auto"/>
              <w:jc w:val="both"/>
              <w:rPr>
                <w:noProof/>
                <w:sz w:val="18"/>
                <w:szCs w:val="18"/>
              </w:rPr>
            </w:pPr>
            <w:r>
              <w:rPr>
                <w:noProof/>
                <w:sz w:val="18"/>
              </w:rPr>
              <w:t>NON</w:t>
            </w:r>
          </w:p>
        </w:tc>
        <w:tc>
          <w:tcPr>
            <w:tcW w:w="3969" w:type="dxa"/>
          </w:tcPr>
          <w:p w:rsidR="00E91048" w:rsidRDefault="005E3A8B">
            <w:pPr>
              <w:spacing w:after="0" w:line="240" w:lineRule="auto"/>
              <w:jc w:val="both"/>
              <w:rPr>
                <w:noProof/>
                <w:sz w:val="18"/>
                <w:szCs w:val="18"/>
              </w:rPr>
            </w:pPr>
            <w:r>
              <w:rPr>
                <w:noProof/>
                <w:sz w:val="18"/>
              </w:rPr>
              <w:t>s.o.</w:t>
            </w:r>
          </w:p>
        </w:tc>
        <w:tc>
          <w:tcPr>
            <w:tcW w:w="708" w:type="dxa"/>
            <w:textDirection w:val="btLr"/>
            <w:vAlign w:val="center"/>
          </w:tcPr>
          <w:p w:rsidR="00E91048" w:rsidRDefault="005E3A8B">
            <w:pPr>
              <w:spacing w:after="0" w:line="240" w:lineRule="auto"/>
              <w:ind w:left="113" w:right="113"/>
              <w:jc w:val="center"/>
              <w:rPr>
                <w:noProof/>
                <w:sz w:val="18"/>
                <w:szCs w:val="18"/>
              </w:rPr>
            </w:pPr>
            <w:r>
              <w:rPr>
                <w:noProof/>
                <w:sz w:val="18"/>
              </w:rPr>
              <w:t>NON</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w:t>
            </w:r>
          </w:p>
        </w:tc>
      </w:tr>
    </w:tbl>
    <w:p w:rsidR="00E91048" w:rsidRDefault="005E3A8B">
      <w:pPr>
        <w:spacing w:after="0" w:line="240" w:lineRule="auto"/>
        <w:rPr>
          <w:rFonts w:ascii="Times New Roman" w:eastAsia="Times New Roman" w:hAnsi="Times New Roman" w:cs="Times New Roman"/>
          <w:b/>
          <w:noProof/>
          <w:sz w:val="24"/>
          <w:szCs w:val="24"/>
          <w:highlight w:val="yellow"/>
        </w:rPr>
        <w:sectPr w:rsidR="00E91048">
          <w:headerReference w:type="even" r:id="rId66"/>
          <w:headerReference w:type="default" r:id="rId67"/>
          <w:footerReference w:type="even" r:id="rId68"/>
          <w:footerReference w:type="default" r:id="rId69"/>
          <w:headerReference w:type="first" r:id="rId70"/>
          <w:footerReference w:type="first" r:id="rId71"/>
          <w:pgSz w:w="16838" w:h="11906" w:orient="landscape"/>
          <w:pgMar w:top="1588" w:right="1021" w:bottom="1134" w:left="1021" w:header="601" w:footer="1077" w:gutter="0"/>
          <w:cols w:space="720"/>
          <w:docGrid w:linePitch="326"/>
        </w:sectPr>
      </w:pPr>
      <w:r>
        <w:rPr>
          <w:noProof/>
        </w:rPr>
        <w:br w:type="page"/>
      </w:r>
    </w:p>
    <w:p w:rsidR="00E91048" w:rsidRDefault="00E91048">
      <w:pPr>
        <w:spacing w:after="0" w:line="240" w:lineRule="auto"/>
        <w:rPr>
          <w:rFonts w:ascii="Times New Roman" w:eastAsia="Times New Roman" w:hAnsi="Times New Roman" w:cs="Times New Roman"/>
          <w:b/>
          <w:noProof/>
          <w:sz w:val="24"/>
          <w:szCs w:val="24"/>
          <w:highlight w:val="yellow"/>
        </w:rPr>
      </w:pPr>
    </w:p>
    <w:p w:rsidR="00E91048" w:rsidRPr="005E3A8B" w:rsidRDefault="005E3A8B">
      <w:pPr>
        <w:spacing w:after="120" w:line="240" w:lineRule="auto"/>
        <w:jc w:val="both"/>
        <w:rPr>
          <w:rFonts w:ascii="Times New Roman" w:eastAsia="Times New Roman" w:hAnsi="Times New Roman" w:cs="Times New Roman"/>
          <w:b/>
          <w:noProof/>
          <w:sz w:val="24"/>
          <w:szCs w:val="20"/>
          <w:lang w:val="fr-FR"/>
        </w:rPr>
      </w:pPr>
      <w:r w:rsidRPr="005E3A8B">
        <w:rPr>
          <w:rFonts w:ascii="Times New Roman" w:hAnsi="Times New Roman"/>
          <w:b/>
          <w:noProof/>
          <w:sz w:val="24"/>
          <w:lang w:val="fr-FR"/>
        </w:rPr>
        <w:t>Annexe 10: Répartition du personnel AD par nationalité dans les institutions de l’UE (effectifs)</w:t>
      </w:r>
    </w:p>
    <w:p w:rsidR="00E91048" w:rsidRPr="005E3A8B" w:rsidRDefault="005E3A8B">
      <w:pPr>
        <w:spacing w:after="240" w:line="240" w:lineRule="auto"/>
        <w:jc w:val="both"/>
        <w:rPr>
          <w:rFonts w:ascii="Times New Roman" w:eastAsia="Times New Roman" w:hAnsi="Times New Roman" w:cs="Times New Roman"/>
          <w:b/>
          <w:noProof/>
          <w:sz w:val="24"/>
          <w:szCs w:val="20"/>
          <w:lang w:val="fr-FR"/>
        </w:rPr>
      </w:pPr>
      <w:r w:rsidRPr="005E3A8B">
        <w:rPr>
          <w:rFonts w:ascii="Arial" w:hAnsi="Arial"/>
          <w:b/>
          <w:noProof/>
          <w:sz w:val="18"/>
          <w:lang w:val="fr-FR"/>
        </w:rPr>
        <w:t>Fonctionnaires et agents temporaires AD, situation au 1.1.2017</w:t>
      </w:r>
      <w:r w:rsidRPr="005E3A8B">
        <w:rPr>
          <w:noProof/>
          <w:lang w:val="fr-FR"/>
        </w:rPr>
        <w:tab/>
      </w:r>
      <w:r w:rsidRPr="005E3A8B">
        <w:rPr>
          <w:rFonts w:ascii="Arial" w:eastAsia="Times New Roman" w:hAnsi="Arial" w:cs="Arial"/>
          <w:b/>
          <w:bCs/>
          <w:noProof/>
          <w:sz w:val="18"/>
          <w:szCs w:val="18"/>
          <w:lang w:val="fr-FR"/>
        </w:rPr>
        <w:br/>
      </w:r>
      <w:r w:rsidRPr="005E3A8B">
        <w:rPr>
          <w:rFonts w:ascii="Arial" w:hAnsi="Arial"/>
          <w:b/>
          <w:noProof/>
          <w:sz w:val="18"/>
          <w:lang w:val="fr-FR"/>
        </w:rPr>
        <w:t>Source: contribution des institutions</w:t>
      </w:r>
    </w:p>
    <w:tbl>
      <w:tblPr>
        <w:tblW w:w="10158" w:type="dxa"/>
        <w:tblInd w:w="93" w:type="dxa"/>
        <w:tblLook w:val="04A0" w:firstRow="1" w:lastRow="0" w:firstColumn="1" w:lastColumn="0" w:noHBand="0" w:noVBand="1"/>
      </w:tblPr>
      <w:tblGrid>
        <w:gridCol w:w="1592"/>
        <w:gridCol w:w="789"/>
        <w:gridCol w:w="1101"/>
        <w:gridCol w:w="795"/>
        <w:gridCol w:w="782"/>
        <w:gridCol w:w="782"/>
        <w:gridCol w:w="782"/>
        <w:gridCol w:w="897"/>
        <w:gridCol w:w="972"/>
        <w:gridCol w:w="784"/>
        <w:gridCol w:w="882"/>
      </w:tblGrid>
      <w:tr w:rsidR="00E91048">
        <w:trPr>
          <w:trHeight w:val="480"/>
        </w:trPr>
        <w:tc>
          <w:tcPr>
            <w:tcW w:w="159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91048" w:rsidRPr="005E3A8B" w:rsidRDefault="005E3A8B">
            <w:pPr>
              <w:spacing w:after="0" w:line="240" w:lineRule="auto"/>
              <w:rPr>
                <w:rFonts w:ascii="Arial" w:eastAsia="Times New Roman" w:hAnsi="Arial" w:cs="Arial"/>
                <w:b/>
                <w:bCs/>
                <w:noProof/>
                <w:sz w:val="16"/>
                <w:szCs w:val="16"/>
                <w:lang w:val="fr-FR"/>
              </w:rPr>
            </w:pPr>
            <w:r w:rsidRPr="005E3A8B">
              <w:rPr>
                <w:rFonts w:ascii="Arial" w:hAnsi="Arial"/>
                <w:b/>
                <w:noProof/>
                <w:sz w:val="16"/>
                <w:lang w:val="fr-FR"/>
              </w:rPr>
              <w:t>Fonctionnaires et agents temporaires AD</w:t>
            </w:r>
          </w:p>
        </w:tc>
        <w:tc>
          <w:tcPr>
            <w:tcW w:w="789" w:type="dxa"/>
            <w:tcBorders>
              <w:top w:val="single" w:sz="4" w:space="0" w:color="auto"/>
              <w:left w:val="nil"/>
              <w:bottom w:val="single" w:sz="4" w:space="0" w:color="auto"/>
              <w:right w:val="single" w:sz="4" w:space="0" w:color="auto"/>
            </w:tcBorders>
            <w:shd w:val="clear" w:color="000000" w:fill="D9D9D9"/>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PE</w:t>
            </w:r>
          </w:p>
        </w:tc>
        <w:tc>
          <w:tcPr>
            <w:tcW w:w="1101" w:type="dxa"/>
            <w:tcBorders>
              <w:top w:val="single" w:sz="4" w:space="0" w:color="auto"/>
              <w:left w:val="nil"/>
              <w:bottom w:val="single" w:sz="4" w:space="0" w:color="auto"/>
              <w:right w:val="single" w:sz="4" w:space="0" w:color="auto"/>
            </w:tcBorders>
            <w:shd w:val="clear" w:color="000000" w:fill="D9D9D9"/>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SG Conseil</w:t>
            </w:r>
          </w:p>
        </w:tc>
        <w:tc>
          <w:tcPr>
            <w:tcW w:w="795" w:type="dxa"/>
            <w:tcBorders>
              <w:top w:val="single" w:sz="4" w:space="0" w:color="auto"/>
              <w:left w:val="nil"/>
              <w:bottom w:val="single" w:sz="4" w:space="0" w:color="auto"/>
              <w:right w:val="single" w:sz="4" w:space="0" w:color="auto"/>
            </w:tcBorders>
            <w:shd w:val="clear" w:color="000000" w:fill="D9D9D9"/>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CJUE</w:t>
            </w:r>
          </w:p>
        </w:tc>
        <w:tc>
          <w:tcPr>
            <w:tcW w:w="782" w:type="dxa"/>
            <w:tcBorders>
              <w:top w:val="single" w:sz="4" w:space="0" w:color="auto"/>
              <w:left w:val="nil"/>
              <w:bottom w:val="single" w:sz="4" w:space="0" w:color="auto"/>
              <w:right w:val="single" w:sz="4" w:space="0" w:color="auto"/>
            </w:tcBorders>
            <w:shd w:val="clear" w:color="000000" w:fill="D9D9D9"/>
            <w:vAlign w:val="center"/>
          </w:tcPr>
          <w:p w:rsidR="00E91048" w:rsidRDefault="005E3A8B">
            <w:pPr>
              <w:spacing w:after="0" w:line="240" w:lineRule="auto"/>
              <w:jc w:val="center"/>
              <w:rPr>
                <w:rFonts w:ascii="Arial" w:hAnsi="Arial"/>
                <w:b/>
                <w:noProof/>
                <w:sz w:val="16"/>
              </w:rPr>
            </w:pPr>
            <w:r>
              <w:rPr>
                <w:rFonts w:ascii="Arial" w:hAnsi="Arial"/>
                <w:b/>
                <w:noProof/>
                <w:sz w:val="16"/>
              </w:rPr>
              <w:t>CdC</w:t>
            </w:r>
          </w:p>
        </w:tc>
        <w:tc>
          <w:tcPr>
            <w:tcW w:w="78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SEAE</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CESE</w:t>
            </w:r>
          </w:p>
        </w:tc>
        <w:tc>
          <w:tcPr>
            <w:tcW w:w="897" w:type="dxa"/>
            <w:tcBorders>
              <w:top w:val="single" w:sz="4" w:space="0" w:color="auto"/>
              <w:left w:val="nil"/>
              <w:bottom w:val="single" w:sz="4" w:space="0" w:color="auto"/>
              <w:right w:val="single" w:sz="4" w:space="0" w:color="auto"/>
            </w:tcBorders>
            <w:shd w:val="clear" w:color="000000" w:fill="D9D9D9"/>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CdR</w:t>
            </w:r>
          </w:p>
        </w:tc>
        <w:tc>
          <w:tcPr>
            <w:tcW w:w="972" w:type="dxa"/>
            <w:tcBorders>
              <w:top w:val="single" w:sz="4" w:space="0" w:color="auto"/>
              <w:left w:val="nil"/>
              <w:bottom w:val="single" w:sz="4" w:space="0" w:color="auto"/>
              <w:right w:val="single" w:sz="4" w:space="0" w:color="auto"/>
            </w:tcBorders>
            <w:shd w:val="clear" w:color="000000" w:fill="D9D9D9"/>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Médiateur</w:t>
            </w:r>
          </w:p>
        </w:tc>
        <w:tc>
          <w:tcPr>
            <w:tcW w:w="784" w:type="dxa"/>
            <w:tcBorders>
              <w:top w:val="single" w:sz="4" w:space="0" w:color="auto"/>
              <w:left w:val="nil"/>
              <w:bottom w:val="single" w:sz="4" w:space="0" w:color="auto"/>
              <w:right w:val="single" w:sz="4" w:space="0" w:color="auto"/>
            </w:tcBorders>
            <w:shd w:val="clear" w:color="000000" w:fill="D9D9D9"/>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CEPD</w:t>
            </w:r>
          </w:p>
        </w:tc>
        <w:tc>
          <w:tcPr>
            <w:tcW w:w="882" w:type="dxa"/>
            <w:tcBorders>
              <w:top w:val="single" w:sz="4" w:space="0" w:color="auto"/>
              <w:left w:val="nil"/>
              <w:bottom w:val="single" w:sz="4" w:space="0" w:color="auto"/>
              <w:right w:val="dotted" w:sz="4" w:space="0" w:color="auto"/>
            </w:tcBorders>
            <w:shd w:val="clear" w:color="000000" w:fill="D9D9D9"/>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Total</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Belgique</w:t>
            </w:r>
          </w:p>
        </w:tc>
        <w:tc>
          <w:tcPr>
            <w:tcW w:w="789" w:type="dxa"/>
            <w:tcBorders>
              <w:top w:val="single"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182</w:t>
            </w:r>
          </w:p>
        </w:tc>
        <w:tc>
          <w:tcPr>
            <w:tcW w:w="1101"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116</w:t>
            </w:r>
          </w:p>
        </w:tc>
        <w:tc>
          <w:tcPr>
            <w:tcW w:w="795"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108</w:t>
            </w:r>
          </w:p>
        </w:tc>
        <w:tc>
          <w:tcPr>
            <w:tcW w:w="782" w:type="dxa"/>
            <w:tcBorders>
              <w:top w:val="single"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42</w:t>
            </w:r>
          </w:p>
        </w:tc>
        <w:tc>
          <w:tcPr>
            <w:tcW w:w="782"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72</w:t>
            </w:r>
          </w:p>
        </w:tc>
        <w:tc>
          <w:tcPr>
            <w:tcW w:w="782"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30</w:t>
            </w:r>
          </w:p>
        </w:tc>
        <w:tc>
          <w:tcPr>
            <w:tcW w:w="897"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16</w:t>
            </w:r>
          </w:p>
        </w:tc>
        <w:tc>
          <w:tcPr>
            <w:tcW w:w="972"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784" w:type="dxa"/>
            <w:tcBorders>
              <w:top w:val="single"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572</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Bulgarie</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75</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41</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33</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22</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12</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200</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République tchèque</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69</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44</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34</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21</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19</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12</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210</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Danemark</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60</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44</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35</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8</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32</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14</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199</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Allemagne</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218</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91</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69</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46</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87</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26</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26</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571</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Estonie</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55</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41</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30</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10</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22</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171</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Irlande</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27</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28</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14</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9</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26</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118</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Grèce</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100</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50</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47</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29</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37</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17</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293</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Espagne</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175</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86</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70</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44</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77</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20</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12</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490</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France</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217</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92</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185</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52</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100</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18</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19</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692</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Croatie</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68</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31</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29</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7</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157</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Italie</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201</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77</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78</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40</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105</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30</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24</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559</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Chypre</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16</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Lettonie</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55</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35</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32</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10</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11</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155</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Lituanie</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56</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38</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33</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12</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19</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176</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Luxembourg</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13</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36</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Hongrie</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89</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42</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39</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23</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16</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229</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Malte</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45</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32</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24</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8</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129</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Pays-Bas</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63</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32</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22</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14</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32</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181</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Autriche</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32</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18</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13</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10</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24</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110</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Pologne</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111</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61</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43</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43</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39</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11</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20</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332</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Portugal</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84</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62</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38</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32</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31</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265</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Roumanie</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97</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57</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37</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33</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24</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15</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14</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279</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Slovénie</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58</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40</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32</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9</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13</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167</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Slovaquie</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64</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37</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32</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11</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12</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168</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Finlande</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91</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58</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31</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18</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19</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11</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239</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Suède</w:t>
            </w:r>
          </w:p>
        </w:tc>
        <w:tc>
          <w:tcPr>
            <w:tcW w:w="789"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70</w:t>
            </w:r>
          </w:p>
        </w:tc>
        <w:tc>
          <w:tcPr>
            <w:tcW w:w="110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40</w:t>
            </w:r>
          </w:p>
        </w:tc>
        <w:tc>
          <w:tcPr>
            <w:tcW w:w="7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36</w:t>
            </w:r>
          </w:p>
        </w:tc>
        <w:tc>
          <w:tcPr>
            <w:tcW w:w="782"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11</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34</w:t>
            </w:r>
          </w:p>
        </w:tc>
        <w:tc>
          <w:tcPr>
            <w:tcW w:w="78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w:t>
            </w:r>
          </w:p>
        </w:tc>
        <w:tc>
          <w:tcPr>
            <w:tcW w:w="89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784"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209</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Royaume-Uni</w:t>
            </w:r>
          </w:p>
        </w:tc>
        <w:tc>
          <w:tcPr>
            <w:tcW w:w="789" w:type="dxa"/>
            <w:tcBorders>
              <w:top w:val="dotted" w:sz="4" w:space="0" w:color="auto"/>
              <w:left w:val="nil"/>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118</w:t>
            </w:r>
          </w:p>
        </w:tc>
        <w:tc>
          <w:tcPr>
            <w:tcW w:w="1101"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50</w:t>
            </w:r>
          </w:p>
        </w:tc>
        <w:tc>
          <w:tcPr>
            <w:tcW w:w="795"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50</w:t>
            </w:r>
          </w:p>
        </w:tc>
        <w:tc>
          <w:tcPr>
            <w:tcW w:w="782" w:type="dxa"/>
            <w:tcBorders>
              <w:top w:val="dotted" w:sz="4" w:space="0" w:color="auto"/>
              <w:left w:val="dotted" w:sz="4" w:space="0" w:color="auto"/>
              <w:bottom w:val="single"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27</w:t>
            </w:r>
          </w:p>
        </w:tc>
        <w:tc>
          <w:tcPr>
            <w:tcW w:w="782"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72</w:t>
            </w:r>
          </w:p>
        </w:tc>
        <w:tc>
          <w:tcPr>
            <w:tcW w:w="782"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15</w:t>
            </w:r>
          </w:p>
        </w:tc>
        <w:tc>
          <w:tcPr>
            <w:tcW w:w="897"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w:t>
            </w:r>
          </w:p>
        </w:tc>
        <w:tc>
          <w:tcPr>
            <w:tcW w:w="972"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784"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343</w:t>
            </w:r>
          </w:p>
        </w:tc>
      </w:tr>
      <w:tr w:rsidR="00E91048">
        <w:trPr>
          <w:trHeight w:val="227"/>
        </w:trPr>
        <w:tc>
          <w:tcPr>
            <w:tcW w:w="159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Total</w:t>
            </w:r>
          </w:p>
        </w:tc>
        <w:tc>
          <w:tcPr>
            <w:tcW w:w="789"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2 499</w:t>
            </w:r>
          </w:p>
        </w:tc>
        <w:tc>
          <w:tcPr>
            <w:tcW w:w="1101"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1 351</w:t>
            </w:r>
          </w:p>
        </w:tc>
        <w:tc>
          <w:tcPr>
            <w:tcW w:w="79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1 205</w:t>
            </w:r>
          </w:p>
        </w:tc>
        <w:tc>
          <w:tcPr>
            <w:tcW w:w="782" w:type="dxa"/>
            <w:tcBorders>
              <w:top w:val="single" w:sz="4" w:space="0" w:color="auto"/>
              <w:left w:val="nil"/>
              <w:bottom w:val="single" w:sz="4" w:space="0" w:color="auto"/>
              <w:right w:val="single" w:sz="4" w:space="0" w:color="auto"/>
            </w:tcBorders>
            <w:shd w:val="clear" w:color="000000" w:fill="99CCFF"/>
            <w:vAlign w:val="center"/>
          </w:tcPr>
          <w:p w:rsidR="00E91048" w:rsidRDefault="005E3A8B">
            <w:pPr>
              <w:spacing w:after="0" w:line="240" w:lineRule="auto"/>
              <w:jc w:val="center"/>
              <w:rPr>
                <w:rFonts w:ascii="Arial" w:hAnsi="Arial"/>
                <w:b/>
                <w:noProof/>
                <w:sz w:val="16"/>
              </w:rPr>
            </w:pPr>
            <w:r>
              <w:rPr>
                <w:rFonts w:ascii="Arial" w:hAnsi="Arial"/>
                <w:b/>
                <w:noProof/>
                <w:sz w:val="16"/>
              </w:rPr>
              <w:t>596</w:t>
            </w:r>
          </w:p>
        </w:tc>
        <w:tc>
          <w:tcPr>
            <w:tcW w:w="78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hAnsi="Arial"/>
                <w:b/>
                <w:noProof/>
                <w:sz w:val="16"/>
              </w:rPr>
            </w:pPr>
            <w:r>
              <w:rPr>
                <w:rFonts w:ascii="Arial" w:hAnsi="Arial"/>
                <w:b/>
                <w:noProof/>
                <w:sz w:val="16"/>
              </w:rPr>
              <w:t>947</w:t>
            </w:r>
          </w:p>
        </w:tc>
        <w:tc>
          <w:tcPr>
            <w:tcW w:w="78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318</w:t>
            </w:r>
          </w:p>
        </w:tc>
        <w:tc>
          <w:tcPr>
            <w:tcW w:w="897"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282</w:t>
            </w:r>
          </w:p>
        </w:tc>
        <w:tc>
          <w:tcPr>
            <w:tcW w:w="97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37</w:t>
            </w:r>
          </w:p>
        </w:tc>
        <w:tc>
          <w:tcPr>
            <w:tcW w:w="784"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31</w:t>
            </w:r>
          </w:p>
        </w:tc>
        <w:tc>
          <w:tcPr>
            <w:tcW w:w="882" w:type="dxa"/>
            <w:tcBorders>
              <w:top w:val="nil"/>
              <w:left w:val="nil"/>
              <w:bottom w:val="single" w:sz="4" w:space="0" w:color="auto"/>
              <w:right w:val="dotted"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lang w:bidi="ar-SA"/>
              </w:rPr>
            </w:pPr>
            <w:r>
              <w:rPr>
                <w:rFonts w:ascii="Arial" w:eastAsia="Times New Roman" w:hAnsi="Arial" w:cs="Arial"/>
                <w:b/>
                <w:bCs/>
                <w:noProof/>
                <w:sz w:val="16"/>
                <w:szCs w:val="16"/>
                <w:lang w:bidi="ar-SA"/>
              </w:rPr>
              <w:t>7 266</w:t>
            </w:r>
          </w:p>
        </w:tc>
      </w:tr>
    </w:tbl>
    <w:p w:rsidR="00E91048" w:rsidRPr="005E3A8B" w:rsidRDefault="005E3A8B">
      <w:pPr>
        <w:spacing w:after="120" w:line="240" w:lineRule="auto"/>
        <w:jc w:val="both"/>
        <w:rPr>
          <w:rFonts w:ascii="Times New Roman" w:eastAsia="Times New Roman" w:hAnsi="Times New Roman" w:cs="Times New Roman"/>
          <w:b/>
          <w:noProof/>
          <w:sz w:val="24"/>
          <w:szCs w:val="20"/>
          <w:lang w:val="fr-FR"/>
        </w:rPr>
      </w:pPr>
      <w:r w:rsidRPr="005E3A8B">
        <w:rPr>
          <w:rFonts w:ascii="Times New Roman" w:hAnsi="Times New Roman"/>
          <w:b/>
          <w:noProof/>
          <w:sz w:val="24"/>
          <w:lang w:val="fr-FR"/>
        </w:rPr>
        <w:t xml:space="preserve">Annexe 11: Répartition du </w:t>
      </w:r>
      <w:r w:rsidRPr="005E3A8B">
        <w:rPr>
          <w:rFonts w:ascii="Times New Roman" w:hAnsi="Times New Roman"/>
          <w:b/>
          <w:noProof/>
          <w:sz w:val="24"/>
          <w:lang w:val="fr-FR"/>
        </w:rPr>
        <w:t>personnel AD par nationalité dans les institutions de l’UE (pourcentage du personnel AD)</w:t>
      </w:r>
    </w:p>
    <w:p w:rsidR="00E91048" w:rsidRPr="005E3A8B" w:rsidRDefault="005E3A8B">
      <w:pPr>
        <w:spacing w:after="240" w:line="240" w:lineRule="auto"/>
        <w:jc w:val="both"/>
        <w:rPr>
          <w:rFonts w:ascii="Times New Roman" w:eastAsia="Times New Roman" w:hAnsi="Times New Roman" w:cs="Times New Roman"/>
          <w:b/>
          <w:noProof/>
          <w:sz w:val="24"/>
          <w:szCs w:val="24"/>
          <w:highlight w:val="yellow"/>
          <w:lang w:val="fr-FR"/>
        </w:rPr>
      </w:pPr>
      <w:r w:rsidRPr="005E3A8B">
        <w:rPr>
          <w:rFonts w:ascii="Arial" w:hAnsi="Arial"/>
          <w:b/>
          <w:noProof/>
          <w:sz w:val="18"/>
          <w:lang w:val="fr-FR"/>
        </w:rPr>
        <w:t xml:space="preserve">Fonctionnaires et agents temporaires AD, situation au 1.1.2017 - Répartition </w:t>
      </w:r>
      <w:r w:rsidRPr="005E3A8B">
        <w:rPr>
          <w:noProof/>
          <w:lang w:val="fr-FR"/>
        </w:rPr>
        <w:tab/>
      </w:r>
      <w:r w:rsidRPr="005E3A8B">
        <w:rPr>
          <w:rFonts w:ascii="Arial" w:eastAsia="Times New Roman" w:hAnsi="Arial" w:cs="Arial"/>
          <w:b/>
          <w:bCs/>
          <w:noProof/>
          <w:sz w:val="18"/>
          <w:szCs w:val="18"/>
          <w:lang w:val="fr-FR"/>
        </w:rPr>
        <w:br/>
      </w:r>
      <w:r w:rsidRPr="005E3A8B">
        <w:rPr>
          <w:rFonts w:ascii="Arial" w:hAnsi="Arial"/>
          <w:b/>
          <w:noProof/>
          <w:sz w:val="18"/>
          <w:lang w:val="fr-FR"/>
        </w:rPr>
        <w:t>Source: contribution des institutions</w:t>
      </w:r>
    </w:p>
    <w:tbl>
      <w:tblPr>
        <w:tblW w:w="10157" w:type="dxa"/>
        <w:tblInd w:w="93" w:type="dxa"/>
        <w:tblLook w:val="04A0" w:firstRow="1" w:lastRow="0" w:firstColumn="1" w:lastColumn="0" w:noHBand="0" w:noVBand="1"/>
      </w:tblPr>
      <w:tblGrid>
        <w:gridCol w:w="1582"/>
        <w:gridCol w:w="796"/>
        <w:gridCol w:w="1088"/>
        <w:gridCol w:w="796"/>
        <w:gridCol w:w="781"/>
        <w:gridCol w:w="781"/>
        <w:gridCol w:w="781"/>
        <w:gridCol w:w="914"/>
        <w:gridCol w:w="972"/>
        <w:gridCol w:w="781"/>
        <w:gridCol w:w="885"/>
      </w:tblGrid>
      <w:tr w:rsidR="00E91048">
        <w:trPr>
          <w:trHeight w:val="480"/>
        </w:trPr>
        <w:tc>
          <w:tcPr>
            <w:tcW w:w="158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91048" w:rsidRPr="005E3A8B" w:rsidRDefault="005E3A8B">
            <w:pPr>
              <w:spacing w:after="0" w:line="240" w:lineRule="auto"/>
              <w:rPr>
                <w:rFonts w:ascii="Arial" w:eastAsia="Times New Roman" w:hAnsi="Arial" w:cs="Arial"/>
                <w:b/>
                <w:bCs/>
                <w:noProof/>
                <w:sz w:val="16"/>
                <w:szCs w:val="16"/>
                <w:lang w:val="fr-FR"/>
              </w:rPr>
            </w:pPr>
            <w:r w:rsidRPr="005E3A8B">
              <w:rPr>
                <w:rFonts w:ascii="Arial" w:hAnsi="Arial"/>
                <w:b/>
                <w:noProof/>
                <w:sz w:val="16"/>
                <w:lang w:val="fr-FR"/>
              </w:rPr>
              <w:t xml:space="preserve">Fonctionnaires et agents temporaires AD </w:t>
            </w:r>
          </w:p>
        </w:tc>
        <w:tc>
          <w:tcPr>
            <w:tcW w:w="796" w:type="dxa"/>
            <w:tcBorders>
              <w:top w:val="single" w:sz="4" w:space="0" w:color="auto"/>
              <w:left w:val="nil"/>
              <w:bottom w:val="single" w:sz="4" w:space="0" w:color="auto"/>
              <w:right w:val="single" w:sz="4" w:space="0" w:color="auto"/>
            </w:tcBorders>
            <w:shd w:val="clear" w:color="000000" w:fill="D9D9D9"/>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PE</w:t>
            </w:r>
          </w:p>
        </w:tc>
        <w:tc>
          <w:tcPr>
            <w:tcW w:w="1088" w:type="dxa"/>
            <w:tcBorders>
              <w:top w:val="single" w:sz="4" w:space="0" w:color="auto"/>
              <w:left w:val="nil"/>
              <w:bottom w:val="single" w:sz="4" w:space="0" w:color="auto"/>
              <w:right w:val="single" w:sz="4" w:space="0" w:color="auto"/>
            </w:tcBorders>
            <w:shd w:val="clear" w:color="000000" w:fill="D9D9D9"/>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SG Con</w:t>
            </w:r>
            <w:r>
              <w:rPr>
                <w:rFonts w:ascii="Arial" w:hAnsi="Arial"/>
                <w:b/>
                <w:noProof/>
                <w:sz w:val="16"/>
              </w:rPr>
              <w:t>seil</w:t>
            </w:r>
          </w:p>
        </w:tc>
        <w:tc>
          <w:tcPr>
            <w:tcW w:w="796" w:type="dxa"/>
            <w:tcBorders>
              <w:top w:val="single" w:sz="4" w:space="0" w:color="auto"/>
              <w:left w:val="nil"/>
              <w:bottom w:val="single" w:sz="4" w:space="0" w:color="auto"/>
              <w:right w:val="single" w:sz="4" w:space="0" w:color="auto"/>
            </w:tcBorders>
            <w:shd w:val="clear" w:color="000000" w:fill="D9D9D9"/>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CJUE</w:t>
            </w:r>
          </w:p>
        </w:tc>
        <w:tc>
          <w:tcPr>
            <w:tcW w:w="781" w:type="dxa"/>
            <w:tcBorders>
              <w:top w:val="single" w:sz="4" w:space="0" w:color="auto"/>
              <w:left w:val="nil"/>
              <w:bottom w:val="single" w:sz="4" w:space="0" w:color="auto"/>
              <w:right w:val="single" w:sz="4" w:space="0" w:color="auto"/>
            </w:tcBorders>
            <w:shd w:val="clear" w:color="000000" w:fill="D9D9D9"/>
            <w:vAlign w:val="center"/>
          </w:tcPr>
          <w:p w:rsidR="00E91048" w:rsidRDefault="005E3A8B">
            <w:pPr>
              <w:spacing w:after="0" w:line="240" w:lineRule="auto"/>
              <w:jc w:val="center"/>
              <w:rPr>
                <w:rFonts w:ascii="Arial" w:eastAsia="Times New Roman" w:hAnsi="Arial" w:cs="Arial"/>
                <w:b/>
                <w:bCs/>
                <w:noProof/>
                <w:sz w:val="16"/>
                <w:szCs w:val="16"/>
                <w:lang w:bidi="ar-SA"/>
              </w:rPr>
            </w:pPr>
            <w:r>
              <w:rPr>
                <w:rFonts w:ascii="Arial" w:eastAsia="Times New Roman" w:hAnsi="Arial" w:cs="Arial"/>
                <w:b/>
                <w:bCs/>
                <w:noProof/>
                <w:sz w:val="16"/>
                <w:szCs w:val="16"/>
                <w:lang w:bidi="ar-SA"/>
              </w:rPr>
              <w:t>CdC</w:t>
            </w:r>
          </w:p>
        </w:tc>
        <w:tc>
          <w:tcPr>
            <w:tcW w:w="78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SEAE</w:t>
            </w:r>
          </w:p>
        </w:tc>
        <w:tc>
          <w:tcPr>
            <w:tcW w:w="781" w:type="dxa"/>
            <w:tcBorders>
              <w:top w:val="single" w:sz="4" w:space="0" w:color="auto"/>
              <w:left w:val="nil"/>
              <w:bottom w:val="single" w:sz="4" w:space="0" w:color="auto"/>
              <w:right w:val="single" w:sz="4" w:space="0" w:color="auto"/>
            </w:tcBorders>
            <w:shd w:val="clear" w:color="000000" w:fill="D9D9D9"/>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CESE</w:t>
            </w:r>
          </w:p>
        </w:tc>
        <w:tc>
          <w:tcPr>
            <w:tcW w:w="914" w:type="dxa"/>
            <w:tcBorders>
              <w:top w:val="single" w:sz="4" w:space="0" w:color="auto"/>
              <w:left w:val="nil"/>
              <w:bottom w:val="single" w:sz="4" w:space="0" w:color="auto"/>
              <w:right w:val="single" w:sz="4" w:space="0" w:color="auto"/>
            </w:tcBorders>
            <w:shd w:val="clear" w:color="000000" w:fill="D9D9D9"/>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CdR</w:t>
            </w:r>
          </w:p>
        </w:tc>
        <w:tc>
          <w:tcPr>
            <w:tcW w:w="972" w:type="dxa"/>
            <w:tcBorders>
              <w:top w:val="single" w:sz="4" w:space="0" w:color="auto"/>
              <w:left w:val="nil"/>
              <w:bottom w:val="single" w:sz="4" w:space="0" w:color="auto"/>
              <w:right w:val="single" w:sz="4" w:space="0" w:color="auto"/>
            </w:tcBorders>
            <w:shd w:val="clear" w:color="000000" w:fill="D9D9D9"/>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Médiateur</w:t>
            </w:r>
          </w:p>
        </w:tc>
        <w:tc>
          <w:tcPr>
            <w:tcW w:w="781" w:type="dxa"/>
            <w:tcBorders>
              <w:top w:val="single" w:sz="4" w:space="0" w:color="auto"/>
              <w:left w:val="nil"/>
              <w:bottom w:val="single" w:sz="4" w:space="0" w:color="auto"/>
              <w:right w:val="single" w:sz="4" w:space="0" w:color="auto"/>
            </w:tcBorders>
            <w:shd w:val="clear" w:color="000000" w:fill="D9D9D9"/>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CEPD</w:t>
            </w:r>
          </w:p>
        </w:tc>
        <w:tc>
          <w:tcPr>
            <w:tcW w:w="885" w:type="dxa"/>
            <w:tcBorders>
              <w:top w:val="single" w:sz="4" w:space="0" w:color="auto"/>
              <w:left w:val="nil"/>
              <w:bottom w:val="single" w:sz="4" w:space="0" w:color="auto"/>
              <w:right w:val="single" w:sz="4" w:space="0" w:color="auto"/>
            </w:tcBorders>
            <w:shd w:val="clear" w:color="000000" w:fill="D9D9D9"/>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Total</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Belgique</w:t>
            </w:r>
          </w:p>
        </w:tc>
        <w:tc>
          <w:tcPr>
            <w:tcW w:w="796" w:type="dxa"/>
            <w:tcBorders>
              <w:top w:val="single"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7 %</w:t>
            </w:r>
          </w:p>
        </w:tc>
        <w:tc>
          <w:tcPr>
            <w:tcW w:w="1088"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9 %</w:t>
            </w:r>
          </w:p>
        </w:tc>
        <w:tc>
          <w:tcPr>
            <w:tcW w:w="796"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9 %</w:t>
            </w:r>
          </w:p>
        </w:tc>
        <w:tc>
          <w:tcPr>
            <w:tcW w:w="781" w:type="dxa"/>
            <w:tcBorders>
              <w:top w:val="single"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7 %</w:t>
            </w:r>
          </w:p>
        </w:tc>
        <w:tc>
          <w:tcPr>
            <w:tcW w:w="781"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8 %</w:t>
            </w:r>
          </w:p>
        </w:tc>
        <w:tc>
          <w:tcPr>
            <w:tcW w:w="781"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9 %</w:t>
            </w:r>
          </w:p>
        </w:tc>
        <w:tc>
          <w:tcPr>
            <w:tcW w:w="914"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6 %</w:t>
            </w:r>
          </w:p>
        </w:tc>
        <w:tc>
          <w:tcPr>
            <w:tcW w:w="972"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781" w:type="dxa"/>
            <w:tcBorders>
              <w:top w:val="single"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19 %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hAnsi="Arial"/>
                <w:noProof/>
                <w:sz w:val="16"/>
              </w:rPr>
              <w:t>8 %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Bulgarie</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hAnsi="Arial"/>
                <w:noProof/>
                <w:sz w:val="16"/>
              </w:rPr>
              <w:t>3 %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République tchèque</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5 %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hAnsi="Arial"/>
                <w:noProof/>
                <w:sz w:val="16"/>
              </w:rPr>
              <w:t>3 %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Danemark</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5 %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hAnsi="Arial"/>
                <w:noProof/>
                <w:sz w:val="16"/>
              </w:rPr>
              <w:t>3 %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Allemagne</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9 %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7 %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6 %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8 %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9 %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8 %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9 %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14 %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10 %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hAnsi="Arial"/>
                <w:noProof/>
                <w:sz w:val="16"/>
              </w:rPr>
              <w:t>8 %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Estonie</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hAnsi="Arial"/>
                <w:noProof/>
                <w:sz w:val="16"/>
              </w:rPr>
              <w:t>2 %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Irlande</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16 %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hAnsi="Arial"/>
                <w:noProof/>
                <w:sz w:val="16"/>
              </w:rPr>
              <w:t>2 %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Grèce</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5 %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5 %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8 %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hAnsi="Arial"/>
                <w:noProof/>
                <w:sz w:val="16"/>
              </w:rPr>
              <w:t>4 %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Espagne</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7 %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6 %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6 %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7 %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8 %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6 %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5 %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13 %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hAnsi="Arial"/>
                <w:noProof/>
                <w:sz w:val="16"/>
              </w:rPr>
              <w:t>7 %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France</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9 %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7 %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15 %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9 %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11 %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6 %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7 %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14 %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13 %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hAnsi="Arial"/>
                <w:noProof/>
                <w:sz w:val="16"/>
              </w:rPr>
              <w:t>10 %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Croatie</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hAnsi="Arial"/>
                <w:noProof/>
                <w:sz w:val="16"/>
              </w:rPr>
              <w:t>2 %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Italie</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8 %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6 %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6 %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7 %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11 %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9 %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9 %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13 %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hAnsi="Arial"/>
                <w:noProof/>
                <w:sz w:val="16"/>
              </w:rPr>
              <w:t>8 %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Chypre</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hAnsi="Arial"/>
                <w:noProof/>
                <w:sz w:val="16"/>
              </w:rPr>
              <w:t>0 %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Lettonie</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hAnsi="Arial"/>
                <w:noProof/>
                <w:sz w:val="16"/>
              </w:rPr>
              <w:t>2 %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Lituanie</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hAnsi="Arial"/>
                <w:noProof/>
                <w:sz w:val="16"/>
              </w:rPr>
            </w:pPr>
            <w:r>
              <w:rPr>
                <w:rFonts w:ascii="Arial" w:eastAsia="Times New Roman" w:hAnsi="Arial" w:cs="Arial"/>
                <w:bCs/>
                <w:noProof/>
                <w:sz w:val="16"/>
                <w:szCs w:val="16"/>
                <w:lang w:bidi="ar-SA"/>
              </w:rPr>
              <w:t>0</w:t>
            </w:r>
            <w:r>
              <w:rPr>
                <w:rFonts w:ascii="Arial" w:hAnsi="Arial"/>
                <w:noProof/>
                <w:sz w:val="16"/>
              </w:rPr>
              <w:t>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lang w:bidi="ar-SA"/>
              </w:rPr>
            </w:pPr>
            <w:r>
              <w:rPr>
                <w:rFonts w:ascii="Arial" w:eastAsia="Times New Roman" w:hAnsi="Arial" w:cs="Arial"/>
                <w:noProof/>
                <w:sz w:val="16"/>
                <w:szCs w:val="16"/>
                <w:lang w:bidi="ar-SA"/>
              </w:rPr>
              <w:t>2 %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Luxembourg</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hAnsi="Arial"/>
                <w:noProof/>
                <w:sz w:val="16"/>
              </w:rPr>
            </w:pPr>
            <w:r>
              <w:rPr>
                <w:rFonts w:ascii="Arial" w:hAnsi="Arial"/>
                <w:noProof/>
                <w:sz w:val="16"/>
              </w:rPr>
              <w:t>0 %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lang w:bidi="ar-SA"/>
              </w:rPr>
            </w:pPr>
            <w:r>
              <w:rPr>
                <w:rFonts w:ascii="Arial" w:eastAsia="Times New Roman" w:hAnsi="Arial" w:cs="Arial"/>
                <w:noProof/>
                <w:sz w:val="16"/>
                <w:szCs w:val="16"/>
                <w:lang w:bidi="ar-SA"/>
              </w:rPr>
              <w:t>0 %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Hongrie</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hAnsi="Arial"/>
                <w:noProof/>
                <w:sz w:val="16"/>
              </w:rPr>
            </w:pPr>
            <w:r>
              <w:rPr>
                <w:rFonts w:ascii="Arial" w:hAnsi="Arial"/>
                <w:noProof/>
                <w:sz w:val="16"/>
              </w:rPr>
              <w:t>3 %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lang w:bidi="ar-SA"/>
              </w:rPr>
            </w:pPr>
            <w:r>
              <w:rPr>
                <w:rFonts w:ascii="Arial" w:eastAsia="Times New Roman" w:hAnsi="Arial" w:cs="Arial"/>
                <w:noProof/>
                <w:sz w:val="16"/>
                <w:szCs w:val="16"/>
                <w:lang w:bidi="ar-SA"/>
              </w:rPr>
              <w:t>3 %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Malte</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hAnsi="Arial"/>
                <w:noProof/>
                <w:sz w:val="16"/>
              </w:rPr>
              <w:t>2 %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Pays-Bas</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hAnsi="Arial"/>
                <w:noProof/>
                <w:sz w:val="16"/>
              </w:rPr>
            </w:pPr>
            <w:r>
              <w:rPr>
                <w:rFonts w:ascii="Arial" w:hAnsi="Arial"/>
                <w:noProof/>
                <w:sz w:val="16"/>
              </w:rPr>
              <w:t>3 %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lang w:bidi="ar-SA"/>
              </w:rPr>
            </w:pPr>
            <w:r>
              <w:rPr>
                <w:rFonts w:ascii="Arial" w:eastAsia="Times New Roman" w:hAnsi="Arial" w:cs="Arial"/>
                <w:noProof/>
                <w:sz w:val="16"/>
                <w:szCs w:val="16"/>
                <w:lang w:bidi="ar-SA"/>
              </w:rPr>
              <w:t>2 %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Autriche</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5 %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2</w:t>
            </w:r>
            <w:r>
              <w:rPr>
                <w:rFonts w:ascii="Arial" w:hAnsi="Arial"/>
                <w:noProof/>
                <w:sz w:val="16"/>
              </w:rPr>
              <w:t>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Pologne</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5 %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7 %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7 %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5 %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6 %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eastAsia="Times New Roman" w:hAnsi="Arial" w:cs="Arial"/>
                <w:noProof/>
                <w:sz w:val="16"/>
                <w:szCs w:val="16"/>
                <w:lang w:bidi="ar-SA"/>
              </w:rPr>
              <w:t>5</w:t>
            </w:r>
            <w:r>
              <w:rPr>
                <w:rFonts w:ascii="Arial" w:hAnsi="Arial"/>
                <w:noProof/>
                <w:sz w:val="16"/>
              </w:rPr>
              <w:t>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Portugal</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5 %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5 %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hAnsi="Arial"/>
                <w:noProof/>
                <w:sz w:val="16"/>
              </w:rPr>
            </w:pPr>
            <w:r>
              <w:rPr>
                <w:rFonts w:ascii="Arial" w:eastAsia="Times New Roman" w:hAnsi="Arial" w:cs="Arial"/>
                <w:bCs/>
                <w:noProof/>
                <w:sz w:val="16"/>
                <w:szCs w:val="16"/>
                <w:lang w:bidi="ar-SA"/>
              </w:rPr>
              <w:t>0</w:t>
            </w:r>
            <w:r>
              <w:rPr>
                <w:rFonts w:ascii="Arial" w:hAnsi="Arial"/>
                <w:noProof/>
                <w:sz w:val="16"/>
              </w:rPr>
              <w:t>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lang w:bidi="ar-SA"/>
              </w:rPr>
            </w:pPr>
            <w:r>
              <w:rPr>
                <w:rFonts w:ascii="Arial" w:eastAsia="Times New Roman" w:hAnsi="Arial" w:cs="Arial"/>
                <w:noProof/>
                <w:sz w:val="16"/>
                <w:szCs w:val="16"/>
                <w:lang w:bidi="ar-SA"/>
              </w:rPr>
              <w:t>4 %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Roumanie</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6 %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5 %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5 %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hAnsi="Arial"/>
                <w:noProof/>
                <w:sz w:val="16"/>
              </w:rPr>
              <w:t>4 %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Slovénie</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hAnsi="Arial"/>
                <w:noProof/>
                <w:sz w:val="16"/>
              </w:rPr>
              <w:t>2 %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Slovaquie</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1 %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hAnsi="Arial"/>
                <w:noProof/>
                <w:sz w:val="16"/>
              </w:rPr>
            </w:pPr>
            <w:r>
              <w:rPr>
                <w:rFonts w:ascii="Arial" w:eastAsia="Times New Roman" w:hAnsi="Arial" w:cs="Arial"/>
                <w:bCs/>
                <w:noProof/>
                <w:sz w:val="16"/>
                <w:szCs w:val="16"/>
                <w:lang w:bidi="ar-SA"/>
              </w:rPr>
              <w:t>0</w:t>
            </w:r>
            <w:r>
              <w:rPr>
                <w:rFonts w:ascii="Arial" w:hAnsi="Arial"/>
                <w:noProof/>
                <w:sz w:val="16"/>
              </w:rPr>
              <w:t>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lang w:bidi="ar-SA"/>
              </w:rPr>
            </w:pPr>
            <w:r>
              <w:rPr>
                <w:rFonts w:ascii="Arial" w:eastAsia="Times New Roman" w:hAnsi="Arial" w:cs="Arial"/>
                <w:noProof/>
                <w:sz w:val="16"/>
                <w:szCs w:val="16"/>
                <w:lang w:bidi="ar-SA"/>
              </w:rPr>
              <w:t>2 %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Finlande</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hAnsi="Arial"/>
                <w:noProof/>
                <w:sz w:val="16"/>
              </w:rPr>
            </w:pPr>
            <w:r>
              <w:rPr>
                <w:rFonts w:ascii="Arial" w:eastAsia="Times New Roman" w:hAnsi="Arial" w:cs="Arial"/>
                <w:bCs/>
                <w:noProof/>
                <w:sz w:val="16"/>
                <w:szCs w:val="16"/>
                <w:lang w:bidi="ar-SA"/>
              </w:rPr>
              <w:t>0</w:t>
            </w:r>
            <w:r>
              <w:rPr>
                <w:rFonts w:ascii="Arial" w:hAnsi="Arial"/>
                <w:noProof/>
                <w:sz w:val="16"/>
              </w:rPr>
              <w:t>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lang w:bidi="ar-SA"/>
              </w:rPr>
            </w:pPr>
            <w:r>
              <w:rPr>
                <w:rFonts w:ascii="Arial" w:eastAsia="Times New Roman" w:hAnsi="Arial" w:cs="Arial"/>
                <w:noProof/>
                <w:sz w:val="16"/>
                <w:szCs w:val="16"/>
                <w:lang w:bidi="ar-SA"/>
              </w:rPr>
              <w:t>3 %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Suède</w:t>
            </w:r>
          </w:p>
        </w:tc>
        <w:tc>
          <w:tcPr>
            <w:tcW w:w="796"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108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9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2 %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78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91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97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hAnsi="Arial"/>
                <w:noProof/>
                <w:sz w:val="16"/>
              </w:rPr>
            </w:pPr>
            <w:r>
              <w:rPr>
                <w:rFonts w:ascii="Arial" w:hAnsi="Arial"/>
                <w:noProof/>
                <w:sz w:val="16"/>
              </w:rPr>
              <w:t>3 %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lang w:bidi="ar-SA"/>
              </w:rPr>
            </w:pPr>
            <w:r>
              <w:rPr>
                <w:rFonts w:ascii="Arial" w:eastAsia="Times New Roman" w:hAnsi="Arial" w:cs="Arial"/>
                <w:noProof/>
                <w:sz w:val="16"/>
                <w:szCs w:val="16"/>
                <w:lang w:bidi="ar-SA"/>
              </w:rPr>
              <w:t>3 %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Royaume-Uni</w:t>
            </w:r>
          </w:p>
        </w:tc>
        <w:tc>
          <w:tcPr>
            <w:tcW w:w="796" w:type="dxa"/>
            <w:tcBorders>
              <w:top w:val="dotted" w:sz="4" w:space="0" w:color="auto"/>
              <w:left w:val="nil"/>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5 %</w:t>
            </w:r>
          </w:p>
        </w:tc>
        <w:tc>
          <w:tcPr>
            <w:tcW w:w="1088"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796"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781" w:type="dxa"/>
            <w:tcBorders>
              <w:top w:val="dotted" w:sz="4" w:space="0" w:color="auto"/>
              <w:left w:val="dotted" w:sz="4" w:space="0" w:color="auto"/>
              <w:bottom w:val="single" w:sz="4" w:space="0" w:color="auto"/>
              <w:right w:val="dotted" w:sz="4" w:space="0" w:color="auto"/>
            </w:tcBorders>
            <w:vAlign w:val="center"/>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5 %</w:t>
            </w:r>
          </w:p>
        </w:tc>
        <w:tc>
          <w:tcPr>
            <w:tcW w:w="781"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8 %</w:t>
            </w:r>
          </w:p>
        </w:tc>
        <w:tc>
          <w:tcPr>
            <w:tcW w:w="781"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5 %</w:t>
            </w:r>
          </w:p>
        </w:tc>
        <w:tc>
          <w:tcPr>
            <w:tcW w:w="914"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4 %</w:t>
            </w:r>
          </w:p>
        </w:tc>
        <w:tc>
          <w:tcPr>
            <w:tcW w:w="972"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3 %</w:t>
            </w:r>
          </w:p>
        </w:tc>
        <w:tc>
          <w:tcPr>
            <w:tcW w:w="781"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lang w:bidi="ar-SA"/>
              </w:rPr>
            </w:pPr>
            <w:r>
              <w:rPr>
                <w:rFonts w:ascii="Arial" w:eastAsia="Times New Roman" w:hAnsi="Arial" w:cs="Arial"/>
                <w:bCs/>
                <w:noProof/>
                <w:sz w:val="16"/>
                <w:szCs w:val="16"/>
                <w:lang w:bidi="ar-SA"/>
              </w:rPr>
              <w:t>0 %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hAnsi="Arial"/>
                <w:noProof/>
                <w:sz w:val="16"/>
              </w:rPr>
            </w:pPr>
            <w:r>
              <w:rPr>
                <w:rFonts w:ascii="Arial" w:hAnsi="Arial"/>
                <w:noProof/>
                <w:sz w:val="16"/>
              </w:rPr>
              <w:t>5 %</w:t>
            </w:r>
          </w:p>
        </w:tc>
      </w:tr>
      <w:tr w:rsidR="00E91048">
        <w:trPr>
          <w:trHeight w:val="240"/>
        </w:trPr>
        <w:tc>
          <w:tcPr>
            <w:tcW w:w="158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Total</w:t>
            </w:r>
          </w:p>
        </w:tc>
        <w:tc>
          <w:tcPr>
            <w:tcW w:w="796"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1088"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796"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781" w:type="dxa"/>
            <w:tcBorders>
              <w:top w:val="single" w:sz="4" w:space="0" w:color="auto"/>
              <w:left w:val="nil"/>
              <w:bottom w:val="single" w:sz="4" w:space="0" w:color="auto"/>
              <w:right w:val="single" w:sz="4" w:space="0" w:color="auto"/>
            </w:tcBorders>
            <w:shd w:val="clear" w:color="000000" w:fill="99CCFF"/>
            <w:vAlign w:val="center"/>
          </w:tcPr>
          <w:p w:rsidR="00E91048" w:rsidRDefault="005E3A8B">
            <w:pPr>
              <w:spacing w:after="0" w:line="240" w:lineRule="auto"/>
              <w:jc w:val="center"/>
              <w:rPr>
                <w:rFonts w:ascii="Arial" w:eastAsia="Times New Roman" w:hAnsi="Arial" w:cs="Arial"/>
                <w:b/>
                <w:bCs/>
                <w:noProof/>
                <w:sz w:val="16"/>
                <w:szCs w:val="16"/>
                <w:lang w:bidi="ar-SA"/>
              </w:rPr>
            </w:pPr>
            <w:r>
              <w:rPr>
                <w:rFonts w:ascii="Arial" w:eastAsia="Times New Roman" w:hAnsi="Arial" w:cs="Arial"/>
                <w:b/>
                <w:bCs/>
                <w:noProof/>
                <w:sz w:val="16"/>
                <w:szCs w:val="16"/>
                <w:lang w:bidi="ar-SA"/>
              </w:rPr>
              <w:t>100%</w:t>
            </w:r>
          </w:p>
        </w:tc>
        <w:tc>
          <w:tcPr>
            <w:tcW w:w="781" w:type="dxa"/>
            <w:tcBorders>
              <w:top w:val="nil"/>
              <w:left w:val="single" w:sz="4" w:space="0" w:color="auto"/>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781"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914"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97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781"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885"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r>
    </w:tbl>
    <w:p w:rsidR="00E91048" w:rsidRDefault="00E91048">
      <w:pPr>
        <w:spacing w:after="0" w:line="240" w:lineRule="auto"/>
        <w:rPr>
          <w:rFonts w:ascii="Times New Roman" w:eastAsia="Times New Roman" w:hAnsi="Times New Roman" w:cs="Times New Roman"/>
          <w:b/>
          <w:noProof/>
          <w:sz w:val="24"/>
          <w:szCs w:val="24"/>
          <w:highlight w:val="yellow"/>
        </w:rPr>
        <w:sectPr w:rsidR="00E91048">
          <w:headerReference w:type="even" r:id="rId72"/>
          <w:headerReference w:type="default" r:id="rId73"/>
          <w:footerReference w:type="even" r:id="rId74"/>
          <w:footerReference w:type="default" r:id="rId75"/>
          <w:headerReference w:type="first" r:id="rId76"/>
          <w:footerReference w:type="first" r:id="rId77"/>
          <w:pgSz w:w="16838" w:h="11906" w:orient="landscape"/>
          <w:pgMar w:top="1021" w:right="1021" w:bottom="1134" w:left="1021" w:header="601" w:footer="1077" w:gutter="0"/>
          <w:cols w:space="720"/>
          <w:docGrid w:linePitch="326"/>
        </w:sectPr>
      </w:pPr>
    </w:p>
    <w:p w:rsidR="00E91048" w:rsidRPr="005E3A8B" w:rsidRDefault="005E3A8B">
      <w:pPr>
        <w:spacing w:after="0" w:line="240" w:lineRule="auto"/>
        <w:ind w:left="1134" w:hanging="1134"/>
        <w:rPr>
          <w:rFonts w:ascii="Times New Roman" w:eastAsia="Times New Roman" w:hAnsi="Times New Roman" w:cs="Times New Roman"/>
          <w:b/>
          <w:noProof/>
          <w:sz w:val="24"/>
          <w:szCs w:val="24"/>
          <w:lang w:val="fr-FR"/>
        </w:rPr>
      </w:pPr>
      <w:r w:rsidRPr="005E3A8B">
        <w:rPr>
          <w:rFonts w:ascii="Times New Roman" w:hAnsi="Times New Roman"/>
          <w:b/>
          <w:noProof/>
          <w:sz w:val="24"/>
          <w:lang w:val="fr-FR"/>
        </w:rPr>
        <w:t>Annexe 12: Résumé des contributions des agences</w:t>
      </w:r>
      <w:r w:rsidRPr="005E3A8B">
        <w:rPr>
          <w:noProof/>
          <w:lang w:val="fr-FR"/>
        </w:rPr>
        <w:tab/>
      </w:r>
      <w:r w:rsidRPr="005E3A8B">
        <w:rPr>
          <w:rFonts w:ascii="Times New Roman" w:eastAsia="Times New Roman" w:hAnsi="Times New Roman" w:cs="Times New Roman"/>
          <w:b/>
          <w:noProof/>
          <w:sz w:val="24"/>
          <w:szCs w:val="24"/>
          <w:lang w:val="fr-FR"/>
        </w:rPr>
        <w:br/>
      </w:r>
      <w:r w:rsidRPr="005E3A8B">
        <w:rPr>
          <w:rFonts w:ascii="Times New Roman" w:hAnsi="Times New Roman"/>
          <w:noProof/>
          <w:sz w:val="24"/>
          <w:lang w:val="fr-FR"/>
        </w:rPr>
        <w:t>NB: Toutes les mentions et formulations correspondent aux déclarations de l’agence concernée.</w:t>
      </w:r>
    </w:p>
    <w:p w:rsidR="00E91048" w:rsidRPr="005E3A8B" w:rsidRDefault="00E91048">
      <w:pPr>
        <w:spacing w:after="240" w:line="240" w:lineRule="auto"/>
        <w:jc w:val="both"/>
        <w:rPr>
          <w:rFonts w:ascii="Times New Roman" w:eastAsia="Times New Roman" w:hAnsi="Times New Roman" w:cs="Times New Roman"/>
          <w:noProof/>
          <w:sz w:val="24"/>
          <w:szCs w:val="20"/>
          <w:lang w:val="fr-FR"/>
        </w:rPr>
      </w:pPr>
    </w:p>
    <w:tbl>
      <w:tblPr>
        <w:tblStyle w:val="TableGrid"/>
        <w:tblW w:w="14148" w:type="dxa"/>
        <w:tblLayout w:type="fixed"/>
        <w:tblLook w:val="04A0" w:firstRow="1" w:lastRow="0" w:firstColumn="1" w:lastColumn="0" w:noHBand="0" w:noVBand="1"/>
      </w:tblPr>
      <w:tblGrid>
        <w:gridCol w:w="392"/>
        <w:gridCol w:w="3260"/>
        <w:gridCol w:w="2858"/>
        <w:gridCol w:w="2127"/>
        <w:gridCol w:w="3969"/>
        <w:gridCol w:w="708"/>
        <w:gridCol w:w="834"/>
      </w:tblGrid>
      <w:tr w:rsidR="00E91048" w:rsidRPr="005E3A8B">
        <w:trPr>
          <w:cantSplit/>
          <w:trHeight w:val="2085"/>
          <w:tblHeader/>
        </w:trPr>
        <w:tc>
          <w:tcPr>
            <w:tcW w:w="392" w:type="dxa"/>
            <w:textDirection w:val="btLr"/>
          </w:tcPr>
          <w:p w:rsidR="00E91048" w:rsidRDefault="005E3A8B">
            <w:pPr>
              <w:spacing w:after="0" w:line="240" w:lineRule="auto"/>
              <w:ind w:left="113" w:right="113"/>
              <w:jc w:val="center"/>
              <w:rPr>
                <w:b/>
                <w:noProof/>
              </w:rPr>
            </w:pPr>
            <w:r>
              <w:rPr>
                <w:b/>
                <w:noProof/>
              </w:rPr>
              <w:t>AGENCE</w:t>
            </w:r>
          </w:p>
        </w:tc>
        <w:tc>
          <w:tcPr>
            <w:tcW w:w="3260" w:type="dxa"/>
            <w:vAlign w:val="center"/>
          </w:tcPr>
          <w:p w:rsidR="00E91048" w:rsidRPr="005E3A8B" w:rsidRDefault="005E3A8B">
            <w:pPr>
              <w:spacing w:after="0" w:line="240" w:lineRule="auto"/>
              <w:jc w:val="center"/>
              <w:rPr>
                <w:b/>
                <w:noProof/>
                <w:lang w:val="fr-FR"/>
              </w:rPr>
            </w:pPr>
            <w:r w:rsidRPr="005E3A8B">
              <w:rPr>
                <w:b/>
                <w:noProof/>
                <w:lang w:val="fr-FR"/>
              </w:rPr>
              <w:t xml:space="preserve">Méthodes et </w:t>
            </w:r>
            <w:r w:rsidRPr="005E3A8B">
              <w:rPr>
                <w:b/>
                <w:noProof/>
                <w:lang w:val="fr-FR"/>
              </w:rPr>
              <w:t>critères d’évaluation de l’équilibre géographique</w:t>
            </w:r>
          </w:p>
        </w:tc>
        <w:tc>
          <w:tcPr>
            <w:tcW w:w="2858" w:type="dxa"/>
            <w:vAlign w:val="center"/>
          </w:tcPr>
          <w:p w:rsidR="00E91048" w:rsidRPr="005E3A8B" w:rsidRDefault="005E3A8B">
            <w:pPr>
              <w:spacing w:after="0" w:line="240" w:lineRule="auto"/>
              <w:jc w:val="center"/>
              <w:rPr>
                <w:b/>
                <w:noProof/>
                <w:lang w:val="fr-FR"/>
              </w:rPr>
            </w:pPr>
            <w:r w:rsidRPr="005E3A8B">
              <w:rPr>
                <w:b/>
                <w:noProof/>
                <w:lang w:val="fr-FR"/>
              </w:rPr>
              <w:t>Indicateur(s) de déséquilibre (important)</w:t>
            </w:r>
          </w:p>
        </w:tc>
        <w:tc>
          <w:tcPr>
            <w:tcW w:w="2127" w:type="dxa"/>
            <w:vAlign w:val="center"/>
          </w:tcPr>
          <w:p w:rsidR="00E91048" w:rsidRPr="005E3A8B" w:rsidRDefault="005E3A8B">
            <w:pPr>
              <w:spacing w:after="0" w:line="240" w:lineRule="auto"/>
              <w:jc w:val="center"/>
              <w:rPr>
                <w:noProof/>
                <w:lang w:val="fr-FR"/>
              </w:rPr>
            </w:pPr>
            <w:r w:rsidRPr="005E3A8B">
              <w:rPr>
                <w:b/>
                <w:noProof/>
                <w:lang w:val="fr-FR"/>
              </w:rPr>
              <w:t>Déséquilibre (important) constaté, par État membre</w:t>
            </w:r>
          </w:p>
        </w:tc>
        <w:tc>
          <w:tcPr>
            <w:tcW w:w="3969" w:type="dxa"/>
            <w:vAlign w:val="center"/>
          </w:tcPr>
          <w:p w:rsidR="00E91048" w:rsidRDefault="005E3A8B">
            <w:pPr>
              <w:spacing w:after="0" w:line="240" w:lineRule="auto"/>
              <w:jc w:val="center"/>
              <w:rPr>
                <w:b/>
                <w:noProof/>
              </w:rPr>
            </w:pPr>
            <w:r>
              <w:rPr>
                <w:b/>
                <w:noProof/>
              </w:rPr>
              <w:t>Justification objective du déséquilibre</w:t>
            </w:r>
          </w:p>
        </w:tc>
        <w:tc>
          <w:tcPr>
            <w:tcW w:w="708" w:type="dxa"/>
            <w:textDirection w:val="btLr"/>
            <w:vAlign w:val="center"/>
          </w:tcPr>
          <w:p w:rsidR="00E91048" w:rsidRDefault="005E3A8B">
            <w:pPr>
              <w:spacing w:after="0" w:line="240" w:lineRule="auto"/>
              <w:ind w:left="113" w:right="113"/>
              <w:jc w:val="center"/>
              <w:rPr>
                <w:b/>
                <w:noProof/>
              </w:rPr>
            </w:pPr>
            <w:r>
              <w:rPr>
                <w:b/>
                <w:noProof/>
              </w:rPr>
              <w:t>Déséquilibre futur attendu</w:t>
            </w:r>
          </w:p>
        </w:tc>
        <w:tc>
          <w:tcPr>
            <w:tcW w:w="834" w:type="dxa"/>
            <w:textDirection w:val="btLr"/>
            <w:vAlign w:val="center"/>
          </w:tcPr>
          <w:p w:rsidR="00E91048" w:rsidRPr="005E3A8B" w:rsidRDefault="005E3A8B">
            <w:pPr>
              <w:spacing w:after="0" w:line="240" w:lineRule="auto"/>
              <w:ind w:left="113" w:right="113"/>
              <w:jc w:val="center"/>
              <w:rPr>
                <w:b/>
                <w:noProof/>
                <w:lang w:val="fr-FR"/>
              </w:rPr>
            </w:pPr>
            <w:r w:rsidRPr="005E3A8B">
              <w:rPr>
                <w:b/>
                <w:noProof/>
                <w:lang w:val="fr-FR"/>
              </w:rPr>
              <w:t xml:space="preserve">Mesure appropriée prise/envisagée au titre de </w:t>
            </w:r>
            <w:r w:rsidRPr="005E3A8B">
              <w:rPr>
                <w:b/>
                <w:noProof/>
                <w:lang w:val="fr-FR"/>
              </w:rPr>
              <w:t>l’art.27</w:t>
            </w:r>
          </w:p>
        </w:tc>
      </w:tr>
      <w:tr w:rsidR="00E91048">
        <w:trPr>
          <w:cantSplit/>
          <w:trHeight w:val="1574"/>
        </w:trPr>
        <w:tc>
          <w:tcPr>
            <w:tcW w:w="392" w:type="dxa"/>
            <w:textDirection w:val="btLr"/>
          </w:tcPr>
          <w:p w:rsidR="00E91048" w:rsidRDefault="005E3A8B">
            <w:pPr>
              <w:spacing w:after="0" w:line="240" w:lineRule="auto"/>
              <w:ind w:left="113" w:right="113"/>
              <w:jc w:val="center"/>
              <w:rPr>
                <w:b/>
                <w:noProof/>
              </w:rPr>
            </w:pPr>
            <w:r>
              <w:rPr>
                <w:b/>
                <w:noProof/>
              </w:rPr>
              <w:t>ACER</w:t>
            </w:r>
          </w:p>
        </w:tc>
        <w:tc>
          <w:tcPr>
            <w:tcW w:w="3260" w:type="dxa"/>
            <w:vAlign w:val="center"/>
          </w:tcPr>
          <w:p w:rsidR="00E91048" w:rsidRPr="005E3A8B" w:rsidRDefault="005E3A8B">
            <w:pPr>
              <w:spacing w:after="0" w:line="240" w:lineRule="auto"/>
              <w:jc w:val="both"/>
              <w:rPr>
                <w:noProof/>
                <w:sz w:val="18"/>
                <w:szCs w:val="18"/>
                <w:lang w:val="fr-FR"/>
              </w:rPr>
            </w:pPr>
            <w:r w:rsidRPr="005E3A8B">
              <w:rPr>
                <w:noProof/>
                <w:sz w:val="18"/>
                <w:lang w:val="fr-FR"/>
              </w:rPr>
              <w:t>L’équilibre géographique est apprécié au vu de la représentation de chaque nationalité dans le personnel</w:t>
            </w:r>
          </w:p>
        </w:tc>
        <w:tc>
          <w:tcPr>
            <w:tcW w:w="2858" w:type="dxa"/>
            <w:vAlign w:val="center"/>
          </w:tcPr>
          <w:p w:rsidR="00E91048" w:rsidRPr="005E3A8B" w:rsidRDefault="005E3A8B">
            <w:pPr>
              <w:spacing w:after="0" w:line="240" w:lineRule="auto"/>
              <w:rPr>
                <w:noProof/>
                <w:sz w:val="18"/>
                <w:szCs w:val="18"/>
                <w:lang w:val="fr-FR"/>
              </w:rPr>
            </w:pPr>
            <w:r w:rsidRPr="005E3A8B">
              <w:rPr>
                <w:noProof/>
                <w:sz w:val="18"/>
                <w:lang w:val="fr-FR"/>
              </w:rPr>
              <w:t xml:space="preserve">Il y a déséquilibre lorsque moins de 50% des États membres sont représentés parmi le personnel ou si le personnel d’une nationalité </w:t>
            </w:r>
            <w:r w:rsidRPr="005E3A8B">
              <w:rPr>
                <w:noProof/>
                <w:sz w:val="18"/>
                <w:lang w:val="fr-FR"/>
              </w:rPr>
              <w:t>représente plus de 50 % du personnel total</w:t>
            </w:r>
          </w:p>
        </w:tc>
        <w:tc>
          <w:tcPr>
            <w:tcW w:w="2127" w:type="dxa"/>
            <w:vAlign w:val="center"/>
          </w:tcPr>
          <w:p w:rsidR="00E91048" w:rsidRDefault="005E3A8B">
            <w:pPr>
              <w:spacing w:after="0" w:line="240" w:lineRule="auto"/>
              <w:rPr>
                <w:noProof/>
                <w:sz w:val="18"/>
                <w:szCs w:val="18"/>
              </w:rPr>
            </w:pPr>
            <w:r>
              <w:rPr>
                <w:noProof/>
                <w:sz w:val="18"/>
              </w:rPr>
              <w:t>Non</w:t>
            </w:r>
          </w:p>
        </w:tc>
        <w:tc>
          <w:tcPr>
            <w:tcW w:w="3969" w:type="dxa"/>
            <w:vAlign w:val="center"/>
          </w:tcPr>
          <w:p w:rsidR="00E91048" w:rsidRDefault="005E3A8B">
            <w:pPr>
              <w:spacing w:after="0" w:line="240" w:lineRule="auto"/>
              <w:rPr>
                <w:noProof/>
                <w:sz w:val="18"/>
                <w:szCs w:val="18"/>
              </w:rPr>
            </w:pPr>
            <w:r>
              <w:rPr>
                <w:noProof/>
                <w:sz w:val="18"/>
              </w:rPr>
              <w:t>Sans objet</w:t>
            </w:r>
          </w:p>
        </w:tc>
        <w:tc>
          <w:tcPr>
            <w:tcW w:w="708" w:type="dxa"/>
            <w:textDirection w:val="btLr"/>
            <w:vAlign w:val="center"/>
          </w:tcPr>
          <w:p w:rsidR="00E91048" w:rsidRPr="005E3A8B" w:rsidRDefault="005E3A8B">
            <w:pPr>
              <w:spacing w:after="0" w:line="240" w:lineRule="auto"/>
              <w:ind w:left="113" w:right="113"/>
              <w:jc w:val="center"/>
              <w:rPr>
                <w:noProof/>
                <w:sz w:val="18"/>
                <w:szCs w:val="18"/>
                <w:lang w:val="fr-FR"/>
              </w:rPr>
            </w:pPr>
            <w:r w:rsidRPr="005E3A8B">
              <w:rPr>
                <w:noProof/>
                <w:sz w:val="18"/>
                <w:lang w:val="fr-FR"/>
              </w:rPr>
              <w:t>Non, mais le coefficient correcteur pose problème</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w:t>
            </w:r>
          </w:p>
        </w:tc>
      </w:tr>
      <w:tr w:rsidR="00E91048">
        <w:trPr>
          <w:cantSplit/>
          <w:trHeight w:val="1055"/>
        </w:trPr>
        <w:tc>
          <w:tcPr>
            <w:tcW w:w="392" w:type="dxa"/>
            <w:textDirection w:val="btLr"/>
          </w:tcPr>
          <w:p w:rsidR="00E91048" w:rsidRDefault="005E3A8B">
            <w:pPr>
              <w:spacing w:after="0" w:line="240" w:lineRule="auto"/>
              <w:ind w:left="113" w:right="113"/>
              <w:jc w:val="center"/>
              <w:rPr>
                <w:b/>
                <w:noProof/>
              </w:rPr>
            </w:pPr>
            <w:r>
              <w:rPr>
                <w:b/>
                <w:noProof/>
              </w:rPr>
              <w:t>CEDEFOP</w:t>
            </w:r>
          </w:p>
        </w:tc>
        <w:tc>
          <w:tcPr>
            <w:tcW w:w="3260" w:type="dxa"/>
            <w:vAlign w:val="center"/>
          </w:tcPr>
          <w:p w:rsidR="00E91048" w:rsidRPr="005E3A8B" w:rsidRDefault="005E3A8B">
            <w:pPr>
              <w:spacing w:after="0" w:line="240" w:lineRule="auto"/>
              <w:rPr>
                <w:noProof/>
                <w:sz w:val="18"/>
                <w:szCs w:val="18"/>
                <w:lang w:val="fr-FR"/>
              </w:rPr>
            </w:pPr>
            <w:r w:rsidRPr="005E3A8B">
              <w:rPr>
                <w:noProof/>
                <w:sz w:val="18"/>
                <w:lang w:val="fr-FR"/>
              </w:rPr>
              <w:t>L’équilibre géographique est apprécié au vu de la représentation de chaque nationalité dans le personnel</w:t>
            </w:r>
          </w:p>
        </w:tc>
        <w:tc>
          <w:tcPr>
            <w:tcW w:w="2858" w:type="dxa"/>
            <w:vAlign w:val="center"/>
          </w:tcPr>
          <w:p w:rsidR="00E91048" w:rsidRPr="005E3A8B" w:rsidRDefault="005E3A8B">
            <w:pPr>
              <w:spacing w:after="0" w:line="240" w:lineRule="auto"/>
              <w:rPr>
                <w:noProof/>
                <w:sz w:val="18"/>
                <w:szCs w:val="18"/>
                <w:lang w:val="fr-FR"/>
              </w:rPr>
            </w:pPr>
            <w:r w:rsidRPr="005E3A8B">
              <w:rPr>
                <w:noProof/>
                <w:sz w:val="18"/>
                <w:lang w:val="fr-FR"/>
              </w:rPr>
              <w:t xml:space="preserve">Il y a déséquilibre </w:t>
            </w:r>
            <w:r w:rsidRPr="005E3A8B">
              <w:rPr>
                <w:noProof/>
                <w:sz w:val="18"/>
                <w:lang w:val="fr-FR"/>
              </w:rPr>
              <w:t>important lorsqu’une nationalité dépasse 40 % du tableau des effectifs</w:t>
            </w:r>
          </w:p>
        </w:tc>
        <w:tc>
          <w:tcPr>
            <w:tcW w:w="2127" w:type="dxa"/>
            <w:vAlign w:val="center"/>
          </w:tcPr>
          <w:p w:rsidR="00E91048" w:rsidRDefault="005E3A8B">
            <w:pPr>
              <w:spacing w:after="0" w:line="240" w:lineRule="auto"/>
              <w:rPr>
                <w:noProof/>
                <w:sz w:val="18"/>
                <w:szCs w:val="18"/>
              </w:rPr>
            </w:pPr>
            <w:r>
              <w:rPr>
                <w:noProof/>
                <w:sz w:val="18"/>
              </w:rPr>
              <w:t>Non</w:t>
            </w:r>
          </w:p>
        </w:tc>
        <w:tc>
          <w:tcPr>
            <w:tcW w:w="3969" w:type="dxa"/>
            <w:vAlign w:val="center"/>
          </w:tcPr>
          <w:p w:rsidR="00E91048" w:rsidRDefault="005E3A8B">
            <w:pPr>
              <w:spacing w:after="0" w:line="240" w:lineRule="auto"/>
              <w:rPr>
                <w:noProof/>
                <w:sz w:val="18"/>
                <w:szCs w:val="18"/>
              </w:rPr>
            </w:pPr>
            <w:r>
              <w:rPr>
                <w:noProof/>
                <w:sz w:val="18"/>
              </w:rPr>
              <w:t>Sans objet</w:t>
            </w:r>
          </w:p>
        </w:tc>
        <w:tc>
          <w:tcPr>
            <w:tcW w:w="708" w:type="dxa"/>
            <w:textDirection w:val="btLr"/>
            <w:vAlign w:val="center"/>
          </w:tcPr>
          <w:p w:rsidR="00E91048" w:rsidRDefault="005E3A8B">
            <w:pPr>
              <w:spacing w:after="0" w:line="240" w:lineRule="auto"/>
              <w:ind w:left="113" w:right="113"/>
              <w:jc w:val="center"/>
              <w:rPr>
                <w:noProof/>
                <w:sz w:val="18"/>
                <w:szCs w:val="18"/>
              </w:rPr>
            </w:pPr>
            <w:r>
              <w:rPr>
                <w:noProof/>
                <w:sz w:val="18"/>
              </w:rPr>
              <w:t>Non</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w:t>
            </w:r>
          </w:p>
        </w:tc>
      </w:tr>
      <w:tr w:rsidR="00E91048">
        <w:trPr>
          <w:cantSplit/>
          <w:trHeight w:val="975"/>
        </w:trPr>
        <w:tc>
          <w:tcPr>
            <w:tcW w:w="392" w:type="dxa"/>
            <w:textDirection w:val="btLr"/>
          </w:tcPr>
          <w:p w:rsidR="00E91048" w:rsidRDefault="005E3A8B">
            <w:pPr>
              <w:spacing w:after="0" w:line="240" w:lineRule="auto"/>
              <w:ind w:left="113" w:right="113"/>
              <w:jc w:val="center"/>
              <w:rPr>
                <w:b/>
                <w:noProof/>
              </w:rPr>
            </w:pPr>
            <w:r>
              <w:rPr>
                <w:b/>
                <w:noProof/>
              </w:rPr>
              <w:t>CEPOL</w:t>
            </w:r>
          </w:p>
        </w:tc>
        <w:tc>
          <w:tcPr>
            <w:tcW w:w="3260" w:type="dxa"/>
            <w:vAlign w:val="center"/>
          </w:tcPr>
          <w:p w:rsidR="00E91048" w:rsidRPr="005E3A8B" w:rsidRDefault="005E3A8B">
            <w:pPr>
              <w:spacing w:after="0" w:line="240" w:lineRule="auto"/>
              <w:rPr>
                <w:noProof/>
                <w:sz w:val="18"/>
                <w:szCs w:val="18"/>
                <w:lang w:val="fr-FR"/>
              </w:rPr>
            </w:pPr>
            <w:r w:rsidRPr="005E3A8B">
              <w:rPr>
                <w:noProof/>
                <w:sz w:val="18"/>
                <w:lang w:val="fr-FR"/>
              </w:rPr>
              <w:t xml:space="preserve">Le CEPOL n’a pas établi de définition de la «représentation équilibrée» de chaque nationalité parmi son personnel. L’équilibre géographique est inclus </w:t>
            </w:r>
            <w:r w:rsidRPr="005E3A8B">
              <w:rPr>
                <w:noProof/>
                <w:sz w:val="18"/>
                <w:lang w:val="fr-FR"/>
              </w:rPr>
              <w:t>dans les rapports internes mensuels ainsi que dans les comptes annuels.</w:t>
            </w:r>
          </w:p>
        </w:tc>
        <w:tc>
          <w:tcPr>
            <w:tcW w:w="2858" w:type="dxa"/>
            <w:vAlign w:val="center"/>
          </w:tcPr>
          <w:p w:rsidR="00E91048" w:rsidRPr="005E3A8B" w:rsidRDefault="005E3A8B">
            <w:pPr>
              <w:spacing w:after="0" w:line="240" w:lineRule="auto"/>
              <w:rPr>
                <w:noProof/>
                <w:sz w:val="18"/>
                <w:szCs w:val="18"/>
                <w:lang w:val="fr-FR"/>
              </w:rPr>
            </w:pPr>
            <w:r w:rsidRPr="005E3A8B">
              <w:rPr>
                <w:noProof/>
                <w:sz w:val="18"/>
                <w:lang w:val="fr-FR"/>
              </w:rPr>
              <w:t>Le CEPOL considérerait qu’il y a «déséquilibre important» si une nationalité constituait plus de 50% de l’effectif total (AT, AC &amp; END).</w:t>
            </w:r>
          </w:p>
        </w:tc>
        <w:tc>
          <w:tcPr>
            <w:tcW w:w="2127" w:type="dxa"/>
            <w:vAlign w:val="center"/>
          </w:tcPr>
          <w:p w:rsidR="00E91048" w:rsidRPr="005E3A8B" w:rsidRDefault="005E3A8B">
            <w:pPr>
              <w:spacing w:after="0" w:line="240" w:lineRule="auto"/>
              <w:rPr>
                <w:noProof/>
                <w:sz w:val="18"/>
                <w:szCs w:val="18"/>
                <w:lang w:val="fr-FR"/>
              </w:rPr>
            </w:pPr>
            <w:r w:rsidRPr="005E3A8B">
              <w:rPr>
                <w:noProof/>
                <w:sz w:val="18"/>
                <w:lang w:val="fr-FR"/>
              </w:rPr>
              <w:t>Pendant la période 2014 – 2016, à la suite du d</w:t>
            </w:r>
            <w:r w:rsidRPr="005E3A8B">
              <w:rPr>
                <w:noProof/>
                <w:sz w:val="18"/>
                <w:lang w:val="fr-FR"/>
              </w:rPr>
              <w:t>éménagement de l’agence du Royaume-Uni vers la Hongrie, une augmentation du nombre de ressortissants hongrois a été constatée. Le niveau de «déséquilibre important» n’est toutefois pas encore atteint.</w:t>
            </w:r>
          </w:p>
        </w:tc>
        <w:tc>
          <w:tcPr>
            <w:tcW w:w="3969" w:type="dxa"/>
            <w:vAlign w:val="center"/>
          </w:tcPr>
          <w:p w:rsidR="00E91048" w:rsidRDefault="005E3A8B">
            <w:pPr>
              <w:spacing w:after="0" w:line="240" w:lineRule="auto"/>
              <w:rPr>
                <w:noProof/>
                <w:sz w:val="18"/>
                <w:szCs w:val="18"/>
              </w:rPr>
            </w:pPr>
            <w:r>
              <w:rPr>
                <w:noProof/>
                <w:sz w:val="18"/>
              </w:rPr>
              <w:t>Sans objet</w:t>
            </w:r>
          </w:p>
        </w:tc>
        <w:tc>
          <w:tcPr>
            <w:tcW w:w="708" w:type="dxa"/>
            <w:textDirection w:val="btLr"/>
            <w:vAlign w:val="center"/>
          </w:tcPr>
          <w:p w:rsidR="00E91048" w:rsidRPr="005E3A8B" w:rsidRDefault="005E3A8B">
            <w:pPr>
              <w:spacing w:after="0" w:line="240" w:lineRule="auto"/>
              <w:ind w:left="113" w:right="113"/>
              <w:jc w:val="center"/>
              <w:rPr>
                <w:noProof/>
                <w:sz w:val="18"/>
                <w:szCs w:val="18"/>
                <w:lang w:val="fr-FR"/>
              </w:rPr>
            </w:pPr>
            <w:r w:rsidRPr="005E3A8B">
              <w:rPr>
                <w:noProof/>
                <w:sz w:val="18"/>
                <w:lang w:val="fr-FR"/>
              </w:rPr>
              <w:t>Oui (sur la base des tendances actuelles)</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w:t>
            </w:r>
            <w:r>
              <w:rPr>
                <w:noProof/>
                <w:sz w:val="18"/>
              </w:rPr>
              <w:t>n/à l’étude</w:t>
            </w:r>
          </w:p>
        </w:tc>
      </w:tr>
      <w:tr w:rsidR="00E91048">
        <w:trPr>
          <w:cantSplit/>
          <w:trHeight w:val="975"/>
        </w:trPr>
        <w:tc>
          <w:tcPr>
            <w:tcW w:w="392" w:type="dxa"/>
            <w:textDirection w:val="btLr"/>
          </w:tcPr>
          <w:p w:rsidR="00E91048" w:rsidRDefault="005E3A8B">
            <w:pPr>
              <w:spacing w:after="0" w:line="240" w:lineRule="auto"/>
              <w:ind w:left="113" w:right="113"/>
              <w:jc w:val="center"/>
              <w:rPr>
                <w:b/>
                <w:noProof/>
              </w:rPr>
            </w:pPr>
            <w:r>
              <w:rPr>
                <w:b/>
                <w:noProof/>
              </w:rPr>
              <w:t>OCVV</w:t>
            </w:r>
          </w:p>
        </w:tc>
        <w:tc>
          <w:tcPr>
            <w:tcW w:w="3260" w:type="dxa"/>
            <w:vAlign w:val="center"/>
          </w:tcPr>
          <w:p w:rsidR="00E91048" w:rsidRPr="005E3A8B" w:rsidRDefault="005E3A8B">
            <w:pPr>
              <w:spacing w:after="0" w:line="240" w:lineRule="auto"/>
              <w:rPr>
                <w:noProof/>
                <w:sz w:val="18"/>
                <w:szCs w:val="18"/>
                <w:lang w:val="fr-FR"/>
              </w:rPr>
            </w:pPr>
            <w:r w:rsidRPr="005E3A8B">
              <w:rPr>
                <w:noProof/>
                <w:sz w:val="18"/>
                <w:lang w:val="fr-FR"/>
              </w:rPr>
              <w:t>Aucune méthode n’a été fixée.</w:t>
            </w:r>
          </w:p>
          <w:p w:rsidR="00E91048" w:rsidRPr="005E3A8B" w:rsidRDefault="005E3A8B">
            <w:pPr>
              <w:spacing w:after="0" w:line="240" w:lineRule="auto"/>
              <w:rPr>
                <w:noProof/>
                <w:sz w:val="18"/>
                <w:szCs w:val="18"/>
                <w:lang w:val="fr-FR"/>
              </w:rPr>
            </w:pPr>
            <w:r w:rsidRPr="005E3A8B">
              <w:rPr>
                <w:noProof/>
                <w:sz w:val="18"/>
                <w:lang w:val="fr-FR"/>
              </w:rPr>
              <w:t>Personnel administratif général exclu du champ d’examen</w:t>
            </w:r>
          </w:p>
        </w:tc>
        <w:tc>
          <w:tcPr>
            <w:tcW w:w="2858" w:type="dxa"/>
            <w:vAlign w:val="center"/>
          </w:tcPr>
          <w:p w:rsidR="00E91048" w:rsidRPr="005E3A8B" w:rsidRDefault="005E3A8B">
            <w:pPr>
              <w:spacing w:after="0" w:line="240" w:lineRule="auto"/>
              <w:rPr>
                <w:noProof/>
                <w:sz w:val="18"/>
                <w:szCs w:val="18"/>
                <w:lang w:val="fr-FR"/>
              </w:rPr>
            </w:pPr>
            <w:r w:rsidRPr="005E3A8B">
              <w:rPr>
                <w:noProof/>
                <w:sz w:val="18"/>
                <w:lang w:val="fr-FR"/>
              </w:rPr>
              <w:t>Il y a déséquilibre lorsque plus de 2 cadres ou plus de 40% du personnel AD ont la même nationalité.</w:t>
            </w:r>
          </w:p>
        </w:tc>
        <w:tc>
          <w:tcPr>
            <w:tcW w:w="2127" w:type="dxa"/>
            <w:vAlign w:val="center"/>
          </w:tcPr>
          <w:p w:rsidR="00E91048" w:rsidRDefault="005E3A8B">
            <w:pPr>
              <w:spacing w:after="0" w:line="240" w:lineRule="auto"/>
              <w:rPr>
                <w:noProof/>
                <w:sz w:val="18"/>
                <w:szCs w:val="18"/>
              </w:rPr>
            </w:pPr>
            <w:r>
              <w:rPr>
                <w:noProof/>
                <w:sz w:val="18"/>
              </w:rPr>
              <w:t>Non</w:t>
            </w:r>
          </w:p>
        </w:tc>
        <w:tc>
          <w:tcPr>
            <w:tcW w:w="3969" w:type="dxa"/>
            <w:vAlign w:val="center"/>
          </w:tcPr>
          <w:p w:rsidR="00E91048" w:rsidRDefault="005E3A8B">
            <w:pPr>
              <w:spacing w:after="0" w:line="240" w:lineRule="auto"/>
              <w:rPr>
                <w:noProof/>
                <w:sz w:val="18"/>
                <w:szCs w:val="18"/>
              </w:rPr>
            </w:pPr>
            <w:r>
              <w:rPr>
                <w:noProof/>
                <w:sz w:val="18"/>
              </w:rPr>
              <w:t>Sans objet</w:t>
            </w:r>
          </w:p>
        </w:tc>
        <w:tc>
          <w:tcPr>
            <w:tcW w:w="708" w:type="dxa"/>
            <w:textDirection w:val="btLr"/>
            <w:vAlign w:val="center"/>
          </w:tcPr>
          <w:p w:rsidR="00E91048" w:rsidRDefault="005E3A8B">
            <w:pPr>
              <w:spacing w:after="0" w:line="240" w:lineRule="auto"/>
              <w:ind w:left="113" w:right="113"/>
              <w:jc w:val="center"/>
              <w:rPr>
                <w:noProof/>
                <w:sz w:val="18"/>
                <w:szCs w:val="18"/>
              </w:rPr>
            </w:pPr>
            <w:r>
              <w:rPr>
                <w:noProof/>
                <w:sz w:val="18"/>
              </w:rPr>
              <w:t>Non</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w:t>
            </w:r>
          </w:p>
        </w:tc>
      </w:tr>
      <w:tr w:rsidR="00E91048">
        <w:trPr>
          <w:cantSplit/>
          <w:trHeight w:val="846"/>
        </w:trPr>
        <w:tc>
          <w:tcPr>
            <w:tcW w:w="392" w:type="dxa"/>
            <w:textDirection w:val="btLr"/>
          </w:tcPr>
          <w:p w:rsidR="00E91048" w:rsidRDefault="005E3A8B">
            <w:pPr>
              <w:spacing w:after="0" w:line="240" w:lineRule="auto"/>
              <w:ind w:left="113" w:right="113"/>
              <w:jc w:val="center"/>
              <w:rPr>
                <w:b/>
                <w:noProof/>
              </w:rPr>
            </w:pPr>
            <w:r>
              <w:rPr>
                <w:b/>
                <w:noProof/>
              </w:rPr>
              <w:t>AESA</w:t>
            </w:r>
          </w:p>
        </w:tc>
        <w:tc>
          <w:tcPr>
            <w:tcW w:w="3260" w:type="dxa"/>
            <w:vAlign w:val="center"/>
          </w:tcPr>
          <w:p w:rsidR="00E91048" w:rsidRPr="005E3A8B" w:rsidRDefault="005E3A8B">
            <w:pPr>
              <w:spacing w:after="0" w:line="240" w:lineRule="auto"/>
              <w:rPr>
                <w:noProof/>
                <w:sz w:val="18"/>
                <w:szCs w:val="18"/>
                <w:lang w:val="fr-FR"/>
              </w:rPr>
            </w:pPr>
            <w:r w:rsidRPr="005E3A8B">
              <w:rPr>
                <w:noProof/>
                <w:sz w:val="18"/>
                <w:lang w:val="fr-FR"/>
              </w:rPr>
              <w:t xml:space="preserve">L’équilibre </w:t>
            </w:r>
            <w:r w:rsidRPr="005E3A8B">
              <w:rPr>
                <w:noProof/>
                <w:sz w:val="18"/>
                <w:lang w:val="fr-FR"/>
              </w:rPr>
              <w:t>géographique est surveillé et comparé à la population des États membres.</w:t>
            </w:r>
          </w:p>
        </w:tc>
        <w:tc>
          <w:tcPr>
            <w:tcW w:w="2858" w:type="dxa"/>
            <w:vAlign w:val="center"/>
          </w:tcPr>
          <w:p w:rsidR="00E91048" w:rsidRDefault="005E3A8B">
            <w:pPr>
              <w:spacing w:after="0" w:line="240" w:lineRule="auto"/>
              <w:rPr>
                <w:noProof/>
                <w:sz w:val="18"/>
                <w:szCs w:val="18"/>
              </w:rPr>
            </w:pPr>
            <w:r>
              <w:rPr>
                <w:noProof/>
                <w:sz w:val="18"/>
              </w:rPr>
              <w:t>Sans objet</w:t>
            </w:r>
          </w:p>
        </w:tc>
        <w:tc>
          <w:tcPr>
            <w:tcW w:w="2127" w:type="dxa"/>
            <w:vAlign w:val="center"/>
          </w:tcPr>
          <w:p w:rsidR="00E91048" w:rsidRPr="005E3A8B" w:rsidRDefault="005E3A8B">
            <w:pPr>
              <w:spacing w:after="0" w:line="240" w:lineRule="auto"/>
              <w:rPr>
                <w:noProof/>
                <w:sz w:val="18"/>
                <w:szCs w:val="18"/>
                <w:lang w:val="fr-FR"/>
              </w:rPr>
            </w:pPr>
            <w:r w:rsidRPr="005E3A8B">
              <w:rPr>
                <w:noProof/>
                <w:sz w:val="18"/>
                <w:lang w:val="fr-FR"/>
              </w:rPr>
              <w:t>Non, compte tenu de la situation particulière de l’agence (voir la justification)</w:t>
            </w:r>
          </w:p>
        </w:tc>
        <w:tc>
          <w:tcPr>
            <w:tcW w:w="3969" w:type="dxa"/>
            <w:vAlign w:val="center"/>
          </w:tcPr>
          <w:p w:rsidR="00E91048" w:rsidRPr="005E3A8B" w:rsidRDefault="005E3A8B">
            <w:pPr>
              <w:spacing w:after="0" w:line="240" w:lineRule="auto"/>
              <w:rPr>
                <w:noProof/>
                <w:sz w:val="18"/>
                <w:szCs w:val="18"/>
                <w:lang w:val="fr-FR"/>
              </w:rPr>
            </w:pPr>
            <w:r w:rsidRPr="005E3A8B">
              <w:rPr>
                <w:noProof/>
                <w:sz w:val="18"/>
                <w:lang w:val="fr-FR"/>
              </w:rPr>
              <w:t xml:space="preserve">La répartition du personnel est cohérente avec l’approche de l’agence en matière de </w:t>
            </w:r>
            <w:r w:rsidRPr="005E3A8B">
              <w:rPr>
                <w:noProof/>
                <w:sz w:val="18"/>
                <w:lang w:val="fr-FR"/>
              </w:rPr>
              <w:t>répartition des experts de l’aviation entre les EM.</w:t>
            </w:r>
          </w:p>
        </w:tc>
        <w:tc>
          <w:tcPr>
            <w:tcW w:w="708" w:type="dxa"/>
            <w:textDirection w:val="btLr"/>
            <w:vAlign w:val="center"/>
          </w:tcPr>
          <w:p w:rsidR="00E91048" w:rsidRDefault="005E3A8B">
            <w:pPr>
              <w:spacing w:after="0" w:line="240" w:lineRule="auto"/>
              <w:ind w:left="113" w:right="113"/>
              <w:jc w:val="center"/>
              <w:rPr>
                <w:noProof/>
                <w:sz w:val="18"/>
                <w:szCs w:val="18"/>
              </w:rPr>
            </w:pPr>
            <w:r>
              <w:rPr>
                <w:noProof/>
                <w:sz w:val="18"/>
              </w:rPr>
              <w:t>Non</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w:t>
            </w:r>
          </w:p>
        </w:tc>
      </w:tr>
      <w:tr w:rsidR="00E91048">
        <w:trPr>
          <w:cantSplit/>
          <w:trHeight w:val="846"/>
        </w:trPr>
        <w:tc>
          <w:tcPr>
            <w:tcW w:w="392" w:type="dxa"/>
            <w:textDirection w:val="btLr"/>
          </w:tcPr>
          <w:p w:rsidR="00E91048" w:rsidRDefault="005E3A8B">
            <w:pPr>
              <w:spacing w:after="0" w:line="240" w:lineRule="auto"/>
              <w:ind w:left="113" w:right="113"/>
              <w:jc w:val="center"/>
              <w:rPr>
                <w:b/>
                <w:noProof/>
              </w:rPr>
            </w:pPr>
            <w:r>
              <w:rPr>
                <w:b/>
                <w:noProof/>
              </w:rPr>
              <w:t>CEPCM</w:t>
            </w:r>
          </w:p>
        </w:tc>
        <w:tc>
          <w:tcPr>
            <w:tcW w:w="3260" w:type="dxa"/>
            <w:vAlign w:val="center"/>
          </w:tcPr>
          <w:p w:rsidR="00E91048" w:rsidRPr="005E3A8B" w:rsidRDefault="005E3A8B">
            <w:pPr>
              <w:spacing w:after="0" w:line="240" w:lineRule="auto"/>
              <w:rPr>
                <w:noProof/>
                <w:sz w:val="18"/>
                <w:szCs w:val="18"/>
                <w:lang w:val="fr-FR"/>
              </w:rPr>
            </w:pPr>
            <w:r w:rsidRPr="005E3A8B">
              <w:rPr>
                <w:noProof/>
                <w:sz w:val="18"/>
                <w:lang w:val="fr-FR"/>
              </w:rPr>
              <w:t>L’équilibre géographique est évalué de manière globale (tous groupes de fonctions confondus).</w:t>
            </w:r>
          </w:p>
          <w:p w:rsidR="00E91048" w:rsidRPr="005E3A8B" w:rsidRDefault="005E3A8B">
            <w:pPr>
              <w:spacing w:after="0" w:line="240" w:lineRule="auto"/>
              <w:rPr>
                <w:noProof/>
                <w:sz w:val="18"/>
                <w:szCs w:val="18"/>
                <w:lang w:val="fr-FR"/>
              </w:rPr>
            </w:pPr>
            <w:r w:rsidRPr="005E3A8B">
              <w:rPr>
                <w:noProof/>
                <w:sz w:val="18"/>
                <w:lang w:val="fr-FR"/>
              </w:rPr>
              <w:t>Valeur de référence: Tous les EM devraient être représentés</w:t>
            </w:r>
          </w:p>
          <w:p w:rsidR="00E91048" w:rsidRPr="005E3A8B" w:rsidRDefault="005E3A8B">
            <w:pPr>
              <w:spacing w:after="0" w:line="240" w:lineRule="auto"/>
              <w:rPr>
                <w:noProof/>
                <w:sz w:val="18"/>
                <w:szCs w:val="18"/>
                <w:lang w:val="fr-FR"/>
              </w:rPr>
            </w:pPr>
            <w:r w:rsidRPr="005E3A8B">
              <w:rPr>
                <w:noProof/>
                <w:sz w:val="18"/>
                <w:lang w:val="fr-FR"/>
              </w:rPr>
              <w:t>Une seconde évaluation est réal</w:t>
            </w:r>
            <w:r w:rsidRPr="005E3A8B">
              <w:rPr>
                <w:noProof/>
                <w:sz w:val="18"/>
                <w:lang w:val="fr-FR"/>
              </w:rPr>
              <w:t>isée par rapport à la population et au nombre de sièges au Parlement européen</w:t>
            </w:r>
          </w:p>
        </w:tc>
        <w:tc>
          <w:tcPr>
            <w:tcW w:w="2858" w:type="dxa"/>
            <w:vAlign w:val="center"/>
          </w:tcPr>
          <w:p w:rsidR="00E91048" w:rsidRPr="005E3A8B" w:rsidRDefault="005E3A8B">
            <w:pPr>
              <w:spacing w:after="0" w:line="240" w:lineRule="auto"/>
              <w:rPr>
                <w:noProof/>
                <w:sz w:val="18"/>
                <w:szCs w:val="18"/>
                <w:lang w:val="fr-FR"/>
              </w:rPr>
            </w:pPr>
            <w:r w:rsidRPr="005E3A8B">
              <w:rPr>
                <w:noProof/>
                <w:sz w:val="18"/>
                <w:lang w:val="fr-FR"/>
              </w:rPr>
              <w:t>Il y a déséquilibre important lorsqu’un grand nombre d’États membres ne sont pas représentés ou sont largement sous-représentés ou surreprésentés.</w:t>
            </w:r>
          </w:p>
        </w:tc>
        <w:tc>
          <w:tcPr>
            <w:tcW w:w="2127" w:type="dxa"/>
            <w:vAlign w:val="center"/>
          </w:tcPr>
          <w:p w:rsidR="00E91048" w:rsidRDefault="005E3A8B">
            <w:pPr>
              <w:spacing w:after="0" w:line="240" w:lineRule="auto"/>
              <w:rPr>
                <w:noProof/>
                <w:sz w:val="18"/>
                <w:szCs w:val="18"/>
              </w:rPr>
            </w:pPr>
            <w:r>
              <w:rPr>
                <w:noProof/>
                <w:sz w:val="18"/>
              </w:rPr>
              <w:t>La Suède est surreprésentée</w:t>
            </w:r>
          </w:p>
        </w:tc>
        <w:tc>
          <w:tcPr>
            <w:tcW w:w="3969" w:type="dxa"/>
            <w:vAlign w:val="center"/>
          </w:tcPr>
          <w:p w:rsidR="00E91048" w:rsidRDefault="005E3A8B">
            <w:pPr>
              <w:spacing w:after="0" w:line="240" w:lineRule="auto"/>
              <w:rPr>
                <w:noProof/>
                <w:sz w:val="18"/>
                <w:szCs w:val="18"/>
              </w:rPr>
            </w:pPr>
            <w:r>
              <w:rPr>
                <w:noProof/>
                <w:sz w:val="18"/>
              </w:rPr>
              <w:t>Eff</w:t>
            </w:r>
            <w:r>
              <w:rPr>
                <w:noProof/>
                <w:sz w:val="18"/>
              </w:rPr>
              <w:t>et du siège</w:t>
            </w:r>
          </w:p>
        </w:tc>
        <w:tc>
          <w:tcPr>
            <w:tcW w:w="708" w:type="dxa"/>
            <w:textDirection w:val="btLr"/>
            <w:vAlign w:val="center"/>
          </w:tcPr>
          <w:p w:rsidR="00E91048" w:rsidRDefault="005E3A8B">
            <w:pPr>
              <w:spacing w:after="0" w:line="240" w:lineRule="auto"/>
              <w:ind w:left="113" w:right="113"/>
              <w:jc w:val="center"/>
              <w:rPr>
                <w:noProof/>
                <w:sz w:val="18"/>
                <w:szCs w:val="18"/>
              </w:rPr>
            </w:pPr>
            <w:r>
              <w:rPr>
                <w:noProof/>
                <w:sz w:val="18"/>
              </w:rPr>
              <w:t>Non</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w:t>
            </w:r>
          </w:p>
        </w:tc>
      </w:tr>
      <w:tr w:rsidR="00E91048">
        <w:trPr>
          <w:cantSplit/>
          <w:trHeight w:val="846"/>
        </w:trPr>
        <w:tc>
          <w:tcPr>
            <w:tcW w:w="392" w:type="dxa"/>
            <w:textDirection w:val="btLr"/>
          </w:tcPr>
          <w:p w:rsidR="00E91048" w:rsidRDefault="005E3A8B">
            <w:pPr>
              <w:spacing w:after="0" w:line="240" w:lineRule="auto"/>
              <w:ind w:left="113" w:right="113"/>
              <w:jc w:val="center"/>
              <w:rPr>
                <w:b/>
                <w:noProof/>
              </w:rPr>
            </w:pPr>
            <w:r>
              <w:rPr>
                <w:b/>
                <w:noProof/>
              </w:rPr>
              <w:t>AEAPP</w:t>
            </w:r>
          </w:p>
        </w:tc>
        <w:tc>
          <w:tcPr>
            <w:tcW w:w="3260" w:type="dxa"/>
            <w:vAlign w:val="center"/>
          </w:tcPr>
          <w:p w:rsidR="00E91048" w:rsidRDefault="005E3A8B">
            <w:pPr>
              <w:spacing w:after="0" w:line="240" w:lineRule="auto"/>
              <w:rPr>
                <w:noProof/>
                <w:sz w:val="18"/>
                <w:szCs w:val="18"/>
              </w:rPr>
            </w:pPr>
            <w:r>
              <w:rPr>
                <w:noProof/>
                <w:sz w:val="18"/>
              </w:rPr>
              <w:t>Nombre de nationalités représentées</w:t>
            </w:r>
          </w:p>
        </w:tc>
        <w:tc>
          <w:tcPr>
            <w:tcW w:w="2858" w:type="dxa"/>
            <w:vAlign w:val="center"/>
          </w:tcPr>
          <w:p w:rsidR="00E91048" w:rsidRPr="005E3A8B" w:rsidRDefault="005E3A8B">
            <w:pPr>
              <w:spacing w:after="0" w:line="240" w:lineRule="auto"/>
              <w:rPr>
                <w:noProof/>
                <w:sz w:val="18"/>
                <w:szCs w:val="18"/>
                <w:lang w:val="fr-FR"/>
              </w:rPr>
            </w:pPr>
            <w:r w:rsidRPr="005E3A8B">
              <w:rPr>
                <w:noProof/>
                <w:sz w:val="18"/>
                <w:lang w:val="fr-FR"/>
              </w:rPr>
              <w:t>Il y aurait déséquilibre important si l’agence n’était pas en mesure d’attirer du personnel de diverses nationalités</w:t>
            </w:r>
          </w:p>
        </w:tc>
        <w:tc>
          <w:tcPr>
            <w:tcW w:w="2127" w:type="dxa"/>
            <w:vAlign w:val="center"/>
          </w:tcPr>
          <w:p w:rsidR="00E91048" w:rsidRDefault="005E3A8B">
            <w:pPr>
              <w:spacing w:after="0" w:line="240" w:lineRule="auto"/>
              <w:rPr>
                <w:noProof/>
                <w:sz w:val="18"/>
                <w:szCs w:val="18"/>
              </w:rPr>
            </w:pPr>
            <w:r>
              <w:rPr>
                <w:noProof/>
                <w:sz w:val="18"/>
              </w:rPr>
              <w:t>Non</w:t>
            </w:r>
          </w:p>
        </w:tc>
        <w:tc>
          <w:tcPr>
            <w:tcW w:w="3969" w:type="dxa"/>
            <w:vAlign w:val="center"/>
          </w:tcPr>
          <w:p w:rsidR="00E91048" w:rsidRPr="005E3A8B" w:rsidRDefault="005E3A8B">
            <w:pPr>
              <w:spacing w:after="0" w:line="240" w:lineRule="auto"/>
              <w:rPr>
                <w:noProof/>
                <w:sz w:val="18"/>
                <w:szCs w:val="18"/>
                <w:lang w:val="fr-FR"/>
              </w:rPr>
            </w:pPr>
            <w:r w:rsidRPr="005E3A8B">
              <w:rPr>
                <w:noProof/>
                <w:sz w:val="18"/>
                <w:lang w:val="fr-FR"/>
              </w:rPr>
              <w:t>L’AEAPP a repris le personnel du CECAPP</w:t>
            </w:r>
          </w:p>
          <w:p w:rsidR="00E91048" w:rsidRDefault="005E3A8B">
            <w:pPr>
              <w:spacing w:after="0" w:line="240" w:lineRule="auto"/>
              <w:rPr>
                <w:noProof/>
                <w:sz w:val="18"/>
                <w:szCs w:val="18"/>
              </w:rPr>
            </w:pPr>
            <w:r>
              <w:rPr>
                <w:noProof/>
                <w:sz w:val="18"/>
              </w:rPr>
              <w:t>Effet du siège</w:t>
            </w:r>
          </w:p>
        </w:tc>
        <w:tc>
          <w:tcPr>
            <w:tcW w:w="708" w:type="dxa"/>
            <w:textDirection w:val="btLr"/>
            <w:vAlign w:val="center"/>
          </w:tcPr>
          <w:p w:rsidR="00E91048" w:rsidRDefault="005E3A8B">
            <w:pPr>
              <w:spacing w:after="0" w:line="240" w:lineRule="auto"/>
              <w:ind w:left="113" w:right="113"/>
              <w:jc w:val="center"/>
              <w:rPr>
                <w:noProof/>
                <w:sz w:val="18"/>
                <w:szCs w:val="18"/>
              </w:rPr>
            </w:pPr>
            <w:r>
              <w:rPr>
                <w:noProof/>
                <w:sz w:val="18"/>
              </w:rPr>
              <w:t>Non</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w:t>
            </w:r>
          </w:p>
        </w:tc>
      </w:tr>
      <w:tr w:rsidR="00E91048">
        <w:trPr>
          <w:cantSplit/>
          <w:trHeight w:val="846"/>
        </w:trPr>
        <w:tc>
          <w:tcPr>
            <w:tcW w:w="392" w:type="dxa"/>
            <w:textDirection w:val="btLr"/>
          </w:tcPr>
          <w:p w:rsidR="00E91048" w:rsidRDefault="005E3A8B">
            <w:pPr>
              <w:spacing w:after="0" w:line="240" w:lineRule="auto"/>
              <w:ind w:left="113" w:right="113"/>
              <w:jc w:val="center"/>
              <w:rPr>
                <w:b/>
                <w:noProof/>
              </w:rPr>
            </w:pPr>
            <w:r>
              <w:rPr>
                <w:b/>
                <w:noProof/>
              </w:rPr>
              <w:t>AEE</w:t>
            </w:r>
          </w:p>
        </w:tc>
        <w:tc>
          <w:tcPr>
            <w:tcW w:w="3260" w:type="dxa"/>
            <w:vAlign w:val="center"/>
          </w:tcPr>
          <w:p w:rsidR="00E91048" w:rsidRPr="005E3A8B" w:rsidRDefault="005E3A8B">
            <w:pPr>
              <w:spacing w:after="0" w:line="240" w:lineRule="auto"/>
              <w:rPr>
                <w:noProof/>
                <w:sz w:val="18"/>
                <w:szCs w:val="18"/>
                <w:lang w:val="fr-FR"/>
              </w:rPr>
            </w:pPr>
            <w:r w:rsidRPr="005E3A8B">
              <w:rPr>
                <w:noProof/>
                <w:sz w:val="18"/>
                <w:lang w:val="fr-FR"/>
              </w:rPr>
              <w:t>Les États membres les plus grands et les plus anciens ont logiquement une représentation plus large</w:t>
            </w:r>
          </w:p>
        </w:tc>
        <w:tc>
          <w:tcPr>
            <w:tcW w:w="2858" w:type="dxa"/>
            <w:vAlign w:val="center"/>
          </w:tcPr>
          <w:p w:rsidR="00E91048" w:rsidRPr="005E3A8B" w:rsidRDefault="005E3A8B">
            <w:pPr>
              <w:spacing w:after="0" w:line="240" w:lineRule="auto"/>
              <w:rPr>
                <w:noProof/>
                <w:sz w:val="18"/>
                <w:szCs w:val="18"/>
                <w:lang w:val="fr-FR"/>
              </w:rPr>
            </w:pPr>
            <w:r w:rsidRPr="005E3A8B">
              <w:rPr>
                <w:noProof/>
                <w:sz w:val="18"/>
                <w:lang w:val="fr-FR"/>
              </w:rPr>
              <w:t>Il y a déséquilibre lorsque la part des ressortissants des grands/anciens EM diminue</w:t>
            </w:r>
          </w:p>
        </w:tc>
        <w:tc>
          <w:tcPr>
            <w:tcW w:w="2127" w:type="dxa"/>
            <w:vAlign w:val="center"/>
          </w:tcPr>
          <w:p w:rsidR="00E91048" w:rsidRDefault="005E3A8B">
            <w:pPr>
              <w:spacing w:after="0" w:line="240" w:lineRule="auto"/>
              <w:rPr>
                <w:noProof/>
                <w:sz w:val="18"/>
                <w:szCs w:val="18"/>
              </w:rPr>
            </w:pPr>
            <w:r>
              <w:rPr>
                <w:noProof/>
                <w:sz w:val="18"/>
              </w:rPr>
              <w:t>Non</w:t>
            </w:r>
          </w:p>
        </w:tc>
        <w:tc>
          <w:tcPr>
            <w:tcW w:w="3969" w:type="dxa"/>
            <w:vAlign w:val="center"/>
          </w:tcPr>
          <w:p w:rsidR="00E91048" w:rsidRDefault="005E3A8B">
            <w:pPr>
              <w:spacing w:after="0" w:line="240" w:lineRule="auto"/>
              <w:rPr>
                <w:noProof/>
                <w:sz w:val="18"/>
                <w:szCs w:val="18"/>
              </w:rPr>
            </w:pPr>
            <w:r>
              <w:rPr>
                <w:noProof/>
                <w:sz w:val="18"/>
              </w:rPr>
              <w:t>Sans objet</w:t>
            </w:r>
          </w:p>
        </w:tc>
        <w:tc>
          <w:tcPr>
            <w:tcW w:w="708" w:type="dxa"/>
            <w:textDirection w:val="btLr"/>
            <w:vAlign w:val="center"/>
          </w:tcPr>
          <w:p w:rsidR="00E91048" w:rsidRDefault="005E3A8B">
            <w:pPr>
              <w:spacing w:after="0" w:line="240" w:lineRule="auto"/>
              <w:ind w:left="113" w:right="113"/>
              <w:jc w:val="center"/>
              <w:rPr>
                <w:noProof/>
                <w:sz w:val="18"/>
                <w:szCs w:val="18"/>
              </w:rPr>
            </w:pPr>
            <w:r>
              <w:rPr>
                <w:noProof/>
                <w:sz w:val="18"/>
              </w:rPr>
              <w:t>Non</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w:t>
            </w:r>
          </w:p>
        </w:tc>
      </w:tr>
      <w:tr w:rsidR="00E91048" w:rsidRPr="005E3A8B">
        <w:trPr>
          <w:cantSplit/>
          <w:trHeight w:val="1349"/>
        </w:trPr>
        <w:tc>
          <w:tcPr>
            <w:tcW w:w="392" w:type="dxa"/>
            <w:textDirection w:val="btLr"/>
          </w:tcPr>
          <w:p w:rsidR="00E91048" w:rsidRDefault="005E3A8B">
            <w:pPr>
              <w:spacing w:after="0" w:line="240" w:lineRule="auto"/>
              <w:ind w:left="113" w:right="113"/>
              <w:jc w:val="center"/>
              <w:rPr>
                <w:b/>
                <w:noProof/>
              </w:rPr>
            </w:pPr>
            <w:r>
              <w:rPr>
                <w:b/>
                <w:noProof/>
              </w:rPr>
              <w:t>EFSA</w:t>
            </w:r>
          </w:p>
        </w:tc>
        <w:tc>
          <w:tcPr>
            <w:tcW w:w="3260" w:type="dxa"/>
            <w:vAlign w:val="center"/>
          </w:tcPr>
          <w:p w:rsidR="00E91048" w:rsidRPr="005E3A8B" w:rsidRDefault="005E3A8B">
            <w:pPr>
              <w:spacing w:after="0" w:line="240" w:lineRule="auto"/>
              <w:rPr>
                <w:noProof/>
                <w:sz w:val="18"/>
                <w:szCs w:val="18"/>
                <w:lang w:val="fr-FR"/>
              </w:rPr>
            </w:pPr>
            <w:r w:rsidRPr="005E3A8B">
              <w:rPr>
                <w:noProof/>
                <w:sz w:val="18"/>
                <w:lang w:val="fr-FR"/>
              </w:rPr>
              <w:t xml:space="preserve">Pas de méthode ni de critères </w:t>
            </w:r>
            <w:r w:rsidRPr="005E3A8B">
              <w:rPr>
                <w:noProof/>
                <w:sz w:val="18"/>
                <w:lang w:val="fr-FR"/>
              </w:rPr>
              <w:t>établis. Toute méthode (si adoptée) devrait prendre en compte des éléments tels que l’effet du siège ou les conséquences d’une décentralisation des activités</w:t>
            </w:r>
          </w:p>
        </w:tc>
        <w:tc>
          <w:tcPr>
            <w:tcW w:w="2858" w:type="dxa"/>
            <w:vAlign w:val="center"/>
          </w:tcPr>
          <w:p w:rsidR="00E91048" w:rsidRDefault="005E3A8B">
            <w:pPr>
              <w:spacing w:after="0" w:line="240" w:lineRule="auto"/>
              <w:rPr>
                <w:noProof/>
                <w:sz w:val="18"/>
                <w:szCs w:val="18"/>
              </w:rPr>
            </w:pPr>
            <w:r>
              <w:rPr>
                <w:noProof/>
                <w:sz w:val="18"/>
              </w:rPr>
              <w:t>Sans objet</w:t>
            </w:r>
          </w:p>
        </w:tc>
        <w:tc>
          <w:tcPr>
            <w:tcW w:w="2127" w:type="dxa"/>
            <w:vAlign w:val="center"/>
          </w:tcPr>
          <w:p w:rsidR="00E91048" w:rsidRPr="005E3A8B" w:rsidRDefault="005E3A8B">
            <w:pPr>
              <w:spacing w:after="0" w:line="240" w:lineRule="auto"/>
              <w:rPr>
                <w:noProof/>
                <w:sz w:val="18"/>
                <w:szCs w:val="18"/>
                <w:lang w:val="fr-FR"/>
              </w:rPr>
            </w:pPr>
            <w:r w:rsidRPr="005E3A8B">
              <w:rPr>
                <w:noProof/>
                <w:sz w:val="18"/>
                <w:lang w:val="fr-FR"/>
              </w:rPr>
              <w:t>Une nationalité représente 40 % du personnel</w:t>
            </w:r>
          </w:p>
        </w:tc>
        <w:tc>
          <w:tcPr>
            <w:tcW w:w="3969" w:type="dxa"/>
            <w:vAlign w:val="center"/>
          </w:tcPr>
          <w:p w:rsidR="00E91048" w:rsidRDefault="005E3A8B">
            <w:pPr>
              <w:spacing w:after="0" w:line="240" w:lineRule="auto"/>
              <w:rPr>
                <w:noProof/>
                <w:sz w:val="18"/>
                <w:szCs w:val="18"/>
              </w:rPr>
            </w:pPr>
            <w:r>
              <w:rPr>
                <w:noProof/>
                <w:sz w:val="18"/>
              </w:rPr>
              <w:t>Sans objet</w:t>
            </w:r>
          </w:p>
        </w:tc>
        <w:tc>
          <w:tcPr>
            <w:tcW w:w="708" w:type="dxa"/>
            <w:textDirection w:val="btLr"/>
            <w:vAlign w:val="center"/>
          </w:tcPr>
          <w:p w:rsidR="00E91048" w:rsidRDefault="005E3A8B">
            <w:pPr>
              <w:spacing w:after="0" w:line="240" w:lineRule="auto"/>
              <w:ind w:left="113" w:right="113"/>
              <w:jc w:val="center"/>
              <w:rPr>
                <w:noProof/>
                <w:sz w:val="18"/>
                <w:szCs w:val="18"/>
              </w:rPr>
            </w:pPr>
            <w:r>
              <w:rPr>
                <w:noProof/>
                <w:sz w:val="18"/>
              </w:rPr>
              <w:t>Non</w:t>
            </w:r>
          </w:p>
        </w:tc>
        <w:tc>
          <w:tcPr>
            <w:tcW w:w="834" w:type="dxa"/>
            <w:textDirection w:val="btLr"/>
            <w:vAlign w:val="center"/>
          </w:tcPr>
          <w:p w:rsidR="00E91048" w:rsidRPr="005E3A8B" w:rsidRDefault="005E3A8B">
            <w:pPr>
              <w:spacing w:after="0" w:line="240" w:lineRule="auto"/>
              <w:ind w:left="113" w:right="113"/>
              <w:jc w:val="center"/>
              <w:rPr>
                <w:noProof/>
                <w:sz w:val="18"/>
                <w:szCs w:val="18"/>
                <w:lang w:val="fr-FR"/>
              </w:rPr>
            </w:pPr>
            <w:r w:rsidRPr="005E3A8B">
              <w:rPr>
                <w:noProof/>
                <w:sz w:val="18"/>
                <w:lang w:val="fr-FR"/>
              </w:rPr>
              <w:t xml:space="preserve">NON/NON (mesures sociales </w:t>
            </w:r>
            <w:r w:rsidRPr="005E3A8B">
              <w:rPr>
                <w:noProof/>
                <w:sz w:val="18"/>
                <w:lang w:val="fr-FR"/>
              </w:rPr>
              <w:t>envisagées)</w:t>
            </w:r>
          </w:p>
        </w:tc>
      </w:tr>
      <w:tr w:rsidR="00E91048">
        <w:trPr>
          <w:cantSplit/>
          <w:trHeight w:val="1099"/>
        </w:trPr>
        <w:tc>
          <w:tcPr>
            <w:tcW w:w="392" w:type="dxa"/>
            <w:textDirection w:val="btLr"/>
          </w:tcPr>
          <w:p w:rsidR="00E91048" w:rsidRDefault="005E3A8B">
            <w:pPr>
              <w:spacing w:after="0" w:line="240" w:lineRule="auto"/>
              <w:ind w:left="113" w:right="113"/>
              <w:jc w:val="center"/>
              <w:rPr>
                <w:b/>
                <w:noProof/>
              </w:rPr>
            </w:pPr>
            <w:r>
              <w:rPr>
                <w:b/>
                <w:noProof/>
              </w:rPr>
              <w:t>EMA</w:t>
            </w:r>
          </w:p>
        </w:tc>
        <w:tc>
          <w:tcPr>
            <w:tcW w:w="3260" w:type="dxa"/>
            <w:vAlign w:val="center"/>
          </w:tcPr>
          <w:p w:rsidR="00E91048" w:rsidRPr="005E3A8B" w:rsidRDefault="005E3A8B">
            <w:pPr>
              <w:spacing w:after="0" w:line="240" w:lineRule="auto"/>
              <w:rPr>
                <w:noProof/>
                <w:sz w:val="18"/>
                <w:szCs w:val="18"/>
                <w:lang w:val="fr-FR"/>
              </w:rPr>
            </w:pPr>
            <w:r w:rsidRPr="005E3A8B">
              <w:rPr>
                <w:noProof/>
                <w:sz w:val="18"/>
                <w:lang w:val="fr-FR"/>
              </w:rPr>
              <w:t>L’équilibre géographique est évalué de manière globale (tous groupes de fonctions confondus, personnel temporaire et contractuel).</w:t>
            </w:r>
            <w:r w:rsidRPr="005E3A8B">
              <w:rPr>
                <w:noProof/>
                <w:sz w:val="18"/>
                <w:szCs w:val="18"/>
                <w:lang w:val="fr-FR"/>
              </w:rPr>
              <w:br/>
            </w:r>
            <w:r w:rsidRPr="005E3A8B">
              <w:rPr>
                <w:noProof/>
                <w:sz w:val="18"/>
                <w:lang w:val="fr-FR"/>
              </w:rPr>
              <w:t xml:space="preserve">Valeur de référence: la part de la population de l’État membre concerné dans la population de l’UE/EEE </w:t>
            </w:r>
          </w:p>
        </w:tc>
        <w:tc>
          <w:tcPr>
            <w:tcW w:w="2858" w:type="dxa"/>
            <w:vAlign w:val="center"/>
          </w:tcPr>
          <w:p w:rsidR="00E91048" w:rsidRPr="005E3A8B" w:rsidRDefault="005E3A8B">
            <w:pPr>
              <w:spacing w:after="0" w:line="240" w:lineRule="auto"/>
              <w:rPr>
                <w:noProof/>
                <w:sz w:val="18"/>
                <w:szCs w:val="18"/>
                <w:lang w:val="fr-FR"/>
              </w:rPr>
            </w:pPr>
            <w:r w:rsidRPr="005E3A8B">
              <w:rPr>
                <w:noProof/>
                <w:sz w:val="18"/>
                <w:lang w:val="fr-FR"/>
              </w:rPr>
              <w:t>Il y</w:t>
            </w:r>
            <w:r w:rsidRPr="005E3A8B">
              <w:rPr>
                <w:noProof/>
                <w:sz w:val="18"/>
                <w:lang w:val="fr-FR"/>
              </w:rPr>
              <w:t xml:space="preserve"> a déséquilibre lorsque la part réelle de ressortissants s’écarte de la valeur de référence de plus de +100 % ou de -50 %.</w:t>
            </w:r>
          </w:p>
        </w:tc>
        <w:tc>
          <w:tcPr>
            <w:tcW w:w="2127" w:type="dxa"/>
            <w:vAlign w:val="center"/>
          </w:tcPr>
          <w:p w:rsidR="00E91048" w:rsidRPr="005E3A8B" w:rsidRDefault="005E3A8B">
            <w:pPr>
              <w:spacing w:after="0" w:line="240" w:lineRule="auto"/>
              <w:rPr>
                <w:noProof/>
                <w:sz w:val="18"/>
                <w:szCs w:val="18"/>
                <w:lang w:val="fr-FR"/>
              </w:rPr>
            </w:pPr>
            <w:r w:rsidRPr="005E3A8B">
              <w:rPr>
                <w:noProof/>
                <w:sz w:val="18"/>
                <w:lang w:val="fr-FR"/>
              </w:rPr>
              <w:t>Sous-représentés: NL, DE, LU (et Norvège)</w:t>
            </w:r>
          </w:p>
          <w:p w:rsidR="00E91048" w:rsidRPr="005E3A8B" w:rsidRDefault="005E3A8B">
            <w:pPr>
              <w:spacing w:after="0" w:line="240" w:lineRule="auto"/>
              <w:rPr>
                <w:noProof/>
                <w:sz w:val="18"/>
                <w:szCs w:val="18"/>
                <w:lang w:val="fr-FR"/>
              </w:rPr>
            </w:pPr>
            <w:r w:rsidRPr="005E3A8B">
              <w:rPr>
                <w:noProof/>
                <w:sz w:val="18"/>
                <w:lang w:val="fr-FR"/>
              </w:rPr>
              <w:t>Surreprésentés: EE, GR, IE, LV, LT, PT et SK</w:t>
            </w:r>
          </w:p>
        </w:tc>
        <w:tc>
          <w:tcPr>
            <w:tcW w:w="3969" w:type="dxa"/>
            <w:vAlign w:val="center"/>
          </w:tcPr>
          <w:p w:rsidR="00E91048" w:rsidRPr="005E3A8B" w:rsidRDefault="005E3A8B">
            <w:pPr>
              <w:spacing w:after="0" w:line="240" w:lineRule="auto"/>
              <w:rPr>
                <w:noProof/>
                <w:sz w:val="18"/>
                <w:szCs w:val="18"/>
                <w:lang w:val="fr-FR"/>
              </w:rPr>
            </w:pPr>
            <w:r w:rsidRPr="005E3A8B">
              <w:rPr>
                <w:noProof/>
                <w:sz w:val="18"/>
                <w:lang w:val="fr-FR"/>
              </w:rPr>
              <w:t>La classification des emplois à l’EMA (inférie</w:t>
            </w:r>
            <w:r w:rsidRPr="005E3A8B">
              <w:rPr>
                <w:noProof/>
                <w:sz w:val="18"/>
                <w:lang w:val="fr-FR"/>
              </w:rPr>
              <w:t>ure par rapport aux autres agences) diminue l’attractivité de l’agence pour certaines nationalités. Un suivi de la cartographie de l’emploi pourrait améliorer la situation.</w:t>
            </w:r>
          </w:p>
        </w:tc>
        <w:tc>
          <w:tcPr>
            <w:tcW w:w="708" w:type="dxa"/>
            <w:textDirection w:val="btLr"/>
            <w:vAlign w:val="center"/>
          </w:tcPr>
          <w:p w:rsidR="00E91048" w:rsidRDefault="005E3A8B">
            <w:pPr>
              <w:spacing w:after="0" w:line="240" w:lineRule="auto"/>
              <w:ind w:left="113" w:right="113"/>
              <w:jc w:val="center"/>
              <w:rPr>
                <w:noProof/>
                <w:sz w:val="18"/>
                <w:szCs w:val="18"/>
              </w:rPr>
            </w:pPr>
            <w:r>
              <w:rPr>
                <w:noProof/>
                <w:sz w:val="18"/>
              </w:rPr>
              <w:t>Va déménager</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w:t>
            </w:r>
          </w:p>
        </w:tc>
      </w:tr>
      <w:tr w:rsidR="00E91048">
        <w:trPr>
          <w:cantSplit/>
          <w:trHeight w:val="1099"/>
        </w:trPr>
        <w:tc>
          <w:tcPr>
            <w:tcW w:w="392" w:type="dxa"/>
            <w:textDirection w:val="btLr"/>
          </w:tcPr>
          <w:p w:rsidR="00E91048" w:rsidRDefault="005E3A8B">
            <w:pPr>
              <w:spacing w:after="0" w:line="240" w:lineRule="auto"/>
              <w:ind w:left="113" w:right="113"/>
              <w:jc w:val="center"/>
              <w:rPr>
                <w:b/>
                <w:noProof/>
              </w:rPr>
            </w:pPr>
            <w:r>
              <w:rPr>
                <w:b/>
                <w:noProof/>
              </w:rPr>
              <w:t>OEDT</w:t>
            </w:r>
          </w:p>
        </w:tc>
        <w:tc>
          <w:tcPr>
            <w:tcW w:w="3260" w:type="dxa"/>
            <w:vAlign w:val="center"/>
          </w:tcPr>
          <w:p w:rsidR="00E91048" w:rsidRPr="005E3A8B" w:rsidRDefault="005E3A8B">
            <w:pPr>
              <w:spacing w:after="0" w:line="240" w:lineRule="auto"/>
              <w:rPr>
                <w:noProof/>
                <w:sz w:val="18"/>
                <w:szCs w:val="18"/>
                <w:lang w:val="fr-FR"/>
              </w:rPr>
            </w:pPr>
            <w:r w:rsidRPr="005E3A8B">
              <w:rPr>
                <w:noProof/>
                <w:sz w:val="18"/>
                <w:lang w:val="fr-FR"/>
              </w:rPr>
              <w:t>Tous les États membres devraient être représentés</w:t>
            </w:r>
          </w:p>
        </w:tc>
        <w:tc>
          <w:tcPr>
            <w:tcW w:w="2858" w:type="dxa"/>
            <w:vAlign w:val="center"/>
          </w:tcPr>
          <w:p w:rsidR="00E91048" w:rsidRPr="005E3A8B" w:rsidRDefault="005E3A8B">
            <w:pPr>
              <w:spacing w:after="0" w:line="240" w:lineRule="auto"/>
              <w:rPr>
                <w:noProof/>
                <w:sz w:val="18"/>
                <w:szCs w:val="18"/>
                <w:lang w:val="fr-FR"/>
              </w:rPr>
            </w:pPr>
            <w:r w:rsidRPr="005E3A8B">
              <w:rPr>
                <w:noProof/>
                <w:sz w:val="18"/>
                <w:lang w:val="fr-FR"/>
              </w:rPr>
              <w:t>Il y a</w:t>
            </w:r>
            <w:r w:rsidRPr="005E3A8B">
              <w:rPr>
                <w:noProof/>
                <w:sz w:val="18"/>
                <w:lang w:val="fr-FR"/>
              </w:rPr>
              <w:t xml:space="preserve"> déséquilibre important lorsque le personnel d’une nationalité représente plus de 30 % du personnel</w:t>
            </w:r>
          </w:p>
        </w:tc>
        <w:tc>
          <w:tcPr>
            <w:tcW w:w="2127" w:type="dxa"/>
            <w:vAlign w:val="center"/>
          </w:tcPr>
          <w:p w:rsidR="00E91048" w:rsidRDefault="005E3A8B">
            <w:pPr>
              <w:spacing w:after="0" w:line="240" w:lineRule="auto"/>
              <w:rPr>
                <w:noProof/>
                <w:sz w:val="18"/>
                <w:szCs w:val="18"/>
              </w:rPr>
            </w:pPr>
            <w:r>
              <w:rPr>
                <w:noProof/>
                <w:sz w:val="18"/>
              </w:rPr>
              <w:t>Non</w:t>
            </w:r>
          </w:p>
        </w:tc>
        <w:tc>
          <w:tcPr>
            <w:tcW w:w="3969" w:type="dxa"/>
            <w:vAlign w:val="center"/>
          </w:tcPr>
          <w:p w:rsidR="00E91048" w:rsidRDefault="005E3A8B">
            <w:pPr>
              <w:spacing w:after="0" w:line="240" w:lineRule="auto"/>
              <w:rPr>
                <w:noProof/>
                <w:sz w:val="18"/>
                <w:szCs w:val="18"/>
              </w:rPr>
            </w:pPr>
            <w:r>
              <w:rPr>
                <w:noProof/>
                <w:sz w:val="18"/>
              </w:rPr>
              <w:t>Sans objet</w:t>
            </w:r>
          </w:p>
        </w:tc>
        <w:tc>
          <w:tcPr>
            <w:tcW w:w="708" w:type="dxa"/>
            <w:textDirection w:val="btLr"/>
            <w:vAlign w:val="center"/>
          </w:tcPr>
          <w:p w:rsidR="00E91048" w:rsidRDefault="005E3A8B">
            <w:pPr>
              <w:spacing w:after="0" w:line="240" w:lineRule="auto"/>
              <w:ind w:left="113" w:right="113"/>
              <w:jc w:val="center"/>
              <w:rPr>
                <w:noProof/>
                <w:sz w:val="18"/>
                <w:szCs w:val="18"/>
              </w:rPr>
            </w:pPr>
            <w:r>
              <w:rPr>
                <w:noProof/>
                <w:sz w:val="18"/>
              </w:rPr>
              <w:t>Non</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w:t>
            </w:r>
          </w:p>
        </w:tc>
      </w:tr>
      <w:tr w:rsidR="00E91048">
        <w:trPr>
          <w:cantSplit/>
          <w:trHeight w:val="1412"/>
        </w:trPr>
        <w:tc>
          <w:tcPr>
            <w:tcW w:w="392" w:type="dxa"/>
            <w:textDirection w:val="btLr"/>
          </w:tcPr>
          <w:p w:rsidR="00E91048" w:rsidRDefault="005E3A8B">
            <w:pPr>
              <w:spacing w:after="0" w:line="240" w:lineRule="auto"/>
              <w:ind w:left="113" w:right="113"/>
              <w:jc w:val="center"/>
              <w:rPr>
                <w:b/>
                <w:noProof/>
              </w:rPr>
            </w:pPr>
            <w:r>
              <w:rPr>
                <w:b/>
                <w:noProof/>
              </w:rPr>
              <w:t>AESM</w:t>
            </w:r>
          </w:p>
        </w:tc>
        <w:tc>
          <w:tcPr>
            <w:tcW w:w="3260" w:type="dxa"/>
            <w:vAlign w:val="center"/>
          </w:tcPr>
          <w:p w:rsidR="00E91048" w:rsidRPr="005E3A8B" w:rsidRDefault="005E3A8B">
            <w:pPr>
              <w:spacing w:after="0" w:line="240" w:lineRule="auto"/>
              <w:rPr>
                <w:noProof/>
                <w:sz w:val="18"/>
                <w:szCs w:val="18"/>
                <w:lang w:val="fr-FR"/>
              </w:rPr>
            </w:pPr>
            <w:r w:rsidRPr="005E3A8B">
              <w:rPr>
                <w:noProof/>
                <w:sz w:val="18"/>
                <w:lang w:val="fr-FR"/>
              </w:rPr>
              <w:t>L’équilibre géographique est évalué de manière globale (tous groupes de fonction confondus).</w:t>
            </w:r>
          </w:p>
          <w:p w:rsidR="00E91048" w:rsidRPr="005E3A8B" w:rsidRDefault="005E3A8B">
            <w:pPr>
              <w:spacing w:after="0" w:line="240" w:lineRule="auto"/>
              <w:rPr>
                <w:noProof/>
                <w:sz w:val="18"/>
                <w:szCs w:val="18"/>
                <w:lang w:val="fr-FR"/>
              </w:rPr>
            </w:pPr>
            <w:r w:rsidRPr="005E3A8B">
              <w:rPr>
                <w:noProof/>
                <w:sz w:val="18"/>
                <w:lang w:val="fr-FR"/>
              </w:rPr>
              <w:t>Valeur de référence: la part d</w:t>
            </w:r>
            <w:r w:rsidRPr="005E3A8B">
              <w:rPr>
                <w:noProof/>
                <w:sz w:val="18"/>
                <w:lang w:val="fr-FR"/>
              </w:rPr>
              <w:t>e la population de l’État membre concerné dans la population de l’UE</w:t>
            </w:r>
          </w:p>
        </w:tc>
        <w:tc>
          <w:tcPr>
            <w:tcW w:w="2858" w:type="dxa"/>
            <w:vAlign w:val="center"/>
          </w:tcPr>
          <w:p w:rsidR="00E91048" w:rsidRPr="005E3A8B" w:rsidRDefault="005E3A8B">
            <w:pPr>
              <w:spacing w:after="0" w:line="240" w:lineRule="auto"/>
              <w:rPr>
                <w:noProof/>
                <w:sz w:val="18"/>
                <w:szCs w:val="18"/>
                <w:lang w:val="fr-FR"/>
              </w:rPr>
            </w:pPr>
            <w:r w:rsidRPr="005E3A8B">
              <w:rPr>
                <w:noProof/>
                <w:sz w:val="18"/>
                <w:lang w:val="fr-FR"/>
              </w:rPr>
              <w:t>Il y a déséquilibre important lorsque la part réelle de ressortissants s’écarte de la valeur de référence de plus de +100 % ou de -50 %.</w:t>
            </w:r>
          </w:p>
        </w:tc>
        <w:tc>
          <w:tcPr>
            <w:tcW w:w="2127" w:type="dxa"/>
            <w:vAlign w:val="center"/>
          </w:tcPr>
          <w:p w:rsidR="00E91048" w:rsidRPr="005E3A8B" w:rsidRDefault="005E3A8B">
            <w:pPr>
              <w:spacing w:after="0" w:line="240" w:lineRule="auto"/>
              <w:rPr>
                <w:noProof/>
                <w:sz w:val="18"/>
                <w:szCs w:val="18"/>
                <w:lang w:val="fr-FR"/>
              </w:rPr>
            </w:pPr>
            <w:r w:rsidRPr="005E3A8B">
              <w:rPr>
                <w:noProof/>
                <w:sz w:val="18"/>
                <w:lang w:val="fr-FR"/>
              </w:rPr>
              <w:t>Largement sous-représentés: FR, IT, UK</w:t>
            </w:r>
          </w:p>
          <w:p w:rsidR="00E91048" w:rsidRPr="005E3A8B" w:rsidRDefault="005E3A8B">
            <w:pPr>
              <w:spacing w:after="0" w:line="240" w:lineRule="auto"/>
              <w:rPr>
                <w:noProof/>
                <w:sz w:val="18"/>
                <w:szCs w:val="18"/>
                <w:lang w:val="fr-FR"/>
              </w:rPr>
            </w:pPr>
            <w:r w:rsidRPr="005E3A8B">
              <w:rPr>
                <w:noProof/>
                <w:sz w:val="18"/>
                <w:lang w:val="fr-FR"/>
              </w:rPr>
              <w:t xml:space="preserve">Largement </w:t>
            </w:r>
            <w:r w:rsidRPr="005E3A8B">
              <w:rPr>
                <w:noProof/>
                <w:sz w:val="18"/>
                <w:lang w:val="fr-FR"/>
              </w:rPr>
              <w:t>surreprésentés: PT, GR, BE</w:t>
            </w:r>
          </w:p>
        </w:tc>
        <w:tc>
          <w:tcPr>
            <w:tcW w:w="3969" w:type="dxa"/>
            <w:vAlign w:val="center"/>
          </w:tcPr>
          <w:p w:rsidR="00E91048" w:rsidRPr="005E3A8B" w:rsidRDefault="005E3A8B">
            <w:pPr>
              <w:spacing w:after="0" w:line="240" w:lineRule="auto"/>
              <w:rPr>
                <w:noProof/>
                <w:sz w:val="18"/>
                <w:szCs w:val="18"/>
                <w:lang w:val="fr-FR"/>
              </w:rPr>
            </w:pPr>
            <w:r w:rsidRPr="005E3A8B">
              <w:rPr>
                <w:noProof/>
                <w:sz w:val="18"/>
                <w:lang w:val="fr-FR"/>
              </w:rPr>
              <w:t>Coefficient correcteur en diminution constante</w:t>
            </w:r>
          </w:p>
          <w:p w:rsidR="00E91048" w:rsidRPr="005E3A8B" w:rsidRDefault="005E3A8B">
            <w:pPr>
              <w:spacing w:after="0" w:line="240" w:lineRule="auto"/>
              <w:rPr>
                <w:noProof/>
                <w:sz w:val="18"/>
                <w:szCs w:val="18"/>
                <w:lang w:val="fr-FR"/>
              </w:rPr>
            </w:pPr>
            <w:r w:rsidRPr="005E3A8B">
              <w:rPr>
                <w:noProof/>
                <w:sz w:val="18"/>
                <w:lang w:val="fr-FR"/>
              </w:rPr>
              <w:t>Difficulté de trouver un emploi pour les conjoints</w:t>
            </w:r>
          </w:p>
        </w:tc>
        <w:tc>
          <w:tcPr>
            <w:tcW w:w="708" w:type="dxa"/>
            <w:textDirection w:val="btLr"/>
            <w:vAlign w:val="center"/>
          </w:tcPr>
          <w:p w:rsidR="00E91048" w:rsidRDefault="005E3A8B">
            <w:pPr>
              <w:spacing w:after="0" w:line="240" w:lineRule="auto"/>
              <w:ind w:left="113" w:right="113"/>
              <w:jc w:val="center"/>
              <w:rPr>
                <w:noProof/>
                <w:sz w:val="18"/>
                <w:szCs w:val="18"/>
              </w:rPr>
            </w:pPr>
            <w:r>
              <w:rPr>
                <w:noProof/>
                <w:sz w:val="18"/>
              </w:rPr>
              <w:t>Oui</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NON/OUI: mesures sociales)</w:t>
            </w:r>
          </w:p>
        </w:tc>
      </w:tr>
      <w:tr w:rsidR="00E91048">
        <w:trPr>
          <w:cantSplit/>
          <w:trHeight w:val="1412"/>
        </w:trPr>
        <w:tc>
          <w:tcPr>
            <w:tcW w:w="392" w:type="dxa"/>
            <w:textDirection w:val="btLr"/>
          </w:tcPr>
          <w:p w:rsidR="00E91048" w:rsidRDefault="005E3A8B">
            <w:pPr>
              <w:spacing w:after="0" w:line="240" w:lineRule="auto"/>
              <w:ind w:left="113" w:right="113"/>
              <w:jc w:val="center"/>
              <w:rPr>
                <w:b/>
                <w:noProof/>
              </w:rPr>
            </w:pPr>
            <w:r>
              <w:rPr>
                <w:b/>
                <w:noProof/>
              </w:rPr>
              <w:t>ENISA</w:t>
            </w:r>
          </w:p>
        </w:tc>
        <w:tc>
          <w:tcPr>
            <w:tcW w:w="3260" w:type="dxa"/>
            <w:vAlign w:val="center"/>
          </w:tcPr>
          <w:p w:rsidR="00E91048" w:rsidRPr="005E3A8B" w:rsidRDefault="005E3A8B">
            <w:pPr>
              <w:spacing w:after="0" w:line="240" w:lineRule="auto"/>
              <w:rPr>
                <w:noProof/>
                <w:sz w:val="18"/>
                <w:szCs w:val="18"/>
                <w:lang w:val="fr-FR"/>
              </w:rPr>
            </w:pPr>
            <w:r w:rsidRPr="005E3A8B">
              <w:rPr>
                <w:noProof/>
                <w:sz w:val="18"/>
                <w:lang w:val="fr-FR"/>
              </w:rPr>
              <w:t xml:space="preserve">L’équilibre géographique est surveillé et comparé à la population des États membres. </w:t>
            </w:r>
          </w:p>
        </w:tc>
        <w:tc>
          <w:tcPr>
            <w:tcW w:w="2858" w:type="dxa"/>
            <w:vAlign w:val="center"/>
          </w:tcPr>
          <w:p w:rsidR="00E91048" w:rsidRPr="005E3A8B" w:rsidRDefault="005E3A8B">
            <w:pPr>
              <w:spacing w:after="0" w:line="240" w:lineRule="auto"/>
              <w:rPr>
                <w:noProof/>
                <w:sz w:val="18"/>
                <w:szCs w:val="18"/>
                <w:lang w:val="fr-FR"/>
              </w:rPr>
            </w:pPr>
            <w:r w:rsidRPr="005E3A8B">
              <w:rPr>
                <w:noProof/>
                <w:sz w:val="18"/>
                <w:lang w:val="fr-FR"/>
              </w:rPr>
              <w:t xml:space="preserve">Il y a </w:t>
            </w:r>
            <w:r w:rsidRPr="005E3A8B">
              <w:rPr>
                <w:noProof/>
                <w:sz w:val="18"/>
                <w:lang w:val="fr-FR"/>
              </w:rPr>
              <w:t>déséquilibre lorsque le personnel d’une nationalité déterminée représente plus de 50 % du personnel total.</w:t>
            </w:r>
          </w:p>
        </w:tc>
        <w:tc>
          <w:tcPr>
            <w:tcW w:w="2127" w:type="dxa"/>
            <w:vAlign w:val="center"/>
          </w:tcPr>
          <w:p w:rsidR="00E91048" w:rsidRDefault="005E3A8B">
            <w:pPr>
              <w:spacing w:after="0" w:line="240" w:lineRule="auto"/>
              <w:rPr>
                <w:noProof/>
                <w:sz w:val="18"/>
                <w:szCs w:val="18"/>
              </w:rPr>
            </w:pPr>
            <w:r>
              <w:rPr>
                <w:noProof/>
                <w:sz w:val="18"/>
              </w:rPr>
              <w:t>NON</w:t>
            </w:r>
          </w:p>
        </w:tc>
        <w:tc>
          <w:tcPr>
            <w:tcW w:w="3969" w:type="dxa"/>
            <w:vAlign w:val="center"/>
          </w:tcPr>
          <w:p w:rsidR="00E91048" w:rsidRPr="005E3A8B" w:rsidRDefault="005E3A8B">
            <w:pPr>
              <w:spacing w:after="0" w:line="240" w:lineRule="auto"/>
              <w:rPr>
                <w:noProof/>
                <w:sz w:val="18"/>
                <w:szCs w:val="18"/>
                <w:lang w:val="fr-FR"/>
              </w:rPr>
            </w:pPr>
            <w:r w:rsidRPr="005E3A8B">
              <w:rPr>
                <w:noProof/>
                <w:sz w:val="18"/>
                <w:lang w:val="fr-FR"/>
              </w:rPr>
              <w:t>Sans objet, mais du fait de la crise économique grecque et de la diminution/du niveau bas du coefficient correcteur, une majorité de candidats es</w:t>
            </w:r>
            <w:r w:rsidRPr="005E3A8B">
              <w:rPr>
                <w:noProof/>
                <w:sz w:val="18"/>
                <w:lang w:val="fr-FR"/>
              </w:rPr>
              <w:t>t originaire de l’État membre</w:t>
            </w:r>
          </w:p>
        </w:tc>
        <w:tc>
          <w:tcPr>
            <w:tcW w:w="708" w:type="dxa"/>
            <w:textDirection w:val="btLr"/>
            <w:vAlign w:val="center"/>
          </w:tcPr>
          <w:p w:rsidR="00E91048" w:rsidRDefault="005E3A8B">
            <w:pPr>
              <w:spacing w:after="0" w:line="240" w:lineRule="auto"/>
              <w:ind w:left="113" w:right="113"/>
              <w:jc w:val="center"/>
              <w:rPr>
                <w:noProof/>
                <w:sz w:val="18"/>
                <w:szCs w:val="18"/>
              </w:rPr>
            </w:pPr>
            <w:r>
              <w:rPr>
                <w:noProof/>
                <w:sz w:val="18"/>
              </w:rPr>
              <w:t>Non</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w:t>
            </w:r>
          </w:p>
        </w:tc>
      </w:tr>
      <w:tr w:rsidR="00E91048">
        <w:trPr>
          <w:cantSplit/>
          <w:trHeight w:val="1100"/>
        </w:trPr>
        <w:tc>
          <w:tcPr>
            <w:tcW w:w="392" w:type="dxa"/>
            <w:textDirection w:val="btLr"/>
          </w:tcPr>
          <w:p w:rsidR="00E91048" w:rsidRDefault="005E3A8B">
            <w:pPr>
              <w:spacing w:after="0" w:line="240" w:lineRule="auto"/>
              <w:ind w:left="113" w:right="113"/>
              <w:jc w:val="center"/>
              <w:rPr>
                <w:b/>
                <w:noProof/>
              </w:rPr>
            </w:pPr>
            <w:r>
              <w:rPr>
                <w:b/>
                <w:noProof/>
              </w:rPr>
              <w:t>ETF</w:t>
            </w:r>
          </w:p>
        </w:tc>
        <w:tc>
          <w:tcPr>
            <w:tcW w:w="3260" w:type="dxa"/>
            <w:vAlign w:val="center"/>
          </w:tcPr>
          <w:p w:rsidR="00E91048" w:rsidRPr="005E3A8B" w:rsidRDefault="005E3A8B">
            <w:pPr>
              <w:spacing w:after="0" w:line="240" w:lineRule="auto"/>
              <w:rPr>
                <w:noProof/>
                <w:sz w:val="18"/>
                <w:szCs w:val="18"/>
                <w:lang w:val="fr-FR"/>
              </w:rPr>
            </w:pPr>
            <w:r w:rsidRPr="005E3A8B">
              <w:rPr>
                <w:noProof/>
                <w:sz w:val="18"/>
                <w:lang w:val="fr-FR"/>
              </w:rPr>
              <w:t>Comptage du nombre de nationalités représentées</w:t>
            </w:r>
          </w:p>
        </w:tc>
        <w:tc>
          <w:tcPr>
            <w:tcW w:w="2858" w:type="dxa"/>
            <w:vAlign w:val="center"/>
          </w:tcPr>
          <w:p w:rsidR="00E91048" w:rsidRPr="005E3A8B" w:rsidRDefault="005E3A8B">
            <w:pPr>
              <w:spacing w:after="0" w:line="240" w:lineRule="auto"/>
              <w:rPr>
                <w:noProof/>
                <w:sz w:val="18"/>
                <w:szCs w:val="18"/>
                <w:lang w:val="fr-FR"/>
              </w:rPr>
            </w:pPr>
            <w:r w:rsidRPr="005E3A8B">
              <w:rPr>
                <w:noProof/>
                <w:sz w:val="18"/>
                <w:lang w:val="fr-FR"/>
              </w:rPr>
              <w:t>Il y a déséquilibre lorsque moins de 60% des nationalités sont représentées</w:t>
            </w:r>
          </w:p>
          <w:p w:rsidR="00E91048" w:rsidRPr="005E3A8B" w:rsidRDefault="005E3A8B">
            <w:pPr>
              <w:spacing w:after="0" w:line="240" w:lineRule="auto"/>
              <w:rPr>
                <w:noProof/>
                <w:sz w:val="18"/>
                <w:szCs w:val="18"/>
                <w:lang w:val="fr-FR"/>
              </w:rPr>
            </w:pPr>
            <w:r w:rsidRPr="005E3A8B">
              <w:rPr>
                <w:noProof/>
                <w:sz w:val="18"/>
                <w:lang w:val="fr-FR"/>
              </w:rPr>
              <w:t xml:space="preserve">Il y a déséquilibre important lorsqu’une nationalité représente plus de 40 % du </w:t>
            </w:r>
            <w:r w:rsidRPr="005E3A8B">
              <w:rPr>
                <w:noProof/>
                <w:sz w:val="18"/>
                <w:lang w:val="fr-FR"/>
              </w:rPr>
              <w:t>personnel total</w:t>
            </w:r>
          </w:p>
        </w:tc>
        <w:tc>
          <w:tcPr>
            <w:tcW w:w="2127" w:type="dxa"/>
            <w:vAlign w:val="center"/>
          </w:tcPr>
          <w:p w:rsidR="00E91048" w:rsidRDefault="005E3A8B">
            <w:pPr>
              <w:spacing w:after="0" w:line="240" w:lineRule="auto"/>
              <w:rPr>
                <w:noProof/>
                <w:sz w:val="18"/>
                <w:szCs w:val="18"/>
              </w:rPr>
            </w:pPr>
            <w:r>
              <w:rPr>
                <w:noProof/>
                <w:sz w:val="18"/>
              </w:rPr>
              <w:t>Non</w:t>
            </w:r>
          </w:p>
        </w:tc>
        <w:tc>
          <w:tcPr>
            <w:tcW w:w="3969" w:type="dxa"/>
            <w:vAlign w:val="center"/>
          </w:tcPr>
          <w:p w:rsidR="00E91048" w:rsidRDefault="005E3A8B">
            <w:pPr>
              <w:spacing w:after="0" w:line="240" w:lineRule="auto"/>
              <w:rPr>
                <w:noProof/>
                <w:sz w:val="18"/>
                <w:szCs w:val="18"/>
              </w:rPr>
            </w:pPr>
            <w:r>
              <w:rPr>
                <w:noProof/>
                <w:sz w:val="18"/>
              </w:rPr>
              <w:t>Sans objet</w:t>
            </w:r>
          </w:p>
        </w:tc>
        <w:tc>
          <w:tcPr>
            <w:tcW w:w="708" w:type="dxa"/>
            <w:textDirection w:val="btLr"/>
            <w:vAlign w:val="center"/>
          </w:tcPr>
          <w:p w:rsidR="00E91048" w:rsidRDefault="005E3A8B">
            <w:pPr>
              <w:spacing w:after="0" w:line="240" w:lineRule="auto"/>
              <w:ind w:left="113" w:right="113"/>
              <w:jc w:val="center"/>
              <w:rPr>
                <w:noProof/>
                <w:sz w:val="18"/>
                <w:szCs w:val="18"/>
              </w:rPr>
            </w:pPr>
            <w:r>
              <w:rPr>
                <w:noProof/>
                <w:sz w:val="18"/>
              </w:rPr>
              <w:t>Non</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w:t>
            </w:r>
          </w:p>
        </w:tc>
      </w:tr>
      <w:tr w:rsidR="00E91048">
        <w:trPr>
          <w:cantSplit/>
          <w:trHeight w:val="1190"/>
        </w:trPr>
        <w:tc>
          <w:tcPr>
            <w:tcW w:w="392" w:type="dxa"/>
            <w:textDirection w:val="btLr"/>
          </w:tcPr>
          <w:p w:rsidR="00E91048" w:rsidRDefault="005E3A8B">
            <w:pPr>
              <w:spacing w:after="0" w:line="240" w:lineRule="auto"/>
              <w:ind w:left="113" w:right="113"/>
              <w:jc w:val="center"/>
              <w:rPr>
                <w:b/>
                <w:noProof/>
              </w:rPr>
            </w:pPr>
            <w:r>
              <w:rPr>
                <w:b/>
                <w:noProof/>
              </w:rPr>
              <w:t>OUEPI</w:t>
            </w:r>
          </w:p>
        </w:tc>
        <w:tc>
          <w:tcPr>
            <w:tcW w:w="3260" w:type="dxa"/>
            <w:vAlign w:val="center"/>
          </w:tcPr>
          <w:p w:rsidR="00E91048" w:rsidRPr="005E3A8B" w:rsidRDefault="005E3A8B">
            <w:pPr>
              <w:spacing w:after="0" w:line="240" w:lineRule="auto"/>
              <w:rPr>
                <w:noProof/>
                <w:sz w:val="18"/>
                <w:szCs w:val="18"/>
                <w:lang w:val="fr-FR"/>
              </w:rPr>
            </w:pPr>
            <w:r w:rsidRPr="005E3A8B">
              <w:rPr>
                <w:noProof/>
                <w:sz w:val="18"/>
                <w:lang w:val="fr-FR"/>
              </w:rPr>
              <w:t>L’équilibre géographique est évalué de manière globale (tous groupes de fonctions confondus).</w:t>
            </w:r>
          </w:p>
          <w:p w:rsidR="00E91048" w:rsidRPr="005E3A8B" w:rsidRDefault="005E3A8B">
            <w:pPr>
              <w:spacing w:after="0" w:line="240" w:lineRule="auto"/>
              <w:rPr>
                <w:noProof/>
                <w:sz w:val="18"/>
                <w:szCs w:val="18"/>
                <w:lang w:val="fr-FR"/>
              </w:rPr>
            </w:pPr>
            <w:r w:rsidRPr="005E3A8B">
              <w:rPr>
                <w:noProof/>
                <w:sz w:val="18"/>
                <w:lang w:val="fr-FR"/>
              </w:rPr>
              <w:t>Tous les États membres devraient être représentés</w:t>
            </w:r>
          </w:p>
        </w:tc>
        <w:tc>
          <w:tcPr>
            <w:tcW w:w="2858" w:type="dxa"/>
            <w:vAlign w:val="center"/>
          </w:tcPr>
          <w:p w:rsidR="00E91048" w:rsidRPr="005E3A8B" w:rsidRDefault="005E3A8B">
            <w:pPr>
              <w:spacing w:after="0" w:line="240" w:lineRule="auto"/>
              <w:rPr>
                <w:noProof/>
                <w:sz w:val="18"/>
                <w:szCs w:val="18"/>
                <w:lang w:val="fr-FR"/>
              </w:rPr>
            </w:pPr>
            <w:r w:rsidRPr="005E3A8B">
              <w:rPr>
                <w:noProof/>
                <w:sz w:val="18"/>
                <w:lang w:val="fr-FR"/>
              </w:rPr>
              <w:t>Il y a déséquilibre lorsqu’un État membre est surreprésenté pa</w:t>
            </w:r>
            <w:r w:rsidRPr="005E3A8B">
              <w:rPr>
                <w:noProof/>
                <w:sz w:val="18"/>
                <w:lang w:val="fr-FR"/>
              </w:rPr>
              <w:t>r rapport aux autres, compte étant toutefois tenu de sa taille.</w:t>
            </w:r>
          </w:p>
        </w:tc>
        <w:tc>
          <w:tcPr>
            <w:tcW w:w="2127" w:type="dxa"/>
            <w:vAlign w:val="center"/>
          </w:tcPr>
          <w:p w:rsidR="00E91048" w:rsidRDefault="005E3A8B">
            <w:pPr>
              <w:spacing w:after="0" w:line="240" w:lineRule="auto"/>
              <w:rPr>
                <w:noProof/>
                <w:sz w:val="18"/>
                <w:szCs w:val="18"/>
              </w:rPr>
            </w:pPr>
            <w:r>
              <w:rPr>
                <w:noProof/>
                <w:sz w:val="18"/>
              </w:rPr>
              <w:t>L’Espagne est surreprésentée</w:t>
            </w:r>
          </w:p>
        </w:tc>
        <w:tc>
          <w:tcPr>
            <w:tcW w:w="3969" w:type="dxa"/>
            <w:vAlign w:val="center"/>
          </w:tcPr>
          <w:p w:rsidR="00E91048" w:rsidRDefault="005E3A8B">
            <w:pPr>
              <w:spacing w:after="0" w:line="240" w:lineRule="auto"/>
              <w:rPr>
                <w:noProof/>
                <w:sz w:val="18"/>
                <w:szCs w:val="18"/>
              </w:rPr>
            </w:pPr>
            <w:r>
              <w:rPr>
                <w:noProof/>
                <w:sz w:val="18"/>
              </w:rPr>
              <w:t>Effet du siège</w:t>
            </w:r>
          </w:p>
        </w:tc>
        <w:tc>
          <w:tcPr>
            <w:tcW w:w="708" w:type="dxa"/>
            <w:textDirection w:val="btLr"/>
            <w:vAlign w:val="center"/>
          </w:tcPr>
          <w:p w:rsidR="00E91048" w:rsidRDefault="005E3A8B">
            <w:pPr>
              <w:spacing w:after="0" w:line="240" w:lineRule="auto"/>
              <w:ind w:left="113" w:right="113"/>
              <w:jc w:val="center"/>
              <w:rPr>
                <w:noProof/>
                <w:sz w:val="18"/>
                <w:szCs w:val="18"/>
              </w:rPr>
            </w:pPr>
            <w:r>
              <w:rPr>
                <w:noProof/>
                <w:sz w:val="18"/>
              </w:rPr>
              <w:t>Non</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w:t>
            </w:r>
          </w:p>
        </w:tc>
      </w:tr>
      <w:tr w:rsidR="00E91048" w:rsidRPr="005E3A8B">
        <w:trPr>
          <w:cantSplit/>
          <w:trHeight w:val="1190"/>
        </w:trPr>
        <w:tc>
          <w:tcPr>
            <w:tcW w:w="392" w:type="dxa"/>
            <w:textDirection w:val="btLr"/>
          </w:tcPr>
          <w:p w:rsidR="00E91048" w:rsidRDefault="005E3A8B">
            <w:pPr>
              <w:spacing w:after="0" w:line="240" w:lineRule="auto"/>
              <w:ind w:left="113" w:right="113"/>
              <w:jc w:val="center"/>
              <w:rPr>
                <w:b/>
                <w:noProof/>
              </w:rPr>
            </w:pPr>
            <w:r>
              <w:rPr>
                <w:b/>
                <w:noProof/>
              </w:rPr>
              <w:t>EU-Lisa</w:t>
            </w:r>
          </w:p>
        </w:tc>
        <w:tc>
          <w:tcPr>
            <w:tcW w:w="3260" w:type="dxa"/>
            <w:vAlign w:val="center"/>
          </w:tcPr>
          <w:p w:rsidR="00E91048" w:rsidRPr="005E3A8B" w:rsidRDefault="005E3A8B">
            <w:pPr>
              <w:spacing w:after="0" w:line="240" w:lineRule="auto"/>
              <w:rPr>
                <w:noProof/>
                <w:sz w:val="18"/>
                <w:szCs w:val="18"/>
                <w:lang w:val="fr-FR"/>
              </w:rPr>
            </w:pPr>
            <w:r w:rsidRPr="005E3A8B">
              <w:rPr>
                <w:noProof/>
                <w:sz w:val="18"/>
                <w:lang w:val="fr-FR"/>
              </w:rPr>
              <w:t>L’équilibre géographique est évalué de manière globale (tous groupes de fonctions confondus).</w:t>
            </w:r>
          </w:p>
          <w:p w:rsidR="00E91048" w:rsidRPr="005E3A8B" w:rsidRDefault="005E3A8B">
            <w:pPr>
              <w:spacing w:after="0" w:line="240" w:lineRule="auto"/>
              <w:rPr>
                <w:noProof/>
                <w:sz w:val="18"/>
                <w:szCs w:val="18"/>
                <w:lang w:val="fr-FR"/>
              </w:rPr>
            </w:pPr>
            <w:r w:rsidRPr="005E3A8B">
              <w:rPr>
                <w:noProof/>
                <w:sz w:val="18"/>
                <w:lang w:val="fr-FR"/>
              </w:rPr>
              <w:t xml:space="preserve">Valeur de référence: la part de </w:t>
            </w:r>
            <w:r w:rsidRPr="005E3A8B">
              <w:rPr>
                <w:noProof/>
                <w:sz w:val="18"/>
                <w:lang w:val="fr-FR"/>
              </w:rPr>
              <w:t>la population de l’État membre concerné dans la population de l’UE</w:t>
            </w:r>
          </w:p>
        </w:tc>
        <w:tc>
          <w:tcPr>
            <w:tcW w:w="2858" w:type="dxa"/>
            <w:vAlign w:val="center"/>
          </w:tcPr>
          <w:p w:rsidR="00E91048" w:rsidRPr="005E3A8B" w:rsidRDefault="005E3A8B">
            <w:pPr>
              <w:spacing w:after="0" w:line="240" w:lineRule="auto"/>
              <w:rPr>
                <w:noProof/>
                <w:sz w:val="18"/>
                <w:szCs w:val="18"/>
                <w:lang w:val="fr-FR"/>
              </w:rPr>
            </w:pPr>
            <w:r w:rsidRPr="005E3A8B">
              <w:rPr>
                <w:noProof/>
                <w:sz w:val="18"/>
                <w:lang w:val="fr-FR"/>
              </w:rPr>
              <w:t>Non défini dans la réponse</w:t>
            </w:r>
          </w:p>
        </w:tc>
        <w:tc>
          <w:tcPr>
            <w:tcW w:w="2127" w:type="dxa"/>
            <w:vAlign w:val="center"/>
          </w:tcPr>
          <w:p w:rsidR="00E91048" w:rsidRPr="005E3A8B" w:rsidRDefault="005E3A8B">
            <w:pPr>
              <w:spacing w:after="0" w:line="240" w:lineRule="auto"/>
              <w:rPr>
                <w:noProof/>
                <w:sz w:val="18"/>
                <w:szCs w:val="18"/>
                <w:lang w:val="fr-FR"/>
              </w:rPr>
            </w:pPr>
            <w:r w:rsidRPr="005E3A8B">
              <w:rPr>
                <w:noProof/>
                <w:sz w:val="18"/>
                <w:lang w:val="fr-FR"/>
              </w:rPr>
              <w:t>Sous-représentés: DE, UK, SWE, DK, MT, SL</w:t>
            </w:r>
          </w:p>
          <w:p w:rsidR="00E91048" w:rsidRPr="005E3A8B" w:rsidRDefault="005E3A8B">
            <w:pPr>
              <w:spacing w:after="0" w:line="240" w:lineRule="auto"/>
              <w:rPr>
                <w:noProof/>
                <w:sz w:val="18"/>
                <w:szCs w:val="18"/>
                <w:lang w:val="fr-FR"/>
              </w:rPr>
            </w:pPr>
            <w:r w:rsidRPr="005E3A8B">
              <w:rPr>
                <w:noProof/>
                <w:sz w:val="18"/>
                <w:lang w:val="fr-FR"/>
              </w:rPr>
              <w:t>Pas de large sous-représentation</w:t>
            </w:r>
          </w:p>
        </w:tc>
        <w:tc>
          <w:tcPr>
            <w:tcW w:w="3969" w:type="dxa"/>
            <w:vAlign w:val="center"/>
          </w:tcPr>
          <w:p w:rsidR="00E91048" w:rsidRPr="005E3A8B" w:rsidRDefault="005E3A8B">
            <w:pPr>
              <w:spacing w:after="0" w:line="240" w:lineRule="auto"/>
              <w:rPr>
                <w:noProof/>
                <w:sz w:val="18"/>
                <w:szCs w:val="18"/>
                <w:lang w:val="fr-FR"/>
              </w:rPr>
            </w:pPr>
            <w:r w:rsidRPr="005E3A8B">
              <w:rPr>
                <w:noProof/>
                <w:sz w:val="18"/>
                <w:lang w:val="fr-FR"/>
              </w:rPr>
              <w:t>Effet du siège: la présence de maximum 30% de personnel ayant la nationalité du pays du</w:t>
            </w:r>
            <w:r w:rsidRPr="005E3A8B">
              <w:rPr>
                <w:noProof/>
                <w:sz w:val="18"/>
                <w:lang w:val="fr-FR"/>
              </w:rPr>
              <w:t xml:space="preserve"> siège est tolérable</w:t>
            </w:r>
          </w:p>
          <w:p w:rsidR="00E91048" w:rsidRPr="005E3A8B" w:rsidRDefault="005E3A8B">
            <w:pPr>
              <w:spacing w:after="0" w:line="240" w:lineRule="auto"/>
              <w:rPr>
                <w:noProof/>
                <w:sz w:val="18"/>
                <w:szCs w:val="18"/>
                <w:lang w:val="fr-FR"/>
              </w:rPr>
            </w:pPr>
            <w:r w:rsidRPr="005E3A8B">
              <w:rPr>
                <w:noProof/>
                <w:sz w:val="18"/>
                <w:lang w:val="fr-FR"/>
              </w:rPr>
              <w:t>Éloignement du siège central</w:t>
            </w:r>
          </w:p>
          <w:p w:rsidR="00E91048" w:rsidRPr="005E3A8B" w:rsidRDefault="005E3A8B">
            <w:pPr>
              <w:spacing w:after="0" w:line="240" w:lineRule="auto"/>
              <w:rPr>
                <w:noProof/>
                <w:sz w:val="18"/>
                <w:szCs w:val="18"/>
                <w:lang w:val="fr-FR"/>
              </w:rPr>
            </w:pPr>
            <w:r w:rsidRPr="005E3A8B">
              <w:rPr>
                <w:noProof/>
                <w:sz w:val="18"/>
                <w:lang w:val="fr-FR"/>
              </w:rPr>
              <w:t>Faible coefficient correcteur</w:t>
            </w:r>
          </w:p>
          <w:p w:rsidR="00E91048" w:rsidRPr="005E3A8B" w:rsidRDefault="005E3A8B">
            <w:pPr>
              <w:spacing w:after="0" w:line="240" w:lineRule="auto"/>
              <w:rPr>
                <w:noProof/>
                <w:sz w:val="18"/>
                <w:szCs w:val="18"/>
                <w:lang w:val="fr-FR"/>
              </w:rPr>
            </w:pPr>
            <w:r w:rsidRPr="005E3A8B">
              <w:rPr>
                <w:noProof/>
                <w:sz w:val="18"/>
                <w:lang w:val="fr-FR"/>
              </w:rPr>
              <w:t>Difficulté de trouver un emploi pour les conjoints</w:t>
            </w:r>
          </w:p>
        </w:tc>
        <w:tc>
          <w:tcPr>
            <w:tcW w:w="708" w:type="dxa"/>
            <w:textDirection w:val="btLr"/>
            <w:vAlign w:val="center"/>
          </w:tcPr>
          <w:p w:rsidR="00E91048" w:rsidRPr="005E3A8B" w:rsidRDefault="00E91048">
            <w:pPr>
              <w:spacing w:after="0" w:line="240" w:lineRule="auto"/>
              <w:ind w:left="113" w:right="113"/>
              <w:jc w:val="center"/>
              <w:rPr>
                <w:noProof/>
                <w:sz w:val="18"/>
                <w:szCs w:val="18"/>
                <w:lang w:val="fr-FR"/>
              </w:rPr>
            </w:pPr>
          </w:p>
        </w:tc>
        <w:tc>
          <w:tcPr>
            <w:tcW w:w="834" w:type="dxa"/>
            <w:textDirection w:val="btLr"/>
            <w:vAlign w:val="center"/>
          </w:tcPr>
          <w:p w:rsidR="00E91048" w:rsidRPr="005E3A8B" w:rsidRDefault="00E91048">
            <w:pPr>
              <w:spacing w:after="0" w:line="240" w:lineRule="auto"/>
              <w:ind w:left="113" w:right="113"/>
              <w:jc w:val="center"/>
              <w:rPr>
                <w:noProof/>
                <w:sz w:val="18"/>
                <w:szCs w:val="18"/>
                <w:lang w:val="fr-FR"/>
              </w:rPr>
            </w:pPr>
          </w:p>
        </w:tc>
      </w:tr>
      <w:tr w:rsidR="00E91048">
        <w:trPr>
          <w:cantSplit/>
          <w:trHeight w:val="1190"/>
        </w:trPr>
        <w:tc>
          <w:tcPr>
            <w:tcW w:w="392" w:type="dxa"/>
            <w:textDirection w:val="btLr"/>
          </w:tcPr>
          <w:p w:rsidR="00E91048" w:rsidRDefault="005E3A8B">
            <w:pPr>
              <w:spacing w:after="0" w:line="240" w:lineRule="auto"/>
              <w:ind w:left="113" w:right="113"/>
              <w:jc w:val="center"/>
              <w:rPr>
                <w:b/>
                <w:noProof/>
              </w:rPr>
            </w:pPr>
            <w:r>
              <w:rPr>
                <w:b/>
                <w:noProof/>
              </w:rPr>
              <w:t>Eurofound</w:t>
            </w:r>
          </w:p>
          <w:p w:rsidR="00E91048" w:rsidRDefault="00E91048">
            <w:pPr>
              <w:spacing w:after="0" w:line="240" w:lineRule="auto"/>
              <w:ind w:left="113" w:right="113"/>
              <w:jc w:val="center"/>
              <w:rPr>
                <w:b/>
                <w:noProof/>
              </w:rPr>
            </w:pPr>
          </w:p>
        </w:tc>
        <w:tc>
          <w:tcPr>
            <w:tcW w:w="3260" w:type="dxa"/>
            <w:vAlign w:val="center"/>
          </w:tcPr>
          <w:p w:rsidR="00E91048" w:rsidRDefault="005E3A8B">
            <w:pPr>
              <w:spacing w:after="0" w:line="240" w:lineRule="auto"/>
              <w:rPr>
                <w:noProof/>
                <w:sz w:val="18"/>
                <w:szCs w:val="18"/>
              </w:rPr>
            </w:pPr>
            <w:r>
              <w:rPr>
                <w:noProof/>
                <w:sz w:val="18"/>
              </w:rPr>
              <w:t>Nombre d’EM représentés</w:t>
            </w:r>
          </w:p>
        </w:tc>
        <w:tc>
          <w:tcPr>
            <w:tcW w:w="2858" w:type="dxa"/>
            <w:vAlign w:val="center"/>
          </w:tcPr>
          <w:p w:rsidR="00E91048" w:rsidRDefault="005E3A8B">
            <w:pPr>
              <w:spacing w:after="0" w:line="240" w:lineRule="auto"/>
              <w:rPr>
                <w:noProof/>
                <w:sz w:val="18"/>
                <w:szCs w:val="18"/>
              </w:rPr>
            </w:pPr>
            <w:r>
              <w:rPr>
                <w:noProof/>
                <w:sz w:val="18"/>
              </w:rPr>
              <w:t>Non défini</w:t>
            </w:r>
          </w:p>
        </w:tc>
        <w:tc>
          <w:tcPr>
            <w:tcW w:w="2127" w:type="dxa"/>
            <w:vAlign w:val="center"/>
          </w:tcPr>
          <w:p w:rsidR="00E91048" w:rsidRDefault="005E3A8B">
            <w:pPr>
              <w:spacing w:after="0" w:line="240" w:lineRule="auto"/>
              <w:rPr>
                <w:noProof/>
                <w:sz w:val="18"/>
                <w:szCs w:val="18"/>
              </w:rPr>
            </w:pPr>
            <w:r>
              <w:rPr>
                <w:noProof/>
                <w:sz w:val="18"/>
              </w:rPr>
              <w:t>Non</w:t>
            </w:r>
          </w:p>
        </w:tc>
        <w:tc>
          <w:tcPr>
            <w:tcW w:w="3969" w:type="dxa"/>
            <w:vAlign w:val="center"/>
          </w:tcPr>
          <w:p w:rsidR="00E91048" w:rsidRDefault="005E3A8B">
            <w:pPr>
              <w:spacing w:after="0" w:line="240" w:lineRule="auto"/>
              <w:rPr>
                <w:noProof/>
                <w:sz w:val="18"/>
                <w:szCs w:val="18"/>
              </w:rPr>
            </w:pPr>
            <w:r>
              <w:rPr>
                <w:noProof/>
                <w:sz w:val="18"/>
              </w:rPr>
              <w:t>Sans objet</w:t>
            </w:r>
          </w:p>
        </w:tc>
        <w:tc>
          <w:tcPr>
            <w:tcW w:w="708" w:type="dxa"/>
            <w:textDirection w:val="btLr"/>
            <w:vAlign w:val="center"/>
          </w:tcPr>
          <w:p w:rsidR="00E91048" w:rsidRDefault="005E3A8B">
            <w:pPr>
              <w:spacing w:after="0" w:line="240" w:lineRule="auto"/>
              <w:ind w:left="113" w:right="113"/>
              <w:jc w:val="center"/>
              <w:rPr>
                <w:noProof/>
                <w:sz w:val="18"/>
                <w:szCs w:val="18"/>
              </w:rPr>
            </w:pPr>
            <w:r>
              <w:rPr>
                <w:noProof/>
                <w:sz w:val="18"/>
              </w:rPr>
              <w:t>Non</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w:t>
            </w:r>
          </w:p>
        </w:tc>
      </w:tr>
      <w:tr w:rsidR="00E91048">
        <w:trPr>
          <w:cantSplit/>
          <w:trHeight w:val="975"/>
        </w:trPr>
        <w:tc>
          <w:tcPr>
            <w:tcW w:w="392" w:type="dxa"/>
            <w:textDirection w:val="btLr"/>
          </w:tcPr>
          <w:p w:rsidR="00E91048" w:rsidRDefault="005E3A8B">
            <w:pPr>
              <w:spacing w:after="0" w:line="240" w:lineRule="auto"/>
              <w:ind w:left="113" w:right="113"/>
              <w:jc w:val="center"/>
              <w:rPr>
                <w:b/>
                <w:noProof/>
              </w:rPr>
            </w:pPr>
            <w:r>
              <w:rPr>
                <w:b/>
                <w:noProof/>
              </w:rPr>
              <w:t>Eurojust</w:t>
            </w:r>
          </w:p>
        </w:tc>
        <w:tc>
          <w:tcPr>
            <w:tcW w:w="3260" w:type="dxa"/>
            <w:vAlign w:val="center"/>
          </w:tcPr>
          <w:p w:rsidR="00E91048" w:rsidRDefault="005E3A8B">
            <w:pPr>
              <w:spacing w:after="0" w:line="240" w:lineRule="auto"/>
              <w:rPr>
                <w:noProof/>
                <w:sz w:val="18"/>
                <w:szCs w:val="18"/>
              </w:rPr>
            </w:pPr>
            <w:r>
              <w:rPr>
                <w:noProof/>
                <w:sz w:val="18"/>
              </w:rPr>
              <w:t>Sans objet</w:t>
            </w:r>
          </w:p>
        </w:tc>
        <w:tc>
          <w:tcPr>
            <w:tcW w:w="2858" w:type="dxa"/>
            <w:vAlign w:val="center"/>
          </w:tcPr>
          <w:p w:rsidR="00E91048" w:rsidRDefault="005E3A8B">
            <w:pPr>
              <w:spacing w:after="0" w:line="240" w:lineRule="auto"/>
              <w:rPr>
                <w:noProof/>
                <w:sz w:val="18"/>
                <w:szCs w:val="18"/>
              </w:rPr>
            </w:pPr>
            <w:r>
              <w:rPr>
                <w:noProof/>
                <w:sz w:val="18"/>
              </w:rPr>
              <w:t>Sans objet</w:t>
            </w:r>
          </w:p>
        </w:tc>
        <w:tc>
          <w:tcPr>
            <w:tcW w:w="2127" w:type="dxa"/>
            <w:vAlign w:val="center"/>
          </w:tcPr>
          <w:p w:rsidR="00E91048" w:rsidRPr="005E3A8B" w:rsidRDefault="005E3A8B">
            <w:pPr>
              <w:spacing w:after="0" w:line="240" w:lineRule="auto"/>
              <w:rPr>
                <w:noProof/>
                <w:sz w:val="18"/>
                <w:szCs w:val="18"/>
                <w:lang w:val="fr-FR"/>
              </w:rPr>
            </w:pPr>
            <w:r w:rsidRPr="005E3A8B">
              <w:rPr>
                <w:noProof/>
                <w:sz w:val="18"/>
                <w:lang w:val="fr-FR"/>
              </w:rPr>
              <w:t xml:space="preserve">Pas de </w:t>
            </w:r>
            <w:r w:rsidRPr="005E3A8B">
              <w:rPr>
                <w:noProof/>
                <w:sz w:val="18"/>
                <w:lang w:val="fr-FR"/>
              </w:rPr>
              <w:t>déséquilibre constaté mais le groupe NL est le plus nombreux</w:t>
            </w:r>
          </w:p>
        </w:tc>
        <w:tc>
          <w:tcPr>
            <w:tcW w:w="3969" w:type="dxa"/>
            <w:vAlign w:val="center"/>
          </w:tcPr>
          <w:p w:rsidR="00E91048" w:rsidRDefault="005E3A8B">
            <w:pPr>
              <w:spacing w:after="0" w:line="240" w:lineRule="auto"/>
              <w:rPr>
                <w:noProof/>
                <w:sz w:val="18"/>
                <w:szCs w:val="18"/>
              </w:rPr>
            </w:pPr>
            <w:r>
              <w:rPr>
                <w:noProof/>
                <w:sz w:val="18"/>
              </w:rPr>
              <w:t>Effet du siège</w:t>
            </w:r>
          </w:p>
        </w:tc>
        <w:tc>
          <w:tcPr>
            <w:tcW w:w="708" w:type="dxa"/>
            <w:textDirection w:val="btLr"/>
            <w:vAlign w:val="center"/>
          </w:tcPr>
          <w:p w:rsidR="00E91048" w:rsidRDefault="005E3A8B">
            <w:pPr>
              <w:spacing w:after="0" w:line="240" w:lineRule="auto"/>
              <w:ind w:left="113" w:right="113"/>
              <w:jc w:val="center"/>
              <w:rPr>
                <w:noProof/>
                <w:sz w:val="18"/>
                <w:szCs w:val="18"/>
              </w:rPr>
            </w:pPr>
            <w:r>
              <w:rPr>
                <w:noProof/>
                <w:sz w:val="18"/>
              </w:rPr>
              <w:t>Non</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w:t>
            </w:r>
          </w:p>
        </w:tc>
      </w:tr>
      <w:tr w:rsidR="00E91048">
        <w:trPr>
          <w:cantSplit/>
          <w:trHeight w:val="1401"/>
        </w:trPr>
        <w:tc>
          <w:tcPr>
            <w:tcW w:w="392" w:type="dxa"/>
            <w:textDirection w:val="btLr"/>
          </w:tcPr>
          <w:p w:rsidR="00E91048" w:rsidRDefault="005E3A8B">
            <w:pPr>
              <w:spacing w:after="0" w:line="240" w:lineRule="auto"/>
              <w:ind w:left="113" w:right="113"/>
              <w:jc w:val="center"/>
              <w:rPr>
                <w:b/>
                <w:noProof/>
              </w:rPr>
            </w:pPr>
            <w:r>
              <w:rPr>
                <w:b/>
                <w:noProof/>
              </w:rPr>
              <w:t>Frontex</w:t>
            </w:r>
          </w:p>
        </w:tc>
        <w:tc>
          <w:tcPr>
            <w:tcW w:w="3260" w:type="dxa"/>
            <w:vAlign w:val="center"/>
          </w:tcPr>
          <w:p w:rsidR="00E91048" w:rsidRPr="005E3A8B" w:rsidRDefault="005E3A8B">
            <w:pPr>
              <w:spacing w:after="0" w:line="240" w:lineRule="auto"/>
              <w:rPr>
                <w:noProof/>
                <w:sz w:val="18"/>
                <w:szCs w:val="18"/>
                <w:lang w:val="fr-FR"/>
              </w:rPr>
            </w:pPr>
            <w:r w:rsidRPr="005E3A8B">
              <w:rPr>
                <w:noProof/>
                <w:sz w:val="18"/>
                <w:lang w:val="fr-FR"/>
              </w:rPr>
              <w:t>L’équilibre géographique est évalué de manière globale (tous groupes de fonctions confondus).</w:t>
            </w:r>
          </w:p>
          <w:p w:rsidR="00E91048" w:rsidRPr="005E3A8B" w:rsidRDefault="005E3A8B">
            <w:pPr>
              <w:spacing w:after="0" w:line="240" w:lineRule="auto"/>
              <w:rPr>
                <w:noProof/>
                <w:sz w:val="18"/>
                <w:szCs w:val="18"/>
                <w:lang w:val="fr-FR"/>
              </w:rPr>
            </w:pPr>
            <w:r w:rsidRPr="005E3A8B">
              <w:rPr>
                <w:noProof/>
                <w:sz w:val="18"/>
                <w:lang w:val="fr-FR"/>
              </w:rPr>
              <w:t xml:space="preserve">Valeur de référence: Un mélange entre «répartition égale» (tous </w:t>
            </w:r>
            <w:r w:rsidRPr="005E3A8B">
              <w:rPr>
                <w:noProof/>
                <w:sz w:val="18"/>
                <w:lang w:val="fr-FR"/>
              </w:rPr>
              <w:t>les États membres ayant un même poids) et part de la population de l’État membre concerné dans la population de l’UE</w:t>
            </w:r>
          </w:p>
        </w:tc>
        <w:tc>
          <w:tcPr>
            <w:tcW w:w="2858" w:type="dxa"/>
            <w:vAlign w:val="center"/>
          </w:tcPr>
          <w:p w:rsidR="00E91048" w:rsidRPr="005E3A8B" w:rsidRDefault="005E3A8B">
            <w:pPr>
              <w:spacing w:after="0" w:line="240" w:lineRule="auto"/>
              <w:rPr>
                <w:noProof/>
                <w:sz w:val="18"/>
                <w:szCs w:val="18"/>
                <w:lang w:val="fr-FR"/>
              </w:rPr>
            </w:pPr>
            <w:r w:rsidRPr="005E3A8B">
              <w:rPr>
                <w:noProof/>
                <w:sz w:val="18"/>
                <w:lang w:val="fr-FR"/>
              </w:rPr>
              <w:t>Il y a déséquilibre important si</w:t>
            </w:r>
          </w:p>
          <w:p w:rsidR="00E91048" w:rsidRPr="005E3A8B" w:rsidRDefault="005E3A8B">
            <w:pPr>
              <w:pStyle w:val="ListParagraph"/>
              <w:numPr>
                <w:ilvl w:val="0"/>
                <w:numId w:val="35"/>
              </w:numPr>
              <w:tabs>
                <w:tab w:val="num" w:pos="283"/>
              </w:tabs>
              <w:spacing w:after="0" w:line="240" w:lineRule="auto"/>
              <w:ind w:left="317" w:hanging="283"/>
              <w:rPr>
                <w:noProof/>
                <w:sz w:val="18"/>
                <w:szCs w:val="18"/>
                <w:lang w:val="fr-FR"/>
              </w:rPr>
            </w:pPr>
            <w:r w:rsidRPr="005E3A8B">
              <w:rPr>
                <w:noProof/>
                <w:sz w:val="18"/>
                <w:lang w:val="fr-FR"/>
              </w:rPr>
              <w:t>une nationalité n’est pas représentée au sein du personnel</w:t>
            </w:r>
          </w:p>
          <w:p w:rsidR="00E91048" w:rsidRPr="005E3A8B" w:rsidRDefault="005E3A8B">
            <w:pPr>
              <w:pStyle w:val="ListParagraph"/>
              <w:numPr>
                <w:ilvl w:val="0"/>
                <w:numId w:val="35"/>
              </w:numPr>
              <w:tabs>
                <w:tab w:val="num" w:pos="283"/>
              </w:tabs>
              <w:spacing w:after="0" w:line="240" w:lineRule="auto"/>
              <w:ind w:left="317" w:hanging="283"/>
              <w:rPr>
                <w:noProof/>
                <w:sz w:val="18"/>
                <w:szCs w:val="18"/>
                <w:lang w:val="fr-FR"/>
              </w:rPr>
            </w:pPr>
            <w:r w:rsidRPr="005E3A8B">
              <w:rPr>
                <w:noProof/>
                <w:sz w:val="18"/>
                <w:lang w:val="fr-FR"/>
              </w:rPr>
              <w:t>la part réelle de ressortissants s’écarte de la</w:t>
            </w:r>
            <w:r w:rsidRPr="005E3A8B">
              <w:rPr>
                <w:noProof/>
                <w:sz w:val="18"/>
                <w:lang w:val="fr-FR"/>
              </w:rPr>
              <w:t xml:space="preserve"> valeur de référence de plus de +/-50 %.</w:t>
            </w:r>
          </w:p>
        </w:tc>
        <w:tc>
          <w:tcPr>
            <w:tcW w:w="2127" w:type="dxa"/>
            <w:vAlign w:val="center"/>
          </w:tcPr>
          <w:p w:rsidR="00E91048" w:rsidRPr="005E3A8B" w:rsidRDefault="005E3A8B">
            <w:pPr>
              <w:spacing w:after="0" w:line="240" w:lineRule="auto"/>
              <w:rPr>
                <w:noProof/>
                <w:sz w:val="18"/>
                <w:szCs w:val="18"/>
                <w:lang w:val="fr-FR"/>
              </w:rPr>
            </w:pPr>
            <w:r w:rsidRPr="005E3A8B">
              <w:rPr>
                <w:noProof/>
                <w:sz w:val="18"/>
                <w:lang w:val="fr-FR"/>
              </w:rPr>
              <w:t>Oui (sous-représentation et surreprésentation)</w:t>
            </w:r>
          </w:p>
        </w:tc>
        <w:tc>
          <w:tcPr>
            <w:tcW w:w="3969" w:type="dxa"/>
            <w:vAlign w:val="center"/>
          </w:tcPr>
          <w:p w:rsidR="00E91048" w:rsidRPr="005E3A8B" w:rsidRDefault="005E3A8B">
            <w:pPr>
              <w:spacing w:after="0" w:line="240" w:lineRule="auto"/>
              <w:rPr>
                <w:noProof/>
                <w:sz w:val="18"/>
                <w:szCs w:val="18"/>
                <w:lang w:val="fr-FR"/>
              </w:rPr>
            </w:pPr>
            <w:r w:rsidRPr="005E3A8B">
              <w:rPr>
                <w:noProof/>
                <w:sz w:val="18"/>
                <w:lang w:val="fr-FR"/>
              </w:rPr>
              <w:t>Aucune justification objective.</w:t>
            </w:r>
          </w:p>
          <w:p w:rsidR="00E91048" w:rsidRPr="005E3A8B" w:rsidRDefault="005E3A8B">
            <w:pPr>
              <w:spacing w:after="0" w:line="240" w:lineRule="auto"/>
              <w:rPr>
                <w:noProof/>
                <w:sz w:val="18"/>
                <w:szCs w:val="18"/>
                <w:lang w:val="fr-FR"/>
              </w:rPr>
            </w:pPr>
            <w:r w:rsidRPr="005E3A8B">
              <w:rPr>
                <w:noProof/>
                <w:sz w:val="18"/>
                <w:lang w:val="fr-FR"/>
              </w:rPr>
              <w:t>Toutefois, le faible coefficient correcteur applicable à la Pologne rend l’agence moins attrayante.</w:t>
            </w:r>
          </w:p>
        </w:tc>
        <w:tc>
          <w:tcPr>
            <w:tcW w:w="708" w:type="dxa"/>
            <w:textDirection w:val="btLr"/>
            <w:vAlign w:val="center"/>
          </w:tcPr>
          <w:p w:rsidR="00E91048" w:rsidRPr="005E3A8B" w:rsidRDefault="005E3A8B">
            <w:pPr>
              <w:spacing w:after="0" w:line="240" w:lineRule="auto"/>
              <w:ind w:left="113" w:right="113"/>
              <w:jc w:val="center"/>
              <w:rPr>
                <w:noProof/>
                <w:sz w:val="18"/>
                <w:szCs w:val="18"/>
                <w:lang w:val="fr-FR"/>
              </w:rPr>
            </w:pPr>
            <w:r w:rsidRPr="005E3A8B">
              <w:rPr>
                <w:noProof/>
                <w:sz w:val="18"/>
                <w:lang w:val="fr-FR"/>
              </w:rPr>
              <w:t>Oui (lié au coefficient correcteur)</w:t>
            </w:r>
          </w:p>
        </w:tc>
        <w:tc>
          <w:tcPr>
            <w:tcW w:w="834" w:type="dxa"/>
            <w:textDirection w:val="btLr"/>
            <w:vAlign w:val="center"/>
          </w:tcPr>
          <w:p w:rsidR="00E91048" w:rsidRDefault="005E3A8B">
            <w:pPr>
              <w:spacing w:after="0" w:line="240" w:lineRule="auto"/>
              <w:ind w:left="113" w:right="113"/>
              <w:jc w:val="center"/>
              <w:rPr>
                <w:noProof/>
                <w:sz w:val="18"/>
                <w:szCs w:val="18"/>
              </w:rPr>
            </w:pPr>
            <w:r>
              <w:rPr>
                <w:noProof/>
                <w:sz w:val="18"/>
              </w:rPr>
              <w:t>NON/NON (initiative de la Commission attendue)</w:t>
            </w:r>
          </w:p>
        </w:tc>
      </w:tr>
    </w:tbl>
    <w:p w:rsidR="00E91048" w:rsidRDefault="005E3A8B">
      <w:pPr>
        <w:spacing w:after="0" w:line="240" w:lineRule="auto"/>
        <w:rPr>
          <w:rFonts w:ascii="Times New Roman" w:eastAsia="Times New Roman" w:hAnsi="Times New Roman" w:cs="Times New Roman"/>
          <w:noProof/>
          <w:sz w:val="24"/>
          <w:szCs w:val="20"/>
        </w:rPr>
        <w:sectPr w:rsidR="00E91048">
          <w:headerReference w:type="even" r:id="rId78"/>
          <w:headerReference w:type="default" r:id="rId79"/>
          <w:footerReference w:type="even" r:id="rId80"/>
          <w:footerReference w:type="default" r:id="rId81"/>
          <w:headerReference w:type="first" r:id="rId82"/>
          <w:footerReference w:type="first" r:id="rId83"/>
          <w:pgSz w:w="16838" w:h="11906" w:orient="landscape"/>
          <w:pgMar w:top="1588" w:right="1021" w:bottom="1134" w:left="1021" w:header="601" w:footer="1077" w:gutter="0"/>
          <w:cols w:space="720"/>
          <w:docGrid w:linePitch="326"/>
        </w:sectPr>
      </w:pPr>
      <w:r>
        <w:rPr>
          <w:noProof/>
        </w:rPr>
        <w:br w:type="page"/>
      </w:r>
    </w:p>
    <w:p w:rsidR="00E91048" w:rsidRPr="005E3A8B" w:rsidRDefault="005E3A8B">
      <w:pPr>
        <w:spacing w:after="240" w:line="240" w:lineRule="auto"/>
        <w:jc w:val="both"/>
        <w:rPr>
          <w:rFonts w:ascii="Times New Roman" w:eastAsia="Times New Roman" w:hAnsi="Times New Roman" w:cs="Times New Roman"/>
          <w:b/>
          <w:noProof/>
          <w:sz w:val="24"/>
          <w:szCs w:val="20"/>
          <w:lang w:val="fr-FR"/>
        </w:rPr>
      </w:pPr>
      <w:r w:rsidRPr="005E3A8B">
        <w:rPr>
          <w:rFonts w:ascii="Times New Roman" w:hAnsi="Times New Roman"/>
          <w:b/>
          <w:noProof/>
          <w:sz w:val="24"/>
          <w:lang w:val="fr-FR"/>
        </w:rPr>
        <w:t>Annexe 13: Répartition du personnel AD par nationalité dans les agences décentralisées de l’UE (effectifs)</w:t>
      </w:r>
    </w:p>
    <w:p w:rsidR="00E91048" w:rsidRPr="005E3A8B" w:rsidRDefault="005E3A8B">
      <w:pPr>
        <w:spacing w:after="240" w:line="240" w:lineRule="auto"/>
        <w:jc w:val="both"/>
        <w:rPr>
          <w:rFonts w:ascii="Times New Roman" w:eastAsia="Times New Roman" w:hAnsi="Times New Roman" w:cs="Times New Roman"/>
          <w:b/>
          <w:noProof/>
          <w:sz w:val="24"/>
          <w:szCs w:val="20"/>
          <w:lang w:val="fr-FR"/>
        </w:rPr>
      </w:pPr>
      <w:r w:rsidRPr="005E3A8B">
        <w:rPr>
          <w:rFonts w:ascii="Arial" w:hAnsi="Arial"/>
          <w:b/>
          <w:noProof/>
          <w:sz w:val="18"/>
          <w:lang w:val="fr-FR"/>
        </w:rPr>
        <w:t xml:space="preserve">Fonctionnaires et agents temporaires, situation au 1.1.2017 (citoyens de l’UE uniquement) </w:t>
      </w:r>
      <w:r w:rsidRPr="005E3A8B">
        <w:rPr>
          <w:noProof/>
          <w:lang w:val="fr-FR"/>
        </w:rPr>
        <w:tab/>
      </w:r>
      <w:r w:rsidRPr="005E3A8B">
        <w:rPr>
          <w:rFonts w:ascii="Arial" w:eastAsia="Times New Roman" w:hAnsi="Arial" w:cs="Arial"/>
          <w:b/>
          <w:bCs/>
          <w:noProof/>
          <w:sz w:val="18"/>
          <w:szCs w:val="18"/>
          <w:lang w:val="fr-FR"/>
        </w:rPr>
        <w:br/>
      </w:r>
      <w:r w:rsidRPr="005E3A8B">
        <w:rPr>
          <w:rFonts w:ascii="Arial" w:hAnsi="Arial"/>
          <w:b/>
          <w:noProof/>
          <w:sz w:val="18"/>
          <w:lang w:val="fr-FR"/>
        </w:rPr>
        <w:t>Source: contributions des agences</w:t>
      </w:r>
    </w:p>
    <w:tbl>
      <w:tblPr>
        <w:tblW w:w="13528" w:type="dxa"/>
        <w:tblInd w:w="93" w:type="dxa"/>
        <w:tblLook w:val="04A0" w:firstRow="1" w:lastRow="0" w:firstColumn="1" w:lastColumn="0" w:noHBand="0" w:noVBand="1"/>
      </w:tblPr>
      <w:tblGrid>
        <w:gridCol w:w="1660"/>
        <w:gridCol w:w="700"/>
        <w:gridCol w:w="620"/>
        <w:gridCol w:w="580"/>
        <w:gridCol w:w="580"/>
        <w:gridCol w:w="580"/>
        <w:gridCol w:w="560"/>
        <w:gridCol w:w="560"/>
        <w:gridCol w:w="560"/>
        <w:gridCol w:w="560"/>
        <w:gridCol w:w="560"/>
        <w:gridCol w:w="560"/>
        <w:gridCol w:w="580"/>
        <w:gridCol w:w="580"/>
        <w:gridCol w:w="580"/>
        <w:gridCol w:w="580"/>
        <w:gridCol w:w="580"/>
        <w:gridCol w:w="580"/>
        <w:gridCol w:w="648"/>
        <w:gridCol w:w="580"/>
        <w:gridCol w:w="740"/>
      </w:tblGrid>
      <w:tr w:rsidR="00E91048">
        <w:trPr>
          <w:trHeight w:val="944"/>
        </w:trPr>
        <w:tc>
          <w:tcPr>
            <w:tcW w:w="16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91048" w:rsidRPr="005E3A8B" w:rsidRDefault="005E3A8B">
            <w:pPr>
              <w:spacing w:after="0" w:line="240" w:lineRule="auto"/>
              <w:rPr>
                <w:rFonts w:ascii="Arial" w:eastAsia="Times New Roman" w:hAnsi="Arial" w:cs="Arial"/>
                <w:b/>
                <w:bCs/>
                <w:noProof/>
                <w:sz w:val="16"/>
                <w:szCs w:val="16"/>
                <w:lang w:val="fr-FR"/>
              </w:rPr>
            </w:pPr>
            <w:r w:rsidRPr="005E3A8B">
              <w:rPr>
                <w:rFonts w:ascii="Arial" w:hAnsi="Arial"/>
                <w:b/>
                <w:noProof/>
                <w:sz w:val="16"/>
                <w:lang w:val="fr-FR"/>
              </w:rPr>
              <w:t>Fonctionnaires et agents temporaires AD</w:t>
            </w:r>
          </w:p>
        </w:tc>
        <w:tc>
          <w:tcPr>
            <w:tcW w:w="70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ACER</w:t>
            </w:r>
          </w:p>
        </w:tc>
        <w:tc>
          <w:tcPr>
            <w:tcW w:w="62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CEDEFOP</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CEPOL</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OCVV</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CEPCM</w:t>
            </w:r>
          </w:p>
        </w:tc>
        <w:tc>
          <w:tcPr>
            <w:tcW w:w="56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AESA</w:t>
            </w:r>
          </w:p>
        </w:tc>
        <w:tc>
          <w:tcPr>
            <w:tcW w:w="56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AEE</w:t>
            </w:r>
          </w:p>
        </w:tc>
        <w:tc>
          <w:tcPr>
            <w:tcW w:w="56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AEAPP</w:t>
            </w:r>
          </w:p>
        </w:tc>
        <w:tc>
          <w:tcPr>
            <w:tcW w:w="56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EFSA</w:t>
            </w:r>
          </w:p>
        </w:tc>
        <w:tc>
          <w:tcPr>
            <w:tcW w:w="56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EMA</w:t>
            </w:r>
          </w:p>
        </w:tc>
        <w:tc>
          <w:tcPr>
            <w:tcW w:w="56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OEDT</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AESM (**)</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ENISA</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ETF</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OUEPI</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EU-Lisa</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Eurofound</w:t>
            </w:r>
          </w:p>
        </w:tc>
        <w:tc>
          <w:tcPr>
            <w:tcW w:w="648"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Eurojust</w:t>
            </w:r>
            <w:r>
              <w:rPr>
                <w:rFonts w:ascii="Arial" w:eastAsia="Times New Roman" w:hAnsi="Arial" w:cs="Arial"/>
                <w:b/>
                <w:bCs/>
                <w:noProof/>
                <w:sz w:val="16"/>
                <w:szCs w:val="16"/>
              </w:rPr>
              <w:br/>
            </w:r>
            <w:r>
              <w:rPr>
                <w:rFonts w:ascii="Arial" w:hAnsi="Arial"/>
                <w:b/>
                <w:noProof/>
                <w:sz w:val="16"/>
              </w:rPr>
              <w:t>(*)</w:t>
            </w:r>
          </w:p>
        </w:tc>
        <w:tc>
          <w:tcPr>
            <w:tcW w:w="58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Frontex</w:t>
            </w:r>
          </w:p>
        </w:tc>
        <w:tc>
          <w:tcPr>
            <w:tcW w:w="740" w:type="dxa"/>
            <w:tcBorders>
              <w:top w:val="single" w:sz="4" w:space="0" w:color="auto"/>
              <w:left w:val="nil"/>
              <w:bottom w:val="single" w:sz="4" w:space="0" w:color="auto"/>
              <w:right w:val="single" w:sz="4" w:space="0" w:color="auto"/>
            </w:tcBorders>
            <w:shd w:val="clear" w:color="000000" w:fill="D9D9D9"/>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Total</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Belgique</w:t>
            </w:r>
          </w:p>
        </w:tc>
        <w:tc>
          <w:tcPr>
            <w:tcW w:w="700" w:type="dxa"/>
            <w:tcBorders>
              <w:top w:val="single"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620"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w:t>
            </w:r>
          </w:p>
        </w:tc>
        <w:tc>
          <w:tcPr>
            <w:tcW w:w="580"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560"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18</w:t>
            </w:r>
          </w:p>
        </w:tc>
        <w:tc>
          <w:tcPr>
            <w:tcW w:w="560"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60"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60"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23</w:t>
            </w:r>
          </w:p>
        </w:tc>
        <w:tc>
          <w:tcPr>
            <w:tcW w:w="560"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15</w:t>
            </w:r>
          </w:p>
        </w:tc>
        <w:tc>
          <w:tcPr>
            <w:tcW w:w="560"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580"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13</w:t>
            </w:r>
          </w:p>
        </w:tc>
        <w:tc>
          <w:tcPr>
            <w:tcW w:w="580"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648"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580" w:type="dxa"/>
            <w:tcBorders>
              <w:top w:val="single"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124</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Bulgarie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42</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République tchèque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25</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Danemark</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29</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Allemagne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14</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28</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36</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262</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Estonie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10</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Irlande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52</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Grèce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28</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126</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Espagne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18</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15</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48</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228</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France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125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17</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56</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26</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17</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314</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Croatie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E91048">
            <w:pPr>
              <w:spacing w:after="0" w:line="240" w:lineRule="auto"/>
              <w:jc w:val="center"/>
              <w:rPr>
                <w:rFonts w:ascii="Arial" w:eastAsia="Times New Roman" w:hAnsi="Arial" w:cs="Arial"/>
                <w:bCs/>
                <w:noProof/>
                <w:sz w:val="16"/>
                <w:szCs w:val="16"/>
              </w:rPr>
            </w:pP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5</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Italie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74</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78</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295</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Chypre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6</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Lettonie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18</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Lituanie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17</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Luxembourg</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7</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Hongrie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49</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Malte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7</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Pays-Bas</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26</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84</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Autriche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52</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Pologne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23</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72</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Portugal</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28</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121</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Roumanie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13</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76</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Slovénie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24</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Slovaquie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23</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Finlande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34</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Suède</w:t>
            </w:r>
          </w:p>
        </w:tc>
        <w:tc>
          <w:tcPr>
            <w:tcW w:w="700"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62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15</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5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w:t>
            </w:r>
          </w:p>
        </w:tc>
        <w:tc>
          <w:tcPr>
            <w:tcW w:w="64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w:t>
            </w:r>
          </w:p>
        </w:tc>
        <w:tc>
          <w:tcPr>
            <w:tcW w:w="580"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38</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Royaume-Uni</w:t>
            </w:r>
          </w:p>
        </w:tc>
        <w:tc>
          <w:tcPr>
            <w:tcW w:w="700" w:type="dxa"/>
            <w:tcBorders>
              <w:top w:val="dotted" w:sz="4" w:space="0" w:color="auto"/>
              <w:left w:val="nil"/>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620"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580"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w:t>
            </w:r>
          </w:p>
        </w:tc>
        <w:tc>
          <w:tcPr>
            <w:tcW w:w="560"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43</w:t>
            </w:r>
          </w:p>
        </w:tc>
        <w:tc>
          <w:tcPr>
            <w:tcW w:w="560"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560"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560"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13</w:t>
            </w:r>
          </w:p>
        </w:tc>
        <w:tc>
          <w:tcPr>
            <w:tcW w:w="560"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36</w:t>
            </w:r>
          </w:p>
        </w:tc>
        <w:tc>
          <w:tcPr>
            <w:tcW w:w="560"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w:t>
            </w:r>
          </w:p>
        </w:tc>
        <w:tc>
          <w:tcPr>
            <w:tcW w:w="580"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w:t>
            </w:r>
          </w:p>
        </w:tc>
        <w:tc>
          <w:tcPr>
            <w:tcW w:w="580"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w:t>
            </w:r>
          </w:p>
        </w:tc>
        <w:tc>
          <w:tcPr>
            <w:tcW w:w="580"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w:t>
            </w:r>
          </w:p>
        </w:tc>
        <w:tc>
          <w:tcPr>
            <w:tcW w:w="580"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12</w:t>
            </w:r>
          </w:p>
        </w:tc>
        <w:tc>
          <w:tcPr>
            <w:tcW w:w="580"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w:t>
            </w:r>
          </w:p>
        </w:tc>
        <w:tc>
          <w:tcPr>
            <w:tcW w:w="580"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w:t>
            </w:r>
          </w:p>
        </w:tc>
        <w:tc>
          <w:tcPr>
            <w:tcW w:w="648"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w:t>
            </w:r>
          </w:p>
        </w:tc>
        <w:tc>
          <w:tcPr>
            <w:tcW w:w="580"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noProof/>
                <w:sz w:val="16"/>
                <w:szCs w:val="16"/>
              </w:rPr>
            </w:pPr>
            <w:r>
              <w:rPr>
                <w:rFonts w:ascii="Arial" w:hAnsi="Arial"/>
                <w:b/>
                <w:noProof/>
                <w:sz w:val="16"/>
              </w:rPr>
              <w:t>164</w:t>
            </w:r>
          </w:p>
        </w:tc>
      </w:tr>
      <w:tr w:rsidR="00E91048">
        <w:trPr>
          <w:trHeight w:val="227"/>
        </w:trPr>
        <w:tc>
          <w:tcPr>
            <w:tcW w:w="1660"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Total</w:t>
            </w:r>
          </w:p>
        </w:tc>
        <w:tc>
          <w:tcPr>
            <w:tcW w:w="70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48</w:t>
            </w:r>
          </w:p>
        </w:tc>
        <w:tc>
          <w:tcPr>
            <w:tcW w:w="62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90</w:t>
            </w:r>
          </w:p>
        </w:tc>
        <w:tc>
          <w:tcPr>
            <w:tcW w:w="58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17</w:t>
            </w:r>
          </w:p>
        </w:tc>
        <w:tc>
          <w:tcPr>
            <w:tcW w:w="58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12</w:t>
            </w:r>
          </w:p>
        </w:tc>
        <w:tc>
          <w:tcPr>
            <w:tcW w:w="58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106</w:t>
            </w:r>
          </w:p>
        </w:tc>
        <w:tc>
          <w:tcPr>
            <w:tcW w:w="56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544</w:t>
            </w:r>
          </w:p>
        </w:tc>
        <w:tc>
          <w:tcPr>
            <w:tcW w:w="56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59</w:t>
            </w:r>
          </w:p>
        </w:tc>
        <w:tc>
          <w:tcPr>
            <w:tcW w:w="56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74</w:t>
            </w:r>
          </w:p>
        </w:tc>
        <w:tc>
          <w:tcPr>
            <w:tcW w:w="56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212</w:t>
            </w:r>
          </w:p>
        </w:tc>
        <w:tc>
          <w:tcPr>
            <w:tcW w:w="56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330</w:t>
            </w:r>
          </w:p>
        </w:tc>
        <w:tc>
          <w:tcPr>
            <w:tcW w:w="56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47</w:t>
            </w:r>
          </w:p>
        </w:tc>
        <w:tc>
          <w:tcPr>
            <w:tcW w:w="58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132</w:t>
            </w:r>
          </w:p>
        </w:tc>
        <w:tc>
          <w:tcPr>
            <w:tcW w:w="58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26</w:t>
            </w:r>
          </w:p>
        </w:tc>
        <w:tc>
          <w:tcPr>
            <w:tcW w:w="58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52</w:t>
            </w:r>
          </w:p>
        </w:tc>
        <w:tc>
          <w:tcPr>
            <w:tcW w:w="58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230</w:t>
            </w:r>
          </w:p>
        </w:tc>
        <w:tc>
          <w:tcPr>
            <w:tcW w:w="58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72</w:t>
            </w:r>
          </w:p>
        </w:tc>
        <w:tc>
          <w:tcPr>
            <w:tcW w:w="58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47</w:t>
            </w:r>
          </w:p>
        </w:tc>
        <w:tc>
          <w:tcPr>
            <w:tcW w:w="648"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71</w:t>
            </w:r>
          </w:p>
        </w:tc>
        <w:tc>
          <w:tcPr>
            <w:tcW w:w="58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135</w:t>
            </w:r>
          </w:p>
        </w:tc>
        <w:tc>
          <w:tcPr>
            <w:tcW w:w="740"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2 304</w:t>
            </w:r>
          </w:p>
        </w:tc>
      </w:tr>
    </w:tbl>
    <w:p w:rsidR="00E91048" w:rsidRPr="005E3A8B" w:rsidRDefault="005E3A8B">
      <w:pPr>
        <w:spacing w:after="240" w:line="240" w:lineRule="auto"/>
        <w:jc w:val="both"/>
        <w:rPr>
          <w:rFonts w:ascii="Arial" w:eastAsia="Times New Roman" w:hAnsi="Arial" w:cs="Arial"/>
          <w:b/>
          <w:bCs/>
          <w:noProof/>
          <w:sz w:val="16"/>
          <w:szCs w:val="16"/>
          <w:lang w:val="fr-FR"/>
        </w:rPr>
      </w:pPr>
      <w:r w:rsidRPr="005E3A8B">
        <w:rPr>
          <w:rFonts w:ascii="Arial" w:hAnsi="Arial"/>
          <w:b/>
          <w:noProof/>
          <w:sz w:val="16"/>
          <w:lang w:val="fr-FR"/>
        </w:rPr>
        <w:t>*: 0,5 ETP converti en 1     **:  uniquement AT</w:t>
      </w:r>
      <w:r w:rsidRPr="005E3A8B">
        <w:rPr>
          <w:noProof/>
          <w:lang w:val="fr-FR"/>
        </w:rPr>
        <w:br w:type="page"/>
      </w:r>
    </w:p>
    <w:p w:rsidR="00E91048" w:rsidRPr="005E3A8B" w:rsidRDefault="005E3A8B">
      <w:pPr>
        <w:spacing w:after="120" w:line="240" w:lineRule="auto"/>
        <w:jc w:val="both"/>
        <w:rPr>
          <w:rFonts w:ascii="Times New Roman" w:eastAsia="Times New Roman" w:hAnsi="Times New Roman" w:cs="Times New Roman"/>
          <w:b/>
          <w:noProof/>
          <w:sz w:val="24"/>
          <w:szCs w:val="20"/>
          <w:lang w:val="fr-FR"/>
        </w:rPr>
      </w:pPr>
      <w:r w:rsidRPr="005E3A8B">
        <w:rPr>
          <w:rFonts w:ascii="Times New Roman" w:hAnsi="Times New Roman"/>
          <w:b/>
          <w:noProof/>
          <w:sz w:val="24"/>
          <w:lang w:val="fr-FR"/>
        </w:rPr>
        <w:t xml:space="preserve">Annexe 14: Répartition du personnel AD par nationalité dans les agences décentralisées de l’UE (pourcentage du </w:t>
      </w:r>
      <w:r w:rsidRPr="005E3A8B">
        <w:rPr>
          <w:rFonts w:ascii="Times New Roman" w:hAnsi="Times New Roman"/>
          <w:b/>
          <w:noProof/>
          <w:sz w:val="24"/>
          <w:lang w:val="fr-FR"/>
        </w:rPr>
        <w:t>personnel AD)</w:t>
      </w:r>
    </w:p>
    <w:p w:rsidR="00E91048" w:rsidRPr="005E3A8B" w:rsidRDefault="005E3A8B">
      <w:pPr>
        <w:spacing w:after="120" w:line="240" w:lineRule="auto"/>
        <w:jc w:val="both"/>
        <w:rPr>
          <w:rFonts w:ascii="Times New Roman" w:eastAsia="Times New Roman" w:hAnsi="Times New Roman" w:cs="Times New Roman"/>
          <w:b/>
          <w:noProof/>
          <w:sz w:val="24"/>
          <w:szCs w:val="20"/>
          <w:lang w:val="fr-FR"/>
        </w:rPr>
      </w:pPr>
      <w:r w:rsidRPr="005E3A8B">
        <w:rPr>
          <w:rFonts w:ascii="Arial" w:hAnsi="Arial"/>
          <w:b/>
          <w:noProof/>
          <w:sz w:val="18"/>
          <w:lang w:val="fr-FR"/>
        </w:rPr>
        <w:t>Fonctionnaires et agents temporaires, situation au 1.1.2017 - Répartition (citoyens de l’UE uniquement)</w:t>
      </w:r>
      <w:r w:rsidRPr="005E3A8B">
        <w:rPr>
          <w:noProof/>
          <w:lang w:val="fr-FR"/>
        </w:rPr>
        <w:tab/>
      </w:r>
      <w:r w:rsidRPr="005E3A8B">
        <w:rPr>
          <w:rFonts w:ascii="Arial" w:eastAsia="Times New Roman" w:hAnsi="Arial" w:cs="Arial"/>
          <w:b/>
          <w:bCs/>
          <w:noProof/>
          <w:sz w:val="18"/>
          <w:szCs w:val="18"/>
          <w:lang w:val="fr-FR"/>
        </w:rPr>
        <w:br/>
      </w:r>
      <w:r w:rsidRPr="005E3A8B">
        <w:rPr>
          <w:rFonts w:ascii="Arial" w:hAnsi="Arial"/>
          <w:b/>
          <w:noProof/>
          <w:sz w:val="18"/>
          <w:lang w:val="fr-FR"/>
        </w:rPr>
        <w:t>Source: contributions des agences</w:t>
      </w:r>
    </w:p>
    <w:tbl>
      <w:tblPr>
        <w:tblW w:w="14919" w:type="dxa"/>
        <w:tblInd w:w="93" w:type="dxa"/>
        <w:tblLook w:val="04A0" w:firstRow="1" w:lastRow="0" w:firstColumn="1" w:lastColumn="0" w:noHBand="0" w:noVBand="1"/>
      </w:tblPr>
      <w:tblGrid>
        <w:gridCol w:w="1486"/>
        <w:gridCol w:w="677"/>
        <w:gridCol w:w="670"/>
        <w:gridCol w:w="670"/>
        <w:gridCol w:w="670"/>
        <w:gridCol w:w="670"/>
        <w:gridCol w:w="670"/>
        <w:gridCol w:w="670"/>
        <w:gridCol w:w="670"/>
        <w:gridCol w:w="670"/>
        <w:gridCol w:w="670"/>
        <w:gridCol w:w="670"/>
        <w:gridCol w:w="670"/>
        <w:gridCol w:w="670"/>
        <w:gridCol w:w="670"/>
        <w:gridCol w:w="670"/>
        <w:gridCol w:w="670"/>
        <w:gridCol w:w="670"/>
        <w:gridCol w:w="670"/>
        <w:gridCol w:w="670"/>
        <w:gridCol w:w="696"/>
      </w:tblGrid>
      <w:tr w:rsidR="00E91048">
        <w:trPr>
          <w:trHeight w:val="990"/>
        </w:trPr>
        <w:tc>
          <w:tcPr>
            <w:tcW w:w="161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91048" w:rsidRPr="005E3A8B" w:rsidRDefault="005E3A8B">
            <w:pPr>
              <w:spacing w:after="0" w:line="240" w:lineRule="auto"/>
              <w:rPr>
                <w:rFonts w:ascii="Arial" w:eastAsia="Times New Roman" w:hAnsi="Arial" w:cs="Arial"/>
                <w:b/>
                <w:bCs/>
                <w:noProof/>
                <w:sz w:val="16"/>
                <w:szCs w:val="16"/>
                <w:lang w:val="fr-FR"/>
              </w:rPr>
            </w:pPr>
            <w:r w:rsidRPr="005E3A8B">
              <w:rPr>
                <w:rFonts w:ascii="Arial" w:hAnsi="Arial"/>
                <w:b/>
                <w:noProof/>
                <w:sz w:val="16"/>
                <w:lang w:val="fr-FR"/>
              </w:rPr>
              <w:t>Fonctionnaires et agents temporaires AD</w:t>
            </w:r>
          </w:p>
        </w:tc>
        <w:tc>
          <w:tcPr>
            <w:tcW w:w="684"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ACER</w:t>
            </w:r>
          </w:p>
        </w:tc>
        <w:tc>
          <w:tcPr>
            <w:tcW w:w="662"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CEDEFOP</w:t>
            </w:r>
          </w:p>
        </w:tc>
        <w:tc>
          <w:tcPr>
            <w:tcW w:w="662"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CEPOL</w:t>
            </w:r>
          </w:p>
        </w:tc>
        <w:tc>
          <w:tcPr>
            <w:tcW w:w="662"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OCVV</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CEPCM</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AESA</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AEE</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AEAPP</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EFSA</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EMA</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OEDT</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AESM</w:t>
            </w:r>
            <w:r>
              <w:rPr>
                <w:rFonts w:ascii="Arial" w:hAnsi="Arial"/>
                <w:b/>
                <w:noProof/>
                <w:sz w:val="16"/>
              </w:rPr>
              <w:t xml:space="preserve"> (*)</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ENISA</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ETF</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OUEPI</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EU-Lisa</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Eurofound</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Eurojust</w:t>
            </w:r>
          </w:p>
        </w:tc>
        <w:tc>
          <w:tcPr>
            <w:tcW w:w="661"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Frontex</w:t>
            </w:r>
          </w:p>
        </w:tc>
        <w:tc>
          <w:tcPr>
            <w:tcW w:w="722" w:type="dxa"/>
            <w:tcBorders>
              <w:top w:val="single" w:sz="4" w:space="0" w:color="auto"/>
              <w:left w:val="nil"/>
              <w:bottom w:val="single" w:sz="4" w:space="0" w:color="auto"/>
              <w:right w:val="single" w:sz="4" w:space="0" w:color="auto"/>
            </w:tcBorders>
            <w:shd w:val="clear" w:color="000000" w:fill="D9D9D9"/>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Total</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Belgique</w:t>
            </w:r>
          </w:p>
        </w:tc>
        <w:tc>
          <w:tcPr>
            <w:tcW w:w="684" w:type="dxa"/>
            <w:tcBorders>
              <w:top w:val="single"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2"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2"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2"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7 %</w:t>
            </w:r>
          </w:p>
        </w:tc>
        <w:tc>
          <w:tcPr>
            <w:tcW w:w="661" w:type="dxa"/>
            <w:tcBorders>
              <w:top w:val="single"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Bulgar</w:t>
            </w:r>
            <w:r>
              <w:rPr>
                <w:rFonts w:ascii="Arial" w:hAnsi="Arial"/>
                <w:b/>
                <w:noProof/>
                <w:sz w:val="16"/>
              </w:rPr>
              <w:t>ie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Républ</w:t>
            </w:r>
            <w:r>
              <w:rPr>
                <w:rFonts w:ascii="Arial" w:hAnsi="Arial"/>
                <w:b/>
                <w:noProof/>
                <w:sz w:val="16"/>
              </w:rPr>
              <w:t>ique tchèque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Danema</w:t>
            </w:r>
            <w:r>
              <w:rPr>
                <w:rFonts w:ascii="Arial" w:hAnsi="Arial"/>
                <w:b/>
                <w:noProof/>
                <w:sz w:val="16"/>
              </w:rPr>
              <w:t>rk</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Allema</w:t>
            </w:r>
            <w:r>
              <w:rPr>
                <w:rFonts w:ascii="Arial" w:hAnsi="Arial"/>
                <w:b/>
                <w:noProof/>
                <w:sz w:val="16"/>
              </w:rPr>
              <w:t>gne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11 %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Estoni</w:t>
            </w:r>
            <w:r>
              <w:rPr>
                <w:rFonts w:ascii="Arial" w:hAnsi="Arial"/>
                <w:b/>
                <w:noProof/>
                <w:sz w:val="16"/>
              </w:rPr>
              <w:t>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Irland</w:t>
            </w:r>
            <w:r>
              <w:rPr>
                <w:rFonts w:ascii="Arial" w:hAnsi="Arial"/>
                <w:b/>
                <w:noProof/>
                <w:sz w:val="16"/>
              </w:rPr>
              <w:t>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Grèce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31 %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Espagne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10 %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France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14 %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Croati</w:t>
            </w:r>
            <w:r>
              <w:rPr>
                <w:rFonts w:ascii="Arial" w:hAnsi="Arial"/>
                <w:b/>
                <w:noProof/>
                <w:sz w:val="16"/>
              </w:rPr>
              <w:t>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Italie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13 %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13 %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Chypre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Letton</w:t>
            </w:r>
            <w:r>
              <w:rPr>
                <w:rFonts w:ascii="Arial" w:hAnsi="Arial"/>
                <w:b/>
                <w:noProof/>
                <w:sz w:val="16"/>
              </w:rPr>
              <w:t>ie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Lituan</w:t>
            </w:r>
            <w:r>
              <w:rPr>
                <w:rFonts w:ascii="Arial" w:hAnsi="Arial"/>
                <w:b/>
                <w:noProof/>
                <w:sz w:val="16"/>
              </w:rPr>
              <w:t>ie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Luxemb</w:t>
            </w:r>
            <w:r>
              <w:rPr>
                <w:rFonts w:ascii="Arial" w:hAnsi="Arial"/>
                <w:b/>
                <w:noProof/>
                <w:sz w:val="16"/>
              </w:rPr>
              <w:t>ourg</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Hongri</w:t>
            </w:r>
            <w:r>
              <w:rPr>
                <w:rFonts w:ascii="Arial" w:hAnsi="Arial"/>
                <w:b/>
                <w:noProof/>
                <w:sz w:val="16"/>
              </w:rPr>
              <w:t>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18 %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Malte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0 %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Pays-Bas</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4 %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Autric</w:t>
            </w:r>
            <w:r>
              <w:rPr>
                <w:rFonts w:ascii="Arial" w:hAnsi="Arial"/>
                <w:b/>
                <w:noProof/>
                <w:sz w:val="16"/>
              </w:rPr>
              <w:t>he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9 %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Pologn</w:t>
            </w:r>
            <w:r>
              <w:rPr>
                <w:rFonts w:ascii="Arial" w:hAnsi="Arial"/>
                <w:b/>
                <w:noProof/>
                <w:sz w:val="16"/>
              </w:rPr>
              <w:t>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17 %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Portug</w:t>
            </w:r>
            <w:r>
              <w:rPr>
                <w:rFonts w:ascii="Arial" w:hAnsi="Arial"/>
                <w:b/>
                <w:noProof/>
                <w:sz w:val="16"/>
              </w:rPr>
              <w:t>al</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5 %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Rouman</w:t>
            </w:r>
            <w:r>
              <w:rPr>
                <w:rFonts w:ascii="Arial" w:hAnsi="Arial"/>
                <w:b/>
                <w:noProof/>
                <w:sz w:val="16"/>
              </w:rPr>
              <w:t>ie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3 %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Slovén</w:t>
            </w:r>
            <w:r>
              <w:rPr>
                <w:rFonts w:ascii="Arial" w:hAnsi="Arial"/>
                <w:b/>
                <w:noProof/>
                <w:sz w:val="16"/>
              </w:rPr>
              <w:t>ie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21 %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Slovaq</w:t>
            </w:r>
            <w:r>
              <w:rPr>
                <w:rFonts w:ascii="Arial" w:hAnsi="Arial"/>
                <w:b/>
                <w:noProof/>
                <w:sz w:val="16"/>
              </w:rPr>
              <w:t>uie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Finlan</w:t>
            </w:r>
            <w:r>
              <w:rPr>
                <w:rFonts w:ascii="Arial" w:hAnsi="Arial"/>
                <w:b/>
                <w:noProof/>
                <w:sz w:val="16"/>
              </w:rPr>
              <w:t>de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1 %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Suède</w:t>
            </w:r>
          </w:p>
        </w:tc>
        <w:tc>
          <w:tcPr>
            <w:tcW w:w="684" w:type="dxa"/>
            <w:tcBorders>
              <w:top w:val="dotted" w:sz="4" w:space="0" w:color="auto"/>
              <w:left w:val="nil"/>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2 %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2 %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Royaume-Uni</w:t>
            </w:r>
          </w:p>
        </w:tc>
        <w:tc>
          <w:tcPr>
            <w:tcW w:w="684" w:type="dxa"/>
            <w:tcBorders>
              <w:top w:val="dotted" w:sz="4" w:space="0" w:color="auto"/>
              <w:left w:val="nil"/>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3 %</w:t>
            </w:r>
          </w:p>
        </w:tc>
        <w:tc>
          <w:tcPr>
            <w:tcW w:w="662"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2"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10 %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11 %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17 %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7 %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13 %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5 %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0 %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6 %</w:t>
            </w:r>
          </w:p>
        </w:tc>
        <w:tc>
          <w:tcPr>
            <w:tcW w:w="661"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8 %</w:t>
            </w:r>
          </w:p>
        </w:tc>
        <w:tc>
          <w:tcPr>
            <w:tcW w:w="661"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E91048" w:rsidRDefault="005E3A8B">
            <w:pPr>
              <w:spacing w:after="0" w:line="240" w:lineRule="auto"/>
              <w:jc w:val="center"/>
              <w:rPr>
                <w:rFonts w:ascii="Arial" w:eastAsia="Times New Roman" w:hAnsi="Arial" w:cs="Arial"/>
                <w:bCs/>
                <w:noProof/>
                <w:sz w:val="16"/>
                <w:szCs w:val="16"/>
              </w:rPr>
            </w:pPr>
            <w:r>
              <w:rPr>
                <w:rFonts w:ascii="Arial" w:hAnsi="Arial"/>
                <w:noProof/>
                <w:sz w:val="16"/>
              </w:rPr>
              <w:t>4 %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noProof/>
                <w:sz w:val="16"/>
                <w:szCs w:val="16"/>
              </w:rPr>
            </w:pPr>
            <w:r>
              <w:rPr>
                <w:rFonts w:ascii="Arial" w:hAnsi="Arial"/>
                <w:noProof/>
                <w:sz w:val="16"/>
              </w:rPr>
              <w:t>7 %</w:t>
            </w:r>
          </w:p>
        </w:tc>
      </w:tr>
      <w:tr w:rsidR="00E91048">
        <w:trPr>
          <w:trHeight w:val="240"/>
        </w:trPr>
        <w:tc>
          <w:tcPr>
            <w:tcW w:w="1612" w:type="dxa"/>
            <w:tcBorders>
              <w:top w:val="nil"/>
              <w:left w:val="single" w:sz="4" w:space="0" w:color="auto"/>
              <w:bottom w:val="single" w:sz="4" w:space="0" w:color="auto"/>
              <w:right w:val="single" w:sz="4" w:space="0" w:color="auto"/>
            </w:tcBorders>
            <w:shd w:val="clear" w:color="000000" w:fill="D9D9D9"/>
            <w:vAlign w:val="center"/>
            <w:hideMark/>
          </w:tcPr>
          <w:p w:rsidR="00E91048" w:rsidRDefault="005E3A8B">
            <w:pPr>
              <w:spacing w:after="0" w:line="240" w:lineRule="auto"/>
              <w:rPr>
                <w:rFonts w:ascii="Arial" w:eastAsia="Times New Roman" w:hAnsi="Arial" w:cs="Arial"/>
                <w:b/>
                <w:bCs/>
                <w:noProof/>
                <w:sz w:val="16"/>
                <w:szCs w:val="16"/>
              </w:rPr>
            </w:pPr>
            <w:r>
              <w:rPr>
                <w:rFonts w:ascii="Arial" w:hAnsi="Arial"/>
                <w:b/>
                <w:noProof/>
                <w:sz w:val="16"/>
              </w:rPr>
              <w:t>Total</w:t>
            </w:r>
          </w:p>
        </w:tc>
        <w:tc>
          <w:tcPr>
            <w:tcW w:w="684"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661"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c>
          <w:tcPr>
            <w:tcW w:w="722" w:type="dxa"/>
            <w:tcBorders>
              <w:top w:val="nil"/>
              <w:left w:val="nil"/>
              <w:bottom w:val="single" w:sz="4" w:space="0" w:color="auto"/>
              <w:right w:val="single" w:sz="4" w:space="0" w:color="auto"/>
            </w:tcBorders>
            <w:shd w:val="clear" w:color="000000" w:fill="99CCFF"/>
            <w:vAlign w:val="center"/>
            <w:hideMark/>
          </w:tcPr>
          <w:p w:rsidR="00E91048" w:rsidRDefault="005E3A8B">
            <w:pPr>
              <w:spacing w:after="0" w:line="240" w:lineRule="auto"/>
              <w:jc w:val="center"/>
              <w:rPr>
                <w:rFonts w:ascii="Arial" w:eastAsia="Times New Roman" w:hAnsi="Arial" w:cs="Arial"/>
                <w:b/>
                <w:bCs/>
                <w:noProof/>
                <w:sz w:val="16"/>
                <w:szCs w:val="16"/>
              </w:rPr>
            </w:pPr>
            <w:r>
              <w:rPr>
                <w:rFonts w:ascii="Arial" w:hAnsi="Arial"/>
                <w:b/>
                <w:noProof/>
                <w:sz w:val="16"/>
              </w:rPr>
              <w:t>100 %</w:t>
            </w:r>
          </w:p>
        </w:tc>
      </w:tr>
    </w:tbl>
    <w:p w:rsidR="00E91048" w:rsidRDefault="005E3A8B">
      <w:pPr>
        <w:spacing w:after="240" w:line="240" w:lineRule="auto"/>
        <w:jc w:val="both"/>
        <w:rPr>
          <w:rFonts w:ascii="Times New Roman" w:eastAsia="Times New Roman" w:hAnsi="Times New Roman" w:cs="Times New Roman"/>
          <w:b/>
          <w:noProof/>
          <w:sz w:val="24"/>
          <w:szCs w:val="20"/>
        </w:rPr>
      </w:pPr>
      <w:r>
        <w:rPr>
          <w:rFonts w:ascii="Arial" w:hAnsi="Arial"/>
          <w:b/>
          <w:noProof/>
          <w:sz w:val="16"/>
        </w:rPr>
        <w:t>*: uniquement AT.</w:t>
      </w:r>
    </w:p>
    <w:sectPr w:rsidR="00E91048">
      <w:headerReference w:type="even" r:id="rId84"/>
      <w:headerReference w:type="default" r:id="rId85"/>
      <w:footerReference w:type="even" r:id="rId86"/>
      <w:footerReference w:type="default" r:id="rId87"/>
      <w:headerReference w:type="first" r:id="rId88"/>
      <w:footerReference w:type="first" r:id="rId89"/>
      <w:pgSz w:w="16838" w:h="11906" w:orient="landscape"/>
      <w:pgMar w:top="907" w:right="1021" w:bottom="1134" w:left="1021"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048" w:rsidRDefault="005E3A8B">
      <w:pPr>
        <w:spacing w:after="0" w:line="240" w:lineRule="auto"/>
      </w:pPr>
      <w:r>
        <w:separator/>
      </w:r>
    </w:p>
  </w:endnote>
  <w:endnote w:type="continuationSeparator" w:id="0">
    <w:p w:rsidR="00E91048" w:rsidRDefault="005E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8B" w:rsidRPr="005E3A8B" w:rsidRDefault="005E3A8B" w:rsidP="005E3A8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406560"/>
      <w:docPartObj>
        <w:docPartGallery w:val="Page Numbers (Bottom of Page)"/>
        <w:docPartUnique/>
      </w:docPartObj>
    </w:sdtPr>
    <w:sdtEndPr>
      <w:rPr>
        <w:noProof/>
      </w:rPr>
    </w:sdtEndPr>
    <w:sdtContent>
      <w:p w:rsidR="00E91048" w:rsidRDefault="005E3A8B">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rsidR="00E91048" w:rsidRDefault="00E9104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183346"/>
      <w:docPartObj>
        <w:docPartGallery w:val="Page Numbers (Bottom of Page)"/>
        <w:docPartUnique/>
      </w:docPartObj>
    </w:sdtPr>
    <w:sdtEndPr>
      <w:rPr>
        <w:noProof/>
      </w:rPr>
    </w:sdtEndPr>
    <w:sdtContent>
      <w:p w:rsidR="00E91048" w:rsidRDefault="005E3A8B">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E91048" w:rsidRDefault="00E91048">
    <w:pPr>
      <w:pStyle w:val="FooterLandscape"/>
      <w:spacing w:before="24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5E3A8B">
    <w:pPr>
      <w:pStyle w:val="Footer"/>
    </w:pPr>
    <w:r>
      <w:tab/>
    </w: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268781"/>
      <w:docPartObj>
        <w:docPartGallery w:val="Page Numbers (Bottom of Page)"/>
        <w:docPartUnique/>
      </w:docPartObj>
    </w:sdtPr>
    <w:sdtEndPr>
      <w:rPr>
        <w:noProof/>
      </w:rPr>
    </w:sdtEndPr>
    <w:sdtContent>
      <w:p w:rsidR="00E91048" w:rsidRDefault="005E3A8B">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rsidR="00E91048" w:rsidRDefault="00E9104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117387"/>
      <w:docPartObj>
        <w:docPartGallery w:val="Page Numbers (Bottom of Page)"/>
        <w:docPartUnique/>
      </w:docPartObj>
    </w:sdtPr>
    <w:sdtEndPr>
      <w:rPr>
        <w:noProof/>
      </w:rPr>
    </w:sdtEndPr>
    <w:sdtContent>
      <w:p w:rsidR="00E91048" w:rsidRDefault="005E3A8B">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rsidR="00E91048" w:rsidRDefault="00E91048">
    <w:pPr>
      <w:pStyle w:val="FooterLandscape"/>
      <w:spacing w:before="24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5E3A8B">
    <w:pPr>
      <w:pStyle w:val="Footer"/>
    </w:pPr>
    <w:r>
      <w:tab/>
    </w:r>
    <w: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004074"/>
      <w:docPartObj>
        <w:docPartGallery w:val="Page Numbers (Bottom of Page)"/>
        <w:docPartUnique/>
      </w:docPartObj>
    </w:sdtPr>
    <w:sdtEndPr>
      <w:rPr>
        <w:noProof/>
      </w:rPr>
    </w:sdtEndPr>
    <w:sdtContent>
      <w:p w:rsidR="00E91048" w:rsidRDefault="005E3A8B">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rsidR="00E91048" w:rsidRDefault="00E91048">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713439"/>
      <w:docPartObj>
        <w:docPartGallery w:val="Page Numbers (Bottom of Page)"/>
        <w:docPartUnique/>
      </w:docPartObj>
    </w:sdtPr>
    <w:sdtEndPr>
      <w:rPr>
        <w:noProof/>
      </w:rPr>
    </w:sdtEndPr>
    <w:sdtContent>
      <w:p w:rsidR="00E91048" w:rsidRDefault="005E3A8B">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rsidR="00E91048" w:rsidRDefault="00E91048">
    <w:pPr>
      <w:pStyle w:val="FooterLandscape"/>
      <w:spacing w:before="24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5E3A8B">
    <w:pPr>
      <w:pStyle w:val="Footer"/>
    </w:pPr>
    <w:r>
      <w:tab/>
    </w:r>
    <w: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515239"/>
      <w:docPartObj>
        <w:docPartGallery w:val="Page Numbers (Bottom of Page)"/>
        <w:docPartUnique/>
      </w:docPartObj>
    </w:sdtPr>
    <w:sdtEndPr>
      <w:rPr>
        <w:noProof/>
      </w:rPr>
    </w:sdtEndPr>
    <w:sdtContent>
      <w:p w:rsidR="00E91048" w:rsidRDefault="005E3A8B">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rsidR="00E91048" w:rsidRDefault="00E910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8B" w:rsidRPr="005E3A8B" w:rsidRDefault="005E3A8B" w:rsidP="005E3A8B">
    <w:pPr>
      <w:pStyle w:val="FooterCoverPage"/>
      <w:rPr>
        <w:rFonts w:ascii="Arial" w:hAnsi="Arial" w:cs="Arial"/>
        <w:b/>
        <w:sz w:val="48"/>
      </w:rPr>
    </w:pPr>
    <w:r w:rsidRPr="005E3A8B">
      <w:rPr>
        <w:rFonts w:ascii="Arial" w:hAnsi="Arial" w:cs="Arial"/>
        <w:b/>
        <w:sz w:val="48"/>
      </w:rPr>
      <w:t>FR</w:t>
    </w:r>
    <w:r w:rsidRPr="005E3A8B">
      <w:rPr>
        <w:rFonts w:ascii="Arial" w:hAnsi="Arial" w:cs="Arial"/>
        <w:b/>
        <w:sz w:val="48"/>
      </w:rPr>
      <w:tab/>
    </w:r>
    <w:r w:rsidRPr="005E3A8B">
      <w:rPr>
        <w:rFonts w:ascii="Arial" w:hAnsi="Arial" w:cs="Arial"/>
        <w:b/>
        <w:sz w:val="48"/>
      </w:rPr>
      <w:tab/>
    </w:r>
    <w:r w:rsidRPr="005E3A8B">
      <w:tab/>
    </w:r>
    <w:r w:rsidRPr="005E3A8B">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051069"/>
      <w:docPartObj>
        <w:docPartGallery w:val="Page Numbers (Bottom of Page)"/>
        <w:docPartUnique/>
      </w:docPartObj>
    </w:sdtPr>
    <w:sdtEndPr>
      <w:rPr>
        <w:noProof/>
      </w:rPr>
    </w:sdtEndPr>
    <w:sdtContent>
      <w:p w:rsidR="00E91048" w:rsidRDefault="005E3A8B">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rsidR="00E91048" w:rsidRDefault="00E91048">
    <w:pPr>
      <w:pStyle w:val="FooterLandscape"/>
      <w:spacing w:before="24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5E3A8B">
    <w:pPr>
      <w:pStyle w:val="Footer"/>
    </w:pPr>
    <w:r>
      <w:tab/>
    </w:r>
    <w:r>
      <w:tab/>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70663"/>
      <w:docPartObj>
        <w:docPartGallery w:val="Page Numbers (Bottom of Page)"/>
        <w:docPartUnique/>
      </w:docPartObj>
    </w:sdtPr>
    <w:sdtEndPr>
      <w:rPr>
        <w:noProof/>
      </w:rPr>
    </w:sdtEndPr>
    <w:sdtContent>
      <w:p w:rsidR="00E91048" w:rsidRDefault="005E3A8B">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rsidR="00E91048" w:rsidRDefault="00E91048">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674899"/>
      <w:docPartObj>
        <w:docPartGallery w:val="Page Numbers (Bottom of Page)"/>
        <w:docPartUnique/>
      </w:docPartObj>
    </w:sdtPr>
    <w:sdtEndPr>
      <w:rPr>
        <w:noProof/>
      </w:rPr>
    </w:sdtEndPr>
    <w:sdtContent>
      <w:p w:rsidR="00E91048" w:rsidRDefault="005E3A8B">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rsidR="00E91048" w:rsidRDefault="00E91048">
    <w:pPr>
      <w:pStyle w:val="FooterLandscape"/>
      <w:spacing w:before="24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5E3A8B">
    <w:pPr>
      <w:pStyle w:val="Footer"/>
    </w:pPr>
    <w:r>
      <w:tab/>
    </w:r>
    <w:r>
      <w:tab/>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273677"/>
      <w:docPartObj>
        <w:docPartGallery w:val="Page Numbers (Bottom of Page)"/>
        <w:docPartUnique/>
      </w:docPartObj>
    </w:sdtPr>
    <w:sdtEndPr>
      <w:rPr>
        <w:noProof/>
      </w:rPr>
    </w:sdtEndPr>
    <w:sdtContent>
      <w:p w:rsidR="00E91048" w:rsidRDefault="005E3A8B">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rsidR="00E91048" w:rsidRDefault="00E91048">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802181"/>
      <w:docPartObj>
        <w:docPartGallery w:val="Page Numbers (Bottom of Page)"/>
        <w:docPartUnique/>
      </w:docPartObj>
    </w:sdtPr>
    <w:sdtEndPr>
      <w:rPr>
        <w:noProof/>
      </w:rPr>
    </w:sdtEndPr>
    <w:sdtContent>
      <w:p w:rsidR="00E91048" w:rsidRDefault="005E3A8B">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rsidR="00E91048" w:rsidRDefault="00E91048">
    <w:pPr>
      <w:pStyle w:val="FooterLandscape"/>
      <w:spacing w:before="24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5E3A8B">
    <w:pPr>
      <w:pStyle w:val="Footer"/>
    </w:pPr>
    <w:r>
      <w:tab/>
    </w:r>
    <w:r>
      <w:tab/>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352609"/>
      <w:docPartObj>
        <w:docPartGallery w:val="Page Numbers (Bottom of Page)"/>
        <w:docPartUnique/>
      </w:docPartObj>
    </w:sdtPr>
    <w:sdtEndPr>
      <w:rPr>
        <w:noProof/>
      </w:rPr>
    </w:sdtEndPr>
    <w:sdtContent>
      <w:p w:rsidR="00E91048" w:rsidRDefault="005E3A8B">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rsidR="00E91048" w:rsidRDefault="00E91048">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639935"/>
      <w:docPartObj>
        <w:docPartGallery w:val="Page Numbers (Bottom of Page)"/>
        <w:docPartUnique/>
      </w:docPartObj>
    </w:sdtPr>
    <w:sdtEndPr>
      <w:rPr>
        <w:noProof/>
      </w:rPr>
    </w:sdtEndPr>
    <w:sdtContent>
      <w:p w:rsidR="00E91048" w:rsidRDefault="005E3A8B">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rsidR="00E91048" w:rsidRDefault="00E91048">
    <w:pPr>
      <w:pStyle w:val="FooterLandscape"/>
      <w:spacing w:befor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8B" w:rsidRPr="005E3A8B" w:rsidRDefault="005E3A8B" w:rsidP="005E3A8B">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5E3A8B">
    <w:pPr>
      <w:pStyle w:val="Footer"/>
    </w:pPr>
    <w:r>
      <w:tab/>
    </w:r>
    <w:r>
      <w:tab/>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462315"/>
      <w:docPartObj>
        <w:docPartGallery w:val="Page Numbers (Bottom of Page)"/>
        <w:docPartUnique/>
      </w:docPartObj>
    </w:sdtPr>
    <w:sdtEndPr>
      <w:rPr>
        <w:noProof/>
      </w:rPr>
    </w:sdtEndPr>
    <w:sdtContent>
      <w:p w:rsidR="00E91048" w:rsidRDefault="005E3A8B">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rsidR="00E91048" w:rsidRDefault="00E91048">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808309"/>
      <w:docPartObj>
        <w:docPartGallery w:val="Page Numbers (Bottom of Page)"/>
        <w:docPartUnique/>
      </w:docPartObj>
    </w:sdtPr>
    <w:sdtEndPr>
      <w:rPr>
        <w:noProof/>
      </w:rPr>
    </w:sdtEndPr>
    <w:sdtContent>
      <w:p w:rsidR="00E91048" w:rsidRDefault="005E3A8B">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rsidR="00E91048" w:rsidRDefault="00E91048">
    <w:pPr>
      <w:pStyle w:val="FooterLandscape"/>
      <w:spacing w:before="24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5E3A8B">
    <w:pPr>
      <w:pStyle w:val="Footer"/>
    </w:pPr>
    <w:r>
      <w:tab/>
    </w:r>
    <w:r>
      <w:tab/>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495918"/>
      <w:docPartObj>
        <w:docPartGallery w:val="Page Numbers (Bottom of Page)"/>
        <w:docPartUnique/>
      </w:docPartObj>
    </w:sdtPr>
    <w:sdtEndPr>
      <w:rPr>
        <w:noProof/>
      </w:rPr>
    </w:sdtEndPr>
    <w:sdtContent>
      <w:p w:rsidR="00E91048" w:rsidRDefault="005E3A8B">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rsidR="00E91048" w:rsidRDefault="00E91048">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393174"/>
      <w:docPartObj>
        <w:docPartGallery w:val="Page Numbers (Bottom of Page)"/>
        <w:docPartUnique/>
      </w:docPartObj>
    </w:sdtPr>
    <w:sdtEndPr>
      <w:rPr>
        <w:noProof/>
      </w:rPr>
    </w:sdtEndPr>
    <w:sdtContent>
      <w:p w:rsidR="00E91048" w:rsidRDefault="005E3A8B">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rsidR="00E91048" w:rsidRDefault="00E91048">
    <w:pPr>
      <w:pStyle w:val="FooterLandscape"/>
      <w:spacing w:before="240"/>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5E3A8B">
    <w:pPr>
      <w:pStyle w:val="Footer"/>
    </w:pPr>
    <w:r>
      <w:tab/>
    </w:r>
    <w:r>
      <w:tab/>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728960"/>
      <w:docPartObj>
        <w:docPartGallery w:val="Page Numbers (Bottom of Page)"/>
        <w:docPartUnique/>
      </w:docPartObj>
    </w:sdtPr>
    <w:sdtEndPr>
      <w:rPr>
        <w:noProof/>
      </w:rPr>
    </w:sdtEndPr>
    <w:sdtContent>
      <w:p w:rsidR="00E91048" w:rsidRDefault="005E3A8B">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rsidR="00E91048" w:rsidRDefault="00E91048">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484034"/>
      <w:docPartObj>
        <w:docPartGallery w:val="Page Numbers (Bottom of Page)"/>
        <w:docPartUnique/>
      </w:docPartObj>
    </w:sdtPr>
    <w:sdtEndPr>
      <w:rPr>
        <w:noProof/>
      </w:rPr>
    </w:sdtEndPr>
    <w:sdtContent>
      <w:p w:rsidR="00E91048" w:rsidRDefault="005E3A8B">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5E3A8B">
    <w:pPr>
      <w:pStyle w:val="Footer"/>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846888"/>
      <w:docPartObj>
        <w:docPartGallery w:val="Page Numbers (Bottom of Page)"/>
        <w:docPartUnique/>
      </w:docPartObj>
    </w:sdtPr>
    <w:sdtEndPr>
      <w:rPr>
        <w:noProof/>
      </w:rPr>
    </w:sdtEndPr>
    <w:sdtContent>
      <w:p w:rsidR="00E91048" w:rsidRDefault="005E3A8B">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rsidR="00E91048" w:rsidRDefault="00E9104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85029"/>
      <w:docPartObj>
        <w:docPartGallery w:val="Page Numbers (Bottom of Page)"/>
        <w:docPartUnique/>
      </w:docPartObj>
    </w:sdtPr>
    <w:sdtEndPr>
      <w:rPr>
        <w:noProof/>
      </w:rPr>
    </w:sdtEndPr>
    <w:sdtContent>
      <w:p w:rsidR="00E91048" w:rsidRDefault="005E3A8B">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E91048" w:rsidRDefault="00E91048">
    <w:pPr>
      <w:ind w:right="2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282928"/>
      <w:docPartObj>
        <w:docPartGallery w:val="Page Numbers (Bottom of Page)"/>
        <w:docPartUnique/>
      </w:docPartObj>
    </w:sdtPr>
    <w:sdtEndPr>
      <w:rPr>
        <w:noProof/>
      </w:rPr>
    </w:sdtEndPr>
    <w:sdtContent>
      <w:p w:rsidR="00E91048" w:rsidRDefault="005E3A8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91048" w:rsidRDefault="00E9104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020917"/>
      <w:docPartObj>
        <w:docPartGallery w:val="Page Numbers (Bottom of Page)"/>
        <w:docPartUnique/>
      </w:docPartObj>
    </w:sdtPr>
    <w:sdtEndPr>
      <w:rPr>
        <w:noProof/>
      </w:rPr>
    </w:sdtEndPr>
    <w:sdtContent>
      <w:p w:rsidR="00E91048" w:rsidRDefault="005E3A8B">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rsidR="00E91048" w:rsidRDefault="00E9104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908583"/>
      <w:docPartObj>
        <w:docPartGallery w:val="Page Numbers (Bottom of Page)"/>
        <w:docPartUnique/>
      </w:docPartObj>
    </w:sdtPr>
    <w:sdtEndPr>
      <w:rPr>
        <w:noProof/>
      </w:rPr>
    </w:sdtEndPr>
    <w:sdtContent>
      <w:p w:rsidR="00E91048" w:rsidRDefault="005E3A8B">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E91048" w:rsidRDefault="00E9104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5E3A8B">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048" w:rsidRDefault="005E3A8B">
      <w:pPr>
        <w:spacing w:after="0" w:line="240" w:lineRule="auto"/>
      </w:pPr>
      <w:r>
        <w:separator/>
      </w:r>
    </w:p>
  </w:footnote>
  <w:footnote w:type="continuationSeparator" w:id="0">
    <w:p w:rsidR="00E91048" w:rsidRDefault="005E3A8B">
      <w:pPr>
        <w:spacing w:after="0" w:line="240" w:lineRule="auto"/>
      </w:pPr>
      <w:r>
        <w:continuationSeparator/>
      </w:r>
    </w:p>
  </w:footnote>
  <w:footnote w:id="1">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 xml:space="preserve">L'article 9 du traité sur l’Union européenne dispose que «Dans toutes ses activités, l'Union respecte le principe de </w:t>
      </w:r>
      <w:r w:rsidRPr="005E3A8B">
        <w:rPr>
          <w:lang w:val="fr-FR"/>
        </w:rPr>
        <w:t>l'égalité de ses citoyens». De même, l'article premier </w:t>
      </w:r>
      <w:r w:rsidRPr="005E3A8B">
        <w:rPr>
          <w:i/>
          <w:lang w:val="fr-FR"/>
        </w:rPr>
        <w:t>quinquies</w:t>
      </w:r>
      <w:r w:rsidRPr="005E3A8B">
        <w:rPr>
          <w:lang w:val="fr-FR"/>
        </w:rPr>
        <w:t xml:space="preserve"> du statut interdit «toute discrimination» [fondée sur quelque motif que ce soit]. En outre, l'article 27 du statut interdit de réserver certains emplois aux ressortissants d'un État membre dé</w:t>
      </w:r>
      <w:r w:rsidRPr="005E3A8B">
        <w:rPr>
          <w:lang w:val="fr-FR"/>
        </w:rPr>
        <w:t>terminé. Voir l'annexe 1 pour une description plus détaillée du cadre juridique.</w:t>
      </w:r>
    </w:p>
  </w:footnote>
  <w:footnote w:id="2">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Dans ce contexte, le législateur a arrêté par le passé des règles spécifiques visant à limiter les recrutements et autorisant que des postes soient réservés aux ressortissa</w:t>
      </w:r>
      <w:r w:rsidRPr="005E3A8B">
        <w:rPr>
          <w:lang w:val="fr-FR"/>
        </w:rPr>
        <w:t>nts d'un ou de plusieurs États membres; cela s’est généralement fait dans le contexte des élargissements.</w:t>
      </w:r>
    </w:p>
  </w:footnote>
  <w:footnote w:id="3">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Voir par exemple l’arrêt de la Cour du 30.6.1983 dans l’affaire 85/82, Schloh/Conseil, point 26.</w:t>
      </w:r>
    </w:p>
  </w:footnote>
  <w:footnote w:id="4">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Voir la communication SEC(1994) 844 de la Commi</w:t>
      </w:r>
      <w:r w:rsidRPr="005E3A8B">
        <w:rPr>
          <w:lang w:val="fr-FR"/>
        </w:rPr>
        <w:t xml:space="preserve">ssion du 17 mai 1994, de M. Van Miert, lors de l’adhésion de l’Autriche, de la Finlande et de la Suède. </w:t>
      </w:r>
    </w:p>
  </w:footnote>
  <w:footnote w:id="5">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Voir la communication C(2003)436/5 de M. Kinnock du 14 février 2003, adoptée le 19 février 2003, relative au recrutement de fonctionnaires de la Com</w:t>
      </w:r>
      <w:r w:rsidRPr="005E3A8B">
        <w:rPr>
          <w:lang w:val="fr-FR"/>
        </w:rPr>
        <w:t>mission des nouveaux États membres; la communication C(2006)5778 de M. Kallas du 24 novembre 2006, adoptée par procédure écrite le 1</w:t>
      </w:r>
      <w:r w:rsidRPr="005E3A8B">
        <w:rPr>
          <w:vertAlign w:val="superscript"/>
          <w:lang w:val="fr-FR"/>
        </w:rPr>
        <w:t>er</w:t>
      </w:r>
      <w:r w:rsidRPr="005E3A8B">
        <w:rPr>
          <w:lang w:val="fr-FR"/>
        </w:rPr>
        <w:t> décembre 2006 [SEC(2006) 1574/5], concernant le recrutement par la Commission de fonctionnaires et d’agents temporaires p</w:t>
      </w:r>
      <w:r w:rsidRPr="005E3A8B">
        <w:rPr>
          <w:lang w:val="fr-FR"/>
        </w:rPr>
        <w:t>rovenant de la Bulgarie et de la Roumanie; la communication SEC(2012)436 final du vice-président </w:t>
      </w:r>
      <w:r w:rsidRPr="005E3A8B">
        <w:rPr>
          <w:color w:val="222222"/>
          <w:lang w:val="fr-FR"/>
        </w:rPr>
        <w:t>Šefčovič</w:t>
      </w:r>
      <w:r w:rsidRPr="005E3A8B">
        <w:rPr>
          <w:lang w:val="fr-FR"/>
        </w:rPr>
        <w:t xml:space="preserve"> du 12 juillet 2012 relative au recrutement par la Commission de fonctionnaires et d'agents temporaires croates.</w:t>
      </w:r>
    </w:p>
  </w:footnote>
  <w:footnote w:id="6">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Les membres du personnel doivent to</w:t>
      </w:r>
      <w:r w:rsidRPr="005E3A8B">
        <w:rPr>
          <w:lang w:val="fr-FR"/>
        </w:rPr>
        <w:t xml:space="preserve">utefois déclarer s’ils ont ou ont eu la nationalité de l'État sur le territoire duquel est situé le lieu de leur affectation. </w:t>
      </w:r>
    </w:p>
    <w:p w:rsidR="00E91048" w:rsidRPr="005E3A8B" w:rsidRDefault="00E91048">
      <w:pPr>
        <w:pStyle w:val="FootnoteText"/>
        <w:rPr>
          <w:lang w:val="fr-FR"/>
        </w:rPr>
      </w:pPr>
    </w:p>
  </w:footnote>
  <w:footnote w:id="7">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Sauf s'ils fournissent la preuve qu’ils ont irrévocablement abandonné la nationalité britannique.</w:t>
      </w:r>
    </w:p>
  </w:footnote>
  <w:footnote w:id="8">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 xml:space="preserve">Cette approche diffère </w:t>
      </w:r>
      <w:r w:rsidRPr="005E3A8B">
        <w:rPr>
          <w:lang w:val="fr-FR"/>
        </w:rPr>
        <w:t>de l’approche précédente, qui comportait une pondération égale pour les trois plus grands États membres fondateurs (Allemagne, France, Italie), et n’offre pas de garantie de stabilité dans le temps. En effet, sur les trois critères objectifs, l’un est vola</w:t>
      </w:r>
      <w:r w:rsidRPr="005E3A8B">
        <w:rPr>
          <w:lang w:val="fr-FR"/>
        </w:rPr>
        <w:t>til (la population, comme montré à l’annexe 4) et le deuxième (la pondération des voix au Conseil), bien que toujours mentionné dans le traité, n’est plus appliqué depuis avril 2017. Les avantages de cette solution l’emportent néanmoins largement sur ses i</w:t>
      </w:r>
      <w:r w:rsidRPr="005E3A8B">
        <w:rPr>
          <w:lang w:val="fr-FR"/>
        </w:rPr>
        <w:t>nconvénients.</w:t>
      </w:r>
    </w:p>
  </w:footnote>
  <w:footnote w:id="9">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Par exemple, en ce qui concerne l’encadrement supérieur, la Commission définit comme un objectif souhaitable que chaque nationalité soit représentée par au moins un directeur général ou toute fonction équivalente.  Deux fois par an, le com</w:t>
      </w:r>
      <w:r w:rsidRPr="005E3A8B">
        <w:rPr>
          <w:lang w:val="fr-FR"/>
        </w:rPr>
        <w:t>missaire chargé du personnel et de l’administration (...) informera le collège (...) de l'équilibre géographique parmi les hauts fonctionnaires (</w:t>
      </w:r>
      <w:r w:rsidRPr="005E3A8B">
        <w:rPr>
          <w:i/>
          <w:lang w:val="fr-FR"/>
        </w:rPr>
        <w:t>Compilation document on Senior Officials Policy</w:t>
      </w:r>
      <w:r w:rsidRPr="005E3A8B">
        <w:rPr>
          <w:lang w:val="fr-FR"/>
        </w:rPr>
        <w:t>, SEC(2004)1352/2, approuvé le 26.10.2004, PV 1676).</w:t>
      </w:r>
    </w:p>
  </w:footnote>
  <w:footnote w:id="10">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La promo</w:t>
      </w:r>
      <w:r w:rsidRPr="005E3A8B">
        <w:rPr>
          <w:lang w:val="fr-FR"/>
        </w:rPr>
        <w:t>tion du grade AD5 (grade de recrutement le plus courant) au grade AD9 prend en moyenne 12 ans, alors que le délai le plus court admis par le statut est de 8 ans.</w:t>
      </w:r>
    </w:p>
  </w:footnote>
  <w:footnote w:id="11">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C’est-à-dire tous les États membres qui sont devenus membres de l’Union européenne avant 20</w:t>
      </w:r>
      <w:r w:rsidRPr="005E3A8B">
        <w:rPr>
          <w:lang w:val="fr-FR"/>
        </w:rPr>
        <w:t>04.</w:t>
      </w:r>
    </w:p>
  </w:footnote>
  <w:footnote w:id="12">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C’est-à-dire tous les États membres ayant adhéré avant 2004, sauf le Royaume-Uni.</w:t>
      </w:r>
    </w:p>
  </w:footnote>
  <w:footnote w:id="13">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Les concours généralistes AD5 semblent également présenter une distorsion semblable, les nationalités néerlandaise, hongroise et roumaine s’ajoutant toutefois aux n</w:t>
      </w:r>
      <w:r w:rsidRPr="005E3A8B">
        <w:rPr>
          <w:lang w:val="fr-FR"/>
        </w:rPr>
        <w:t>ationalités qui sont suffisamment représentées.</w:t>
      </w:r>
    </w:p>
  </w:footnote>
  <w:footnote w:id="14">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Compte tenu de l’obligation statutaire selon laquelle les listes de lauréats doivent comporter au moins deux fois plus de noms que le nombre de postes à pourvoir</w:t>
      </w:r>
      <w:r>
        <w:rPr>
          <w:rStyle w:val="FootnoteReference"/>
        </w:rPr>
        <w:footnoteRef/>
      </w:r>
      <w:r w:rsidRPr="005E3A8B">
        <w:rPr>
          <w:lang w:val="fr-FR"/>
        </w:rPr>
        <w:t xml:space="preserve">, les ressortissants de chaque État membre </w:t>
      </w:r>
      <w:r w:rsidRPr="005E3A8B">
        <w:rPr>
          <w:lang w:val="fr-FR"/>
        </w:rPr>
        <w:t>devraient, idéalement, représenter au moins 50 % du taux de référence applicable.</w:t>
      </w:r>
    </w:p>
  </w:footnote>
  <w:footnote w:id="15">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Aucune institution n’a cependant donné de définition précise de celui-ci.</w:t>
      </w:r>
    </w:p>
  </w:footnote>
  <w:footnote w:id="16">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Dans la version de 1962 du statut, l’interdiction de la discrimination était prévue à l’articl</w:t>
      </w:r>
      <w:r w:rsidRPr="005E3A8B">
        <w:rPr>
          <w:lang w:val="fr-FR"/>
        </w:rPr>
        <w:t xml:space="preserve">e sur le recrutement (l’article 27) et était limitée à «[la[ race, [la] croyance ou [le] sexe».  Dans sa version de 1998, le statut prévoyait une interdiction générale de la discrimination fondée sur «[la] race, [la] conviction politique, philosophique ou </w:t>
      </w:r>
      <w:r w:rsidRPr="005E3A8B">
        <w:rPr>
          <w:lang w:val="fr-FR"/>
        </w:rPr>
        <w:t>religieuse, [le] sexe ou [l']orientation sexuelle».</w:t>
      </w:r>
    </w:p>
  </w:footnote>
  <w:footnote w:id="17">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Voir par exemple l’arrêt du 30 juin 1983 dans l’affaire 85/82, Schloch/Conseil, point 26 ou l’arrêt du 6 juillet 1999 dans les affaires jointes T-112/96 et T-115/96, Séché/Commission</w:t>
      </w:r>
    </w:p>
  </w:footnote>
  <w:footnote w:id="18">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 xml:space="preserve">Règlement (UE, </w:t>
      </w:r>
      <w:r w:rsidRPr="005E3A8B">
        <w:rPr>
          <w:lang w:val="fr-FR"/>
        </w:rPr>
        <w:t>EURATOM) n° 1023/2013 du Parlement européen et du Conseil du 22 octobre 2013 modifiant le statut des fonctionnaires de l'Union européenne et le régime applicable aux autres agents de l'Union européenne</w:t>
      </w:r>
    </w:p>
  </w:footnote>
  <w:footnote w:id="19">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L’annexe 2 du présent rapport est extraite de la co</w:t>
      </w:r>
      <w:r w:rsidRPr="005E3A8B">
        <w:rPr>
          <w:lang w:val="fr-FR"/>
        </w:rPr>
        <w:t>mmunication C(2003)436 du 28 janvier 2003. Elle correspond, plus exactement, aux annexes 1, 1</w:t>
      </w:r>
      <w:r w:rsidRPr="005E3A8B">
        <w:rPr>
          <w:i/>
          <w:lang w:val="fr-FR"/>
        </w:rPr>
        <w:t>bis</w:t>
      </w:r>
      <w:r w:rsidRPr="005E3A8B">
        <w:rPr>
          <w:lang w:val="fr-FR"/>
        </w:rPr>
        <w:t xml:space="preserve"> et 1</w:t>
      </w:r>
      <w:r w:rsidRPr="005E3A8B">
        <w:rPr>
          <w:i/>
          <w:lang w:val="fr-FR"/>
        </w:rPr>
        <w:t>ter</w:t>
      </w:r>
    </w:p>
  </w:footnote>
  <w:footnote w:id="20">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Communication C(2003) 436/5 de M. Kinnock du 14 février 2003, adoptée le 19 février 2003, relative au recrutement de fonctionnaires de la Commission</w:t>
      </w:r>
      <w:r w:rsidRPr="005E3A8B">
        <w:rPr>
          <w:lang w:val="fr-FR"/>
        </w:rPr>
        <w:t xml:space="preserve"> issus des nouveaux États membres</w:t>
      </w:r>
    </w:p>
  </w:footnote>
  <w:footnote w:id="21">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Plus précisément, la communication indiquait:  «La méthode proposée concerne les dix nouveaux États membres qui doivent rejoindre l’Union à compter du 1</w:t>
      </w:r>
      <w:r w:rsidRPr="005E3A8B">
        <w:rPr>
          <w:vertAlign w:val="superscript"/>
          <w:lang w:val="fr-FR"/>
        </w:rPr>
        <w:t>er</w:t>
      </w:r>
      <w:r w:rsidRPr="005E3A8B">
        <w:rPr>
          <w:lang w:val="fr-FR"/>
        </w:rPr>
        <w:t xml:space="preserve"> mai 2004. Elle peut toutefois s’appliquer quel que soit le nombr</w:t>
      </w:r>
      <w:r w:rsidRPr="005E3A8B">
        <w:rPr>
          <w:lang w:val="fr-FR"/>
        </w:rPr>
        <w:t>e de nouveaux États membres.»</w:t>
      </w:r>
    </w:p>
  </w:footnote>
  <w:footnote w:id="22">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C(2003) 436/5 du 14 février 2003, réunion 1601 de la Commission</w:t>
      </w:r>
    </w:p>
  </w:footnote>
  <w:footnote w:id="23">
    <w:p w:rsidR="00E91048" w:rsidRPr="005E3A8B" w:rsidRDefault="005E3A8B">
      <w:pPr>
        <w:pStyle w:val="FootnoteText"/>
        <w:rPr>
          <w:lang w:val="fr-FR"/>
        </w:rPr>
      </w:pPr>
      <w:r>
        <w:rPr>
          <w:rStyle w:val="FootnoteReference"/>
        </w:rPr>
        <w:footnoteRef/>
      </w:r>
      <w:r w:rsidRPr="005E3A8B">
        <w:rPr>
          <w:lang w:val="fr-FR"/>
        </w:rPr>
        <w:t xml:space="preserve"> </w:t>
      </w:r>
      <w:r w:rsidRPr="005E3A8B">
        <w:rPr>
          <w:lang w:val="fr-FR"/>
        </w:rPr>
        <w:tab/>
        <w:t>C(2006)5778, procédure écrite du 24 novembre 2006</w:t>
      </w:r>
    </w:p>
  </w:footnote>
  <w:footnote w:id="24">
    <w:p w:rsidR="00E91048" w:rsidRDefault="005E3A8B">
      <w:pPr>
        <w:pStyle w:val="FootnoteText"/>
        <w:rPr>
          <w:lang w:val="fr-BE"/>
        </w:rPr>
      </w:pPr>
      <w:r>
        <w:rPr>
          <w:rStyle w:val="FootnoteReference"/>
        </w:rPr>
        <w:footnoteRef/>
      </w:r>
      <w:r w:rsidRPr="005E3A8B">
        <w:rPr>
          <w:lang w:val="fr-FR"/>
        </w:rPr>
        <w:t xml:space="preserve"> </w:t>
      </w:r>
      <w:r w:rsidRPr="005E3A8B">
        <w:rPr>
          <w:lang w:val="fr-FR"/>
        </w:rPr>
        <w:tab/>
        <w:t>SEC(2012)436 final, Procédure écrite de finalisation du 11 juillet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8B" w:rsidRPr="005E3A8B" w:rsidRDefault="005E3A8B" w:rsidP="005E3A8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8B" w:rsidRPr="005E3A8B" w:rsidRDefault="005E3A8B" w:rsidP="005E3A8B">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8B" w:rsidRPr="005E3A8B" w:rsidRDefault="005E3A8B" w:rsidP="005E3A8B">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48" w:rsidRDefault="00E910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8"/>
    <w:multiLevelType w:val="singleLevel"/>
    <w:tmpl w:val="B89E0650"/>
    <w:lvl w:ilvl="0">
      <w:start w:val="1"/>
      <w:numFmt w:val="decimal"/>
      <w:pStyle w:val="ListNumber"/>
      <w:lvlText w:val="%1."/>
      <w:lvlJc w:val="left"/>
      <w:pPr>
        <w:tabs>
          <w:tab w:val="num" w:pos="360"/>
        </w:tabs>
        <w:ind w:left="360" w:hanging="360"/>
      </w:pPr>
    </w:lvl>
  </w:abstractNum>
  <w:abstractNum w:abstractNumId="3">
    <w:nsid w:val="FFFFFF89"/>
    <w:multiLevelType w:val="singleLevel"/>
    <w:tmpl w:val="F4F029F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69A6963"/>
    <w:multiLevelType w:val="hybridMultilevel"/>
    <w:tmpl w:val="9B86D6E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C20AE8"/>
    <w:multiLevelType w:val="hybridMultilevel"/>
    <w:tmpl w:val="5434C71E"/>
    <w:lvl w:ilvl="0" w:tplc="D4846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B34562C"/>
    <w:multiLevelType w:val="hybridMultilevel"/>
    <w:tmpl w:val="26DC4A84"/>
    <w:lvl w:ilvl="0" w:tplc="D4846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734306"/>
    <w:multiLevelType w:val="multilevel"/>
    <w:tmpl w:val="0456B9F6"/>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DD3599"/>
    <w:multiLevelType w:val="multilevel"/>
    <w:tmpl w:val="4EAA5BA6"/>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C9561E"/>
    <w:multiLevelType w:val="multilevel"/>
    <w:tmpl w:val="1AAA49CA"/>
    <w:lvl w:ilvl="0">
      <w:start w:val="1"/>
      <w:numFmt w:val="lowerLetter"/>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EEA7B8A"/>
    <w:multiLevelType w:val="hybridMultilevel"/>
    <w:tmpl w:val="44DC0BD0"/>
    <w:lvl w:ilvl="0" w:tplc="D4846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973347"/>
    <w:multiLevelType w:val="hybridMultilevel"/>
    <w:tmpl w:val="F21E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nsid w:val="4321140B"/>
    <w:multiLevelType w:val="singleLevel"/>
    <w:tmpl w:val="A5309298"/>
    <w:lvl w:ilvl="0">
      <w:start w:val="1"/>
      <w:numFmt w:val="decimal"/>
      <w:pStyle w:val="Considrant"/>
      <w:lvlText w:val="(%1)"/>
      <w:lvlJc w:val="left"/>
      <w:pPr>
        <w:tabs>
          <w:tab w:val="num" w:pos="709"/>
        </w:tabs>
        <w:ind w:left="709" w:hanging="709"/>
      </w:pPr>
    </w:lvl>
  </w:abstractNum>
  <w:abstractNum w:abstractNumId="22">
    <w:nsid w:val="45CF4AEC"/>
    <w:multiLevelType w:val="singleLevel"/>
    <w:tmpl w:val="7ED8A500"/>
    <w:lvl w:ilvl="0">
      <w:start w:val="1"/>
      <w:numFmt w:val="bullet"/>
      <w:lvlText w:val=""/>
      <w:lvlJc w:val="left"/>
      <w:pPr>
        <w:tabs>
          <w:tab w:val="num" w:pos="283"/>
        </w:tabs>
        <w:ind w:left="283" w:hanging="283"/>
      </w:pPr>
      <w:rPr>
        <w:rFonts w:ascii="Symbol" w:hAnsi="Symbol"/>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83558C9"/>
    <w:multiLevelType w:val="hybridMultilevel"/>
    <w:tmpl w:val="A28442A4"/>
    <w:lvl w:ilvl="0" w:tplc="D4846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654620"/>
    <w:multiLevelType w:val="hybridMultilevel"/>
    <w:tmpl w:val="109CB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8176CB"/>
    <w:multiLevelType w:val="multilevel"/>
    <w:tmpl w:val="0456B9F6"/>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39A0362"/>
    <w:multiLevelType w:val="hybridMultilevel"/>
    <w:tmpl w:val="EF7E69C6"/>
    <w:lvl w:ilvl="0" w:tplc="D4846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2">
    <w:nsid w:val="6D9C423C"/>
    <w:multiLevelType w:val="hybridMultilevel"/>
    <w:tmpl w:val="5DD049A8"/>
    <w:lvl w:ilvl="0" w:tplc="D4846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BC1A70"/>
    <w:multiLevelType w:val="hybridMultilevel"/>
    <w:tmpl w:val="E168E8A4"/>
    <w:lvl w:ilvl="0" w:tplc="D4846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37">
    <w:nsid w:val="7CCB47E9"/>
    <w:multiLevelType w:val="hybridMultilevel"/>
    <w:tmpl w:val="EE72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9B5455"/>
    <w:multiLevelType w:val="hybridMultilevel"/>
    <w:tmpl w:val="1D2C8296"/>
    <w:lvl w:ilvl="0" w:tplc="D4846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F914527"/>
    <w:multiLevelType w:val="hybridMultilevel"/>
    <w:tmpl w:val="421A2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20"/>
  </w:num>
  <w:num w:numId="5">
    <w:abstractNumId w:val="31"/>
  </w:num>
  <w:num w:numId="6">
    <w:abstractNumId w:val="34"/>
  </w:num>
  <w:num w:numId="7">
    <w:abstractNumId w:val="18"/>
  </w:num>
  <w:num w:numId="8">
    <w:abstractNumId w:val="30"/>
  </w:num>
  <w:num w:numId="9">
    <w:abstractNumId w:val="29"/>
  </w:num>
  <w:num w:numId="10">
    <w:abstractNumId w:val="23"/>
  </w:num>
  <w:num w:numId="11">
    <w:abstractNumId w:val="28"/>
  </w:num>
  <w:num w:numId="12">
    <w:abstractNumId w:val="11"/>
  </w:num>
  <w:num w:numId="13">
    <w:abstractNumId w:val="19"/>
  </w:num>
  <w:num w:numId="14">
    <w:abstractNumId w:val="8"/>
  </w:num>
  <w:num w:numId="15">
    <w:abstractNumId w:val="13"/>
  </w:num>
  <w:num w:numId="16">
    <w:abstractNumId w:val="35"/>
  </w:num>
  <w:num w:numId="17">
    <w:abstractNumId w:val="15"/>
  </w:num>
  <w:num w:numId="18">
    <w:abstractNumId w:val="1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3">
    <w:abstractNumId w:val="21"/>
  </w:num>
  <w:num w:numId="24">
    <w:abstractNumId w:val="22"/>
  </w:num>
  <w:num w:numId="25">
    <w:abstractNumId w:val="37"/>
  </w:num>
  <w:num w:numId="26">
    <w:abstractNumId w:val="39"/>
  </w:num>
  <w:num w:numId="27">
    <w:abstractNumId w:val="3"/>
  </w:num>
  <w:num w:numId="28">
    <w:abstractNumId w:val="2"/>
  </w:num>
  <w:num w:numId="29">
    <w:abstractNumId w:val="5"/>
  </w:num>
  <w:num w:numId="30">
    <w:abstractNumId w:val="9"/>
  </w:num>
  <w:num w:numId="31">
    <w:abstractNumId w:val="25"/>
  </w:num>
  <w:num w:numId="32">
    <w:abstractNumId w:val="17"/>
  </w:num>
  <w:num w:numId="33">
    <w:abstractNumId w:val="7"/>
  </w:num>
  <w:num w:numId="34">
    <w:abstractNumId w:val="16"/>
  </w:num>
  <w:num w:numId="35">
    <w:abstractNumId w:val="24"/>
  </w:num>
  <w:num w:numId="36">
    <w:abstractNumId w:val="27"/>
  </w:num>
  <w:num w:numId="37">
    <w:abstractNumId w:val="38"/>
  </w:num>
  <w:num w:numId="38">
    <w:abstractNumId w:val="33"/>
  </w:num>
  <w:num w:numId="39">
    <w:abstractNumId w:val="32"/>
  </w:num>
  <w:num w:numId="40">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hideSpellingErrors/>
  <w:hideGrammaticalErrors/>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_x000b_This document corrects document COM (2018) 377 final of 15 June 2018._x000b__x000b_Concerns all language versions._x000b__x000b_Updates in the tables of some of the annexes._x000b__x000b_The text shall read as follows:_x000b_"/>
    <w:docVar w:name="LW_COVERPAGE_EXISTS" w:val="True"/>
    <w:docVar w:name="LW_COVERPAGE_GUID" w:val="75E0901E-0C1F-41B2-B746-B7175C8AD16A"/>
    <w:docVar w:name="LW_COVERPAGE_TYPE" w:val="1"/>
    <w:docVar w:name="LW_CROSSREFERENCE" w:val="&lt;UNUSED&gt;"/>
    <w:docVar w:name="LW_DocType" w:val="NORMAL"/>
    <w:docVar w:name="LW_EMISSION" w:val="24.8.2018"/>
    <w:docVar w:name="LW_EMISSION_ISODATE" w:val="2018-08-2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2"/>
    <w:docVar w:name="LW_REF.INST.NEW_TEXT" w:val="(2018) 3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en vertu de l'article 27 du statut des fonctionnaires de l'Union européenne et de l'article 12 du régime applicable aux autres agents de l'Union européenne (Équilibre géographique)_x000d__x000b_"/>
    <w:docVar w:name="LW_TYPE.DOC.CP" w:val="RAPPORT DE LA COMMISSION AU PARLEMENT EUROPÉEN ET AU CONSEIL"/>
  </w:docVars>
  <w:rsids>
    <w:rsidRoot w:val="00E91048"/>
    <w:rsid w:val="005E3A8B"/>
    <w:rsid w:val="00E91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line="276" w:lineRule="auto"/>
    </w:pPr>
  </w:style>
  <w:style w:type="paragraph" w:styleId="Heading1">
    <w:name w:val="heading 1"/>
    <w:basedOn w:val="Normal"/>
    <w:next w:val="Normal"/>
    <w:link w:val="Heading1Char"/>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lang w:eastAsia="en-US" w:bidi="ar-SA"/>
    </w:rPr>
  </w:style>
  <w:style w:type="paragraph" w:styleId="Heading2">
    <w:name w:val="heading 2"/>
    <w:basedOn w:val="Normal"/>
    <w:next w:val="Normal"/>
    <w:link w:val="Heading2Char"/>
    <w:unhideWhenUsed/>
    <w:qFormat/>
    <w:pPr>
      <w:keepNext/>
      <w:spacing w:before="240" w:after="60" w:line="240" w:lineRule="auto"/>
      <w:ind w:left="720" w:hanging="360"/>
      <w:outlineLvl w:val="1"/>
    </w:pPr>
    <w:rPr>
      <w:rFonts w:eastAsiaTheme="majorEastAsia" w:cstheme="majorBidi"/>
      <w:b/>
      <w:bCs/>
      <w:iCs/>
      <w:szCs w:val="28"/>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lang w:eastAsia="en-US" w:bidi="ar-SA"/>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lang w:eastAsia="en-US" w:bidi="ar-SA"/>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lang w:eastAsia="en-US" w:bidi="ar-SA"/>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lang w:eastAsia="en-US" w:bidi="ar-SA"/>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lang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US" w:bidi="ar-SA"/>
    </w:rPr>
  </w:style>
  <w:style w:type="character" w:customStyle="1" w:styleId="Heading2Char">
    <w:name w:val="Heading 2 Char"/>
    <w:basedOn w:val="DefaultParagraphFont"/>
    <w:link w:val="Heading2"/>
    <w:rPr>
      <w:rFonts w:eastAsiaTheme="majorEastAsia" w:cstheme="majorBidi"/>
      <w:b/>
      <w:bCs/>
      <w:iCs/>
      <w:szCs w:val="2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en-GB"/>
    </w:rPr>
  </w:style>
  <w:style w:type="paragraph" w:styleId="TOC1">
    <w:name w:val="toc 1"/>
    <w:basedOn w:val="Normal"/>
    <w:next w:val="Normal"/>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styleId="TOCHeading">
    <w:name w:val="TOC Heading"/>
    <w:basedOn w:val="Normal"/>
    <w:next w:val="Normal"/>
    <w:link w:val="TOCHeadingChar"/>
    <w:qFormat/>
    <w:pPr>
      <w:spacing w:before="120" w:after="240" w:line="240" w:lineRule="auto"/>
      <w:jc w:val="center"/>
    </w:pPr>
    <w:rPr>
      <w:rFonts w:ascii="Times New Roman" w:eastAsia="Times New Roman" w:hAnsi="Times New Roman" w:cs="Times New Roman"/>
      <w:b/>
      <w:sz w:val="28"/>
      <w:szCs w:val="24"/>
    </w:rPr>
  </w:style>
  <w:style w:type="character" w:styleId="Hyperlink">
    <w:name w:val="Hyperlink"/>
    <w:uiPriority w:val="99"/>
    <w:rPr>
      <w:color w:val="0000FF"/>
      <w:u w:val="single"/>
      <w:shd w:val="clear" w:color="auto" w:fill="auto"/>
    </w:rPr>
  </w:style>
  <w:style w:type="character" w:customStyle="1" w:styleId="text-big-bold">
    <w:name w:val="text-big-bol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lang w:val="en-GB"/>
    </w:rPr>
  </w:style>
  <w:style w:type="character" w:customStyle="1" w:styleId="FooterCoverPageChar">
    <w:name w:val="Footer Cover Page Char"/>
    <w:basedOn w:val="TOCHeadingChar"/>
    <w:link w:val="FooterCoverPage"/>
    <w:rPr>
      <w:rFonts w:ascii="Times New Roman" w:eastAsia="Times New Roman" w:hAnsi="Times New Roman" w:cs="Times New Roman"/>
      <w:b w:val="0"/>
      <w:sz w:val="24"/>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4"/>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4"/>
      <w:lang w:val="en-GB"/>
    </w:rPr>
  </w:style>
  <w:style w:type="paragraph" w:styleId="Revision">
    <w:name w:val="Revision"/>
    <w:hidden/>
    <w:uiPriority w:val="99"/>
    <w:semiHidden/>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NoteHead">
    <w:name w:val="NoteHead"/>
    <w:basedOn w:val="Normal"/>
    <w:next w:val="Normal"/>
    <w:pPr>
      <w:spacing w:before="720" w:after="720" w:line="240" w:lineRule="auto"/>
      <w:jc w:val="center"/>
    </w:pPr>
    <w:rPr>
      <w:rFonts w:ascii="Times New Roman" w:eastAsia="Times New Roman" w:hAnsi="Times New Roman" w:cs="Times New Roman"/>
      <w:b/>
      <w:smallCaps/>
      <w:sz w:val="24"/>
      <w:szCs w:val="20"/>
      <w:lang w:eastAsia="en-US" w:bidi="ar-SA"/>
    </w:rPr>
  </w:style>
  <w:style w:type="character" w:customStyle="1" w:styleId="Heading5Char">
    <w:name w:val="Heading 5 Char"/>
    <w:basedOn w:val="DefaultParagraphFont"/>
    <w:link w:val="Heading5"/>
    <w:rPr>
      <w:rFonts w:ascii="Arial" w:eastAsia="Times New Roman" w:hAnsi="Arial" w:cs="Times New Roman"/>
      <w:szCs w:val="20"/>
      <w:lang w:eastAsia="en-US" w:bidi="ar-SA"/>
    </w:rPr>
  </w:style>
  <w:style w:type="character" w:customStyle="1" w:styleId="Heading6Char">
    <w:name w:val="Heading 6 Char"/>
    <w:basedOn w:val="DefaultParagraphFont"/>
    <w:link w:val="Heading6"/>
    <w:rPr>
      <w:rFonts w:ascii="Arial" w:eastAsia="Times New Roman" w:hAnsi="Arial" w:cs="Times New Roman"/>
      <w:i/>
      <w:szCs w:val="20"/>
      <w:lang w:eastAsia="en-US" w:bidi="ar-SA"/>
    </w:rPr>
  </w:style>
  <w:style w:type="character" w:customStyle="1" w:styleId="Heading7Char">
    <w:name w:val="Heading 7 Char"/>
    <w:basedOn w:val="DefaultParagraphFont"/>
    <w:link w:val="Heading7"/>
    <w:rPr>
      <w:rFonts w:ascii="Arial" w:eastAsia="Times New Roman" w:hAnsi="Arial" w:cs="Times New Roman"/>
      <w:sz w:val="20"/>
      <w:szCs w:val="20"/>
      <w:lang w:eastAsia="en-US" w:bidi="ar-SA"/>
    </w:rPr>
  </w:style>
  <w:style w:type="character" w:customStyle="1" w:styleId="Heading8Char">
    <w:name w:val="Heading 8 Char"/>
    <w:basedOn w:val="DefaultParagraphFont"/>
    <w:link w:val="Heading8"/>
    <w:rPr>
      <w:rFonts w:ascii="Arial" w:eastAsia="Times New Roman" w:hAnsi="Arial" w:cs="Times New Roman"/>
      <w:i/>
      <w:sz w:val="20"/>
      <w:szCs w:val="20"/>
      <w:lang w:eastAsia="en-US" w:bidi="ar-SA"/>
    </w:rPr>
  </w:style>
  <w:style w:type="character" w:customStyle="1" w:styleId="Heading9Char">
    <w:name w:val="Heading 9 Char"/>
    <w:basedOn w:val="DefaultParagraphFont"/>
    <w:link w:val="Heading9"/>
    <w:rPr>
      <w:rFonts w:ascii="Arial" w:eastAsia="Times New Roman" w:hAnsi="Arial" w:cs="Times New Roman"/>
      <w:i/>
      <w:sz w:val="18"/>
      <w:szCs w:val="20"/>
      <w:lang w:eastAsia="en-US" w:bidi="ar-SA"/>
    </w:rPr>
  </w:style>
  <w:style w:type="numbering" w:customStyle="1" w:styleId="NoList1">
    <w:name w:val="No List1"/>
    <w:next w:val="NoList"/>
    <w:uiPriority w:val="99"/>
    <w:semiHidden/>
    <w:unhideWhenUsed/>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lang w:eastAsia="en-US" w:bidi="ar-SA"/>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lang w:eastAsia="en-US" w:bidi="ar-SA"/>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lang w:eastAsia="en-US" w:bidi="ar-SA"/>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eastAsia="en-US" w:bidi="ar-SA"/>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eastAsia="en-US" w:bidi="ar-SA"/>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lang w:eastAsia="en-US" w:bidi="ar-SA"/>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lang w:eastAsia="en-US" w:bidi="ar-SA"/>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lang w:eastAsia="en-US" w:bidi="ar-SA"/>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eastAsia="en-US" w:bidi="ar-SA"/>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lang w:eastAsia="en-US" w:bidi="ar-SA"/>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eastAsia="en-US" w:bidi="ar-SA"/>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lang w:eastAsia="en-US" w:bidi="ar-SA"/>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eastAsia="en-US" w:bidi="ar-SA"/>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eastAsia="en-US" w:bidi="ar-SA"/>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lang w:eastAsia="en-US" w:bidi="ar-SA"/>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eastAsia="en-US" w:bidi="ar-SA"/>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eastAsia="en-US" w:bidi="ar-SA"/>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lang w:eastAsia="en-US" w:bidi="ar-SA"/>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eastAsia="en-US" w:bidi="ar-SA"/>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lang w:eastAsia="en-US" w:bidi="ar-SA"/>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eastAsia="en-US" w:bidi="ar-SA"/>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lang w:eastAsia="en-US" w:bidi="ar-SA"/>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cs="Times New Roman"/>
      <w:b/>
      <w:sz w:val="32"/>
      <w:szCs w:val="20"/>
      <w:lang w:eastAsia="en-US" w:bidi="ar-SA"/>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lang w:eastAsia="en-US" w:bidi="ar-SA"/>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lang w:eastAsia="en-US" w:bidi="ar-SA"/>
    </w:rPr>
  </w:style>
  <w:style w:type="character" w:customStyle="1" w:styleId="ClosingChar">
    <w:name w:val="Closing Char"/>
    <w:basedOn w:val="DefaultParagraphFont"/>
    <w:link w:val="Closing"/>
    <w:rPr>
      <w:rFonts w:ascii="Times New Roman" w:eastAsia="Times New Roman" w:hAnsi="Times New Roman" w:cs="Times New Roman"/>
      <w:sz w:val="24"/>
      <w:szCs w:val="20"/>
      <w:lang w:eastAsia="en-US" w:bidi="ar-SA"/>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lang w:eastAsia="en-US" w:bidi="ar-SA"/>
    </w:rPr>
  </w:style>
  <w:style w:type="character" w:customStyle="1" w:styleId="DateChar">
    <w:name w:val="Date Char"/>
    <w:basedOn w:val="DefaultParagraphFont"/>
    <w:link w:val="Date"/>
    <w:rPr>
      <w:rFonts w:ascii="Times New Roman" w:eastAsia="Times New Roman" w:hAnsi="Times New Roman" w:cs="Times New Roman"/>
      <w:sz w:val="24"/>
      <w:szCs w:val="20"/>
      <w:lang w:eastAsia="en-US" w:bidi="ar-SA"/>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lang w:eastAsia="en-US" w:bidi="ar-SA"/>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lang w:eastAsia="en-US" w:bidi="ar-S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eastAsia="en-US" w:bidi="ar-SA"/>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lang w:eastAsia="en-US" w:bidi="ar-SA"/>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lang w:eastAsia="en-US" w:bidi="ar-SA"/>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lang w:eastAsia="en-US" w:bidi="ar-SA"/>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US" w:bidi="ar-SA"/>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eastAsia="en-US" w:bidi="ar-SA"/>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lang w:eastAsia="en-US" w:bidi="ar-SA"/>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lang w:eastAsia="en-US" w:bidi="ar-SA"/>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lang w:eastAsia="en-US" w:bidi="ar-SA"/>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lang w:eastAsia="en-US" w:bidi="ar-SA"/>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lang w:eastAsia="en-US" w:bidi="ar-SA"/>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lang w:eastAsia="en-US" w:bidi="ar-SA"/>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lang w:eastAsia="en-US" w:bidi="ar-SA"/>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lang w:eastAsia="en-US" w:bidi="ar-SA"/>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lang w:eastAsia="en-US" w:bidi="ar-SA"/>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lang w:eastAsia="en-US" w:bidi="ar-SA"/>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lang w:eastAsia="en-US" w:bidi="ar-SA"/>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lang w:eastAsia="en-US" w:bidi="ar-SA"/>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lang w:eastAsia="en-US" w:bidi="ar-SA"/>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lang w:eastAsia="en-US" w:bidi="ar-SA"/>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lang w:eastAsia="en-US" w:bidi="ar-SA"/>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lang w:eastAsia="en-US" w:bidi="ar-SA"/>
    </w:rPr>
  </w:style>
  <w:style w:type="paragraph" w:styleId="ListBullet">
    <w:name w:val="List Bullet"/>
    <w:basedOn w:val="Normal"/>
    <w:pPr>
      <w:numPr>
        <w:numId w:val="27"/>
      </w:numPr>
      <w:tabs>
        <w:tab w:val="clear" w:pos="360"/>
        <w:tab w:val="num" w:pos="283"/>
      </w:tabs>
      <w:spacing w:after="240" w:line="240" w:lineRule="auto"/>
      <w:ind w:left="283" w:hanging="283"/>
      <w:jc w:val="both"/>
    </w:pPr>
    <w:rPr>
      <w:rFonts w:ascii="Times New Roman" w:eastAsia="Times New Roman" w:hAnsi="Times New Roman" w:cs="Times New Roman"/>
      <w:sz w:val="24"/>
      <w:szCs w:val="20"/>
      <w:lang w:eastAsia="en-US" w:bidi="ar-SA"/>
    </w:r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szCs w:val="20"/>
      <w:lang w:eastAsia="en-US" w:bidi="ar-SA"/>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lang w:eastAsia="en-US" w:bidi="ar-SA"/>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lang w:eastAsia="en-US" w:bidi="ar-SA"/>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lang w:eastAsia="en-US" w:bidi="ar-SA"/>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lang w:eastAsia="en-US" w:bidi="ar-SA"/>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lang w:eastAsia="en-US" w:bidi="ar-SA"/>
    </w:rPr>
  </w:style>
  <w:style w:type="paragraph" w:styleId="ListNumber">
    <w:name w:val="List Number"/>
    <w:basedOn w:val="Normal"/>
    <w:pPr>
      <w:numPr>
        <w:numId w:val="28"/>
      </w:numPr>
      <w:tabs>
        <w:tab w:val="clear" w:pos="360"/>
        <w:tab w:val="num" w:pos="709"/>
      </w:tabs>
      <w:spacing w:after="240" w:line="240" w:lineRule="auto"/>
      <w:ind w:left="709" w:hanging="709"/>
      <w:jc w:val="both"/>
    </w:pPr>
    <w:rPr>
      <w:rFonts w:ascii="Times New Roman" w:eastAsia="Times New Roman" w:hAnsi="Times New Roman" w:cs="Times New Roman"/>
      <w:sz w:val="24"/>
      <w:szCs w:val="20"/>
      <w:lang w:eastAsia="en-US" w:bidi="ar-SA"/>
    </w:r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szCs w:val="20"/>
      <w:lang w:eastAsia="en-US" w:bidi="ar-SA"/>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sz w:val="20"/>
      <w:szCs w:val="20"/>
      <w:lang w:eastAsia="en-US" w:bidi="ar-SA"/>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eastAsia="en-US" w:bidi="ar-SA"/>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eastAsia="en-US" w:bidi="ar-SA"/>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lang w:eastAsia="en-US" w:bidi="ar-SA"/>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lang w:eastAsia="en-US" w:bidi="ar-SA"/>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eastAsia="en-US" w:bidi="ar-SA"/>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lang w:eastAsia="en-US" w:bidi="ar-SA"/>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lang w:eastAsia="en-US" w:bidi="ar-SA"/>
    </w:rPr>
  </w:style>
  <w:style w:type="paragraph" w:customStyle="1" w:styleId="NumPar1">
    <w:name w:val="NumPar 1"/>
    <w:basedOn w:val="Heading1"/>
    <w:next w:val="Text1"/>
    <w:pPr>
      <w:keepNext w:val="0"/>
      <w:spacing w:before="0"/>
      <w:outlineLvl w:val="9"/>
    </w:pPr>
    <w:rPr>
      <w:b w:val="0"/>
      <w:bCs/>
    </w:rPr>
  </w:style>
  <w:style w:type="paragraph" w:customStyle="1" w:styleId="NumPar2">
    <w:name w:val="NumPar 2"/>
    <w:basedOn w:val="Heading2"/>
    <w:next w:val="Text2"/>
    <w:pPr>
      <w:keepNext w:val="0"/>
      <w:numPr>
        <w:ilvl w:val="1"/>
      </w:numPr>
      <w:tabs>
        <w:tab w:val="num" w:pos="567"/>
      </w:tabs>
      <w:spacing w:before="0" w:after="240"/>
      <w:ind w:left="567" w:hanging="567"/>
      <w:jc w:val="both"/>
      <w:outlineLvl w:val="9"/>
    </w:pPr>
    <w:rPr>
      <w:rFonts w:ascii="Times New Roman" w:eastAsia="Times New Roman" w:hAnsi="Times New Roman" w:cs="Times New Roman"/>
      <w:b w:val="0"/>
      <w:bCs w:val="0"/>
      <w:iCs w:val="0"/>
      <w:sz w:val="24"/>
      <w:szCs w:val="20"/>
      <w:lang w:eastAsia="en-US" w:bidi="ar-SA"/>
    </w:rPr>
  </w:style>
  <w:style w:type="paragraph" w:customStyle="1" w:styleId="NumPar3">
    <w:name w:val="NumPar 3"/>
    <w:basedOn w:val="Heading3"/>
    <w:next w:val="Text3"/>
    <w:pPr>
      <w:keepNext w:val="0"/>
      <w:keepLines w:val="0"/>
      <w:numPr>
        <w:ilvl w:val="2"/>
      </w:numPr>
      <w:tabs>
        <w:tab w:val="num" w:pos="709"/>
      </w:tabs>
      <w:spacing w:before="0" w:after="240" w:line="240" w:lineRule="auto"/>
      <w:ind w:left="709" w:hanging="709"/>
      <w:jc w:val="both"/>
      <w:outlineLvl w:val="9"/>
    </w:pPr>
    <w:rPr>
      <w:rFonts w:ascii="Times New Roman" w:eastAsia="Times New Roman" w:hAnsi="Times New Roman" w:cs="Times New Roman"/>
      <w:color w:val="auto"/>
      <w:szCs w:val="20"/>
      <w:lang w:eastAsia="en-US" w:bidi="ar-SA"/>
    </w:rPr>
  </w:style>
  <w:style w:type="paragraph" w:customStyle="1" w:styleId="NumPar4">
    <w:name w:val="NumPar 4"/>
    <w:basedOn w:val="Heading4"/>
    <w:next w:val="Text4"/>
    <w:pPr>
      <w:keepNext w:val="0"/>
      <w:keepLines w:val="0"/>
      <w:numPr>
        <w:ilvl w:val="3"/>
      </w:numPr>
      <w:tabs>
        <w:tab w:val="num" w:pos="851"/>
      </w:tabs>
      <w:spacing w:before="0" w:after="240" w:line="240" w:lineRule="auto"/>
      <w:ind w:left="851" w:hanging="851"/>
      <w:jc w:val="both"/>
      <w:outlineLvl w:val="9"/>
    </w:pPr>
    <w:rPr>
      <w:rFonts w:ascii="Times New Roman" w:eastAsia="Times New Roman" w:hAnsi="Times New Roman" w:cs="Times New Roman"/>
      <w:i w:val="0"/>
      <w:iCs w:val="0"/>
      <w:color w:val="auto"/>
      <w:sz w:val="24"/>
      <w:szCs w:val="20"/>
      <w:lang w:eastAsia="en-US" w:bidi="ar-SA"/>
    </w:r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lang w:eastAsia="en-US" w:bidi="ar-SA"/>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lang w:eastAsia="en-US" w:bidi="ar-SA"/>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n-US" w:bidi="ar-SA"/>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lang w:eastAsia="en-US" w:bidi="ar-SA"/>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eastAsia="en-US" w:bidi="ar-SA"/>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lang w:eastAsia="en-US" w:bidi="ar-SA"/>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eastAsia="en-US" w:bidi="ar-SA"/>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lang w:eastAsia="en-US" w:bidi="ar-SA"/>
    </w:rPr>
  </w:style>
  <w:style w:type="character" w:customStyle="1" w:styleId="SubtitleChar">
    <w:name w:val="Subtitle Char"/>
    <w:basedOn w:val="DefaultParagraphFont"/>
    <w:link w:val="Subtitle"/>
    <w:rPr>
      <w:rFonts w:ascii="Arial" w:eastAsia="Times New Roman" w:hAnsi="Arial" w:cs="Times New Roman"/>
      <w:sz w:val="24"/>
      <w:szCs w:val="20"/>
      <w:lang w:eastAsia="en-US" w:bidi="ar-SA"/>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lang w:eastAsia="en-US" w:bidi="ar-SA"/>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lang w:eastAsia="en-US" w:bidi="ar-SA"/>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lang w:eastAsia="en-US" w:bidi="ar-SA"/>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lang w:eastAsia="en-US" w:bidi="ar-SA"/>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eastAsia="en-US" w:bidi="ar-SA"/>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eastAsia="en-US" w:bidi="ar-SA"/>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lang w:eastAsia="en-US" w:bidi="ar-SA"/>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eastAsia="en-US" w:bidi="ar-SA"/>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lang w:eastAsia="en-US" w:bidi="ar-SA"/>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lang w:eastAsia="en-US" w:bidi="ar-SA"/>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lang w:eastAsia="en-US" w:bidi="ar-SA"/>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lang w:eastAsia="en-US" w:bidi="ar-SA"/>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lang w:eastAsia="en-US" w:bidi="ar-SA"/>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lang w:eastAsia="en-US" w:bidi="ar-SA"/>
    </w:rPr>
  </w:style>
  <w:style w:type="paragraph" w:customStyle="1" w:styleId="ListBullet1">
    <w:name w:val="List Bullet 1"/>
    <w:basedOn w:val="Text1"/>
    <w:pPr>
      <w:numPr>
        <w:numId w:val="3"/>
      </w:numPr>
      <w:spacing w:before="0" w:after="240"/>
    </w:pPr>
    <w:rPr>
      <w:szCs w:val="20"/>
      <w:lang w:eastAsia="en-US" w:bidi="ar-SA"/>
    </w:rPr>
  </w:style>
  <w:style w:type="paragraph" w:customStyle="1" w:styleId="ListDash">
    <w:name w:val="List Dash"/>
    <w:basedOn w:val="Normal"/>
    <w:pPr>
      <w:numPr>
        <w:numId w:val="7"/>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Dash1">
    <w:name w:val="List Dash 1"/>
    <w:basedOn w:val="Text1"/>
    <w:pPr>
      <w:numPr>
        <w:numId w:val="8"/>
      </w:numPr>
      <w:spacing w:before="0" w:after="240"/>
    </w:pPr>
    <w:rPr>
      <w:szCs w:val="20"/>
      <w:lang w:eastAsia="en-US" w:bidi="ar-SA"/>
    </w:r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Level3">
    <w:name w:val="List Number (Level 3)"/>
    <w:basedOn w:val="Normal"/>
    <w:pPr>
      <w:numPr>
        <w:ilvl w:val="2"/>
        <w:numId w:val="12"/>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Level4">
    <w:name w:val="List Number (Level 4)"/>
    <w:basedOn w:val="Normal"/>
    <w:pPr>
      <w:numPr>
        <w:ilvl w:val="3"/>
        <w:numId w:val="12"/>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1">
    <w:name w:val="List Number 1"/>
    <w:basedOn w:val="Text1"/>
    <w:pPr>
      <w:numPr>
        <w:numId w:val="13"/>
      </w:numPr>
      <w:spacing w:before="0" w:after="240"/>
    </w:pPr>
    <w:rPr>
      <w:szCs w:val="20"/>
      <w:lang w:eastAsia="en-US" w:bidi="ar-SA"/>
    </w:rPr>
  </w:style>
  <w:style w:type="paragraph" w:customStyle="1" w:styleId="ListNumber1Level2">
    <w:name w:val="List Number 1 (Level 2)"/>
    <w:basedOn w:val="Text1"/>
    <w:pPr>
      <w:numPr>
        <w:ilvl w:val="1"/>
        <w:numId w:val="13"/>
      </w:numPr>
      <w:spacing w:before="0" w:after="240"/>
    </w:pPr>
    <w:rPr>
      <w:szCs w:val="20"/>
      <w:lang w:eastAsia="en-US" w:bidi="ar-SA"/>
    </w:rPr>
  </w:style>
  <w:style w:type="paragraph" w:customStyle="1" w:styleId="ListNumber1Level3">
    <w:name w:val="List Number 1 (Level 3)"/>
    <w:basedOn w:val="Text1"/>
    <w:pPr>
      <w:numPr>
        <w:ilvl w:val="2"/>
        <w:numId w:val="13"/>
      </w:numPr>
      <w:spacing w:before="0" w:after="240"/>
    </w:pPr>
    <w:rPr>
      <w:szCs w:val="20"/>
      <w:lang w:eastAsia="en-US" w:bidi="ar-SA"/>
    </w:rPr>
  </w:style>
  <w:style w:type="paragraph" w:customStyle="1" w:styleId="ListNumber1Level4">
    <w:name w:val="List Number 1 (Level 4)"/>
    <w:basedOn w:val="Text1"/>
    <w:pPr>
      <w:numPr>
        <w:ilvl w:val="3"/>
        <w:numId w:val="13"/>
      </w:numPr>
      <w:spacing w:before="0" w:after="240"/>
    </w:pPr>
    <w:rPr>
      <w:szCs w:val="20"/>
      <w:lang w:eastAsia="en-US" w:bidi="ar-SA"/>
    </w:r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lang w:eastAsia="en-US" w:bidi="ar-SA"/>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lang w:eastAsia="en-US" w:bidi="ar-SA"/>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lang w:val="de-DE" w:eastAsia="en-US" w:bidi="ar-SA"/>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eastAsia="en-US" w:bidi="ar-SA"/>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US" w:bidi="ar-SA"/>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US" w:bidi="ar-SA"/>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US" w:bidi="ar-SA"/>
    </w:rPr>
  </w:style>
  <w:style w:type="paragraph" w:customStyle="1" w:styleId="LegalNumPar">
    <w:name w:val="LegalNumPar"/>
    <w:basedOn w:val="Normal"/>
    <w:pPr>
      <w:numPr>
        <w:numId w:val="17"/>
      </w:numPr>
      <w:spacing w:after="240" w:line="360" w:lineRule="auto"/>
    </w:pPr>
    <w:rPr>
      <w:rFonts w:ascii="Times New Roman" w:hAnsi="Times New Roman" w:cs="Times New Roman"/>
      <w:sz w:val="24"/>
      <w:lang w:eastAsia="en-US" w:bidi="ar-SA"/>
    </w:rPr>
  </w:style>
  <w:style w:type="paragraph" w:customStyle="1" w:styleId="LegalNumPar2">
    <w:name w:val="LegalNumPar2"/>
    <w:basedOn w:val="Normal"/>
    <w:pPr>
      <w:numPr>
        <w:ilvl w:val="1"/>
        <w:numId w:val="17"/>
      </w:numPr>
      <w:spacing w:after="240" w:line="360" w:lineRule="auto"/>
      <w:ind w:left="952" w:hanging="476"/>
    </w:pPr>
    <w:rPr>
      <w:rFonts w:ascii="Times New Roman" w:hAnsi="Times New Roman" w:cs="Times New Roman"/>
      <w:sz w:val="24"/>
      <w:lang w:eastAsia="en-US" w:bidi="ar-SA"/>
    </w:rPr>
  </w:style>
  <w:style w:type="paragraph" w:customStyle="1" w:styleId="LegalNumPar3">
    <w:name w:val="LegalNumPar3"/>
    <w:basedOn w:val="Normal"/>
    <w:pPr>
      <w:numPr>
        <w:ilvl w:val="2"/>
        <w:numId w:val="17"/>
      </w:numPr>
      <w:spacing w:after="240" w:line="360" w:lineRule="auto"/>
    </w:pPr>
    <w:rPr>
      <w:rFonts w:ascii="Times New Roman" w:hAnsi="Times New Roman" w:cs="Times New Roman"/>
      <w:sz w:val="24"/>
      <w:lang w:eastAsia="en-US" w:bidi="ar-SA"/>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heme="minorEastAsia" w:hAnsi="Arial" w:cs="Arial"/>
      <w:sz w:val="24"/>
      <w:szCs w:val="24"/>
      <w:lang w:bidi="ar-SA"/>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lang w:bidi="ar-SA"/>
    </w:rPr>
  </w:style>
  <w:style w:type="table" w:styleId="TableGrid">
    <w:name w:val="Table Grid"/>
    <w:basedOn w:val="TableNormal"/>
    <w:uiPriority w:val="59"/>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iret2">
    <w:name w:val="Tiret 2"/>
    <w:basedOn w:val="Normal"/>
    <w:pPr>
      <w:spacing w:before="120" w:after="120" w:line="240" w:lineRule="auto"/>
      <w:ind w:left="1985"/>
      <w:jc w:val="both"/>
    </w:pPr>
    <w:rPr>
      <w:rFonts w:ascii="Times New Roman" w:eastAsia="Times New Roman" w:hAnsi="Times New Roman" w:cs="Times New Roman"/>
      <w:sz w:val="24"/>
      <w:szCs w:val="20"/>
      <w:lang w:bidi="ar-SA"/>
    </w:rPr>
  </w:style>
  <w:style w:type="paragraph" w:customStyle="1" w:styleId="Considrant">
    <w:name w:val="Considérant"/>
    <w:basedOn w:val="Normal"/>
    <w:pPr>
      <w:numPr>
        <w:numId w:val="23"/>
      </w:numPr>
      <w:spacing w:before="120" w:after="120" w:line="240" w:lineRule="auto"/>
      <w:jc w:val="both"/>
    </w:pPr>
    <w:rPr>
      <w:rFonts w:ascii="Times New Roman" w:eastAsia="Times New Roman" w:hAnsi="Times New Roman" w:cs="Times New Roman"/>
      <w:sz w:val="24"/>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line="276" w:lineRule="auto"/>
    </w:pPr>
  </w:style>
  <w:style w:type="paragraph" w:styleId="Heading1">
    <w:name w:val="heading 1"/>
    <w:basedOn w:val="Normal"/>
    <w:next w:val="Normal"/>
    <w:link w:val="Heading1Char"/>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lang w:eastAsia="en-US" w:bidi="ar-SA"/>
    </w:rPr>
  </w:style>
  <w:style w:type="paragraph" w:styleId="Heading2">
    <w:name w:val="heading 2"/>
    <w:basedOn w:val="Normal"/>
    <w:next w:val="Normal"/>
    <w:link w:val="Heading2Char"/>
    <w:unhideWhenUsed/>
    <w:qFormat/>
    <w:pPr>
      <w:keepNext/>
      <w:spacing w:before="240" w:after="60" w:line="240" w:lineRule="auto"/>
      <w:ind w:left="720" w:hanging="360"/>
      <w:outlineLvl w:val="1"/>
    </w:pPr>
    <w:rPr>
      <w:rFonts w:eastAsiaTheme="majorEastAsia" w:cstheme="majorBidi"/>
      <w:b/>
      <w:bCs/>
      <w:iCs/>
      <w:szCs w:val="28"/>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lang w:eastAsia="en-US" w:bidi="ar-SA"/>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lang w:eastAsia="en-US" w:bidi="ar-SA"/>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lang w:eastAsia="en-US" w:bidi="ar-SA"/>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lang w:eastAsia="en-US" w:bidi="ar-SA"/>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lang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US" w:bidi="ar-SA"/>
    </w:rPr>
  </w:style>
  <w:style w:type="character" w:customStyle="1" w:styleId="Heading2Char">
    <w:name w:val="Heading 2 Char"/>
    <w:basedOn w:val="DefaultParagraphFont"/>
    <w:link w:val="Heading2"/>
    <w:rPr>
      <w:rFonts w:eastAsiaTheme="majorEastAsia" w:cstheme="majorBidi"/>
      <w:b/>
      <w:bCs/>
      <w:iCs/>
      <w:szCs w:val="2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en-GB"/>
    </w:rPr>
  </w:style>
  <w:style w:type="paragraph" w:styleId="TOC1">
    <w:name w:val="toc 1"/>
    <w:basedOn w:val="Normal"/>
    <w:next w:val="Normal"/>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styleId="TOCHeading">
    <w:name w:val="TOC Heading"/>
    <w:basedOn w:val="Normal"/>
    <w:next w:val="Normal"/>
    <w:link w:val="TOCHeadingChar"/>
    <w:qFormat/>
    <w:pPr>
      <w:spacing w:before="120" w:after="240" w:line="240" w:lineRule="auto"/>
      <w:jc w:val="center"/>
    </w:pPr>
    <w:rPr>
      <w:rFonts w:ascii="Times New Roman" w:eastAsia="Times New Roman" w:hAnsi="Times New Roman" w:cs="Times New Roman"/>
      <w:b/>
      <w:sz w:val="28"/>
      <w:szCs w:val="24"/>
    </w:rPr>
  </w:style>
  <w:style w:type="character" w:styleId="Hyperlink">
    <w:name w:val="Hyperlink"/>
    <w:uiPriority w:val="99"/>
    <w:rPr>
      <w:color w:val="0000FF"/>
      <w:u w:val="single"/>
      <w:shd w:val="clear" w:color="auto" w:fill="auto"/>
    </w:rPr>
  </w:style>
  <w:style w:type="character" w:customStyle="1" w:styleId="text-big-bold">
    <w:name w:val="text-big-bol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lang w:val="en-GB"/>
    </w:rPr>
  </w:style>
  <w:style w:type="character" w:customStyle="1" w:styleId="FooterCoverPageChar">
    <w:name w:val="Footer Cover Page Char"/>
    <w:basedOn w:val="TOCHeadingChar"/>
    <w:link w:val="FooterCoverPage"/>
    <w:rPr>
      <w:rFonts w:ascii="Times New Roman" w:eastAsia="Times New Roman" w:hAnsi="Times New Roman" w:cs="Times New Roman"/>
      <w:b w:val="0"/>
      <w:sz w:val="24"/>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4"/>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4"/>
      <w:lang w:val="en-GB"/>
    </w:rPr>
  </w:style>
  <w:style w:type="paragraph" w:styleId="Revision">
    <w:name w:val="Revision"/>
    <w:hidden/>
    <w:uiPriority w:val="99"/>
    <w:semiHidden/>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NoteHead">
    <w:name w:val="NoteHead"/>
    <w:basedOn w:val="Normal"/>
    <w:next w:val="Normal"/>
    <w:pPr>
      <w:spacing w:before="720" w:after="720" w:line="240" w:lineRule="auto"/>
      <w:jc w:val="center"/>
    </w:pPr>
    <w:rPr>
      <w:rFonts w:ascii="Times New Roman" w:eastAsia="Times New Roman" w:hAnsi="Times New Roman" w:cs="Times New Roman"/>
      <w:b/>
      <w:smallCaps/>
      <w:sz w:val="24"/>
      <w:szCs w:val="20"/>
      <w:lang w:eastAsia="en-US" w:bidi="ar-SA"/>
    </w:rPr>
  </w:style>
  <w:style w:type="character" w:customStyle="1" w:styleId="Heading5Char">
    <w:name w:val="Heading 5 Char"/>
    <w:basedOn w:val="DefaultParagraphFont"/>
    <w:link w:val="Heading5"/>
    <w:rPr>
      <w:rFonts w:ascii="Arial" w:eastAsia="Times New Roman" w:hAnsi="Arial" w:cs="Times New Roman"/>
      <w:szCs w:val="20"/>
      <w:lang w:eastAsia="en-US" w:bidi="ar-SA"/>
    </w:rPr>
  </w:style>
  <w:style w:type="character" w:customStyle="1" w:styleId="Heading6Char">
    <w:name w:val="Heading 6 Char"/>
    <w:basedOn w:val="DefaultParagraphFont"/>
    <w:link w:val="Heading6"/>
    <w:rPr>
      <w:rFonts w:ascii="Arial" w:eastAsia="Times New Roman" w:hAnsi="Arial" w:cs="Times New Roman"/>
      <w:i/>
      <w:szCs w:val="20"/>
      <w:lang w:eastAsia="en-US" w:bidi="ar-SA"/>
    </w:rPr>
  </w:style>
  <w:style w:type="character" w:customStyle="1" w:styleId="Heading7Char">
    <w:name w:val="Heading 7 Char"/>
    <w:basedOn w:val="DefaultParagraphFont"/>
    <w:link w:val="Heading7"/>
    <w:rPr>
      <w:rFonts w:ascii="Arial" w:eastAsia="Times New Roman" w:hAnsi="Arial" w:cs="Times New Roman"/>
      <w:sz w:val="20"/>
      <w:szCs w:val="20"/>
      <w:lang w:eastAsia="en-US" w:bidi="ar-SA"/>
    </w:rPr>
  </w:style>
  <w:style w:type="character" w:customStyle="1" w:styleId="Heading8Char">
    <w:name w:val="Heading 8 Char"/>
    <w:basedOn w:val="DefaultParagraphFont"/>
    <w:link w:val="Heading8"/>
    <w:rPr>
      <w:rFonts w:ascii="Arial" w:eastAsia="Times New Roman" w:hAnsi="Arial" w:cs="Times New Roman"/>
      <w:i/>
      <w:sz w:val="20"/>
      <w:szCs w:val="20"/>
      <w:lang w:eastAsia="en-US" w:bidi="ar-SA"/>
    </w:rPr>
  </w:style>
  <w:style w:type="character" w:customStyle="1" w:styleId="Heading9Char">
    <w:name w:val="Heading 9 Char"/>
    <w:basedOn w:val="DefaultParagraphFont"/>
    <w:link w:val="Heading9"/>
    <w:rPr>
      <w:rFonts w:ascii="Arial" w:eastAsia="Times New Roman" w:hAnsi="Arial" w:cs="Times New Roman"/>
      <w:i/>
      <w:sz w:val="18"/>
      <w:szCs w:val="20"/>
      <w:lang w:eastAsia="en-US" w:bidi="ar-SA"/>
    </w:rPr>
  </w:style>
  <w:style w:type="numbering" w:customStyle="1" w:styleId="NoList1">
    <w:name w:val="No List1"/>
    <w:next w:val="NoList"/>
    <w:uiPriority w:val="99"/>
    <w:semiHidden/>
    <w:unhideWhenUsed/>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lang w:eastAsia="en-US" w:bidi="ar-SA"/>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lang w:eastAsia="en-US" w:bidi="ar-SA"/>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lang w:eastAsia="en-US" w:bidi="ar-SA"/>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eastAsia="en-US" w:bidi="ar-SA"/>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eastAsia="en-US" w:bidi="ar-SA"/>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lang w:eastAsia="en-US" w:bidi="ar-SA"/>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lang w:eastAsia="en-US" w:bidi="ar-SA"/>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lang w:eastAsia="en-US" w:bidi="ar-SA"/>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eastAsia="en-US" w:bidi="ar-SA"/>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lang w:eastAsia="en-US" w:bidi="ar-SA"/>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eastAsia="en-US" w:bidi="ar-SA"/>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lang w:eastAsia="en-US" w:bidi="ar-SA"/>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eastAsia="en-US" w:bidi="ar-SA"/>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eastAsia="en-US" w:bidi="ar-SA"/>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lang w:eastAsia="en-US" w:bidi="ar-SA"/>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eastAsia="en-US" w:bidi="ar-SA"/>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eastAsia="en-US" w:bidi="ar-SA"/>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lang w:eastAsia="en-US" w:bidi="ar-SA"/>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eastAsia="en-US" w:bidi="ar-SA"/>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lang w:eastAsia="en-US" w:bidi="ar-SA"/>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eastAsia="en-US" w:bidi="ar-SA"/>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lang w:eastAsia="en-US" w:bidi="ar-SA"/>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cs="Times New Roman"/>
      <w:b/>
      <w:sz w:val="32"/>
      <w:szCs w:val="20"/>
      <w:lang w:eastAsia="en-US" w:bidi="ar-SA"/>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lang w:eastAsia="en-US" w:bidi="ar-SA"/>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lang w:eastAsia="en-US" w:bidi="ar-SA"/>
    </w:rPr>
  </w:style>
  <w:style w:type="character" w:customStyle="1" w:styleId="ClosingChar">
    <w:name w:val="Closing Char"/>
    <w:basedOn w:val="DefaultParagraphFont"/>
    <w:link w:val="Closing"/>
    <w:rPr>
      <w:rFonts w:ascii="Times New Roman" w:eastAsia="Times New Roman" w:hAnsi="Times New Roman" w:cs="Times New Roman"/>
      <w:sz w:val="24"/>
      <w:szCs w:val="20"/>
      <w:lang w:eastAsia="en-US" w:bidi="ar-SA"/>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lang w:eastAsia="en-US" w:bidi="ar-SA"/>
    </w:rPr>
  </w:style>
  <w:style w:type="character" w:customStyle="1" w:styleId="DateChar">
    <w:name w:val="Date Char"/>
    <w:basedOn w:val="DefaultParagraphFont"/>
    <w:link w:val="Date"/>
    <w:rPr>
      <w:rFonts w:ascii="Times New Roman" w:eastAsia="Times New Roman" w:hAnsi="Times New Roman" w:cs="Times New Roman"/>
      <w:sz w:val="24"/>
      <w:szCs w:val="20"/>
      <w:lang w:eastAsia="en-US" w:bidi="ar-SA"/>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lang w:eastAsia="en-US" w:bidi="ar-SA"/>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lang w:eastAsia="en-US" w:bidi="ar-S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eastAsia="en-US" w:bidi="ar-SA"/>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lang w:eastAsia="en-US" w:bidi="ar-SA"/>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lang w:eastAsia="en-US" w:bidi="ar-SA"/>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lang w:eastAsia="en-US" w:bidi="ar-SA"/>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US" w:bidi="ar-SA"/>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eastAsia="en-US" w:bidi="ar-SA"/>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lang w:eastAsia="en-US" w:bidi="ar-SA"/>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lang w:eastAsia="en-US" w:bidi="ar-SA"/>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lang w:eastAsia="en-US" w:bidi="ar-SA"/>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lang w:eastAsia="en-US" w:bidi="ar-SA"/>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lang w:eastAsia="en-US" w:bidi="ar-SA"/>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lang w:eastAsia="en-US" w:bidi="ar-SA"/>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lang w:eastAsia="en-US" w:bidi="ar-SA"/>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lang w:eastAsia="en-US" w:bidi="ar-SA"/>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lang w:eastAsia="en-US" w:bidi="ar-SA"/>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lang w:eastAsia="en-US" w:bidi="ar-SA"/>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lang w:eastAsia="en-US" w:bidi="ar-SA"/>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lang w:eastAsia="en-US" w:bidi="ar-SA"/>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lang w:eastAsia="en-US" w:bidi="ar-SA"/>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lang w:eastAsia="en-US" w:bidi="ar-SA"/>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lang w:eastAsia="en-US" w:bidi="ar-SA"/>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lang w:eastAsia="en-US" w:bidi="ar-SA"/>
    </w:rPr>
  </w:style>
  <w:style w:type="paragraph" w:styleId="ListBullet">
    <w:name w:val="List Bullet"/>
    <w:basedOn w:val="Normal"/>
    <w:pPr>
      <w:numPr>
        <w:numId w:val="27"/>
      </w:numPr>
      <w:tabs>
        <w:tab w:val="clear" w:pos="360"/>
        <w:tab w:val="num" w:pos="283"/>
      </w:tabs>
      <w:spacing w:after="240" w:line="240" w:lineRule="auto"/>
      <w:ind w:left="283" w:hanging="283"/>
      <w:jc w:val="both"/>
    </w:pPr>
    <w:rPr>
      <w:rFonts w:ascii="Times New Roman" w:eastAsia="Times New Roman" w:hAnsi="Times New Roman" w:cs="Times New Roman"/>
      <w:sz w:val="24"/>
      <w:szCs w:val="20"/>
      <w:lang w:eastAsia="en-US" w:bidi="ar-SA"/>
    </w:r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szCs w:val="20"/>
      <w:lang w:eastAsia="en-US" w:bidi="ar-SA"/>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lang w:eastAsia="en-US" w:bidi="ar-SA"/>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lang w:eastAsia="en-US" w:bidi="ar-SA"/>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lang w:eastAsia="en-US" w:bidi="ar-SA"/>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lang w:eastAsia="en-US" w:bidi="ar-SA"/>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lang w:eastAsia="en-US" w:bidi="ar-SA"/>
    </w:rPr>
  </w:style>
  <w:style w:type="paragraph" w:styleId="ListNumber">
    <w:name w:val="List Number"/>
    <w:basedOn w:val="Normal"/>
    <w:pPr>
      <w:numPr>
        <w:numId w:val="28"/>
      </w:numPr>
      <w:tabs>
        <w:tab w:val="clear" w:pos="360"/>
        <w:tab w:val="num" w:pos="709"/>
      </w:tabs>
      <w:spacing w:after="240" w:line="240" w:lineRule="auto"/>
      <w:ind w:left="709" w:hanging="709"/>
      <w:jc w:val="both"/>
    </w:pPr>
    <w:rPr>
      <w:rFonts w:ascii="Times New Roman" w:eastAsia="Times New Roman" w:hAnsi="Times New Roman" w:cs="Times New Roman"/>
      <w:sz w:val="24"/>
      <w:szCs w:val="20"/>
      <w:lang w:eastAsia="en-US" w:bidi="ar-SA"/>
    </w:r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szCs w:val="20"/>
      <w:lang w:eastAsia="en-US" w:bidi="ar-SA"/>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sz w:val="20"/>
      <w:szCs w:val="20"/>
      <w:lang w:eastAsia="en-US" w:bidi="ar-SA"/>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eastAsia="en-US" w:bidi="ar-SA"/>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eastAsia="en-US" w:bidi="ar-SA"/>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lang w:eastAsia="en-US" w:bidi="ar-SA"/>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lang w:eastAsia="en-US" w:bidi="ar-SA"/>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eastAsia="en-US" w:bidi="ar-SA"/>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lang w:eastAsia="en-US" w:bidi="ar-SA"/>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lang w:eastAsia="en-US" w:bidi="ar-SA"/>
    </w:rPr>
  </w:style>
  <w:style w:type="paragraph" w:customStyle="1" w:styleId="NumPar1">
    <w:name w:val="NumPar 1"/>
    <w:basedOn w:val="Heading1"/>
    <w:next w:val="Text1"/>
    <w:pPr>
      <w:keepNext w:val="0"/>
      <w:spacing w:before="0"/>
      <w:outlineLvl w:val="9"/>
    </w:pPr>
    <w:rPr>
      <w:b w:val="0"/>
      <w:bCs/>
    </w:rPr>
  </w:style>
  <w:style w:type="paragraph" w:customStyle="1" w:styleId="NumPar2">
    <w:name w:val="NumPar 2"/>
    <w:basedOn w:val="Heading2"/>
    <w:next w:val="Text2"/>
    <w:pPr>
      <w:keepNext w:val="0"/>
      <w:numPr>
        <w:ilvl w:val="1"/>
      </w:numPr>
      <w:tabs>
        <w:tab w:val="num" w:pos="567"/>
      </w:tabs>
      <w:spacing w:before="0" w:after="240"/>
      <w:ind w:left="567" w:hanging="567"/>
      <w:jc w:val="both"/>
      <w:outlineLvl w:val="9"/>
    </w:pPr>
    <w:rPr>
      <w:rFonts w:ascii="Times New Roman" w:eastAsia="Times New Roman" w:hAnsi="Times New Roman" w:cs="Times New Roman"/>
      <w:b w:val="0"/>
      <w:bCs w:val="0"/>
      <w:iCs w:val="0"/>
      <w:sz w:val="24"/>
      <w:szCs w:val="20"/>
      <w:lang w:eastAsia="en-US" w:bidi="ar-SA"/>
    </w:rPr>
  </w:style>
  <w:style w:type="paragraph" w:customStyle="1" w:styleId="NumPar3">
    <w:name w:val="NumPar 3"/>
    <w:basedOn w:val="Heading3"/>
    <w:next w:val="Text3"/>
    <w:pPr>
      <w:keepNext w:val="0"/>
      <w:keepLines w:val="0"/>
      <w:numPr>
        <w:ilvl w:val="2"/>
      </w:numPr>
      <w:tabs>
        <w:tab w:val="num" w:pos="709"/>
      </w:tabs>
      <w:spacing w:before="0" w:after="240" w:line="240" w:lineRule="auto"/>
      <w:ind w:left="709" w:hanging="709"/>
      <w:jc w:val="both"/>
      <w:outlineLvl w:val="9"/>
    </w:pPr>
    <w:rPr>
      <w:rFonts w:ascii="Times New Roman" w:eastAsia="Times New Roman" w:hAnsi="Times New Roman" w:cs="Times New Roman"/>
      <w:color w:val="auto"/>
      <w:szCs w:val="20"/>
      <w:lang w:eastAsia="en-US" w:bidi="ar-SA"/>
    </w:rPr>
  </w:style>
  <w:style w:type="paragraph" w:customStyle="1" w:styleId="NumPar4">
    <w:name w:val="NumPar 4"/>
    <w:basedOn w:val="Heading4"/>
    <w:next w:val="Text4"/>
    <w:pPr>
      <w:keepNext w:val="0"/>
      <w:keepLines w:val="0"/>
      <w:numPr>
        <w:ilvl w:val="3"/>
      </w:numPr>
      <w:tabs>
        <w:tab w:val="num" w:pos="851"/>
      </w:tabs>
      <w:spacing w:before="0" w:after="240" w:line="240" w:lineRule="auto"/>
      <w:ind w:left="851" w:hanging="851"/>
      <w:jc w:val="both"/>
      <w:outlineLvl w:val="9"/>
    </w:pPr>
    <w:rPr>
      <w:rFonts w:ascii="Times New Roman" w:eastAsia="Times New Roman" w:hAnsi="Times New Roman" w:cs="Times New Roman"/>
      <w:i w:val="0"/>
      <w:iCs w:val="0"/>
      <w:color w:val="auto"/>
      <w:sz w:val="24"/>
      <w:szCs w:val="20"/>
      <w:lang w:eastAsia="en-US" w:bidi="ar-SA"/>
    </w:r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lang w:eastAsia="en-US" w:bidi="ar-SA"/>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lang w:eastAsia="en-US" w:bidi="ar-SA"/>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n-US" w:bidi="ar-SA"/>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lang w:eastAsia="en-US" w:bidi="ar-SA"/>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eastAsia="en-US" w:bidi="ar-SA"/>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lang w:eastAsia="en-US" w:bidi="ar-SA"/>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eastAsia="en-US" w:bidi="ar-SA"/>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lang w:eastAsia="en-US" w:bidi="ar-SA"/>
    </w:rPr>
  </w:style>
  <w:style w:type="character" w:customStyle="1" w:styleId="SubtitleChar">
    <w:name w:val="Subtitle Char"/>
    <w:basedOn w:val="DefaultParagraphFont"/>
    <w:link w:val="Subtitle"/>
    <w:rPr>
      <w:rFonts w:ascii="Arial" w:eastAsia="Times New Roman" w:hAnsi="Arial" w:cs="Times New Roman"/>
      <w:sz w:val="24"/>
      <w:szCs w:val="20"/>
      <w:lang w:eastAsia="en-US" w:bidi="ar-SA"/>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lang w:eastAsia="en-US" w:bidi="ar-SA"/>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lang w:eastAsia="en-US" w:bidi="ar-SA"/>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lang w:eastAsia="en-US" w:bidi="ar-SA"/>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lang w:eastAsia="en-US" w:bidi="ar-SA"/>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eastAsia="en-US" w:bidi="ar-SA"/>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eastAsia="en-US" w:bidi="ar-SA"/>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lang w:eastAsia="en-US" w:bidi="ar-SA"/>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eastAsia="en-US" w:bidi="ar-SA"/>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lang w:eastAsia="en-US" w:bidi="ar-SA"/>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lang w:eastAsia="en-US" w:bidi="ar-SA"/>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lang w:eastAsia="en-US" w:bidi="ar-SA"/>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lang w:eastAsia="en-US" w:bidi="ar-SA"/>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lang w:eastAsia="en-US" w:bidi="ar-SA"/>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lang w:eastAsia="en-US" w:bidi="ar-SA"/>
    </w:rPr>
  </w:style>
  <w:style w:type="paragraph" w:customStyle="1" w:styleId="ListBullet1">
    <w:name w:val="List Bullet 1"/>
    <w:basedOn w:val="Text1"/>
    <w:pPr>
      <w:numPr>
        <w:numId w:val="3"/>
      </w:numPr>
      <w:spacing w:before="0" w:after="240"/>
    </w:pPr>
    <w:rPr>
      <w:szCs w:val="20"/>
      <w:lang w:eastAsia="en-US" w:bidi="ar-SA"/>
    </w:rPr>
  </w:style>
  <w:style w:type="paragraph" w:customStyle="1" w:styleId="ListDash">
    <w:name w:val="List Dash"/>
    <w:basedOn w:val="Normal"/>
    <w:pPr>
      <w:numPr>
        <w:numId w:val="7"/>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Dash1">
    <w:name w:val="List Dash 1"/>
    <w:basedOn w:val="Text1"/>
    <w:pPr>
      <w:numPr>
        <w:numId w:val="8"/>
      </w:numPr>
      <w:spacing w:before="0" w:after="240"/>
    </w:pPr>
    <w:rPr>
      <w:szCs w:val="20"/>
      <w:lang w:eastAsia="en-US" w:bidi="ar-SA"/>
    </w:r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Level3">
    <w:name w:val="List Number (Level 3)"/>
    <w:basedOn w:val="Normal"/>
    <w:pPr>
      <w:numPr>
        <w:ilvl w:val="2"/>
        <w:numId w:val="12"/>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Level4">
    <w:name w:val="List Number (Level 4)"/>
    <w:basedOn w:val="Normal"/>
    <w:pPr>
      <w:numPr>
        <w:ilvl w:val="3"/>
        <w:numId w:val="12"/>
      </w:numPr>
      <w:spacing w:after="240" w:line="240" w:lineRule="auto"/>
      <w:jc w:val="both"/>
    </w:pPr>
    <w:rPr>
      <w:rFonts w:ascii="Times New Roman" w:eastAsia="Times New Roman" w:hAnsi="Times New Roman" w:cs="Times New Roman"/>
      <w:sz w:val="24"/>
      <w:szCs w:val="20"/>
      <w:lang w:eastAsia="en-US" w:bidi="ar-SA"/>
    </w:rPr>
  </w:style>
  <w:style w:type="paragraph" w:customStyle="1" w:styleId="ListNumber1">
    <w:name w:val="List Number 1"/>
    <w:basedOn w:val="Text1"/>
    <w:pPr>
      <w:numPr>
        <w:numId w:val="13"/>
      </w:numPr>
      <w:spacing w:before="0" w:after="240"/>
    </w:pPr>
    <w:rPr>
      <w:szCs w:val="20"/>
      <w:lang w:eastAsia="en-US" w:bidi="ar-SA"/>
    </w:rPr>
  </w:style>
  <w:style w:type="paragraph" w:customStyle="1" w:styleId="ListNumber1Level2">
    <w:name w:val="List Number 1 (Level 2)"/>
    <w:basedOn w:val="Text1"/>
    <w:pPr>
      <w:numPr>
        <w:ilvl w:val="1"/>
        <w:numId w:val="13"/>
      </w:numPr>
      <w:spacing w:before="0" w:after="240"/>
    </w:pPr>
    <w:rPr>
      <w:szCs w:val="20"/>
      <w:lang w:eastAsia="en-US" w:bidi="ar-SA"/>
    </w:rPr>
  </w:style>
  <w:style w:type="paragraph" w:customStyle="1" w:styleId="ListNumber1Level3">
    <w:name w:val="List Number 1 (Level 3)"/>
    <w:basedOn w:val="Text1"/>
    <w:pPr>
      <w:numPr>
        <w:ilvl w:val="2"/>
        <w:numId w:val="13"/>
      </w:numPr>
      <w:spacing w:before="0" w:after="240"/>
    </w:pPr>
    <w:rPr>
      <w:szCs w:val="20"/>
      <w:lang w:eastAsia="en-US" w:bidi="ar-SA"/>
    </w:rPr>
  </w:style>
  <w:style w:type="paragraph" w:customStyle="1" w:styleId="ListNumber1Level4">
    <w:name w:val="List Number 1 (Level 4)"/>
    <w:basedOn w:val="Text1"/>
    <w:pPr>
      <w:numPr>
        <w:ilvl w:val="3"/>
        <w:numId w:val="13"/>
      </w:numPr>
      <w:spacing w:before="0" w:after="240"/>
    </w:pPr>
    <w:rPr>
      <w:szCs w:val="20"/>
      <w:lang w:eastAsia="en-US" w:bidi="ar-SA"/>
    </w:r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lang w:eastAsia="en-US" w:bidi="ar-SA"/>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lang w:eastAsia="en-US" w:bidi="ar-SA"/>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lang w:val="de-DE" w:eastAsia="en-US" w:bidi="ar-SA"/>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eastAsia="en-US" w:bidi="ar-SA"/>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US" w:bidi="ar-SA"/>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US" w:bidi="ar-SA"/>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US" w:bidi="ar-SA"/>
    </w:rPr>
  </w:style>
  <w:style w:type="paragraph" w:customStyle="1" w:styleId="LegalNumPar">
    <w:name w:val="LegalNumPar"/>
    <w:basedOn w:val="Normal"/>
    <w:pPr>
      <w:numPr>
        <w:numId w:val="17"/>
      </w:numPr>
      <w:spacing w:after="240" w:line="360" w:lineRule="auto"/>
    </w:pPr>
    <w:rPr>
      <w:rFonts w:ascii="Times New Roman" w:hAnsi="Times New Roman" w:cs="Times New Roman"/>
      <w:sz w:val="24"/>
      <w:lang w:eastAsia="en-US" w:bidi="ar-SA"/>
    </w:rPr>
  </w:style>
  <w:style w:type="paragraph" w:customStyle="1" w:styleId="LegalNumPar2">
    <w:name w:val="LegalNumPar2"/>
    <w:basedOn w:val="Normal"/>
    <w:pPr>
      <w:numPr>
        <w:ilvl w:val="1"/>
        <w:numId w:val="17"/>
      </w:numPr>
      <w:spacing w:after="240" w:line="360" w:lineRule="auto"/>
      <w:ind w:left="952" w:hanging="476"/>
    </w:pPr>
    <w:rPr>
      <w:rFonts w:ascii="Times New Roman" w:hAnsi="Times New Roman" w:cs="Times New Roman"/>
      <w:sz w:val="24"/>
      <w:lang w:eastAsia="en-US" w:bidi="ar-SA"/>
    </w:rPr>
  </w:style>
  <w:style w:type="paragraph" w:customStyle="1" w:styleId="LegalNumPar3">
    <w:name w:val="LegalNumPar3"/>
    <w:basedOn w:val="Normal"/>
    <w:pPr>
      <w:numPr>
        <w:ilvl w:val="2"/>
        <w:numId w:val="17"/>
      </w:numPr>
      <w:spacing w:after="240" w:line="360" w:lineRule="auto"/>
    </w:pPr>
    <w:rPr>
      <w:rFonts w:ascii="Times New Roman" w:hAnsi="Times New Roman" w:cs="Times New Roman"/>
      <w:sz w:val="24"/>
      <w:lang w:eastAsia="en-US" w:bidi="ar-SA"/>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heme="minorEastAsia" w:hAnsi="Arial" w:cs="Arial"/>
      <w:sz w:val="24"/>
      <w:szCs w:val="24"/>
      <w:lang w:bidi="ar-SA"/>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lang w:bidi="ar-SA"/>
    </w:rPr>
  </w:style>
  <w:style w:type="table" w:styleId="TableGrid">
    <w:name w:val="Table Grid"/>
    <w:basedOn w:val="TableNormal"/>
    <w:uiPriority w:val="59"/>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iret2">
    <w:name w:val="Tiret 2"/>
    <w:basedOn w:val="Normal"/>
    <w:pPr>
      <w:spacing w:before="120" w:after="120" w:line="240" w:lineRule="auto"/>
      <w:ind w:left="1985"/>
      <w:jc w:val="both"/>
    </w:pPr>
    <w:rPr>
      <w:rFonts w:ascii="Times New Roman" w:eastAsia="Times New Roman" w:hAnsi="Times New Roman" w:cs="Times New Roman"/>
      <w:sz w:val="24"/>
      <w:szCs w:val="20"/>
      <w:lang w:bidi="ar-SA"/>
    </w:rPr>
  </w:style>
  <w:style w:type="paragraph" w:customStyle="1" w:styleId="Considrant">
    <w:name w:val="Considérant"/>
    <w:basedOn w:val="Normal"/>
    <w:pPr>
      <w:numPr>
        <w:numId w:val="23"/>
      </w:numPr>
      <w:spacing w:before="120" w:after="120" w:line="240" w:lineRule="auto"/>
      <w:jc w:val="both"/>
    </w:pPr>
    <w:rPr>
      <w:rFonts w:ascii="Times New Roman" w:eastAsia="Times New Roman" w:hAnsi="Times New Roman" w:cs="Times New Roman"/>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0539">
      <w:bodyDiv w:val="1"/>
      <w:marLeft w:val="0"/>
      <w:marRight w:val="0"/>
      <w:marTop w:val="0"/>
      <w:marBottom w:val="0"/>
      <w:divBdr>
        <w:top w:val="none" w:sz="0" w:space="0" w:color="auto"/>
        <w:left w:val="none" w:sz="0" w:space="0" w:color="auto"/>
        <w:bottom w:val="none" w:sz="0" w:space="0" w:color="auto"/>
        <w:right w:val="none" w:sz="0" w:space="0" w:color="auto"/>
      </w:divBdr>
    </w:div>
    <w:div w:id="235484313">
      <w:bodyDiv w:val="1"/>
      <w:marLeft w:val="0"/>
      <w:marRight w:val="0"/>
      <w:marTop w:val="0"/>
      <w:marBottom w:val="0"/>
      <w:divBdr>
        <w:top w:val="none" w:sz="0" w:space="0" w:color="auto"/>
        <w:left w:val="none" w:sz="0" w:space="0" w:color="auto"/>
        <w:bottom w:val="none" w:sz="0" w:space="0" w:color="auto"/>
        <w:right w:val="none" w:sz="0" w:space="0" w:color="auto"/>
      </w:divBdr>
      <w:divsChild>
        <w:div w:id="1269972850">
          <w:marLeft w:val="0"/>
          <w:marRight w:val="0"/>
          <w:marTop w:val="0"/>
          <w:marBottom w:val="0"/>
          <w:divBdr>
            <w:top w:val="none" w:sz="0" w:space="0" w:color="auto"/>
            <w:left w:val="none" w:sz="0" w:space="0" w:color="auto"/>
            <w:bottom w:val="none" w:sz="0" w:space="0" w:color="auto"/>
            <w:right w:val="none" w:sz="0" w:space="0" w:color="auto"/>
          </w:divBdr>
          <w:divsChild>
            <w:div w:id="421613088">
              <w:marLeft w:val="0"/>
              <w:marRight w:val="0"/>
              <w:marTop w:val="0"/>
              <w:marBottom w:val="0"/>
              <w:divBdr>
                <w:top w:val="none" w:sz="0" w:space="0" w:color="auto"/>
                <w:left w:val="none" w:sz="0" w:space="0" w:color="auto"/>
                <w:bottom w:val="none" w:sz="0" w:space="0" w:color="auto"/>
                <w:right w:val="none" w:sz="0" w:space="0" w:color="auto"/>
              </w:divBdr>
              <w:divsChild>
                <w:div w:id="415713352">
                  <w:marLeft w:val="0"/>
                  <w:marRight w:val="0"/>
                  <w:marTop w:val="0"/>
                  <w:marBottom w:val="0"/>
                  <w:divBdr>
                    <w:top w:val="none" w:sz="0" w:space="0" w:color="auto"/>
                    <w:left w:val="none" w:sz="0" w:space="0" w:color="auto"/>
                    <w:bottom w:val="none" w:sz="0" w:space="0" w:color="auto"/>
                    <w:right w:val="none" w:sz="0" w:space="0" w:color="auto"/>
                  </w:divBdr>
                  <w:divsChild>
                    <w:div w:id="1679037745">
                      <w:marLeft w:val="0"/>
                      <w:marRight w:val="0"/>
                      <w:marTop w:val="0"/>
                      <w:marBottom w:val="0"/>
                      <w:divBdr>
                        <w:top w:val="none" w:sz="0" w:space="0" w:color="auto"/>
                        <w:left w:val="none" w:sz="0" w:space="0" w:color="auto"/>
                        <w:bottom w:val="none" w:sz="0" w:space="0" w:color="auto"/>
                        <w:right w:val="none" w:sz="0" w:space="0" w:color="auto"/>
                      </w:divBdr>
                      <w:divsChild>
                        <w:div w:id="1485195091">
                          <w:marLeft w:val="0"/>
                          <w:marRight w:val="0"/>
                          <w:marTop w:val="0"/>
                          <w:marBottom w:val="0"/>
                          <w:divBdr>
                            <w:top w:val="none" w:sz="0" w:space="0" w:color="auto"/>
                            <w:left w:val="none" w:sz="0" w:space="0" w:color="auto"/>
                            <w:bottom w:val="none" w:sz="0" w:space="0" w:color="auto"/>
                            <w:right w:val="none" w:sz="0" w:space="0" w:color="auto"/>
                          </w:divBdr>
                          <w:divsChild>
                            <w:div w:id="1520316421">
                              <w:marLeft w:val="-225"/>
                              <w:marRight w:val="-225"/>
                              <w:marTop w:val="0"/>
                              <w:marBottom w:val="0"/>
                              <w:divBdr>
                                <w:top w:val="none" w:sz="0" w:space="0" w:color="auto"/>
                                <w:left w:val="none" w:sz="0" w:space="0" w:color="auto"/>
                                <w:bottom w:val="none" w:sz="0" w:space="0" w:color="auto"/>
                                <w:right w:val="none" w:sz="0" w:space="0" w:color="auto"/>
                              </w:divBdr>
                              <w:divsChild>
                                <w:div w:id="659043397">
                                  <w:marLeft w:val="0"/>
                                  <w:marRight w:val="0"/>
                                  <w:marTop w:val="0"/>
                                  <w:marBottom w:val="0"/>
                                  <w:divBdr>
                                    <w:top w:val="none" w:sz="0" w:space="0" w:color="auto"/>
                                    <w:left w:val="none" w:sz="0" w:space="0" w:color="auto"/>
                                    <w:bottom w:val="none" w:sz="0" w:space="0" w:color="auto"/>
                                    <w:right w:val="none" w:sz="0" w:space="0" w:color="auto"/>
                                  </w:divBdr>
                                  <w:divsChild>
                                    <w:div w:id="2125686662">
                                      <w:marLeft w:val="-225"/>
                                      <w:marRight w:val="-225"/>
                                      <w:marTop w:val="0"/>
                                      <w:marBottom w:val="0"/>
                                      <w:divBdr>
                                        <w:top w:val="none" w:sz="0" w:space="0" w:color="auto"/>
                                        <w:left w:val="none" w:sz="0" w:space="0" w:color="auto"/>
                                        <w:bottom w:val="none" w:sz="0" w:space="0" w:color="auto"/>
                                        <w:right w:val="none" w:sz="0" w:space="0" w:color="auto"/>
                                      </w:divBdr>
                                      <w:divsChild>
                                        <w:div w:id="934820341">
                                          <w:marLeft w:val="0"/>
                                          <w:marRight w:val="0"/>
                                          <w:marTop w:val="0"/>
                                          <w:marBottom w:val="0"/>
                                          <w:divBdr>
                                            <w:top w:val="none" w:sz="0" w:space="0" w:color="auto"/>
                                            <w:left w:val="none" w:sz="0" w:space="0" w:color="auto"/>
                                            <w:bottom w:val="none" w:sz="0" w:space="0" w:color="auto"/>
                                            <w:right w:val="none" w:sz="0" w:space="0" w:color="auto"/>
                                          </w:divBdr>
                                          <w:divsChild>
                                            <w:div w:id="413167205">
                                              <w:marLeft w:val="0"/>
                                              <w:marRight w:val="0"/>
                                              <w:marTop w:val="0"/>
                                              <w:marBottom w:val="0"/>
                                              <w:divBdr>
                                                <w:top w:val="none" w:sz="0" w:space="0" w:color="auto"/>
                                                <w:left w:val="none" w:sz="0" w:space="0" w:color="auto"/>
                                                <w:bottom w:val="none" w:sz="0" w:space="0" w:color="auto"/>
                                                <w:right w:val="none" w:sz="0" w:space="0" w:color="auto"/>
                                              </w:divBdr>
                                              <w:divsChild>
                                                <w:div w:id="294263467">
                                                  <w:marLeft w:val="-225"/>
                                                  <w:marRight w:val="-225"/>
                                                  <w:marTop w:val="0"/>
                                                  <w:marBottom w:val="0"/>
                                                  <w:divBdr>
                                                    <w:top w:val="none" w:sz="0" w:space="0" w:color="auto"/>
                                                    <w:left w:val="none" w:sz="0" w:space="0" w:color="auto"/>
                                                    <w:bottom w:val="none" w:sz="0" w:space="0" w:color="auto"/>
                                                    <w:right w:val="none" w:sz="0" w:space="0" w:color="auto"/>
                                                  </w:divBdr>
                                                  <w:divsChild>
                                                    <w:div w:id="1148782660">
                                                      <w:marLeft w:val="0"/>
                                                      <w:marRight w:val="0"/>
                                                      <w:marTop w:val="0"/>
                                                      <w:marBottom w:val="0"/>
                                                      <w:divBdr>
                                                        <w:top w:val="none" w:sz="0" w:space="0" w:color="auto"/>
                                                        <w:left w:val="none" w:sz="0" w:space="0" w:color="auto"/>
                                                        <w:bottom w:val="none" w:sz="0" w:space="0" w:color="auto"/>
                                                        <w:right w:val="none" w:sz="0" w:space="0" w:color="auto"/>
                                                      </w:divBdr>
                                                      <w:divsChild>
                                                        <w:div w:id="1357191495">
                                                          <w:marLeft w:val="-225"/>
                                                          <w:marRight w:val="-225"/>
                                                          <w:marTop w:val="0"/>
                                                          <w:marBottom w:val="0"/>
                                                          <w:divBdr>
                                                            <w:top w:val="none" w:sz="0" w:space="0" w:color="auto"/>
                                                            <w:left w:val="none" w:sz="0" w:space="0" w:color="auto"/>
                                                            <w:bottom w:val="none" w:sz="0" w:space="0" w:color="auto"/>
                                                            <w:right w:val="none" w:sz="0" w:space="0" w:color="auto"/>
                                                          </w:divBdr>
                                                          <w:divsChild>
                                                            <w:div w:id="478426264">
                                                              <w:marLeft w:val="0"/>
                                                              <w:marRight w:val="0"/>
                                                              <w:marTop w:val="0"/>
                                                              <w:marBottom w:val="0"/>
                                                              <w:divBdr>
                                                                <w:top w:val="none" w:sz="0" w:space="0" w:color="auto"/>
                                                                <w:left w:val="none" w:sz="0" w:space="0" w:color="auto"/>
                                                                <w:bottom w:val="none" w:sz="0" w:space="0" w:color="auto"/>
                                                                <w:right w:val="none" w:sz="0" w:space="0" w:color="auto"/>
                                                              </w:divBdr>
                                                              <w:divsChild>
                                                                <w:div w:id="1490291133">
                                                                  <w:marLeft w:val="0"/>
                                                                  <w:marRight w:val="0"/>
                                                                  <w:marTop w:val="0"/>
                                                                  <w:marBottom w:val="0"/>
                                                                  <w:divBdr>
                                                                    <w:top w:val="none" w:sz="0" w:space="0" w:color="auto"/>
                                                                    <w:left w:val="none" w:sz="0" w:space="0" w:color="auto"/>
                                                                    <w:bottom w:val="none" w:sz="0" w:space="0" w:color="auto"/>
                                                                    <w:right w:val="none" w:sz="0" w:space="0" w:color="auto"/>
                                                                  </w:divBdr>
                                                                  <w:divsChild>
                                                                    <w:div w:id="454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8538315">
      <w:bodyDiv w:val="1"/>
      <w:marLeft w:val="0"/>
      <w:marRight w:val="0"/>
      <w:marTop w:val="0"/>
      <w:marBottom w:val="0"/>
      <w:divBdr>
        <w:top w:val="none" w:sz="0" w:space="0" w:color="auto"/>
        <w:left w:val="none" w:sz="0" w:space="0" w:color="auto"/>
        <w:bottom w:val="none" w:sz="0" w:space="0" w:color="auto"/>
        <w:right w:val="none" w:sz="0" w:space="0" w:color="auto"/>
      </w:divBdr>
    </w:div>
    <w:div w:id="482889424">
      <w:bodyDiv w:val="1"/>
      <w:marLeft w:val="0"/>
      <w:marRight w:val="0"/>
      <w:marTop w:val="0"/>
      <w:marBottom w:val="0"/>
      <w:divBdr>
        <w:top w:val="none" w:sz="0" w:space="0" w:color="auto"/>
        <w:left w:val="none" w:sz="0" w:space="0" w:color="auto"/>
        <w:bottom w:val="none" w:sz="0" w:space="0" w:color="auto"/>
        <w:right w:val="none" w:sz="0" w:space="0" w:color="auto"/>
      </w:divBdr>
    </w:div>
    <w:div w:id="564292209">
      <w:bodyDiv w:val="1"/>
      <w:marLeft w:val="0"/>
      <w:marRight w:val="0"/>
      <w:marTop w:val="0"/>
      <w:marBottom w:val="0"/>
      <w:divBdr>
        <w:top w:val="none" w:sz="0" w:space="0" w:color="auto"/>
        <w:left w:val="none" w:sz="0" w:space="0" w:color="auto"/>
        <w:bottom w:val="none" w:sz="0" w:space="0" w:color="auto"/>
        <w:right w:val="none" w:sz="0" w:space="0" w:color="auto"/>
      </w:divBdr>
      <w:divsChild>
        <w:div w:id="2117367804">
          <w:marLeft w:val="0"/>
          <w:marRight w:val="0"/>
          <w:marTop w:val="0"/>
          <w:marBottom w:val="0"/>
          <w:divBdr>
            <w:top w:val="none" w:sz="0" w:space="0" w:color="auto"/>
            <w:left w:val="none" w:sz="0" w:space="0" w:color="auto"/>
            <w:bottom w:val="none" w:sz="0" w:space="0" w:color="auto"/>
            <w:right w:val="none" w:sz="0" w:space="0" w:color="auto"/>
          </w:divBdr>
          <w:divsChild>
            <w:div w:id="510264981">
              <w:marLeft w:val="0"/>
              <w:marRight w:val="0"/>
              <w:marTop w:val="0"/>
              <w:marBottom w:val="0"/>
              <w:divBdr>
                <w:top w:val="none" w:sz="0" w:space="0" w:color="auto"/>
                <w:left w:val="none" w:sz="0" w:space="0" w:color="auto"/>
                <w:bottom w:val="none" w:sz="0" w:space="0" w:color="auto"/>
                <w:right w:val="none" w:sz="0" w:space="0" w:color="auto"/>
              </w:divBdr>
              <w:divsChild>
                <w:div w:id="1251085524">
                  <w:marLeft w:val="0"/>
                  <w:marRight w:val="0"/>
                  <w:marTop w:val="0"/>
                  <w:marBottom w:val="0"/>
                  <w:divBdr>
                    <w:top w:val="none" w:sz="0" w:space="0" w:color="auto"/>
                    <w:left w:val="none" w:sz="0" w:space="0" w:color="auto"/>
                    <w:bottom w:val="none" w:sz="0" w:space="0" w:color="auto"/>
                    <w:right w:val="none" w:sz="0" w:space="0" w:color="auto"/>
                  </w:divBdr>
                  <w:divsChild>
                    <w:div w:id="291520565">
                      <w:marLeft w:val="0"/>
                      <w:marRight w:val="0"/>
                      <w:marTop w:val="0"/>
                      <w:marBottom w:val="0"/>
                      <w:divBdr>
                        <w:top w:val="none" w:sz="0" w:space="0" w:color="auto"/>
                        <w:left w:val="none" w:sz="0" w:space="0" w:color="auto"/>
                        <w:bottom w:val="none" w:sz="0" w:space="0" w:color="auto"/>
                        <w:right w:val="none" w:sz="0" w:space="0" w:color="auto"/>
                      </w:divBdr>
                      <w:divsChild>
                        <w:div w:id="403455107">
                          <w:marLeft w:val="0"/>
                          <w:marRight w:val="0"/>
                          <w:marTop w:val="0"/>
                          <w:marBottom w:val="0"/>
                          <w:divBdr>
                            <w:top w:val="none" w:sz="0" w:space="0" w:color="auto"/>
                            <w:left w:val="none" w:sz="0" w:space="0" w:color="auto"/>
                            <w:bottom w:val="none" w:sz="0" w:space="0" w:color="auto"/>
                            <w:right w:val="none" w:sz="0" w:space="0" w:color="auto"/>
                          </w:divBdr>
                          <w:divsChild>
                            <w:div w:id="665088612">
                              <w:marLeft w:val="-225"/>
                              <w:marRight w:val="-225"/>
                              <w:marTop w:val="0"/>
                              <w:marBottom w:val="0"/>
                              <w:divBdr>
                                <w:top w:val="none" w:sz="0" w:space="0" w:color="auto"/>
                                <w:left w:val="none" w:sz="0" w:space="0" w:color="auto"/>
                                <w:bottom w:val="none" w:sz="0" w:space="0" w:color="auto"/>
                                <w:right w:val="none" w:sz="0" w:space="0" w:color="auto"/>
                              </w:divBdr>
                              <w:divsChild>
                                <w:div w:id="66349398">
                                  <w:marLeft w:val="0"/>
                                  <w:marRight w:val="0"/>
                                  <w:marTop w:val="0"/>
                                  <w:marBottom w:val="0"/>
                                  <w:divBdr>
                                    <w:top w:val="none" w:sz="0" w:space="0" w:color="auto"/>
                                    <w:left w:val="none" w:sz="0" w:space="0" w:color="auto"/>
                                    <w:bottom w:val="none" w:sz="0" w:space="0" w:color="auto"/>
                                    <w:right w:val="none" w:sz="0" w:space="0" w:color="auto"/>
                                  </w:divBdr>
                                  <w:divsChild>
                                    <w:div w:id="934240760">
                                      <w:marLeft w:val="-225"/>
                                      <w:marRight w:val="-225"/>
                                      <w:marTop w:val="0"/>
                                      <w:marBottom w:val="0"/>
                                      <w:divBdr>
                                        <w:top w:val="none" w:sz="0" w:space="0" w:color="auto"/>
                                        <w:left w:val="none" w:sz="0" w:space="0" w:color="auto"/>
                                        <w:bottom w:val="none" w:sz="0" w:space="0" w:color="auto"/>
                                        <w:right w:val="none" w:sz="0" w:space="0" w:color="auto"/>
                                      </w:divBdr>
                                      <w:divsChild>
                                        <w:div w:id="1645506663">
                                          <w:marLeft w:val="0"/>
                                          <w:marRight w:val="0"/>
                                          <w:marTop w:val="0"/>
                                          <w:marBottom w:val="0"/>
                                          <w:divBdr>
                                            <w:top w:val="none" w:sz="0" w:space="0" w:color="auto"/>
                                            <w:left w:val="none" w:sz="0" w:space="0" w:color="auto"/>
                                            <w:bottom w:val="none" w:sz="0" w:space="0" w:color="auto"/>
                                            <w:right w:val="none" w:sz="0" w:space="0" w:color="auto"/>
                                          </w:divBdr>
                                          <w:divsChild>
                                            <w:div w:id="1027291436">
                                              <w:marLeft w:val="0"/>
                                              <w:marRight w:val="0"/>
                                              <w:marTop w:val="0"/>
                                              <w:marBottom w:val="0"/>
                                              <w:divBdr>
                                                <w:top w:val="none" w:sz="0" w:space="0" w:color="auto"/>
                                                <w:left w:val="none" w:sz="0" w:space="0" w:color="auto"/>
                                                <w:bottom w:val="none" w:sz="0" w:space="0" w:color="auto"/>
                                                <w:right w:val="none" w:sz="0" w:space="0" w:color="auto"/>
                                              </w:divBdr>
                                              <w:divsChild>
                                                <w:div w:id="1642883494">
                                                  <w:marLeft w:val="-225"/>
                                                  <w:marRight w:val="-225"/>
                                                  <w:marTop w:val="0"/>
                                                  <w:marBottom w:val="0"/>
                                                  <w:divBdr>
                                                    <w:top w:val="none" w:sz="0" w:space="0" w:color="auto"/>
                                                    <w:left w:val="none" w:sz="0" w:space="0" w:color="auto"/>
                                                    <w:bottom w:val="none" w:sz="0" w:space="0" w:color="auto"/>
                                                    <w:right w:val="none" w:sz="0" w:space="0" w:color="auto"/>
                                                  </w:divBdr>
                                                  <w:divsChild>
                                                    <w:div w:id="1128933885">
                                                      <w:marLeft w:val="0"/>
                                                      <w:marRight w:val="0"/>
                                                      <w:marTop w:val="0"/>
                                                      <w:marBottom w:val="0"/>
                                                      <w:divBdr>
                                                        <w:top w:val="none" w:sz="0" w:space="0" w:color="auto"/>
                                                        <w:left w:val="none" w:sz="0" w:space="0" w:color="auto"/>
                                                        <w:bottom w:val="none" w:sz="0" w:space="0" w:color="auto"/>
                                                        <w:right w:val="none" w:sz="0" w:space="0" w:color="auto"/>
                                                      </w:divBdr>
                                                      <w:divsChild>
                                                        <w:div w:id="823207827">
                                                          <w:marLeft w:val="-225"/>
                                                          <w:marRight w:val="-225"/>
                                                          <w:marTop w:val="0"/>
                                                          <w:marBottom w:val="0"/>
                                                          <w:divBdr>
                                                            <w:top w:val="none" w:sz="0" w:space="0" w:color="auto"/>
                                                            <w:left w:val="none" w:sz="0" w:space="0" w:color="auto"/>
                                                            <w:bottom w:val="none" w:sz="0" w:space="0" w:color="auto"/>
                                                            <w:right w:val="none" w:sz="0" w:space="0" w:color="auto"/>
                                                          </w:divBdr>
                                                          <w:divsChild>
                                                            <w:div w:id="192885945">
                                                              <w:marLeft w:val="0"/>
                                                              <w:marRight w:val="0"/>
                                                              <w:marTop w:val="0"/>
                                                              <w:marBottom w:val="0"/>
                                                              <w:divBdr>
                                                                <w:top w:val="none" w:sz="0" w:space="0" w:color="auto"/>
                                                                <w:left w:val="none" w:sz="0" w:space="0" w:color="auto"/>
                                                                <w:bottom w:val="none" w:sz="0" w:space="0" w:color="auto"/>
                                                                <w:right w:val="none" w:sz="0" w:space="0" w:color="auto"/>
                                                              </w:divBdr>
                                                              <w:divsChild>
                                                                <w:div w:id="923030257">
                                                                  <w:marLeft w:val="0"/>
                                                                  <w:marRight w:val="0"/>
                                                                  <w:marTop w:val="0"/>
                                                                  <w:marBottom w:val="0"/>
                                                                  <w:divBdr>
                                                                    <w:top w:val="none" w:sz="0" w:space="0" w:color="auto"/>
                                                                    <w:left w:val="none" w:sz="0" w:space="0" w:color="auto"/>
                                                                    <w:bottom w:val="none" w:sz="0" w:space="0" w:color="auto"/>
                                                                    <w:right w:val="none" w:sz="0" w:space="0" w:color="auto"/>
                                                                  </w:divBdr>
                                                                  <w:divsChild>
                                                                    <w:div w:id="11090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3199319">
      <w:bodyDiv w:val="1"/>
      <w:marLeft w:val="0"/>
      <w:marRight w:val="0"/>
      <w:marTop w:val="0"/>
      <w:marBottom w:val="0"/>
      <w:divBdr>
        <w:top w:val="none" w:sz="0" w:space="0" w:color="auto"/>
        <w:left w:val="none" w:sz="0" w:space="0" w:color="auto"/>
        <w:bottom w:val="none" w:sz="0" w:space="0" w:color="auto"/>
        <w:right w:val="none" w:sz="0" w:space="0" w:color="auto"/>
      </w:divBdr>
    </w:div>
    <w:div w:id="689142547">
      <w:bodyDiv w:val="1"/>
      <w:marLeft w:val="0"/>
      <w:marRight w:val="0"/>
      <w:marTop w:val="0"/>
      <w:marBottom w:val="0"/>
      <w:divBdr>
        <w:top w:val="none" w:sz="0" w:space="0" w:color="auto"/>
        <w:left w:val="none" w:sz="0" w:space="0" w:color="auto"/>
        <w:bottom w:val="none" w:sz="0" w:space="0" w:color="auto"/>
        <w:right w:val="none" w:sz="0" w:space="0" w:color="auto"/>
      </w:divBdr>
    </w:div>
    <w:div w:id="752778502">
      <w:bodyDiv w:val="1"/>
      <w:marLeft w:val="0"/>
      <w:marRight w:val="0"/>
      <w:marTop w:val="0"/>
      <w:marBottom w:val="0"/>
      <w:divBdr>
        <w:top w:val="none" w:sz="0" w:space="0" w:color="auto"/>
        <w:left w:val="none" w:sz="0" w:space="0" w:color="auto"/>
        <w:bottom w:val="none" w:sz="0" w:space="0" w:color="auto"/>
        <w:right w:val="none" w:sz="0" w:space="0" w:color="auto"/>
      </w:divBdr>
    </w:div>
    <w:div w:id="911622383">
      <w:bodyDiv w:val="1"/>
      <w:marLeft w:val="0"/>
      <w:marRight w:val="0"/>
      <w:marTop w:val="0"/>
      <w:marBottom w:val="0"/>
      <w:divBdr>
        <w:top w:val="none" w:sz="0" w:space="0" w:color="auto"/>
        <w:left w:val="none" w:sz="0" w:space="0" w:color="auto"/>
        <w:bottom w:val="none" w:sz="0" w:space="0" w:color="auto"/>
        <w:right w:val="none" w:sz="0" w:space="0" w:color="auto"/>
      </w:divBdr>
    </w:div>
    <w:div w:id="958487152">
      <w:bodyDiv w:val="1"/>
      <w:marLeft w:val="0"/>
      <w:marRight w:val="0"/>
      <w:marTop w:val="0"/>
      <w:marBottom w:val="0"/>
      <w:divBdr>
        <w:top w:val="none" w:sz="0" w:space="0" w:color="auto"/>
        <w:left w:val="none" w:sz="0" w:space="0" w:color="auto"/>
        <w:bottom w:val="none" w:sz="0" w:space="0" w:color="auto"/>
        <w:right w:val="none" w:sz="0" w:space="0" w:color="auto"/>
      </w:divBdr>
    </w:div>
    <w:div w:id="960037052">
      <w:bodyDiv w:val="1"/>
      <w:marLeft w:val="0"/>
      <w:marRight w:val="0"/>
      <w:marTop w:val="0"/>
      <w:marBottom w:val="0"/>
      <w:divBdr>
        <w:top w:val="none" w:sz="0" w:space="0" w:color="auto"/>
        <w:left w:val="none" w:sz="0" w:space="0" w:color="auto"/>
        <w:bottom w:val="none" w:sz="0" w:space="0" w:color="auto"/>
        <w:right w:val="none" w:sz="0" w:space="0" w:color="auto"/>
      </w:divBdr>
    </w:div>
    <w:div w:id="1168593226">
      <w:bodyDiv w:val="1"/>
      <w:marLeft w:val="0"/>
      <w:marRight w:val="0"/>
      <w:marTop w:val="0"/>
      <w:marBottom w:val="0"/>
      <w:divBdr>
        <w:top w:val="none" w:sz="0" w:space="0" w:color="auto"/>
        <w:left w:val="none" w:sz="0" w:space="0" w:color="auto"/>
        <w:bottom w:val="none" w:sz="0" w:space="0" w:color="auto"/>
        <w:right w:val="none" w:sz="0" w:space="0" w:color="auto"/>
      </w:divBdr>
    </w:div>
    <w:div w:id="1204054750">
      <w:bodyDiv w:val="1"/>
      <w:marLeft w:val="0"/>
      <w:marRight w:val="0"/>
      <w:marTop w:val="0"/>
      <w:marBottom w:val="0"/>
      <w:divBdr>
        <w:top w:val="none" w:sz="0" w:space="0" w:color="auto"/>
        <w:left w:val="none" w:sz="0" w:space="0" w:color="auto"/>
        <w:bottom w:val="none" w:sz="0" w:space="0" w:color="auto"/>
        <w:right w:val="none" w:sz="0" w:space="0" w:color="auto"/>
      </w:divBdr>
    </w:div>
    <w:div w:id="1290627464">
      <w:bodyDiv w:val="1"/>
      <w:marLeft w:val="0"/>
      <w:marRight w:val="0"/>
      <w:marTop w:val="0"/>
      <w:marBottom w:val="0"/>
      <w:divBdr>
        <w:top w:val="none" w:sz="0" w:space="0" w:color="auto"/>
        <w:left w:val="none" w:sz="0" w:space="0" w:color="auto"/>
        <w:bottom w:val="none" w:sz="0" w:space="0" w:color="auto"/>
        <w:right w:val="none" w:sz="0" w:space="0" w:color="auto"/>
      </w:divBdr>
    </w:div>
    <w:div w:id="1328051164">
      <w:bodyDiv w:val="1"/>
      <w:marLeft w:val="0"/>
      <w:marRight w:val="0"/>
      <w:marTop w:val="0"/>
      <w:marBottom w:val="0"/>
      <w:divBdr>
        <w:top w:val="none" w:sz="0" w:space="0" w:color="auto"/>
        <w:left w:val="none" w:sz="0" w:space="0" w:color="auto"/>
        <w:bottom w:val="none" w:sz="0" w:space="0" w:color="auto"/>
        <w:right w:val="none" w:sz="0" w:space="0" w:color="auto"/>
      </w:divBdr>
    </w:div>
    <w:div w:id="1606108413">
      <w:bodyDiv w:val="1"/>
      <w:marLeft w:val="0"/>
      <w:marRight w:val="0"/>
      <w:marTop w:val="0"/>
      <w:marBottom w:val="0"/>
      <w:divBdr>
        <w:top w:val="none" w:sz="0" w:space="0" w:color="auto"/>
        <w:left w:val="none" w:sz="0" w:space="0" w:color="auto"/>
        <w:bottom w:val="none" w:sz="0" w:space="0" w:color="auto"/>
        <w:right w:val="none" w:sz="0" w:space="0" w:color="auto"/>
      </w:divBdr>
    </w:div>
    <w:div w:id="1892842001">
      <w:bodyDiv w:val="1"/>
      <w:marLeft w:val="0"/>
      <w:marRight w:val="0"/>
      <w:marTop w:val="0"/>
      <w:marBottom w:val="0"/>
      <w:divBdr>
        <w:top w:val="none" w:sz="0" w:space="0" w:color="auto"/>
        <w:left w:val="none" w:sz="0" w:space="0" w:color="auto"/>
        <w:bottom w:val="none" w:sz="0" w:space="0" w:color="auto"/>
        <w:right w:val="none" w:sz="0" w:space="0" w:color="auto"/>
      </w:divBdr>
    </w:div>
    <w:div w:id="1960916382">
      <w:bodyDiv w:val="1"/>
      <w:marLeft w:val="0"/>
      <w:marRight w:val="0"/>
      <w:marTop w:val="0"/>
      <w:marBottom w:val="0"/>
      <w:divBdr>
        <w:top w:val="none" w:sz="0" w:space="0" w:color="auto"/>
        <w:left w:val="none" w:sz="0" w:space="0" w:color="auto"/>
        <w:bottom w:val="none" w:sz="0" w:space="0" w:color="auto"/>
        <w:right w:val="none" w:sz="0" w:space="0" w:color="auto"/>
      </w:divBdr>
    </w:div>
    <w:div w:id="1991246618">
      <w:bodyDiv w:val="1"/>
      <w:marLeft w:val="0"/>
      <w:marRight w:val="0"/>
      <w:marTop w:val="0"/>
      <w:marBottom w:val="0"/>
      <w:divBdr>
        <w:top w:val="none" w:sz="0" w:space="0" w:color="auto"/>
        <w:left w:val="none" w:sz="0" w:space="0" w:color="auto"/>
        <w:bottom w:val="none" w:sz="0" w:space="0" w:color="auto"/>
        <w:right w:val="none" w:sz="0" w:space="0" w:color="auto"/>
      </w:divBdr>
      <w:divsChild>
        <w:div w:id="425805979">
          <w:marLeft w:val="0"/>
          <w:marRight w:val="0"/>
          <w:marTop w:val="0"/>
          <w:marBottom w:val="0"/>
          <w:divBdr>
            <w:top w:val="none" w:sz="0" w:space="0" w:color="auto"/>
            <w:left w:val="none" w:sz="0" w:space="0" w:color="auto"/>
            <w:bottom w:val="none" w:sz="0" w:space="0" w:color="auto"/>
            <w:right w:val="none" w:sz="0" w:space="0" w:color="auto"/>
          </w:divBdr>
          <w:divsChild>
            <w:div w:id="10036521">
              <w:marLeft w:val="0"/>
              <w:marRight w:val="0"/>
              <w:marTop w:val="0"/>
              <w:marBottom w:val="0"/>
              <w:divBdr>
                <w:top w:val="none" w:sz="0" w:space="0" w:color="auto"/>
                <w:left w:val="none" w:sz="0" w:space="0" w:color="auto"/>
                <w:bottom w:val="none" w:sz="0" w:space="0" w:color="auto"/>
                <w:right w:val="none" w:sz="0" w:space="0" w:color="auto"/>
              </w:divBdr>
              <w:divsChild>
                <w:div w:id="163709108">
                  <w:marLeft w:val="0"/>
                  <w:marRight w:val="0"/>
                  <w:marTop w:val="0"/>
                  <w:marBottom w:val="0"/>
                  <w:divBdr>
                    <w:top w:val="none" w:sz="0" w:space="0" w:color="auto"/>
                    <w:left w:val="none" w:sz="0" w:space="0" w:color="auto"/>
                    <w:bottom w:val="none" w:sz="0" w:space="0" w:color="auto"/>
                    <w:right w:val="none" w:sz="0" w:space="0" w:color="auto"/>
                  </w:divBdr>
                  <w:divsChild>
                    <w:div w:id="1914310357">
                      <w:marLeft w:val="0"/>
                      <w:marRight w:val="0"/>
                      <w:marTop w:val="0"/>
                      <w:marBottom w:val="0"/>
                      <w:divBdr>
                        <w:top w:val="none" w:sz="0" w:space="0" w:color="auto"/>
                        <w:left w:val="none" w:sz="0" w:space="0" w:color="auto"/>
                        <w:bottom w:val="none" w:sz="0" w:space="0" w:color="auto"/>
                        <w:right w:val="none" w:sz="0" w:space="0" w:color="auto"/>
                      </w:divBdr>
                      <w:divsChild>
                        <w:div w:id="824592098">
                          <w:marLeft w:val="0"/>
                          <w:marRight w:val="0"/>
                          <w:marTop w:val="0"/>
                          <w:marBottom w:val="0"/>
                          <w:divBdr>
                            <w:top w:val="none" w:sz="0" w:space="0" w:color="auto"/>
                            <w:left w:val="none" w:sz="0" w:space="0" w:color="auto"/>
                            <w:bottom w:val="none" w:sz="0" w:space="0" w:color="auto"/>
                            <w:right w:val="none" w:sz="0" w:space="0" w:color="auto"/>
                          </w:divBdr>
                          <w:divsChild>
                            <w:div w:id="2025982087">
                              <w:marLeft w:val="-225"/>
                              <w:marRight w:val="-225"/>
                              <w:marTop w:val="0"/>
                              <w:marBottom w:val="0"/>
                              <w:divBdr>
                                <w:top w:val="none" w:sz="0" w:space="0" w:color="auto"/>
                                <w:left w:val="none" w:sz="0" w:space="0" w:color="auto"/>
                                <w:bottom w:val="none" w:sz="0" w:space="0" w:color="auto"/>
                                <w:right w:val="none" w:sz="0" w:space="0" w:color="auto"/>
                              </w:divBdr>
                              <w:divsChild>
                                <w:div w:id="2131393731">
                                  <w:marLeft w:val="0"/>
                                  <w:marRight w:val="0"/>
                                  <w:marTop w:val="0"/>
                                  <w:marBottom w:val="0"/>
                                  <w:divBdr>
                                    <w:top w:val="none" w:sz="0" w:space="0" w:color="auto"/>
                                    <w:left w:val="none" w:sz="0" w:space="0" w:color="auto"/>
                                    <w:bottom w:val="none" w:sz="0" w:space="0" w:color="auto"/>
                                    <w:right w:val="none" w:sz="0" w:space="0" w:color="auto"/>
                                  </w:divBdr>
                                  <w:divsChild>
                                    <w:div w:id="71783436">
                                      <w:marLeft w:val="-225"/>
                                      <w:marRight w:val="-225"/>
                                      <w:marTop w:val="0"/>
                                      <w:marBottom w:val="0"/>
                                      <w:divBdr>
                                        <w:top w:val="none" w:sz="0" w:space="0" w:color="auto"/>
                                        <w:left w:val="none" w:sz="0" w:space="0" w:color="auto"/>
                                        <w:bottom w:val="none" w:sz="0" w:space="0" w:color="auto"/>
                                        <w:right w:val="none" w:sz="0" w:space="0" w:color="auto"/>
                                      </w:divBdr>
                                      <w:divsChild>
                                        <w:div w:id="1126965744">
                                          <w:marLeft w:val="0"/>
                                          <w:marRight w:val="0"/>
                                          <w:marTop w:val="0"/>
                                          <w:marBottom w:val="0"/>
                                          <w:divBdr>
                                            <w:top w:val="none" w:sz="0" w:space="0" w:color="auto"/>
                                            <w:left w:val="none" w:sz="0" w:space="0" w:color="auto"/>
                                            <w:bottom w:val="none" w:sz="0" w:space="0" w:color="auto"/>
                                            <w:right w:val="none" w:sz="0" w:space="0" w:color="auto"/>
                                          </w:divBdr>
                                          <w:divsChild>
                                            <w:div w:id="1713918390">
                                              <w:marLeft w:val="0"/>
                                              <w:marRight w:val="0"/>
                                              <w:marTop w:val="0"/>
                                              <w:marBottom w:val="0"/>
                                              <w:divBdr>
                                                <w:top w:val="none" w:sz="0" w:space="0" w:color="auto"/>
                                                <w:left w:val="none" w:sz="0" w:space="0" w:color="auto"/>
                                                <w:bottom w:val="none" w:sz="0" w:space="0" w:color="auto"/>
                                                <w:right w:val="none" w:sz="0" w:space="0" w:color="auto"/>
                                              </w:divBdr>
                                              <w:divsChild>
                                                <w:div w:id="1829176917">
                                                  <w:marLeft w:val="-225"/>
                                                  <w:marRight w:val="-225"/>
                                                  <w:marTop w:val="0"/>
                                                  <w:marBottom w:val="0"/>
                                                  <w:divBdr>
                                                    <w:top w:val="none" w:sz="0" w:space="0" w:color="auto"/>
                                                    <w:left w:val="none" w:sz="0" w:space="0" w:color="auto"/>
                                                    <w:bottom w:val="none" w:sz="0" w:space="0" w:color="auto"/>
                                                    <w:right w:val="none" w:sz="0" w:space="0" w:color="auto"/>
                                                  </w:divBdr>
                                                  <w:divsChild>
                                                    <w:div w:id="1264801117">
                                                      <w:marLeft w:val="0"/>
                                                      <w:marRight w:val="0"/>
                                                      <w:marTop w:val="0"/>
                                                      <w:marBottom w:val="0"/>
                                                      <w:divBdr>
                                                        <w:top w:val="none" w:sz="0" w:space="0" w:color="auto"/>
                                                        <w:left w:val="none" w:sz="0" w:space="0" w:color="auto"/>
                                                        <w:bottom w:val="none" w:sz="0" w:space="0" w:color="auto"/>
                                                        <w:right w:val="none" w:sz="0" w:space="0" w:color="auto"/>
                                                      </w:divBdr>
                                                      <w:divsChild>
                                                        <w:div w:id="1310095113">
                                                          <w:marLeft w:val="-225"/>
                                                          <w:marRight w:val="-225"/>
                                                          <w:marTop w:val="0"/>
                                                          <w:marBottom w:val="0"/>
                                                          <w:divBdr>
                                                            <w:top w:val="none" w:sz="0" w:space="0" w:color="auto"/>
                                                            <w:left w:val="none" w:sz="0" w:space="0" w:color="auto"/>
                                                            <w:bottom w:val="none" w:sz="0" w:space="0" w:color="auto"/>
                                                            <w:right w:val="none" w:sz="0" w:space="0" w:color="auto"/>
                                                          </w:divBdr>
                                                          <w:divsChild>
                                                            <w:div w:id="1755055867">
                                                              <w:marLeft w:val="0"/>
                                                              <w:marRight w:val="0"/>
                                                              <w:marTop w:val="0"/>
                                                              <w:marBottom w:val="0"/>
                                                              <w:divBdr>
                                                                <w:top w:val="none" w:sz="0" w:space="0" w:color="auto"/>
                                                                <w:left w:val="none" w:sz="0" w:space="0" w:color="auto"/>
                                                                <w:bottom w:val="none" w:sz="0" w:space="0" w:color="auto"/>
                                                                <w:right w:val="none" w:sz="0" w:space="0" w:color="auto"/>
                                                              </w:divBdr>
                                                              <w:divsChild>
                                                                <w:div w:id="188841085">
                                                                  <w:marLeft w:val="0"/>
                                                                  <w:marRight w:val="0"/>
                                                                  <w:marTop w:val="0"/>
                                                                  <w:marBottom w:val="0"/>
                                                                  <w:divBdr>
                                                                    <w:top w:val="none" w:sz="0" w:space="0" w:color="auto"/>
                                                                    <w:left w:val="none" w:sz="0" w:space="0" w:color="auto"/>
                                                                    <w:bottom w:val="none" w:sz="0" w:space="0" w:color="auto"/>
                                                                    <w:right w:val="none" w:sz="0" w:space="0" w:color="auto"/>
                                                                  </w:divBdr>
                                                                  <w:divsChild>
                                                                    <w:div w:id="1955551287">
                                                                      <w:marLeft w:val="0"/>
                                                                      <w:marRight w:val="0"/>
                                                                      <w:marTop w:val="0"/>
                                                                      <w:marBottom w:val="0"/>
                                                                      <w:divBdr>
                                                                        <w:top w:val="none" w:sz="0" w:space="0" w:color="auto"/>
                                                                        <w:left w:val="none" w:sz="0" w:space="0" w:color="auto"/>
                                                                        <w:bottom w:val="none" w:sz="0" w:space="0" w:color="auto"/>
                                                                        <w:right w:val="none" w:sz="0" w:space="0" w:color="auto"/>
                                                                      </w:divBdr>
                                                                    </w:div>
                                                                    <w:div w:id="875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6008013">
      <w:bodyDiv w:val="1"/>
      <w:marLeft w:val="0"/>
      <w:marRight w:val="0"/>
      <w:marTop w:val="0"/>
      <w:marBottom w:val="0"/>
      <w:divBdr>
        <w:top w:val="none" w:sz="0" w:space="0" w:color="auto"/>
        <w:left w:val="none" w:sz="0" w:space="0" w:color="auto"/>
        <w:bottom w:val="none" w:sz="0" w:space="0" w:color="auto"/>
        <w:right w:val="none" w:sz="0" w:space="0" w:color="auto"/>
      </w:divBdr>
    </w:div>
    <w:div w:id="2075546021">
      <w:bodyDiv w:val="1"/>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423846046">
              <w:marLeft w:val="0"/>
              <w:marRight w:val="0"/>
              <w:marTop w:val="0"/>
              <w:marBottom w:val="0"/>
              <w:divBdr>
                <w:top w:val="none" w:sz="0" w:space="0" w:color="auto"/>
                <w:left w:val="none" w:sz="0" w:space="0" w:color="auto"/>
                <w:bottom w:val="none" w:sz="0" w:space="0" w:color="auto"/>
                <w:right w:val="none" w:sz="0" w:space="0" w:color="auto"/>
              </w:divBdr>
              <w:divsChild>
                <w:div w:id="325599624">
                  <w:marLeft w:val="0"/>
                  <w:marRight w:val="0"/>
                  <w:marTop w:val="0"/>
                  <w:marBottom w:val="0"/>
                  <w:divBdr>
                    <w:top w:val="none" w:sz="0" w:space="0" w:color="auto"/>
                    <w:left w:val="none" w:sz="0" w:space="0" w:color="auto"/>
                    <w:bottom w:val="none" w:sz="0" w:space="0" w:color="auto"/>
                    <w:right w:val="none" w:sz="0" w:space="0" w:color="auto"/>
                  </w:divBdr>
                  <w:divsChild>
                    <w:div w:id="56245666">
                      <w:marLeft w:val="0"/>
                      <w:marRight w:val="0"/>
                      <w:marTop w:val="0"/>
                      <w:marBottom w:val="0"/>
                      <w:divBdr>
                        <w:top w:val="none" w:sz="0" w:space="0" w:color="auto"/>
                        <w:left w:val="none" w:sz="0" w:space="0" w:color="auto"/>
                        <w:bottom w:val="none" w:sz="0" w:space="0" w:color="auto"/>
                        <w:right w:val="none" w:sz="0" w:space="0" w:color="auto"/>
                      </w:divBdr>
                      <w:divsChild>
                        <w:div w:id="1693189000">
                          <w:marLeft w:val="0"/>
                          <w:marRight w:val="0"/>
                          <w:marTop w:val="0"/>
                          <w:marBottom w:val="0"/>
                          <w:divBdr>
                            <w:top w:val="none" w:sz="0" w:space="0" w:color="auto"/>
                            <w:left w:val="none" w:sz="0" w:space="0" w:color="auto"/>
                            <w:bottom w:val="none" w:sz="0" w:space="0" w:color="auto"/>
                            <w:right w:val="none" w:sz="0" w:space="0" w:color="auto"/>
                          </w:divBdr>
                          <w:divsChild>
                            <w:div w:id="1199050639">
                              <w:marLeft w:val="-225"/>
                              <w:marRight w:val="-225"/>
                              <w:marTop w:val="0"/>
                              <w:marBottom w:val="0"/>
                              <w:divBdr>
                                <w:top w:val="none" w:sz="0" w:space="0" w:color="auto"/>
                                <w:left w:val="none" w:sz="0" w:space="0" w:color="auto"/>
                                <w:bottom w:val="none" w:sz="0" w:space="0" w:color="auto"/>
                                <w:right w:val="none" w:sz="0" w:space="0" w:color="auto"/>
                              </w:divBdr>
                              <w:divsChild>
                                <w:div w:id="925500395">
                                  <w:marLeft w:val="0"/>
                                  <w:marRight w:val="0"/>
                                  <w:marTop w:val="0"/>
                                  <w:marBottom w:val="0"/>
                                  <w:divBdr>
                                    <w:top w:val="none" w:sz="0" w:space="0" w:color="auto"/>
                                    <w:left w:val="none" w:sz="0" w:space="0" w:color="auto"/>
                                    <w:bottom w:val="none" w:sz="0" w:space="0" w:color="auto"/>
                                    <w:right w:val="none" w:sz="0" w:space="0" w:color="auto"/>
                                  </w:divBdr>
                                  <w:divsChild>
                                    <w:div w:id="2001617035">
                                      <w:marLeft w:val="-225"/>
                                      <w:marRight w:val="-225"/>
                                      <w:marTop w:val="0"/>
                                      <w:marBottom w:val="0"/>
                                      <w:divBdr>
                                        <w:top w:val="none" w:sz="0" w:space="0" w:color="auto"/>
                                        <w:left w:val="none" w:sz="0" w:space="0" w:color="auto"/>
                                        <w:bottom w:val="none" w:sz="0" w:space="0" w:color="auto"/>
                                        <w:right w:val="none" w:sz="0" w:space="0" w:color="auto"/>
                                      </w:divBdr>
                                      <w:divsChild>
                                        <w:div w:id="1521041592">
                                          <w:marLeft w:val="0"/>
                                          <w:marRight w:val="0"/>
                                          <w:marTop w:val="0"/>
                                          <w:marBottom w:val="0"/>
                                          <w:divBdr>
                                            <w:top w:val="none" w:sz="0" w:space="0" w:color="auto"/>
                                            <w:left w:val="none" w:sz="0" w:space="0" w:color="auto"/>
                                            <w:bottom w:val="none" w:sz="0" w:space="0" w:color="auto"/>
                                            <w:right w:val="none" w:sz="0" w:space="0" w:color="auto"/>
                                          </w:divBdr>
                                          <w:divsChild>
                                            <w:div w:id="497616638">
                                              <w:marLeft w:val="0"/>
                                              <w:marRight w:val="0"/>
                                              <w:marTop w:val="0"/>
                                              <w:marBottom w:val="0"/>
                                              <w:divBdr>
                                                <w:top w:val="none" w:sz="0" w:space="0" w:color="auto"/>
                                                <w:left w:val="none" w:sz="0" w:space="0" w:color="auto"/>
                                                <w:bottom w:val="none" w:sz="0" w:space="0" w:color="auto"/>
                                                <w:right w:val="none" w:sz="0" w:space="0" w:color="auto"/>
                                              </w:divBdr>
                                              <w:divsChild>
                                                <w:div w:id="869949024">
                                                  <w:marLeft w:val="-225"/>
                                                  <w:marRight w:val="-225"/>
                                                  <w:marTop w:val="0"/>
                                                  <w:marBottom w:val="0"/>
                                                  <w:divBdr>
                                                    <w:top w:val="none" w:sz="0" w:space="0" w:color="auto"/>
                                                    <w:left w:val="none" w:sz="0" w:space="0" w:color="auto"/>
                                                    <w:bottom w:val="none" w:sz="0" w:space="0" w:color="auto"/>
                                                    <w:right w:val="none" w:sz="0" w:space="0" w:color="auto"/>
                                                  </w:divBdr>
                                                  <w:divsChild>
                                                    <w:div w:id="1479497292">
                                                      <w:marLeft w:val="0"/>
                                                      <w:marRight w:val="0"/>
                                                      <w:marTop w:val="0"/>
                                                      <w:marBottom w:val="0"/>
                                                      <w:divBdr>
                                                        <w:top w:val="none" w:sz="0" w:space="0" w:color="auto"/>
                                                        <w:left w:val="none" w:sz="0" w:space="0" w:color="auto"/>
                                                        <w:bottom w:val="none" w:sz="0" w:space="0" w:color="auto"/>
                                                        <w:right w:val="none" w:sz="0" w:space="0" w:color="auto"/>
                                                      </w:divBdr>
                                                      <w:divsChild>
                                                        <w:div w:id="332688407">
                                                          <w:marLeft w:val="-225"/>
                                                          <w:marRight w:val="-225"/>
                                                          <w:marTop w:val="0"/>
                                                          <w:marBottom w:val="0"/>
                                                          <w:divBdr>
                                                            <w:top w:val="none" w:sz="0" w:space="0" w:color="auto"/>
                                                            <w:left w:val="none" w:sz="0" w:space="0" w:color="auto"/>
                                                            <w:bottom w:val="none" w:sz="0" w:space="0" w:color="auto"/>
                                                            <w:right w:val="none" w:sz="0" w:space="0" w:color="auto"/>
                                                          </w:divBdr>
                                                          <w:divsChild>
                                                            <w:div w:id="815562735">
                                                              <w:marLeft w:val="0"/>
                                                              <w:marRight w:val="0"/>
                                                              <w:marTop w:val="0"/>
                                                              <w:marBottom w:val="0"/>
                                                              <w:divBdr>
                                                                <w:top w:val="none" w:sz="0" w:space="0" w:color="auto"/>
                                                                <w:left w:val="none" w:sz="0" w:space="0" w:color="auto"/>
                                                                <w:bottom w:val="none" w:sz="0" w:space="0" w:color="auto"/>
                                                                <w:right w:val="none" w:sz="0" w:space="0" w:color="auto"/>
                                                              </w:divBdr>
                                                              <w:divsChild>
                                                                <w:div w:id="1813450714">
                                                                  <w:marLeft w:val="0"/>
                                                                  <w:marRight w:val="0"/>
                                                                  <w:marTop w:val="0"/>
                                                                  <w:marBottom w:val="0"/>
                                                                  <w:divBdr>
                                                                    <w:top w:val="none" w:sz="0" w:space="0" w:color="auto"/>
                                                                    <w:left w:val="none" w:sz="0" w:space="0" w:color="auto"/>
                                                                    <w:bottom w:val="none" w:sz="0" w:space="0" w:color="auto"/>
                                                                    <w:right w:val="none" w:sz="0" w:space="0" w:color="auto"/>
                                                                  </w:divBdr>
                                                                  <w:divsChild>
                                                                    <w:div w:id="1782532520">
                                                                      <w:marLeft w:val="0"/>
                                                                      <w:marRight w:val="0"/>
                                                                      <w:marTop w:val="0"/>
                                                                      <w:marBottom w:val="0"/>
                                                                      <w:divBdr>
                                                                        <w:top w:val="none" w:sz="0" w:space="0" w:color="auto"/>
                                                                        <w:left w:val="none" w:sz="0" w:space="0" w:color="auto"/>
                                                                        <w:bottom w:val="none" w:sz="0" w:space="0" w:color="auto"/>
                                                                        <w:right w:val="none" w:sz="0" w:space="0" w:color="auto"/>
                                                                      </w:divBdr>
                                                                    </w:div>
                                                                    <w:div w:id="9176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header" Target="header23.xml"/><Relationship Id="rId63" Type="http://schemas.openxmlformats.org/officeDocument/2006/relationships/footer" Target="footer26.xml"/><Relationship Id="rId68" Type="http://schemas.openxmlformats.org/officeDocument/2006/relationships/footer" Target="footer28.xml"/><Relationship Id="rId76" Type="http://schemas.openxmlformats.org/officeDocument/2006/relationships/header" Target="header33.xml"/><Relationship Id="rId84" Type="http://schemas.openxmlformats.org/officeDocument/2006/relationships/header" Target="header37.xml"/><Relationship Id="rId89" Type="http://schemas.openxmlformats.org/officeDocument/2006/relationships/footer" Target="footer39.xml"/><Relationship Id="rId7" Type="http://schemas.openxmlformats.org/officeDocument/2006/relationships/footnotes" Target="footnotes.xml"/><Relationship Id="rId71" Type="http://schemas.openxmlformats.org/officeDocument/2006/relationships/footer" Target="footer30.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chart" Target="charts/chart2.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footer" Target="footer31.xml"/><Relationship Id="rId79" Type="http://schemas.openxmlformats.org/officeDocument/2006/relationships/header" Target="header35.xml"/><Relationship Id="rId87" Type="http://schemas.openxmlformats.org/officeDocument/2006/relationships/footer" Target="footer38.xml"/><Relationship Id="rId5" Type="http://schemas.openxmlformats.org/officeDocument/2006/relationships/settings" Target="settings.xml"/><Relationship Id="rId61" Type="http://schemas.openxmlformats.org/officeDocument/2006/relationships/header" Target="header26.xml"/><Relationship Id="rId82" Type="http://schemas.openxmlformats.org/officeDocument/2006/relationships/header" Target="header36.xml"/><Relationship Id="rId90" Type="http://schemas.openxmlformats.org/officeDocument/2006/relationships/fontTable" Target="fontTable.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footer" Target="footer22.xml"/><Relationship Id="rId64" Type="http://schemas.openxmlformats.org/officeDocument/2006/relationships/header" Target="header27.xml"/><Relationship Id="rId69" Type="http://schemas.openxmlformats.org/officeDocument/2006/relationships/footer" Target="footer29.xml"/><Relationship Id="rId77" Type="http://schemas.openxmlformats.org/officeDocument/2006/relationships/footer" Target="footer33.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header" Target="header31.xml"/><Relationship Id="rId80" Type="http://schemas.openxmlformats.org/officeDocument/2006/relationships/footer" Target="footer34.xml"/><Relationship Id="rId85" Type="http://schemas.openxmlformats.org/officeDocument/2006/relationships/header" Target="header3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4.xml"/><Relationship Id="rId67" Type="http://schemas.openxmlformats.org/officeDocument/2006/relationships/header" Target="header29.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header" Target="header30.xml"/><Relationship Id="rId75" Type="http://schemas.openxmlformats.org/officeDocument/2006/relationships/footer" Target="footer32.xml"/><Relationship Id="rId83" Type="http://schemas.openxmlformats.org/officeDocument/2006/relationships/footer" Target="footer36.xml"/><Relationship Id="rId88" Type="http://schemas.openxmlformats.org/officeDocument/2006/relationships/header" Target="header39.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3.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chart" Target="charts/chart1.xml"/><Relationship Id="rId60" Type="http://schemas.openxmlformats.org/officeDocument/2006/relationships/header" Target="header25.xml"/><Relationship Id="rId65" Type="http://schemas.openxmlformats.org/officeDocument/2006/relationships/footer" Target="footer27.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5.xml"/><Relationship Id="rId86" Type="http://schemas.openxmlformats.org/officeDocument/2006/relationships/footer" Target="footer37.xml"/><Relationship Id="rId4" Type="http://schemas.microsoft.com/office/2007/relationships/stylesWithEffects" Target="stylesWithEffect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HR\B\DIR\Adviser%20TM%20Armani\03%20Geographical%20balance\Rapport%20Art%2027\Versions%20sans%20maximum\Liste%2013%20-%20%202017%2001%2001%20tool%20simulatio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HR\B\DIR\Adviser%20TM%20Armani\03%20Geographical%20balance\Rapport%20Art%2027\Versions%20sans%20maximum\Liste%2013%20-%20%202017%2001%2001%20tool%20simula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fr-FR" sz="1400" b="1" i="0" baseline="0">
                <a:effectLst/>
              </a:rPr>
              <a:t>Fonctionnaires britanniques AD hors encadrement par âge au 1.1.2017 (personnes)</a:t>
            </a:r>
          </a:p>
        </c:rich>
      </c:tx>
      <c:layout>
        <c:manualLayout>
          <c:xMode val="edge"/>
          <c:yMode val="edge"/>
          <c:x val="7.8674463937621841E-2"/>
          <c:y val="4.1666666666666664E-2"/>
        </c:manualLayout>
      </c:layout>
      <c:overlay val="0"/>
    </c:title>
    <c:autoTitleDeleted val="0"/>
    <c:plotArea>
      <c:layout/>
      <c:lineChart>
        <c:grouping val="standard"/>
        <c:varyColors val="0"/>
        <c:ser>
          <c:idx val="1"/>
          <c:order val="0"/>
          <c:tx>
            <c:strRef>
              <c:f>'UK worksheet'!$A$15</c:f>
              <c:strCache>
                <c:ptCount val="1"/>
                <c:pt idx="0">
                  <c:v>GBR</c:v>
                </c:pt>
              </c:strCache>
            </c:strRef>
          </c:tx>
          <c:marker>
            <c:symbol val="none"/>
          </c:marker>
          <c:cat>
            <c:numRef>
              <c:f>'UK worksheet'!$B$14:$AN$14</c:f>
              <c:numCache>
                <c:formatCode>0</c:formatCode>
                <c:ptCount val="39"/>
                <c:pt idx="0">
                  <c:v>25</c:v>
                </c:pt>
                <c:pt idx="1">
                  <c:v>27</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pt idx="26">
                  <c:v>53</c:v>
                </c:pt>
                <c:pt idx="27">
                  <c:v>54</c:v>
                </c:pt>
                <c:pt idx="28">
                  <c:v>55</c:v>
                </c:pt>
                <c:pt idx="29">
                  <c:v>56</c:v>
                </c:pt>
                <c:pt idx="30">
                  <c:v>57</c:v>
                </c:pt>
                <c:pt idx="31">
                  <c:v>58</c:v>
                </c:pt>
                <c:pt idx="32">
                  <c:v>59</c:v>
                </c:pt>
                <c:pt idx="33">
                  <c:v>60</c:v>
                </c:pt>
                <c:pt idx="34">
                  <c:v>61</c:v>
                </c:pt>
                <c:pt idx="35">
                  <c:v>62</c:v>
                </c:pt>
                <c:pt idx="36">
                  <c:v>63</c:v>
                </c:pt>
                <c:pt idx="37">
                  <c:v>64</c:v>
                </c:pt>
                <c:pt idx="38" formatCode="General">
                  <c:v>65</c:v>
                </c:pt>
              </c:numCache>
            </c:numRef>
          </c:cat>
          <c:val>
            <c:numRef>
              <c:f>'UK worksheet'!$B$15:$AN$15</c:f>
              <c:numCache>
                <c:formatCode>General</c:formatCode>
                <c:ptCount val="39"/>
                <c:pt idx="0">
                  <c:v>1</c:v>
                </c:pt>
                <c:pt idx="1">
                  <c:v>2</c:v>
                </c:pt>
                <c:pt idx="2">
                  <c:v>3</c:v>
                </c:pt>
                <c:pt idx="3">
                  <c:v>4</c:v>
                </c:pt>
                <c:pt idx="4">
                  <c:v>1</c:v>
                </c:pt>
                <c:pt idx="5">
                  <c:v>9</c:v>
                </c:pt>
                <c:pt idx="6">
                  <c:v>4</c:v>
                </c:pt>
                <c:pt idx="7">
                  <c:v>4</c:v>
                </c:pt>
                <c:pt idx="8">
                  <c:v>5</c:v>
                </c:pt>
                <c:pt idx="9">
                  <c:v>13</c:v>
                </c:pt>
                <c:pt idx="10">
                  <c:v>5</c:v>
                </c:pt>
                <c:pt idx="11">
                  <c:v>15</c:v>
                </c:pt>
                <c:pt idx="12">
                  <c:v>7</c:v>
                </c:pt>
                <c:pt idx="13">
                  <c:v>16</c:v>
                </c:pt>
                <c:pt idx="14">
                  <c:v>8</c:v>
                </c:pt>
                <c:pt idx="15">
                  <c:v>11</c:v>
                </c:pt>
                <c:pt idx="16">
                  <c:v>12</c:v>
                </c:pt>
                <c:pt idx="17">
                  <c:v>13</c:v>
                </c:pt>
                <c:pt idx="18">
                  <c:v>21</c:v>
                </c:pt>
                <c:pt idx="19">
                  <c:v>13</c:v>
                </c:pt>
                <c:pt idx="20">
                  <c:v>19</c:v>
                </c:pt>
                <c:pt idx="21">
                  <c:v>16</c:v>
                </c:pt>
                <c:pt idx="22">
                  <c:v>25</c:v>
                </c:pt>
                <c:pt idx="23">
                  <c:v>17</c:v>
                </c:pt>
                <c:pt idx="24">
                  <c:v>26</c:v>
                </c:pt>
                <c:pt idx="25">
                  <c:v>31</c:v>
                </c:pt>
                <c:pt idx="26">
                  <c:v>14</c:v>
                </c:pt>
                <c:pt idx="27">
                  <c:v>26</c:v>
                </c:pt>
                <c:pt idx="28">
                  <c:v>26</c:v>
                </c:pt>
                <c:pt idx="29">
                  <c:v>20</c:v>
                </c:pt>
                <c:pt idx="30">
                  <c:v>20</c:v>
                </c:pt>
                <c:pt idx="31">
                  <c:v>30</c:v>
                </c:pt>
                <c:pt idx="32">
                  <c:v>15</c:v>
                </c:pt>
                <c:pt idx="33">
                  <c:v>20</c:v>
                </c:pt>
                <c:pt idx="34">
                  <c:v>10</c:v>
                </c:pt>
                <c:pt idx="35">
                  <c:v>8</c:v>
                </c:pt>
                <c:pt idx="36">
                  <c:v>10</c:v>
                </c:pt>
                <c:pt idx="37">
                  <c:v>7</c:v>
                </c:pt>
                <c:pt idx="38">
                  <c:v>1</c:v>
                </c:pt>
              </c:numCache>
            </c:numRef>
          </c:val>
          <c:smooth val="0"/>
        </c:ser>
        <c:dLbls>
          <c:showLegendKey val="0"/>
          <c:showVal val="0"/>
          <c:showCatName val="0"/>
          <c:showSerName val="0"/>
          <c:showPercent val="0"/>
          <c:showBubbleSize val="0"/>
        </c:dLbls>
        <c:marker val="1"/>
        <c:smooth val="0"/>
        <c:axId val="135485312"/>
        <c:axId val="135486848"/>
      </c:lineChart>
      <c:catAx>
        <c:axId val="135485312"/>
        <c:scaling>
          <c:orientation val="minMax"/>
        </c:scaling>
        <c:delete val="0"/>
        <c:axPos val="b"/>
        <c:numFmt formatCode="0" sourceLinked="1"/>
        <c:majorTickMark val="out"/>
        <c:minorTickMark val="none"/>
        <c:tickLblPos val="nextTo"/>
        <c:txPr>
          <a:bodyPr/>
          <a:lstStyle/>
          <a:p>
            <a:pPr>
              <a:defRPr sz="900" b="1"/>
            </a:pPr>
            <a:endParaRPr lang="en-US"/>
          </a:p>
        </c:txPr>
        <c:crossAx val="135486848"/>
        <c:crosses val="autoZero"/>
        <c:auto val="1"/>
        <c:lblAlgn val="ctr"/>
        <c:lblOffset val="100"/>
        <c:noMultiLvlLbl val="0"/>
      </c:catAx>
      <c:valAx>
        <c:axId val="135486848"/>
        <c:scaling>
          <c:orientation val="minMax"/>
          <c:max val="32"/>
          <c:min val="0"/>
        </c:scaling>
        <c:delete val="0"/>
        <c:axPos val="l"/>
        <c:majorGridlines/>
        <c:numFmt formatCode="General" sourceLinked="1"/>
        <c:majorTickMark val="out"/>
        <c:minorTickMark val="none"/>
        <c:tickLblPos val="nextTo"/>
        <c:txPr>
          <a:bodyPr/>
          <a:lstStyle/>
          <a:p>
            <a:pPr>
              <a:defRPr sz="900" b="1"/>
            </a:pPr>
            <a:endParaRPr lang="en-US"/>
          </a:p>
        </c:txPr>
        <c:crossAx val="13548531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fr-FR"/>
              <a:t>Fonctionnaires britanniques AD hors encadrement par âge au 1.1.2017 (cumulé)</a:t>
            </a:r>
          </a:p>
        </c:rich>
      </c:tx>
      <c:layout>
        <c:manualLayout>
          <c:xMode val="edge"/>
          <c:yMode val="edge"/>
          <c:x val="0.11870741954249603"/>
          <c:y val="4.1666666666666664E-2"/>
        </c:manualLayout>
      </c:layout>
      <c:overlay val="0"/>
    </c:title>
    <c:autoTitleDeleted val="0"/>
    <c:plotArea>
      <c:layout/>
      <c:lineChart>
        <c:grouping val="standard"/>
        <c:varyColors val="0"/>
        <c:ser>
          <c:idx val="3"/>
          <c:order val="0"/>
          <c:tx>
            <c:strRef>
              <c:f>'UK worksheet'!$A$17</c:f>
              <c:strCache>
                <c:ptCount val="1"/>
                <c:pt idx="0">
                  <c:v>Cumulated presence %ge</c:v>
                </c:pt>
              </c:strCache>
            </c:strRef>
          </c:tx>
          <c:marker>
            <c:symbol val="none"/>
          </c:marker>
          <c:cat>
            <c:numRef>
              <c:f>'UK worksheet'!$B$14:$AN$14</c:f>
              <c:numCache>
                <c:formatCode>0</c:formatCode>
                <c:ptCount val="39"/>
                <c:pt idx="0">
                  <c:v>25</c:v>
                </c:pt>
                <c:pt idx="1">
                  <c:v>27</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pt idx="26">
                  <c:v>53</c:v>
                </c:pt>
                <c:pt idx="27">
                  <c:v>54</c:v>
                </c:pt>
                <c:pt idx="28">
                  <c:v>55</c:v>
                </c:pt>
                <c:pt idx="29">
                  <c:v>56</c:v>
                </c:pt>
                <c:pt idx="30">
                  <c:v>57</c:v>
                </c:pt>
                <c:pt idx="31">
                  <c:v>58</c:v>
                </c:pt>
                <c:pt idx="32">
                  <c:v>59</c:v>
                </c:pt>
                <c:pt idx="33">
                  <c:v>60</c:v>
                </c:pt>
                <c:pt idx="34">
                  <c:v>61</c:v>
                </c:pt>
                <c:pt idx="35">
                  <c:v>62</c:v>
                </c:pt>
                <c:pt idx="36">
                  <c:v>63</c:v>
                </c:pt>
                <c:pt idx="37">
                  <c:v>64</c:v>
                </c:pt>
                <c:pt idx="38" formatCode="General">
                  <c:v>65</c:v>
                </c:pt>
              </c:numCache>
            </c:numRef>
          </c:cat>
          <c:val>
            <c:numRef>
              <c:f>'UK worksheet'!$B$17:$AN$17</c:f>
              <c:numCache>
                <c:formatCode>0%</c:formatCode>
                <c:ptCount val="39"/>
                <c:pt idx="0">
                  <c:v>1.968503937007874E-3</c:v>
                </c:pt>
                <c:pt idx="1">
                  <c:v>5.905511811023622E-3</c:v>
                </c:pt>
                <c:pt idx="2">
                  <c:v>1.1811023622047244E-2</c:v>
                </c:pt>
                <c:pt idx="3">
                  <c:v>1.968503937007874E-2</c:v>
                </c:pt>
                <c:pt idx="4">
                  <c:v>2.1653543307086614E-2</c:v>
                </c:pt>
                <c:pt idx="5">
                  <c:v>3.937007874015748E-2</c:v>
                </c:pt>
                <c:pt idx="6">
                  <c:v>4.7244094488188976E-2</c:v>
                </c:pt>
                <c:pt idx="7">
                  <c:v>5.5118110236220472E-2</c:v>
                </c:pt>
                <c:pt idx="8">
                  <c:v>6.4960629921259838E-2</c:v>
                </c:pt>
                <c:pt idx="9">
                  <c:v>9.055118110236221E-2</c:v>
                </c:pt>
                <c:pt idx="10">
                  <c:v>0.10039370078740158</c:v>
                </c:pt>
                <c:pt idx="11">
                  <c:v>0.12992125984251968</c:v>
                </c:pt>
                <c:pt idx="12">
                  <c:v>0.1437007874015748</c:v>
                </c:pt>
                <c:pt idx="13">
                  <c:v>0.17519685039370078</c:v>
                </c:pt>
                <c:pt idx="14">
                  <c:v>0.19094488188976377</c:v>
                </c:pt>
                <c:pt idx="15">
                  <c:v>0.2125984251968504</c:v>
                </c:pt>
                <c:pt idx="16">
                  <c:v>0.23622047244094488</c:v>
                </c:pt>
                <c:pt idx="17">
                  <c:v>0.26181102362204722</c:v>
                </c:pt>
                <c:pt idx="18">
                  <c:v>0.30314960629921262</c:v>
                </c:pt>
                <c:pt idx="19">
                  <c:v>0.32874015748031499</c:v>
                </c:pt>
                <c:pt idx="20">
                  <c:v>0.36614173228346458</c:v>
                </c:pt>
                <c:pt idx="21">
                  <c:v>0.39763779527559057</c:v>
                </c:pt>
                <c:pt idx="22">
                  <c:v>0.44685039370078738</c:v>
                </c:pt>
                <c:pt idx="23">
                  <c:v>0.48031496062992124</c:v>
                </c:pt>
                <c:pt idx="24">
                  <c:v>0.53149606299212604</c:v>
                </c:pt>
                <c:pt idx="25">
                  <c:v>0.59251968503937003</c:v>
                </c:pt>
                <c:pt idx="26">
                  <c:v>0.62007874015748032</c:v>
                </c:pt>
                <c:pt idx="27">
                  <c:v>0.67125984251968507</c:v>
                </c:pt>
                <c:pt idx="28">
                  <c:v>0.72244094488188981</c:v>
                </c:pt>
                <c:pt idx="29">
                  <c:v>0.76181102362204722</c:v>
                </c:pt>
                <c:pt idx="30">
                  <c:v>0.80118110236220474</c:v>
                </c:pt>
                <c:pt idx="31">
                  <c:v>0.86023622047244097</c:v>
                </c:pt>
                <c:pt idx="32">
                  <c:v>0.88976377952755903</c:v>
                </c:pt>
                <c:pt idx="33">
                  <c:v>0.92913385826771655</c:v>
                </c:pt>
                <c:pt idx="34">
                  <c:v>0.94881889763779526</c:v>
                </c:pt>
                <c:pt idx="35">
                  <c:v>0.96456692913385822</c:v>
                </c:pt>
                <c:pt idx="36">
                  <c:v>0.98425196850393704</c:v>
                </c:pt>
                <c:pt idx="37">
                  <c:v>0.99803149606299213</c:v>
                </c:pt>
                <c:pt idx="38">
                  <c:v>1</c:v>
                </c:pt>
              </c:numCache>
            </c:numRef>
          </c:val>
          <c:smooth val="0"/>
        </c:ser>
        <c:dLbls>
          <c:showLegendKey val="0"/>
          <c:showVal val="0"/>
          <c:showCatName val="0"/>
          <c:showSerName val="0"/>
          <c:showPercent val="0"/>
          <c:showBubbleSize val="0"/>
        </c:dLbls>
        <c:marker val="1"/>
        <c:smooth val="0"/>
        <c:axId val="140336128"/>
        <c:axId val="140342016"/>
      </c:lineChart>
      <c:catAx>
        <c:axId val="140336128"/>
        <c:scaling>
          <c:orientation val="minMax"/>
        </c:scaling>
        <c:delete val="0"/>
        <c:axPos val="b"/>
        <c:numFmt formatCode="0" sourceLinked="1"/>
        <c:majorTickMark val="out"/>
        <c:minorTickMark val="none"/>
        <c:tickLblPos val="nextTo"/>
        <c:txPr>
          <a:bodyPr/>
          <a:lstStyle/>
          <a:p>
            <a:pPr>
              <a:defRPr sz="900" b="1"/>
            </a:pPr>
            <a:endParaRPr lang="en-US"/>
          </a:p>
        </c:txPr>
        <c:crossAx val="140342016"/>
        <c:crosses val="autoZero"/>
        <c:auto val="1"/>
        <c:lblAlgn val="ctr"/>
        <c:lblOffset val="100"/>
        <c:noMultiLvlLbl val="0"/>
      </c:catAx>
      <c:valAx>
        <c:axId val="140342016"/>
        <c:scaling>
          <c:orientation val="minMax"/>
          <c:max val="1"/>
        </c:scaling>
        <c:delete val="0"/>
        <c:axPos val="l"/>
        <c:majorGridlines/>
        <c:numFmt formatCode="0%" sourceLinked="1"/>
        <c:majorTickMark val="out"/>
        <c:minorTickMark val="none"/>
        <c:tickLblPos val="nextTo"/>
        <c:txPr>
          <a:bodyPr/>
          <a:lstStyle/>
          <a:p>
            <a:pPr>
              <a:defRPr sz="900" b="1"/>
            </a:pPr>
            <a:endParaRPr lang="en-US"/>
          </a:p>
        </c:txPr>
        <c:crossAx val="140336128"/>
        <c:crosses val="autoZero"/>
        <c:crossBetween val="between"/>
        <c:majorUnit val="0.2"/>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51A54-DCD4-4808-9F32-875D9C0E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46</Pages>
  <Words>15952</Words>
  <Characters>67572</Characters>
  <Application>Microsoft Office Word</Application>
  <DocSecurity>0</DocSecurity>
  <Lines>6872</Lines>
  <Paragraphs>5049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78798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WOJCIECHOWSKA Eliza (SG)</cp:lastModifiedBy>
  <cp:revision>19</cp:revision>
  <cp:lastPrinted>2018-08-01T08:40:00Z</cp:lastPrinted>
  <dcterms:created xsi:type="dcterms:W3CDTF">2018-08-01T09:25:00Z</dcterms:created>
  <dcterms:modified xsi:type="dcterms:W3CDTF">2018-08-24T12:51:00Z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