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A26B69-5605-42BC-8A3C-7C07206F3616" style="width:450.75pt;height:40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bookmarkStart w:id="1" w:name="_GoBack"/>
      <w:bookmarkEnd w:id="1"/>
      <w:r>
        <w:rPr>
          <w:rFonts w:ascii="Times New Roman" w:hAnsi="Times New Roman"/>
          <w:b/>
          <w:smallCaps/>
          <w:noProof/>
          <w:color w:val="000000"/>
          <w:sz w:val="24"/>
        </w:rPr>
        <w:lastRenderedPageBreak/>
        <w:t>Úvod</w:t>
      </w:r>
    </w:p>
    <w:p>
      <w:pPr>
        <w:spacing w:after="120" w:line="240" w:lineRule="auto"/>
        <w:jc w:val="both"/>
        <w:rPr>
          <w:rFonts w:ascii="Times New Roman" w:hAnsi="Times New Roman" w:cs="Times New Roman"/>
          <w:noProof/>
          <w:sz w:val="24"/>
          <w:szCs w:val="24"/>
        </w:rPr>
      </w:pPr>
      <w:r>
        <w:rPr>
          <w:rFonts w:ascii="Times New Roman" w:hAnsi="Times New Roman"/>
          <w:noProof/>
          <w:sz w:val="24"/>
        </w:rPr>
        <w:t>Správné nakládání s odpady je stavebním kamenem oběhového hospodářství a pomáhá předcházet negativním dopadům odpadů na životní prostředí a zdraví. Řádné provádění právních předpisů EU o odpadech</w:t>
      </w:r>
      <w:r>
        <w:rPr>
          <w:rFonts w:ascii="Times New Roman" w:hAnsi="Times New Roman"/>
          <w:i/>
          <w:noProof/>
          <w:sz w:val="24"/>
        </w:rPr>
        <w:t xml:space="preserve"> </w:t>
      </w:r>
      <w:r>
        <w:rPr>
          <w:rFonts w:ascii="Times New Roman" w:hAnsi="Times New Roman"/>
          <w:noProof/>
          <w:sz w:val="24"/>
        </w:rPr>
        <w:t>urychlí přechod k oběhovému hospodářství. Při nakládání s odpady hrají klíčovou roli místní aktéři a jejich zapojení do rozvoje a provádění politiky, jakož i podpora pro jejich činnosti jsou nezbytné pro zajištění souladu s právními předpisy EU.</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Tato zpráva přezkoumává provádění klíčových prvků těchto právních předpisů členskými státy, identifikuje problémy, které brání plnému souladu, a poskytuje doporučení, jak zlepšit nakládání s určitými toky odpadů. </w:t>
      </w:r>
    </w:p>
    <w:p>
      <w:pPr>
        <w:spacing w:after="120" w:line="240" w:lineRule="auto"/>
        <w:jc w:val="both"/>
        <w:rPr>
          <w:rFonts w:ascii="Times New Roman" w:hAnsi="Times New Roman" w:cs="Times New Roman"/>
          <w:noProof/>
          <w:sz w:val="24"/>
          <w:szCs w:val="24"/>
        </w:rPr>
      </w:pPr>
      <w:r>
        <w:rPr>
          <w:rFonts w:ascii="Times New Roman" w:hAnsi="Times New Roman"/>
          <w:noProof/>
          <w:sz w:val="24"/>
        </w:rPr>
        <w:t>Zpráva vychází z informací poskytnutých ve zprávách o provádění v právu členských států</w:t>
      </w:r>
      <w:r>
        <w:rPr>
          <w:rStyle w:val="FootnoteReference"/>
          <w:rFonts w:ascii="Times New Roman" w:hAnsi="Times New Roman"/>
          <w:noProof/>
          <w:sz w:val="24"/>
        </w:rPr>
        <w:footnoteReference w:id="1"/>
      </w:r>
      <w:r>
        <w:rPr>
          <w:rFonts w:ascii="Times New Roman" w:hAnsi="Times New Roman"/>
          <w:noProof/>
          <w:sz w:val="24"/>
        </w:rPr>
        <w:t xml:space="preserve"> v období let 2013–2015</w:t>
      </w:r>
      <w:r>
        <w:rPr>
          <w:rStyle w:val="FootnoteReference"/>
          <w:rFonts w:ascii="Times New Roman" w:hAnsi="Times New Roman"/>
          <w:noProof/>
          <w:sz w:val="24"/>
        </w:rPr>
        <w:footnoteReference w:id="2"/>
      </w:r>
      <w:r>
        <w:rPr>
          <w:rFonts w:ascii="Times New Roman" w:hAnsi="Times New Roman"/>
          <w:noProof/>
          <w:sz w:val="24"/>
        </w:rPr>
        <w:t xml:space="preserve"> týkajících se:</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směrnice 2008/98/ES o odpadech (dále jen „rámcová směrnice o odpadech“),</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směrnice 2002/96/ES a směrnice 2012/19/EU o odpadních elektrických a elektronických zařízeních (dále jen „směrnice OEEZ“),</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směrnice 94/62/ES o obalech a obalových odpadech (dále jen „směrnice o obalech“),</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směrnice 1999/31/ES o skládkách odpadů (dále jen „směrnice o skládkách“) a</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noProof/>
          <w:sz w:val="24"/>
        </w:rPr>
        <w:t>směrnice 86/278/EHS o kalech z čistíren odpadních vod (dále jen „směrnice o kalech z čistíren odpadních vod“)</w:t>
      </w:r>
      <w:r>
        <w:rPr>
          <w:rStyle w:val="FootnoteReference"/>
          <w:rFonts w:ascii="Times New Roman" w:hAnsi="Times New Roman"/>
          <w:noProof/>
          <w:sz w:val="24"/>
        </w:rPr>
        <w:footnoteReference w:id="3"/>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Tyto informace jsou doplněny nedávnými hloubkovými studiemi týkajícími se několika toků odpadů, konkrétně komunálního odpadu (studie včasného varování)</w:t>
      </w:r>
      <w:bookmarkStart w:id="2" w:name="_Ref510018215"/>
      <w:r>
        <w:rPr>
          <w:rStyle w:val="FootnoteReference"/>
          <w:rFonts w:ascii="Times New Roman" w:hAnsi="Times New Roman"/>
          <w:noProof/>
          <w:sz w:val="24"/>
        </w:rPr>
        <w:footnoteReference w:id="4"/>
      </w:r>
      <w:bookmarkStart w:id="3" w:name="_Ref510018573"/>
      <w:bookmarkEnd w:id="2"/>
      <w:r>
        <w:rPr>
          <w:rStyle w:val="FootnoteReference"/>
          <w:rFonts w:ascii="Times New Roman" w:hAnsi="Times New Roman"/>
          <w:noProof/>
          <w:sz w:val="24"/>
        </w:rPr>
        <w:t>,</w:t>
      </w:r>
      <w:bookmarkStart w:id="4" w:name="_Ref519504257"/>
      <w:r>
        <w:rPr>
          <w:rStyle w:val="FootnoteReference"/>
          <w:rFonts w:ascii="Times New Roman" w:hAnsi="Times New Roman"/>
          <w:noProof/>
          <w:sz w:val="24"/>
        </w:rPr>
        <w:footnoteReference w:id="5"/>
      </w:r>
      <w:bookmarkEnd w:id="3"/>
      <w:bookmarkEnd w:id="4"/>
      <w:r>
        <w:rPr>
          <w:rFonts w:ascii="Times New Roman" w:hAnsi="Times New Roman"/>
          <w:noProof/>
          <w:sz w:val="24"/>
        </w:rPr>
        <w:t>, stavebního a demoličního odpadu</w:t>
      </w:r>
      <w:r>
        <w:rPr>
          <w:rStyle w:val="FootnoteReference"/>
          <w:rFonts w:ascii="Times New Roman" w:hAnsi="Times New Roman"/>
          <w:i/>
          <w:noProof/>
          <w:sz w:val="24"/>
        </w:rPr>
        <w:footnoteReference w:id="6"/>
      </w:r>
      <w:r>
        <w:rPr>
          <w:rFonts w:ascii="Times New Roman" w:hAnsi="Times New Roman"/>
          <w:noProof/>
          <w:sz w:val="24"/>
        </w:rPr>
        <w:t>, nebezpečného odpadu</w:t>
      </w:r>
      <w:r>
        <w:rPr>
          <w:rStyle w:val="FootnoteReference"/>
          <w:rFonts w:ascii="Times New Roman" w:hAnsi="Times New Roman"/>
          <w:noProof/>
          <w:sz w:val="24"/>
        </w:rPr>
        <w:footnoteReference w:id="7"/>
      </w:r>
      <w:r>
        <w:rPr>
          <w:rFonts w:ascii="Times New Roman" w:hAnsi="Times New Roman"/>
          <w:noProof/>
          <w:sz w:val="24"/>
        </w:rPr>
        <w:t xml:space="preserve"> a odpadních elektrických a elektronických zařízení</w:t>
      </w:r>
      <w:r>
        <w:rPr>
          <w:rStyle w:val="FootnoteReference"/>
          <w:rFonts w:ascii="Times New Roman" w:hAnsi="Times New Roman"/>
          <w:noProof/>
          <w:sz w:val="24"/>
        </w:rPr>
        <w:footnoteReference w:id="8"/>
      </w:r>
      <w:r>
        <w:rPr>
          <w:rFonts w:ascii="Times New Roman" w:hAnsi="Times New Roman"/>
          <w:noProof/>
          <w:sz w:val="24"/>
        </w:rPr>
        <w:t>.</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Komunální odpad – zpráva včasného varování</w:t>
      </w:r>
    </w:p>
    <w:p>
      <w:pPr>
        <w:spacing w:after="120" w:line="240" w:lineRule="auto"/>
        <w:jc w:val="both"/>
        <w:rPr>
          <w:rFonts w:ascii="Times New Roman" w:hAnsi="Times New Roman" w:cs="Times New Roman"/>
          <w:noProof/>
          <w:sz w:val="24"/>
          <w:szCs w:val="24"/>
        </w:rPr>
      </w:pPr>
      <w:r>
        <w:rPr>
          <w:rFonts w:ascii="Times New Roman" w:hAnsi="Times New Roman"/>
          <w:noProof/>
          <w:sz w:val="24"/>
        </w:rPr>
        <w:t>V roce 2016 Evropané vyprodukovali průměrně 480 kg komunálního odpadu na osobu, přičemž 46 % tohoto odpadu bylo recyklováno nebo zkompostováno a čtvrtina byla uložena na skládku</w:t>
      </w:r>
      <w:r>
        <w:rPr>
          <w:rStyle w:val="FootnoteReference"/>
          <w:rFonts w:ascii="Times New Roman" w:hAnsi="Times New Roman"/>
          <w:noProof/>
          <w:sz w:val="24"/>
        </w:rPr>
        <w:footnoteReference w:id="9"/>
      </w:r>
      <w:r>
        <w:rPr>
          <w:rFonts w:ascii="Times New Roman" w:hAnsi="Times New Roman"/>
          <w:noProof/>
          <w:sz w:val="24"/>
        </w:rPr>
        <w:t>. Komunální odpad představuje pouze přibližně 10 % celkového odpadu vzniklého v EU, ale vzhledem k jeho rozmanitému složení, velkému množství jeho producentů a roztříštění odpovědnosti se z hlediska nakládání jedná o jeden z nejkomplexnějších toků.</w:t>
      </w:r>
    </w:p>
    <w:p>
      <w:pPr>
        <w:spacing w:after="120" w:line="240" w:lineRule="auto"/>
        <w:jc w:val="both"/>
        <w:rPr>
          <w:rFonts w:ascii="Times New Roman" w:hAnsi="Times New Roman" w:cs="Times New Roman"/>
          <w:noProof/>
          <w:sz w:val="24"/>
          <w:szCs w:val="24"/>
        </w:rPr>
      </w:pPr>
      <w:r>
        <w:rPr>
          <w:rFonts w:ascii="Times New Roman" w:hAnsi="Times New Roman"/>
          <w:noProof/>
          <w:sz w:val="24"/>
        </w:rPr>
        <w:t>Právní povinnosti týkající se nakládání s komunálním odpadem (odpad z domácností a podobný odpad) jsou stanoveny v rámcové směrnici o odpadech. Tyto povinnosti zahrnují cíl zvýšit do roku 2020 úroveň přípravy k opětovnému použití / recyklace komunálního odpadu na 50 %</w:t>
      </w:r>
      <w:r>
        <w:rPr>
          <w:rStyle w:val="FootnoteReference"/>
          <w:rFonts w:ascii="Times New Roman" w:hAnsi="Times New Roman"/>
          <w:noProof/>
          <w:sz w:val="24"/>
        </w:rPr>
        <w:footnoteReference w:id="10"/>
      </w:r>
      <w:r>
        <w:rPr>
          <w:rFonts w:ascii="Times New Roman" w:hAnsi="Times New Roman"/>
          <w:noProof/>
          <w:sz w:val="24"/>
        </w:rPr>
        <w:t>. Tato směrnice byla nedávno revidována</w:t>
      </w:r>
      <w:r>
        <w:rPr>
          <w:rStyle w:val="FootnoteReference"/>
          <w:rFonts w:ascii="Times New Roman" w:hAnsi="Times New Roman"/>
          <w:noProof/>
          <w:sz w:val="24"/>
        </w:rPr>
        <w:footnoteReference w:id="11"/>
      </w:r>
      <w:r>
        <w:rPr>
          <w:rFonts w:ascii="Times New Roman" w:hAnsi="Times New Roman"/>
          <w:noProof/>
          <w:sz w:val="24"/>
        </w:rPr>
        <w:t>, aby zahrnovala nové a ambicióznější cíle: 55 %, jichž má být dosaženo do roku 2025, 60 % do roku 2030 a 65 % do roku 2035</w:t>
      </w:r>
      <w:r>
        <w:rPr>
          <w:rStyle w:val="FootnoteReference"/>
          <w:rFonts w:ascii="Times New Roman" w:hAnsi="Times New Roman"/>
          <w:noProof/>
          <w:sz w:val="24"/>
        </w:rPr>
        <w:footnoteReference w:id="12"/>
      </w:r>
      <w:r>
        <w:rPr>
          <w:rFonts w:ascii="Times New Roman" w:hAnsi="Times New Roman"/>
          <w:noProof/>
          <w:sz w:val="24"/>
        </w:rPr>
        <w:t>. Revidovaná směrnice rovněž zavádí systém zpráv včasného varování za účelem posouzení pokroku členských států při dosahování těchto cílů tři roky před příslušnými lhůtami.</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S ohledem na tento nastávající systém a s cílem pomoci členským státům splnit cíl pro rok 2020 Komise již provedla svou první studii včasného varování</w:t>
      </w:r>
      <w:r>
        <w:rPr>
          <w:rStyle w:val="FootnoteReference"/>
          <w:rFonts w:ascii="Times New Roman" w:hAnsi="Times New Roman"/>
          <w:noProof/>
          <w:sz w:val="24"/>
        </w:rPr>
        <w:footnoteReference w:id="13"/>
      </w:r>
      <w:r>
        <w:rPr>
          <w:rFonts w:ascii="Times New Roman" w:hAnsi="Times New Roman"/>
          <w:noProof/>
          <w:sz w:val="24"/>
        </w:rPr>
        <w:t xml:space="preserve">. Na základě hloubkového přezkumu výsledků členských států v oblasti recyklace a jejich odpadových politik bylo zjištěno, že </w:t>
      </w:r>
      <w:r>
        <w:rPr>
          <w:rFonts w:ascii="Times New Roman" w:hAnsi="Times New Roman"/>
          <w:b/>
          <w:noProof/>
          <w:sz w:val="24"/>
        </w:rPr>
        <w:t>14 členským státům hrozí, že 50% cíl do roku 2020 nesplní</w:t>
      </w:r>
      <w:r>
        <w:rPr>
          <w:rStyle w:val="FootnoteReference"/>
          <w:rFonts w:ascii="Times New Roman" w:hAnsi="Times New Roman"/>
          <w:noProof/>
          <w:sz w:val="24"/>
        </w:rPr>
        <w:footnoteReference w:id="14"/>
      </w:r>
      <w:r>
        <w:rPr>
          <w:rFonts w:ascii="Times New Roman" w:hAnsi="Times New Roman"/>
          <w:b/>
          <w:noProof/>
          <w:sz w:val="24"/>
        </w:rPr>
        <w:t xml:space="preserve">. </w:t>
      </w:r>
      <w:r>
        <w:rPr>
          <w:rFonts w:ascii="Times New Roman" w:hAnsi="Times New Roman"/>
          <w:noProof/>
          <w:sz w:val="24"/>
        </w:rPr>
        <w:t xml:space="preserve">Jedná se o: </w:t>
      </w:r>
      <w:r>
        <w:rPr>
          <w:rFonts w:ascii="Times New Roman" w:hAnsi="Times New Roman"/>
          <w:b/>
          <w:noProof/>
          <w:sz w:val="24"/>
        </w:rPr>
        <w:t>Bulharsko, Estonsko, Finsko, Chorvatsko, Kypr, Lotyšsko, Maďarsko, Maltu, Polsko, Portugalsko, Rumunsko, Řecko, Slovensko a Španělsko</w:t>
      </w:r>
      <w:r>
        <w:rPr>
          <w:rFonts w:ascii="Times New Roman" w:hAnsi="Times New Roman"/>
          <w:noProof/>
          <w:sz w:val="24"/>
        </w:rPr>
        <w:t>.</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Modelace scénářů provedená za tímto účelem</w:t>
      </w:r>
      <w:r>
        <w:rPr>
          <w:rStyle w:val="FootnoteReference"/>
          <w:rFonts w:ascii="Times New Roman" w:hAnsi="Times New Roman"/>
          <w:noProof/>
          <w:sz w:val="24"/>
        </w:rPr>
        <w:footnoteReference w:id="15"/>
      </w:r>
      <w:r>
        <w:rPr>
          <w:rFonts w:ascii="Times New Roman" w:hAnsi="Times New Roman"/>
          <w:noProof/>
          <w:sz w:val="24"/>
        </w:rPr>
        <w:t xml:space="preserve"> toto potvrdila a dospěla k závěru, že pokud nebude přijato žádné další politické opatření, některé z dotčených členských států 50% cíl pravděpodobně nesplní ani do roku 2025.</w:t>
      </w:r>
    </w:p>
    <w:p>
      <w:pPr>
        <w:spacing w:before="240" w:after="120" w:line="240"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V závislosti na konkrétních problémech a potřebách každého členského státu a jeho vzdálenosti od cíle pro rok 2020 byla prostřednictvím procesu, do něhož byly úzce zapojeny vnitrostátní orgány, identifikována </w:t>
      </w:r>
      <w:r>
        <w:rPr>
          <w:rFonts w:ascii="Times New Roman" w:eastAsiaTheme="majorEastAsia" w:hAnsi="Times New Roman"/>
          <w:b/>
          <w:noProof/>
          <w:sz w:val="24"/>
        </w:rPr>
        <w:t xml:space="preserve">opatření </w:t>
      </w:r>
      <w:r>
        <w:rPr>
          <w:rFonts w:ascii="Times New Roman" w:eastAsiaTheme="majorEastAsia" w:hAnsi="Times New Roman"/>
          <w:noProof/>
          <w:sz w:val="24"/>
        </w:rPr>
        <w:t>pro jednotlivé země určená k zacelení mezery. Posouzení včasného varování obsažené v této zprávě vychází rovněž z předchozích opatření na podporu dodržování předpisů</w:t>
      </w:r>
      <w:r>
        <w:rPr>
          <w:rStyle w:val="FootnoteReference"/>
          <w:rFonts w:ascii="Times New Roman" w:eastAsiaTheme="majorEastAsia" w:hAnsi="Times New Roman"/>
          <w:noProof/>
          <w:sz w:val="24"/>
        </w:rPr>
        <w:footnoteReference w:id="16"/>
      </w:r>
      <w:r>
        <w:rPr>
          <w:rFonts w:ascii="Times New Roman" w:eastAsiaTheme="majorEastAsia" w:hAnsi="Times New Roman"/>
          <w:noProof/>
          <w:sz w:val="24"/>
        </w:rPr>
        <w:t xml:space="preserve"> provedených Komisí ve spolupráci s členskými státy. Budou-li doporučená opatření vnitrostátními a místními orgány </w:t>
      </w:r>
      <w:r>
        <w:rPr>
          <w:rFonts w:ascii="Times New Roman" w:eastAsiaTheme="majorEastAsia" w:hAnsi="Times New Roman"/>
          <w:b/>
          <w:noProof/>
          <w:sz w:val="24"/>
        </w:rPr>
        <w:t>provedena rychle</w:t>
      </w:r>
      <w:r>
        <w:rPr>
          <w:rFonts w:ascii="Times New Roman" w:eastAsiaTheme="majorEastAsia" w:hAnsi="Times New Roman"/>
          <w:noProof/>
          <w:sz w:val="24"/>
        </w:rPr>
        <w:t>, významně sníží riziko, že cíle nebudou splněny. Tato opatření jsou nastíněna v pracovních dokumentech útvarů Komise připojených k této zprávě. Lze rovněž identifikovat řadu odpovídajících společných priorit.</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Rámeček č. 1: nakládání s komunálním odpadem</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b/>
                <w:noProof/>
                <w:sz w:val="24"/>
              </w:rPr>
              <w:t xml:space="preserve">Snižte vnitrostátní cíle v oblasti recyklace na místní úroveň </w:t>
            </w:r>
            <w:r>
              <w:rPr>
                <w:rFonts w:ascii="Times New Roman" w:eastAsiaTheme="majorEastAsia" w:hAnsi="Times New Roman"/>
                <w:noProof/>
                <w:sz w:val="24"/>
              </w:rPr>
              <w:t xml:space="preserve">odpovědnou za systémy sběru odpadu a zajistěte, že </w:t>
            </w:r>
            <w:r>
              <w:rPr>
                <w:rFonts w:ascii="Times New Roman" w:eastAsiaTheme="majorEastAsia" w:hAnsi="Times New Roman"/>
                <w:b/>
                <w:noProof/>
                <w:sz w:val="24"/>
              </w:rPr>
              <w:t>obce, které tyto cíle nesplní, ponesou důsledky</w:t>
            </w:r>
            <w:r>
              <w:rPr>
                <w:rFonts w:ascii="Times New Roman" w:eastAsiaTheme="majorEastAsia" w:hAnsi="Times New Roman"/>
                <w:noProof/>
                <w:sz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Zaveďte opatření (včetně daní), jejichž cílem je</w:t>
            </w:r>
            <w:r>
              <w:rPr>
                <w:rFonts w:ascii="Times New Roman" w:eastAsiaTheme="majorEastAsia" w:hAnsi="Times New Roman"/>
                <w:b/>
                <w:noProof/>
                <w:sz w:val="24"/>
              </w:rPr>
              <w:t xml:space="preserve"> postupné odstranění skládek a dalších forem zpracování zbytkového odpadu</w:t>
            </w:r>
            <w:r>
              <w:rPr>
                <w:rFonts w:ascii="Times New Roman" w:eastAsiaTheme="majorEastAsia" w:hAnsi="Times New Roman"/>
                <w:noProof/>
                <w:sz w:val="24"/>
              </w:rPr>
              <w:t xml:space="preserve"> (např. mechanicko-biologické zpracování a spalování), abyste zajistili ekonomické pobídky na podporu hierarchie způsobů nakládání s odpady</w:t>
            </w:r>
            <w:r>
              <w:rPr>
                <w:rStyle w:val="FootnoteReference"/>
                <w:rFonts w:ascii="Times New Roman" w:eastAsiaTheme="majorEastAsia" w:hAnsi="Times New Roman"/>
                <w:noProof/>
                <w:sz w:val="24"/>
              </w:rPr>
              <w:footnoteReference w:id="17"/>
            </w:r>
            <w:r>
              <w:rPr>
                <w:rFonts w:ascii="Times New Roman" w:eastAsiaTheme="majorEastAsia" w:hAnsi="Times New Roman"/>
                <w:noProof/>
                <w:sz w:val="24"/>
              </w:rPr>
              <w:t>.</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Ve spolupráci s místními a regionálními orgány vypracujte pokyny pro obce, a to ve formě </w:t>
            </w:r>
            <w:r>
              <w:rPr>
                <w:rFonts w:ascii="Times New Roman" w:eastAsiaTheme="majorEastAsia" w:hAnsi="Times New Roman"/>
                <w:b/>
                <w:noProof/>
                <w:sz w:val="24"/>
              </w:rPr>
              <w:t>minimálních standardů služeb pro tříděný sběr odpadu</w:t>
            </w:r>
            <w:r>
              <w:rPr>
                <w:rFonts w:ascii="Times New Roman" w:eastAsiaTheme="majorEastAsia" w:hAnsi="Times New Roman"/>
                <w:noProof/>
                <w:sz w:val="24"/>
              </w:rPr>
              <w:t xml:space="preserve">. Zorganizujte </w:t>
            </w:r>
            <w:r>
              <w:rPr>
                <w:rFonts w:ascii="Times New Roman" w:eastAsiaTheme="majorEastAsia" w:hAnsi="Times New Roman"/>
                <w:b/>
                <w:noProof/>
                <w:sz w:val="24"/>
              </w:rPr>
              <w:t>programy technické podpory a budování kapacit</w:t>
            </w:r>
            <w:r>
              <w:rPr>
                <w:rFonts w:ascii="Times New Roman" w:eastAsiaTheme="majorEastAsia" w:hAnsi="Times New Roman"/>
                <w:noProof/>
                <w:sz w:val="24"/>
              </w:rPr>
              <w:t xml:space="preserve"> na vnitrostátní úrovni určené </w:t>
            </w:r>
            <w:r>
              <w:rPr>
                <w:rFonts w:ascii="Times New Roman" w:eastAsiaTheme="majorEastAsia" w:hAnsi="Times New Roman"/>
                <w:b/>
                <w:noProof/>
                <w:sz w:val="24"/>
              </w:rPr>
              <w:t>obcím</w:t>
            </w:r>
            <w:r>
              <w:rPr>
                <w:rFonts w:ascii="Times New Roman" w:eastAsiaTheme="majorEastAsia" w:hAnsi="Times New Roman"/>
                <w:noProof/>
                <w:sz w:val="24"/>
              </w:rPr>
              <w:t>.</w:t>
            </w:r>
            <w:r>
              <w:rPr>
                <w:rFonts w:ascii="Times New Roman" w:eastAsiaTheme="majorEastAsia" w:hAnsi="Times New Roman"/>
                <w:b/>
                <w:noProof/>
                <w:sz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Zaveďte </w:t>
            </w:r>
            <w:r>
              <w:rPr>
                <w:rFonts w:ascii="Times New Roman" w:eastAsiaTheme="majorEastAsia" w:hAnsi="Times New Roman"/>
                <w:b/>
                <w:noProof/>
                <w:sz w:val="24"/>
              </w:rPr>
              <w:t xml:space="preserve">povinné požadavky na třídění biologického odpadu </w:t>
            </w:r>
            <w:r>
              <w:rPr>
                <w:rFonts w:ascii="Times New Roman" w:eastAsiaTheme="majorEastAsia" w:hAnsi="Times New Roman"/>
                <w:noProof/>
                <w:sz w:val="24"/>
              </w:rPr>
              <w:t xml:space="preserve">a zajistěte, aby plánovaná nebo existující infrastruktura pro zpracování odpadů odpovídala systémům sběru odpadu.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Podpořte </w:t>
            </w:r>
            <w:r>
              <w:rPr>
                <w:rFonts w:ascii="Times New Roman" w:eastAsiaTheme="majorEastAsia" w:hAnsi="Times New Roman"/>
                <w:b/>
                <w:noProof/>
                <w:sz w:val="24"/>
              </w:rPr>
              <w:t>spolupráci mezi obcemi</w:t>
            </w:r>
            <w:r>
              <w:rPr>
                <w:rFonts w:ascii="Times New Roman" w:eastAsiaTheme="majorEastAsia" w:hAnsi="Times New Roman"/>
                <w:noProof/>
                <w:sz w:val="24"/>
              </w:rPr>
              <w:t>, pokud jde o plánování infrastruktury a/nebo přidělování zakázek na služby, aby byla zajištěna rozsahová účinnost a sdílení finanční zátěže.</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b/>
                <w:noProof/>
                <w:sz w:val="24"/>
              </w:rPr>
              <w:t>Zlepšete systémy rozšířené odpovědnosti výrobce</w:t>
            </w:r>
            <w:r>
              <w:rPr>
                <w:rFonts w:ascii="Times New Roman" w:eastAsiaTheme="majorEastAsia" w:hAnsi="Times New Roman"/>
                <w:noProof/>
                <w:sz w:val="24"/>
              </w:rPr>
              <w:t>, a to alespoň v souladu s obecnými minimálními požadavky stanovenými v revidované rámcové směrnici o odpadech.</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Zaveďte </w:t>
            </w:r>
            <w:r>
              <w:rPr>
                <w:rFonts w:ascii="Times New Roman" w:eastAsiaTheme="majorEastAsia" w:hAnsi="Times New Roman"/>
                <w:b/>
                <w:noProof/>
                <w:sz w:val="24"/>
              </w:rPr>
              <w:t>opatření na podporu domácností</w:t>
            </w:r>
            <w:r>
              <w:rPr>
                <w:rFonts w:ascii="Times New Roman" w:eastAsiaTheme="majorEastAsia" w:hAnsi="Times New Roman"/>
                <w:noProof/>
                <w:sz w:val="24"/>
              </w:rPr>
              <w:t xml:space="preserve"> v třídění odpadu, a to včetně vyšší frekvence sběru pro tříděné toky odpadů ve srovnání s frekvencemi pro směsný odpad.</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b/>
                <w:noProof/>
                <w:sz w:val="24"/>
              </w:rPr>
              <w:t>Zlepšete monitorování a podávání zpráv,</w:t>
            </w:r>
            <w:r>
              <w:rPr>
                <w:rFonts w:ascii="Times New Roman" w:eastAsiaTheme="majorEastAsia" w:hAnsi="Times New Roman"/>
                <w:noProof/>
                <w:sz w:val="24"/>
              </w:rPr>
              <w:t xml:space="preserve"> a to i zajištěním, že údaje jsou získávány na místní úrovni.</w:t>
            </w:r>
          </w:p>
          <w:p>
            <w:pPr>
              <w:pStyle w:val="ListParagraph"/>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noProof/>
                <w:sz w:val="24"/>
              </w:rPr>
              <w:t xml:space="preserve">Účinněji využívejte finanční prostředky EU na rozvoj infrastruktur pro nakládání s odpadem tak, aby spolufinancování </w:t>
            </w:r>
            <w:r>
              <w:rPr>
                <w:rFonts w:ascii="Times New Roman" w:eastAsiaTheme="majorEastAsia" w:hAnsi="Times New Roman"/>
                <w:b/>
                <w:noProof/>
                <w:sz w:val="24"/>
              </w:rPr>
              <w:t>podporovalo předcházení vzniku odpadů, opětovné použití a recyklaci.</w:t>
            </w:r>
          </w:p>
        </w:tc>
      </w:tr>
    </w:tbl>
    <w:p>
      <w:pPr>
        <w:pStyle w:val="ListParagraph"/>
        <w:spacing w:after="120" w:line="240" w:lineRule="auto"/>
        <w:jc w:val="both"/>
        <w:rPr>
          <w:rFonts w:ascii="Times New Roman" w:hAnsi="Times New Roman" w:cs="Times New Roman"/>
          <w:noProof/>
          <w:sz w:val="24"/>
          <w:szCs w:val="24"/>
        </w:rPr>
      </w:pP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Stavební a demoliční odpad</w:t>
      </w:r>
    </w:p>
    <w:p>
      <w:pPr>
        <w:spacing w:after="120" w:line="240" w:lineRule="auto"/>
        <w:jc w:val="both"/>
        <w:rPr>
          <w:rFonts w:ascii="Times New Roman" w:hAnsi="Times New Roman" w:cs="Times New Roman"/>
          <w:noProof/>
          <w:sz w:val="24"/>
          <w:szCs w:val="24"/>
        </w:rPr>
      </w:pPr>
      <w:r>
        <w:rPr>
          <w:rFonts w:ascii="Times New Roman" w:hAnsi="Times New Roman"/>
          <w:noProof/>
          <w:sz w:val="24"/>
        </w:rPr>
        <w:t>Stavební a demoliční odpad je dle hmotnosti největším tokem odpadů v EU, přičemž představuje více než 800 milionů tun ročně, tj. přibližně 32 % celkového vzniklého odpadu</w:t>
      </w:r>
      <w:r>
        <w:rPr>
          <w:rStyle w:val="FootnoteReference"/>
          <w:rFonts w:ascii="Times New Roman" w:hAnsi="Times New Roman"/>
          <w:noProof/>
          <w:sz w:val="24"/>
        </w:rPr>
        <w:footnoteReference w:id="18"/>
      </w:r>
      <w:r>
        <w:rPr>
          <w:noProof/>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V nakládání s tímto tokem existuje velký potenciál pro zlepšení hospodárnosti využívání zdrojů. Tento odpad je tvořen směsí různých materiálů včetně inertních, neinertních nebezpečných odpadů a odpadů, které nejsou klasifikovány jako nebezpečné. Skládá se zejména z minerálních složek (cihly, dlaždice, beton atd.), které jsou relativně těžké a snadno recyklovatelné, mají však nízkou hodnotu. Obsahuje rovněž materiály s kladnou tržní hodnotou (kovy) nebo s potenciální hodnotou, bude-li sběr složek tříděný a budou-li složky čisté (jako například plasty).</w:t>
      </w:r>
    </w:p>
    <w:p>
      <w:pPr>
        <w:spacing w:after="120" w:line="240" w:lineRule="auto"/>
        <w:jc w:val="both"/>
        <w:rPr>
          <w:rFonts w:ascii="Times New Roman" w:hAnsi="Times New Roman" w:cs="Times New Roman"/>
          <w:noProof/>
          <w:sz w:val="24"/>
          <w:szCs w:val="24"/>
        </w:rPr>
      </w:pPr>
      <w:r>
        <w:rPr>
          <w:rFonts w:ascii="Times New Roman" w:hAnsi="Times New Roman"/>
          <w:noProof/>
          <w:sz w:val="24"/>
        </w:rPr>
        <w:t>Rámcová směrnice o odpadech</w:t>
      </w:r>
      <w:r>
        <w:rPr>
          <w:rStyle w:val="FootnoteReference"/>
          <w:rFonts w:ascii="Times New Roman" w:hAnsi="Times New Roman"/>
          <w:noProof/>
          <w:sz w:val="24"/>
        </w:rPr>
        <w:footnoteReference w:id="19"/>
      </w:r>
      <w:r>
        <w:rPr>
          <w:rFonts w:ascii="Times New Roman" w:hAnsi="Times New Roman"/>
          <w:noProof/>
          <w:sz w:val="24"/>
        </w:rPr>
        <w:t xml:space="preserve"> stanoví pro tento tok odpadu </w:t>
      </w:r>
      <w:r>
        <w:rPr>
          <w:rFonts w:ascii="Times New Roman" w:hAnsi="Times New Roman"/>
          <w:b/>
          <w:noProof/>
          <w:sz w:val="24"/>
        </w:rPr>
        <w:t>cíl zvýšit do roku 2020 úroveň přípravy k opětovnému použití, recyklace a jiných druhů materiálového využití na 70 % hmotnosti</w:t>
      </w:r>
      <w:r>
        <w:rPr>
          <w:rFonts w:ascii="Times New Roman" w:hAnsi="Times New Roman"/>
          <w:noProof/>
          <w:sz w:val="24"/>
        </w:rPr>
        <w:t xml:space="preserve">. Výsledky členských států se významně liší, přičemž více než polovina členských států uvádí, že cíl pro rok 2020 splnily již v období let 2013–2015, a některé státy dokonce dosáhly více než 90% využití. </w:t>
      </w:r>
      <w:r>
        <w:rPr>
          <w:rFonts w:ascii="Times New Roman" w:hAnsi="Times New Roman"/>
          <w:b/>
          <w:noProof/>
          <w:sz w:val="24"/>
        </w:rPr>
        <w:t>Kypr,</w:t>
      </w:r>
      <w:r>
        <w:rPr>
          <w:rFonts w:ascii="Times New Roman" w:hAnsi="Times New Roman"/>
          <w:noProof/>
          <w:sz w:val="24"/>
        </w:rPr>
        <w:t xml:space="preserve"> </w:t>
      </w:r>
      <w:r>
        <w:rPr>
          <w:rFonts w:ascii="Times New Roman" w:hAnsi="Times New Roman"/>
          <w:b/>
          <w:noProof/>
          <w:sz w:val="24"/>
        </w:rPr>
        <w:t>Řecko</w:t>
      </w:r>
      <w:r>
        <w:rPr>
          <w:rFonts w:ascii="Times New Roman" w:hAnsi="Times New Roman"/>
          <w:noProof/>
          <w:sz w:val="24"/>
        </w:rPr>
        <w:t xml:space="preserve">, </w:t>
      </w:r>
      <w:r>
        <w:rPr>
          <w:rFonts w:ascii="Times New Roman" w:hAnsi="Times New Roman"/>
          <w:b/>
          <w:noProof/>
          <w:sz w:val="24"/>
        </w:rPr>
        <w:t>Slovensko</w:t>
      </w:r>
      <w:r>
        <w:rPr>
          <w:rFonts w:ascii="Times New Roman" w:hAnsi="Times New Roman"/>
          <w:noProof/>
          <w:sz w:val="24"/>
        </w:rPr>
        <w:t xml:space="preserve"> a </w:t>
      </w:r>
      <w:r>
        <w:rPr>
          <w:rFonts w:ascii="Times New Roman" w:hAnsi="Times New Roman"/>
          <w:b/>
          <w:noProof/>
          <w:sz w:val="24"/>
        </w:rPr>
        <w:t xml:space="preserve">Švédsko </w:t>
      </w:r>
      <w:r>
        <w:rPr>
          <w:rFonts w:ascii="Times New Roman" w:hAnsi="Times New Roman"/>
          <w:noProof/>
          <w:sz w:val="24"/>
        </w:rPr>
        <w:t>se však stále nacházejí pod 60 %</w:t>
      </w:r>
      <w:r>
        <w:rPr>
          <w:rStyle w:val="FootnoteReference"/>
          <w:rFonts w:ascii="Times New Roman" w:hAnsi="Times New Roman"/>
          <w:noProof/>
          <w:sz w:val="24"/>
        </w:rPr>
        <w:footnoteReference w:id="20"/>
      </w:r>
      <w:r>
        <w:rPr>
          <w:rFonts w:ascii="Times New Roman" w:hAnsi="Times New Roman"/>
          <w:noProof/>
          <w:sz w:val="24"/>
        </w:rPr>
        <w:t>. Ohledně údajů uvedených některými členskými státy stále panuje určitá nejistota.</w:t>
      </w:r>
    </w:p>
    <w:p>
      <w:pPr>
        <w:spacing w:after="120" w:line="240" w:lineRule="auto"/>
        <w:jc w:val="both"/>
        <w:rPr>
          <w:rFonts w:ascii="Times New Roman" w:hAnsi="Times New Roman" w:cs="Times New Roman"/>
          <w:noProof/>
          <w:sz w:val="24"/>
          <w:szCs w:val="24"/>
        </w:rPr>
      </w:pPr>
      <w:r>
        <w:rPr>
          <w:rFonts w:ascii="Times New Roman" w:hAnsi="Times New Roman"/>
          <w:noProof/>
          <w:sz w:val="24"/>
        </w:rPr>
        <w:t>Nedávná studie</w:t>
      </w:r>
      <w:r>
        <w:rPr>
          <w:rStyle w:val="FootnoteReference"/>
          <w:rFonts w:ascii="Times New Roman" w:hAnsi="Times New Roman"/>
          <w:noProof/>
          <w:sz w:val="24"/>
        </w:rPr>
        <w:footnoteReference w:id="21"/>
      </w:r>
      <w:r>
        <w:rPr>
          <w:rFonts w:ascii="Times New Roman" w:hAnsi="Times New Roman"/>
          <w:noProof/>
          <w:sz w:val="24"/>
        </w:rPr>
        <w:t xml:space="preserve"> týkající se nakládání se stavebním a demoličním odpadem v celé EU identifikovala následující klíčová opatření.</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line="276" w:lineRule="auto"/>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Rámeček č. 2: nakládání se stavebním a demoličním odpadem</w:t>
            </w:r>
          </w:p>
          <w:p>
            <w:pPr>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Podpořte předcházení vzniku odpadů</w:t>
            </w:r>
            <w:r>
              <w:rPr>
                <w:rFonts w:ascii="Times New Roman" w:hAnsi="Times New Roman"/>
                <w:noProof/>
                <w:sz w:val="24"/>
              </w:rPr>
              <w:t>, a to prostřednictvím inteligentního designu, prodloužení životnosti staveb, opětovného použití a zlepšení plánování a logistiky na stavbách.</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Podpořte </w:t>
            </w:r>
            <w:r>
              <w:rPr>
                <w:rFonts w:ascii="Times New Roman" w:hAnsi="Times New Roman"/>
                <w:b/>
                <w:noProof/>
                <w:sz w:val="24"/>
              </w:rPr>
              <w:t>selektivní demolice</w:t>
            </w:r>
            <w:r>
              <w:rPr>
                <w:rFonts w:ascii="Times New Roman" w:hAnsi="Times New Roman"/>
                <w:noProof/>
                <w:sz w:val="24"/>
              </w:rPr>
              <w:t xml:space="preserve"> a </w:t>
            </w:r>
            <w:r>
              <w:rPr>
                <w:rFonts w:ascii="Times New Roman" w:hAnsi="Times New Roman"/>
                <w:b/>
                <w:noProof/>
                <w:sz w:val="24"/>
              </w:rPr>
              <w:t>třídění u zdroje</w:t>
            </w:r>
            <w:r>
              <w:rPr>
                <w:rFonts w:ascii="Times New Roman" w:hAnsi="Times New Roman"/>
                <w:noProof/>
                <w:sz w:val="24"/>
              </w:rPr>
              <w:t xml:space="preserve">. </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Využijte </w:t>
            </w:r>
            <w:r>
              <w:rPr>
                <w:rFonts w:ascii="Times New Roman" w:hAnsi="Times New Roman"/>
                <w:b/>
                <w:noProof/>
                <w:sz w:val="24"/>
              </w:rPr>
              <w:t>pokyny EU</w:t>
            </w:r>
            <w:r>
              <w:rPr>
                <w:rFonts w:ascii="Times New Roman" w:hAnsi="Times New Roman"/>
                <w:noProof/>
                <w:sz w:val="24"/>
              </w:rPr>
              <w:t xml:space="preserve"> (předdemoliční audity a protokoly o nakládání)</w:t>
            </w:r>
            <w:r>
              <w:rPr>
                <w:rStyle w:val="FootnoteReference"/>
                <w:rFonts w:ascii="Times New Roman" w:hAnsi="Times New Roman"/>
                <w:noProof/>
                <w:sz w:val="24"/>
              </w:rPr>
              <w:footnoteReference w:id="22"/>
            </w:r>
            <w:r>
              <w:rPr>
                <w:rFonts w:ascii="Times New Roman" w:hAnsi="Times New Roman"/>
                <w:noProof/>
                <w:sz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Využijte </w:t>
            </w:r>
            <w:r>
              <w:rPr>
                <w:rFonts w:ascii="Times New Roman" w:hAnsi="Times New Roman"/>
                <w:b/>
                <w:noProof/>
                <w:sz w:val="24"/>
              </w:rPr>
              <w:t>ekonomické nástroje</w:t>
            </w:r>
            <w:r>
              <w:rPr>
                <w:rFonts w:ascii="Times New Roman" w:hAnsi="Times New Roman"/>
                <w:noProof/>
                <w:sz w:val="24"/>
              </w:rPr>
              <w:t>, aby tento tok odpadů nebyl ukládán na skládky.</w:t>
            </w:r>
          </w:p>
          <w:p>
            <w:pPr>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Omezte operace zasypávání</w:t>
            </w:r>
            <w:r>
              <w:rPr>
                <w:rFonts w:ascii="Times New Roman" w:hAnsi="Times New Roman"/>
                <w:noProof/>
                <w:sz w:val="24"/>
              </w:rPr>
              <w:t xml:space="preserve"> pouze na ty, které jsou v souladu s definicí uvedenou v rámcové směrnici o odpadech.</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Podpořte zavádění recyklovaných produktů prostřednictvím </w:t>
            </w:r>
            <w:r>
              <w:rPr>
                <w:rFonts w:ascii="Times New Roman" w:hAnsi="Times New Roman"/>
                <w:b/>
                <w:noProof/>
                <w:sz w:val="24"/>
              </w:rPr>
              <w:t>certifikátů kvality</w:t>
            </w:r>
            <w:r>
              <w:rPr>
                <w:rFonts w:ascii="Times New Roman" w:hAnsi="Times New Roman"/>
                <w:noProof/>
                <w:sz w:val="24"/>
              </w:rPr>
              <w:t xml:space="preserve"> a/nebo </w:t>
            </w:r>
            <w:r>
              <w:rPr>
                <w:rFonts w:ascii="Times New Roman" w:hAnsi="Times New Roman"/>
                <w:b/>
                <w:noProof/>
                <w:sz w:val="24"/>
              </w:rPr>
              <w:t>kritérií, podle nichž určité odpady přestávají být odpady</w:t>
            </w:r>
            <w:r>
              <w:rPr>
                <w:rFonts w:ascii="Times New Roman" w:hAnsi="Times New Roman"/>
                <w:noProof/>
                <w:sz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Rozšiřte využívání </w:t>
            </w:r>
            <w:r>
              <w:rPr>
                <w:rFonts w:ascii="Times New Roman" w:hAnsi="Times New Roman"/>
                <w:b/>
                <w:noProof/>
                <w:sz w:val="24"/>
              </w:rPr>
              <w:t>zelených veřejných zakázek</w:t>
            </w:r>
            <w:r>
              <w:rPr>
                <w:rFonts w:ascii="Times New Roman" w:hAnsi="Times New Roman"/>
                <w:noProof/>
                <w:sz w:val="24"/>
              </w:rPr>
              <w:t xml:space="preserve"> vyžadujících recyklovaný obsah.</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Zlepšete </w:t>
            </w:r>
            <w:r>
              <w:rPr>
                <w:rFonts w:ascii="Times New Roman" w:hAnsi="Times New Roman"/>
                <w:b/>
                <w:noProof/>
                <w:sz w:val="24"/>
              </w:rPr>
              <w:t>kvalitu statistik</w:t>
            </w:r>
            <w:r>
              <w:rPr>
                <w:rFonts w:ascii="Times New Roman" w:hAnsi="Times New Roman"/>
                <w:noProof/>
                <w:sz w:val="24"/>
              </w:rPr>
              <w:t xml:space="preserve">. </w:t>
            </w:r>
          </w:p>
        </w:tc>
      </w:tr>
    </w:tbl>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Nebezpečné odpady</w:t>
      </w:r>
    </w:p>
    <w:p>
      <w:pPr>
        <w:spacing w:after="120" w:line="240" w:lineRule="auto"/>
        <w:jc w:val="both"/>
        <w:rPr>
          <w:rFonts w:ascii="Times New Roman" w:hAnsi="Times New Roman" w:cs="Times New Roman"/>
          <w:iCs/>
          <w:noProof/>
          <w:sz w:val="24"/>
          <w:szCs w:val="24"/>
        </w:rPr>
      </w:pPr>
      <w:r>
        <w:rPr>
          <w:rFonts w:ascii="Times New Roman" w:hAnsi="Times New Roman"/>
          <w:noProof/>
          <w:sz w:val="24"/>
        </w:rPr>
        <w:t>Nebezpečné odpady představují relativně malý tok odpadů (méně než 4 % celkového odpadu)</w:t>
      </w:r>
      <w:r>
        <w:rPr>
          <w:rStyle w:val="FootnoteReference"/>
          <w:rFonts w:ascii="Times New Roman" w:hAnsi="Times New Roman"/>
          <w:noProof/>
          <w:sz w:val="24"/>
        </w:rPr>
        <w:footnoteReference w:id="23"/>
      </w:r>
      <w:r>
        <w:rPr>
          <w:rFonts w:ascii="Times New Roman" w:hAnsi="Times New Roman"/>
          <w:noProof/>
          <w:sz w:val="24"/>
        </w:rPr>
        <w:t>, správné nakládání s nimi je však zásadní proto, aby se předešlo závažným negativním dopadům těchto odpadů na životní prostředí a lidské zdraví.</w:t>
      </w:r>
    </w:p>
    <w:p>
      <w:pPr>
        <w:spacing w:after="120" w:line="240" w:lineRule="auto"/>
        <w:jc w:val="both"/>
        <w:rPr>
          <w:rFonts w:ascii="Times New Roman" w:hAnsi="Times New Roman" w:cs="Times New Roman"/>
          <w:noProof/>
          <w:sz w:val="24"/>
          <w:szCs w:val="24"/>
        </w:rPr>
      </w:pPr>
      <w:r>
        <w:rPr>
          <w:rFonts w:ascii="Times New Roman" w:hAnsi="Times New Roman"/>
          <w:noProof/>
          <w:sz w:val="24"/>
        </w:rPr>
        <w:t>Rámcová směrnice o odpadech zahrnuje požadavky týkající se označování, vedení záznamů, vysledovatelnosti a kontrolních povinností od produkce až do místa jejich konečného určení, jakož i zákaz směšování nebezpečných odpadů s jinými odpady, látkami nebo materiály.</w:t>
      </w:r>
    </w:p>
    <w:p>
      <w:pPr>
        <w:spacing w:after="120" w:line="240" w:lineRule="auto"/>
        <w:jc w:val="both"/>
        <w:rPr>
          <w:rFonts w:ascii="Times New Roman" w:hAnsi="Times New Roman" w:cs="Times New Roman"/>
          <w:noProof/>
          <w:sz w:val="24"/>
          <w:szCs w:val="24"/>
        </w:rPr>
      </w:pPr>
      <w:r>
        <w:rPr>
          <w:rFonts w:ascii="Times New Roman" w:hAnsi="Times New Roman"/>
          <w:noProof/>
          <w:sz w:val="24"/>
        </w:rPr>
        <w:t>Analýza nakládání s nebezpečnými odpady v EU</w:t>
      </w:r>
      <w:r>
        <w:rPr>
          <w:rStyle w:val="FootnoteReference"/>
          <w:rFonts w:ascii="Times New Roman" w:hAnsi="Times New Roman"/>
          <w:noProof/>
          <w:sz w:val="24"/>
        </w:rPr>
        <w:footnoteReference w:id="24"/>
      </w:r>
      <w:r>
        <w:rPr>
          <w:rFonts w:ascii="Times New Roman" w:hAnsi="Times New Roman"/>
          <w:noProof/>
          <w:sz w:val="24"/>
        </w:rPr>
        <w:t>, včetně látek PCB/PCT</w:t>
      </w:r>
      <w:r>
        <w:rPr>
          <w:rStyle w:val="FootnoteReference"/>
          <w:rFonts w:ascii="Times New Roman" w:hAnsi="Times New Roman"/>
          <w:noProof/>
          <w:sz w:val="24"/>
        </w:rPr>
        <w:footnoteReference w:id="25"/>
      </w:r>
      <w:r>
        <w:rPr>
          <w:rFonts w:ascii="Times New Roman" w:hAnsi="Times New Roman"/>
          <w:noProof/>
          <w:sz w:val="24"/>
        </w:rPr>
        <w:t>, naznačuje, že v provádění klíčových právních povinností existují závažné mezery. Patří k nim neadekvátní plánování, nesrovnalosti v údajích a statistické nedostatky mezi tvorbou odpadů a nakládáním s nimi a nesprávná klasifikace odpadů. Studie poskytuje podrobná doporučení pro jednotlivé země, která mohou být shrnuta do obecnějšího seznamu prioritních opatření.</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Rámeček č. 3: nakládání s nebezpečnými odpady</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Zlepšete </w:t>
            </w:r>
            <w:r>
              <w:rPr>
                <w:rFonts w:ascii="Times New Roman" w:hAnsi="Times New Roman"/>
                <w:b/>
                <w:noProof/>
                <w:sz w:val="24"/>
              </w:rPr>
              <w:t>kvalitu plánů pro nakládání s odpady</w:t>
            </w:r>
            <w:r>
              <w:rPr>
                <w:rFonts w:ascii="Times New Roman" w:hAnsi="Times New Roman"/>
                <w:noProof/>
                <w:sz w:val="24"/>
              </w:rPr>
              <w:t xml:space="preserve">, které by měly být založeny na spolehlivých a srovnatelných informacích, aby byly nebezpečné odpady důkladněji pokryty a aby plány zahrnovaly informace o kapacitách pro nakládání s těmito odpady. </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Zaveďte plně funkční, spolehlivé a interoperabilní </w:t>
            </w:r>
            <w:r>
              <w:rPr>
                <w:rFonts w:ascii="Times New Roman" w:hAnsi="Times New Roman"/>
                <w:b/>
                <w:noProof/>
                <w:sz w:val="24"/>
              </w:rPr>
              <w:t>systémy elektronického vedení záznamů a sledování</w:t>
            </w:r>
            <w:r>
              <w:rPr>
                <w:rFonts w:ascii="Times New Roman" w:hAnsi="Times New Roman"/>
                <w:noProof/>
                <w:sz w:val="24"/>
              </w:rPr>
              <w:t xml:space="preserve"> integrované do vnitrostátních statistických systémů a systému údajů EU o přepravě odpadů.</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Zohledněte </w:t>
            </w:r>
            <w:r>
              <w:rPr>
                <w:rFonts w:ascii="Times New Roman" w:hAnsi="Times New Roman"/>
                <w:b/>
                <w:noProof/>
                <w:sz w:val="24"/>
              </w:rPr>
              <w:t>hierarchii způsobů nakládání s odpady a zákaz směšování</w:t>
            </w:r>
            <w:r>
              <w:rPr>
                <w:rFonts w:ascii="Times New Roman" w:hAnsi="Times New Roman"/>
                <w:noProof/>
                <w:sz w:val="24"/>
              </w:rPr>
              <w:t xml:space="preserve"> ve vnitrostátních právních předpisech, v pokynech o možnostech zpracování odpadů a v podmínkách pro udělování povolení a zajistěte jejich prosazování.</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Vytvořte, zveřejněte, rozšiřte a používejte </w:t>
            </w:r>
            <w:r>
              <w:rPr>
                <w:rFonts w:ascii="Times New Roman" w:hAnsi="Times New Roman"/>
                <w:b/>
                <w:noProof/>
                <w:sz w:val="24"/>
              </w:rPr>
              <w:t>jasné a harmonizované pokyny pro klasifikaci odpadů</w:t>
            </w:r>
            <w:r>
              <w:rPr>
                <w:rFonts w:ascii="Times New Roman" w:hAnsi="Times New Roman"/>
                <w:noProof/>
                <w:sz w:val="24"/>
              </w:rPr>
              <w:t xml:space="preserve"> a nakládání s nimi, a to včetně pokynů týkajících se hierarchie způsobů nakládání s odpady. Využijte technické pokyny Komise pro klasifikování odpadu</w:t>
            </w:r>
            <w:r>
              <w:rPr>
                <w:rStyle w:val="FootnoteReference"/>
                <w:rFonts w:ascii="Times New Roman" w:hAnsi="Times New Roman"/>
                <w:noProof/>
                <w:sz w:val="24"/>
              </w:rPr>
              <w:footnoteReference w:id="26"/>
            </w:r>
            <w:r>
              <w:rPr>
                <w:rFonts w:ascii="Times New Roman" w:hAnsi="Times New Roman"/>
                <w:noProof/>
                <w:sz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Zaveďte </w:t>
            </w:r>
            <w:r>
              <w:rPr>
                <w:rFonts w:ascii="Times New Roman" w:hAnsi="Times New Roman"/>
                <w:b/>
                <w:noProof/>
                <w:sz w:val="24"/>
              </w:rPr>
              <w:t>komplexní systém neohlášených a koordinovaných kontrol</w:t>
            </w:r>
            <w:r>
              <w:rPr>
                <w:rFonts w:ascii="Times New Roman" w:hAnsi="Times New Roman"/>
                <w:noProof/>
                <w:sz w:val="24"/>
              </w:rPr>
              <w:t xml:space="preserve">. Provádějte opatření proti neoprávněným provozovatelům na všech úrovních. </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Zaveďte a plně prosazujte </w:t>
            </w:r>
            <w:r>
              <w:rPr>
                <w:rFonts w:ascii="Times New Roman" w:hAnsi="Times New Roman"/>
                <w:b/>
                <w:noProof/>
                <w:sz w:val="24"/>
              </w:rPr>
              <w:t>sdílenou odpovědnost původců odpadu</w:t>
            </w:r>
            <w:r>
              <w:rPr>
                <w:rStyle w:val="FootnoteReference"/>
                <w:rFonts w:ascii="Times New Roman" w:hAnsi="Times New Roman"/>
                <w:b/>
                <w:noProof/>
                <w:sz w:val="24"/>
              </w:rPr>
              <w:footnoteReference w:id="27"/>
            </w:r>
            <w:r>
              <w:rPr>
                <w:rFonts w:ascii="Times New Roman" w:hAnsi="Times New Roman"/>
                <w:noProof/>
                <w:sz w:val="24"/>
              </w:rPr>
              <w:t xml:space="preserve"> a dalších provozovatelů v rámci řetězce pro nakládání s nebezpečnými odpady.</w:t>
            </w:r>
          </w:p>
          <w:p>
            <w:pPr>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Pokračujte v práci na odstranění látek </w:t>
            </w:r>
            <w:r>
              <w:rPr>
                <w:rFonts w:ascii="Times New Roman" w:hAnsi="Times New Roman"/>
                <w:b/>
                <w:noProof/>
                <w:sz w:val="24"/>
              </w:rPr>
              <w:t>PCB/PCT</w:t>
            </w:r>
            <w:r>
              <w:rPr>
                <w:rFonts w:ascii="Times New Roman" w:hAnsi="Times New Roman"/>
                <w:noProof/>
                <w:sz w:val="24"/>
              </w:rPr>
              <w:t xml:space="preserve"> používaných v uzavřených a otevřených prostředích.</w:t>
            </w:r>
          </w:p>
        </w:tc>
      </w:tr>
    </w:tbl>
    <w:p>
      <w:pPr>
        <w:pStyle w:val="ListParagraph"/>
        <w:spacing w:after="120" w:line="240" w:lineRule="auto"/>
        <w:ind w:left="792"/>
        <w:jc w:val="both"/>
        <w:rPr>
          <w:rFonts w:ascii="Times New Roman" w:hAnsi="Times New Roman" w:cs="Times New Roman"/>
          <w:b/>
          <w:noProof/>
          <w:sz w:val="24"/>
          <w:szCs w:val="24"/>
        </w:r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Odpadní elektrická a elektronická zařízení (OEEZ)</w:t>
      </w:r>
    </w:p>
    <w:p>
      <w:pPr>
        <w:spacing w:after="120" w:line="240" w:lineRule="auto"/>
        <w:jc w:val="both"/>
        <w:rPr>
          <w:rFonts w:ascii="Times New Roman" w:eastAsia="Times New Roman" w:hAnsi="Times New Roman" w:cs="Times New Roman"/>
          <w:noProof/>
          <w:color w:val="000000"/>
          <w:sz w:val="24"/>
          <w:szCs w:val="24"/>
          <w:shd w:val="clear" w:color="auto" w:fill="FFFFFF"/>
        </w:rPr>
      </w:pPr>
      <w:r>
        <w:rPr>
          <w:rFonts w:ascii="Times New Roman" w:hAnsi="Times New Roman"/>
          <w:noProof/>
          <w:sz w:val="24"/>
        </w:rPr>
        <w:t>Odhaduje se, že v roce 2014 vzniklo v EU přibližně 10 milionů tun</w:t>
      </w:r>
      <w:r>
        <w:rPr>
          <w:rStyle w:val="FootnoteReference"/>
          <w:rFonts w:ascii="Times New Roman" w:hAnsi="Times New Roman"/>
          <w:noProof/>
          <w:sz w:val="24"/>
        </w:rPr>
        <w:footnoteReference w:id="28"/>
      </w:r>
      <w:r>
        <w:rPr>
          <w:rFonts w:ascii="Times New Roman" w:hAnsi="Times New Roman"/>
          <w:noProof/>
          <w:sz w:val="24"/>
        </w:rPr>
        <w:t xml:space="preserve"> (0,4 % celkového vytvořeného odpadu) odpadních elektrických a elektronických zařízení (OEEZ) – očekává se, že do roku 2020 toto číslo vzroste na více než 12 milionů tun</w:t>
      </w:r>
      <w:r>
        <w:rPr>
          <w:rStyle w:val="FootnoteReference"/>
          <w:rFonts w:ascii="Times New Roman" w:hAnsi="Times New Roman"/>
          <w:noProof/>
          <w:sz w:val="24"/>
        </w:rPr>
        <w:footnoteReference w:id="29"/>
      </w:r>
      <w:r>
        <w:rPr>
          <w:rFonts w:ascii="Times New Roman" w:hAnsi="Times New Roman"/>
          <w:noProof/>
          <w:sz w:val="24"/>
        </w:rPr>
        <w:t xml:space="preserve">. Tento tok odpadu </w:t>
      </w:r>
      <w:r>
        <w:rPr>
          <w:rFonts w:ascii="Times New Roman" w:hAnsi="Times New Roman"/>
          <w:noProof/>
          <w:color w:val="000000"/>
          <w:sz w:val="24"/>
          <w:shd w:val="clear" w:color="auto" w:fill="FFFFFF"/>
        </w:rPr>
        <w:t xml:space="preserve">je tvořen komplexní směsí materiálů a konstrukčních částí, </w:t>
      </w:r>
      <w:r>
        <w:rPr>
          <w:rFonts w:ascii="Times New Roman" w:hAnsi="Times New Roman"/>
          <w:noProof/>
          <w:sz w:val="24"/>
        </w:rPr>
        <w:t xml:space="preserve">včetně různých látek, které mohou představovat vysoké riziko pro životní prostředí a lidské zdraví, není-li s nimi řádně nakládáno. </w:t>
      </w:r>
      <w:r>
        <w:rPr>
          <w:rFonts w:ascii="Times New Roman" w:hAnsi="Times New Roman"/>
          <w:noProof/>
          <w:color w:val="000000"/>
          <w:sz w:val="24"/>
          <w:shd w:val="clear" w:color="auto" w:fill="FFFFFF"/>
        </w:rPr>
        <w:t>Výroba moderní elektroniky navíc vyžaduje použití omezených a cenných zdrojů.</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 xml:space="preserve">Cílem směrnice </w:t>
      </w:r>
      <w:r>
        <w:rPr>
          <w:rFonts w:ascii="Times New Roman" w:hAnsi="Times New Roman"/>
          <w:noProof/>
          <w:sz w:val="24"/>
        </w:rPr>
        <w:t xml:space="preserve">2012/19/EU je zlepšit </w:t>
      </w:r>
      <w:r>
        <w:rPr>
          <w:rFonts w:ascii="Times New Roman" w:hAnsi="Times New Roman"/>
          <w:noProof/>
          <w:color w:val="000000"/>
          <w:sz w:val="24"/>
          <w:shd w:val="clear" w:color="auto" w:fill="FFFFFF"/>
        </w:rPr>
        <w:t>sběr OEEZ, nakládání s ním a jeho recyklaci</w:t>
      </w:r>
      <w:r>
        <w:rPr>
          <w:rFonts w:ascii="Times New Roman" w:hAnsi="Times New Roman"/>
          <w:noProof/>
          <w:sz w:val="24"/>
        </w:rPr>
        <w:t>. Během období let 2013–2015 se množství odpadních zařízení sebraných z domácností v EU-28 zvýšilo o 8 %. V roce 2014 bylo z domácností sesbíráno průměrně 6,21 kg odpadních zařízení na osobu.</w:t>
      </w:r>
      <w:r>
        <w:rPr>
          <w:rStyle w:val="FootnoteReference"/>
          <w:rFonts w:ascii="Times New Roman" w:hAnsi="Times New Roman"/>
          <w:noProof/>
        </w:rPr>
        <w:t xml:space="preserve"> </w:t>
      </w:r>
      <w:r>
        <w:rPr>
          <w:rFonts w:ascii="Times New Roman" w:hAnsi="Times New Roman"/>
          <w:noProof/>
          <w:sz w:val="24"/>
        </w:rPr>
        <w:t>V roce 2015 splnilo 23 členských států cíl minimální úrovně sběru ve výši 4 kg OEEZ z domácností na osobu</w:t>
      </w:r>
      <w:r>
        <w:rPr>
          <w:rStyle w:val="FootnoteReference"/>
          <w:rFonts w:ascii="Times New Roman" w:hAnsi="Times New Roman"/>
          <w:noProof/>
          <w:sz w:val="24"/>
        </w:rPr>
        <w:footnoteReference w:id="30"/>
      </w:r>
      <w:r>
        <w:rPr>
          <w:rFonts w:ascii="Times New Roman" w:hAnsi="Times New Roman"/>
          <w:noProof/>
          <w:sz w:val="24"/>
        </w:rPr>
        <w:t xml:space="preserve">, přičemž Švédsko a Dánsko vybraly celých 12 kg, zatímco </w:t>
      </w:r>
      <w:r>
        <w:rPr>
          <w:rFonts w:ascii="Times New Roman" w:hAnsi="Times New Roman"/>
          <w:b/>
          <w:noProof/>
          <w:sz w:val="24"/>
        </w:rPr>
        <w:t>Kypr, Lotyšsko, Malta a Rumunsko tento cíl nesplnily</w:t>
      </w:r>
      <w:r>
        <w:rPr>
          <w:rFonts w:ascii="Times New Roman" w:hAnsi="Times New Roman"/>
          <w:noProof/>
          <w:sz w:val="24"/>
        </w:rPr>
        <w:t>, a to výrazně</w:t>
      </w:r>
      <w:r>
        <w:rPr>
          <w:rStyle w:val="FootnoteReference"/>
          <w:rFonts w:ascii="Times New Roman" w:hAnsi="Times New Roman"/>
          <w:noProof/>
          <w:sz w:val="24"/>
        </w:rPr>
        <w:footnoteReference w:id="31"/>
      </w:r>
      <w:r>
        <w:rPr>
          <w:rFonts w:ascii="Times New Roman" w:hAnsi="Times New Roman"/>
          <w:noProof/>
          <w:vertAlign w:val="superscript"/>
        </w:rPr>
        <w:t xml:space="preserve"> </w:t>
      </w:r>
      <w:r>
        <w:rPr>
          <w:rFonts w:ascii="Times New Roman" w:hAnsi="Times New Roman"/>
          <w:noProof/>
          <w:sz w:val="24"/>
          <w:vertAlign w:val="superscript"/>
        </w:rPr>
        <w:footnoteReference w:id="32"/>
      </w:r>
      <w:r>
        <w:rPr>
          <w:rFonts w:ascii="Times New Roman" w:hAnsi="Times New Roman"/>
          <w:noProof/>
        </w:rPr>
        <w:t>.</w:t>
      </w:r>
    </w:p>
    <w:p>
      <w:pPr>
        <w:spacing w:after="120" w:line="240" w:lineRule="auto"/>
        <w:jc w:val="both"/>
        <w:rPr>
          <w:rFonts w:ascii="Times New Roman" w:hAnsi="Times New Roman" w:cs="Times New Roman"/>
          <w:bCs/>
          <w:iCs/>
          <w:noProof/>
          <w:sz w:val="24"/>
          <w:szCs w:val="24"/>
        </w:rPr>
      </w:pPr>
      <w:r>
        <w:rPr>
          <w:rFonts w:ascii="Times New Roman" w:hAnsi="Times New Roman"/>
          <w:noProof/>
          <w:sz w:val="24"/>
        </w:rPr>
        <w:t>Od roku 2016 se od každého členského státu požaduje, aby splnil cíl úrovně sběru ve výši 45 % prodaných zařízení, a od roku 2019 bude tento cíl činit 65 % prodaných zařízení nebo 85 % elektronického odpadu vytvořeného za rok</w:t>
      </w:r>
      <w:r>
        <w:rPr>
          <w:rStyle w:val="FootnoteReference"/>
          <w:rFonts w:ascii="Times New Roman" w:hAnsi="Times New Roman"/>
          <w:noProof/>
          <w:sz w:val="24"/>
        </w:rPr>
        <w:footnoteReference w:id="33"/>
      </w:r>
      <w:r>
        <w:rPr>
          <w:rFonts w:ascii="Times New Roman" w:hAnsi="Times New Roman"/>
          <w:noProof/>
          <w:sz w:val="24"/>
        </w:rPr>
        <w:t>. Členské státy si budou moci zvolit jeden z těchto dvou rovnocenných způsobů měření cíle.</w:t>
      </w:r>
    </w:p>
    <w:p>
      <w:pPr>
        <w:spacing w:after="120" w:line="240" w:lineRule="auto"/>
        <w:jc w:val="both"/>
        <w:rPr>
          <w:rFonts w:ascii="Times New Roman" w:hAnsi="Times New Roman" w:cs="Times New Roman"/>
          <w:noProof/>
          <w:snapToGrid w:val="0"/>
          <w:sz w:val="24"/>
          <w:szCs w:val="24"/>
        </w:rPr>
      </w:pPr>
      <w:r>
        <w:rPr>
          <w:rFonts w:ascii="Times New Roman" w:hAnsi="Times New Roman"/>
          <w:noProof/>
          <w:sz w:val="24"/>
        </w:rPr>
        <w:t>Komise provedla opatření na podporu dodržování předpisů</w:t>
      </w:r>
      <w:r>
        <w:rPr>
          <w:rStyle w:val="FootnoteReference"/>
          <w:rFonts w:ascii="Times New Roman" w:hAnsi="Times New Roman"/>
          <w:noProof/>
          <w:snapToGrid w:val="0"/>
          <w:sz w:val="24"/>
        </w:rPr>
        <w:footnoteReference w:id="34"/>
      </w:r>
      <w:r>
        <w:rPr>
          <w:rFonts w:ascii="Times New Roman" w:hAnsi="Times New Roman"/>
          <w:noProof/>
          <w:sz w:val="24"/>
        </w:rPr>
        <w:t xml:space="preserve"> v oblasti OEEZ, aby identifikovala hlavní mezery v provádění, jakož i za účelem sdílení osvědčených postupů. Z této studie vzešla jak doporučení použitelná ve všech členských státech, tak i rady pro jednotlivé země určené některým členským státům.</w:t>
      </w:r>
    </w:p>
    <w:tbl>
      <w:tblPr>
        <w:tblStyle w:val="TableGrid"/>
        <w:tblW w:w="0" w:type="auto"/>
        <w:tblInd w:w="108" w:type="dxa"/>
        <w:shd w:val="clear" w:color="auto" w:fill="C6D9F1" w:themeFill="text2" w:themeFillTint="33"/>
        <w:tblLook w:val="04A0" w:firstRow="1" w:lastRow="0" w:firstColumn="1" w:lastColumn="0" w:noHBand="0" w:noVBand="1"/>
      </w:tblPr>
      <w:tblGrid>
        <w:gridCol w:w="8931"/>
      </w:tblGrid>
      <w:tr>
        <w:trPr>
          <w:trHeight w:val="7361"/>
        </w:trPr>
        <w:tc>
          <w:tcPr>
            <w:tcW w:w="8931"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b/>
                <w:noProof/>
                <w:sz w:val="24"/>
                <w:u w:val="single"/>
              </w:rPr>
              <w:t>Rámeček č. 4: nakládání s odpadními elektrickými a elektronickými zařízeními</w:t>
            </w:r>
          </w:p>
          <w:p>
            <w:pPr>
              <w:keepNext/>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Zapojte </w:t>
            </w:r>
            <w:r>
              <w:rPr>
                <w:rFonts w:ascii="Times New Roman" w:hAnsi="Times New Roman"/>
                <w:b/>
                <w:noProof/>
                <w:sz w:val="24"/>
              </w:rPr>
              <w:t>všechny příslušné úrovně státní správy</w:t>
            </w:r>
            <w:r>
              <w:rPr>
                <w:rFonts w:ascii="Times New Roman" w:hAnsi="Times New Roman"/>
                <w:noProof/>
                <w:sz w:val="24"/>
              </w:rPr>
              <w:t xml:space="preserve"> (obecní, regionální, vnitrostátní).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Zaveďte (nebo zintenzivněte) kontroly ve všech fázích řetězce nakládání s odpady</w:t>
            </w:r>
            <w:r>
              <w:rPr>
                <w:rFonts w:ascii="Times New Roman" w:hAnsi="Times New Roman"/>
                <w:noProof/>
                <w:sz w:val="24"/>
              </w:rPr>
              <w:t xml:space="preserve"> a zorganizujte inspekce zacílené na protiprávní činnosti nebo činnosti, které jsou v rozporu s předpisy.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Zlepšete kvalitu údajů</w:t>
            </w:r>
            <w:r>
              <w:rPr>
                <w:rFonts w:ascii="Times New Roman" w:hAnsi="Times New Roman"/>
                <w:noProof/>
                <w:sz w:val="24"/>
              </w:rPr>
              <w:t>, a to i prostřednictvím kontrol kvality a posílením postupů sledovatelnosti, aby bylo možné zohlednit veškerá odpadní zařízení.</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Zlepšete systémy rozšířené odpovědnosti výrobce</w:t>
            </w:r>
            <w:r>
              <w:rPr>
                <w:rFonts w:ascii="Times New Roman" w:hAnsi="Times New Roman"/>
                <w:noProof/>
                <w:sz w:val="24"/>
              </w:rPr>
              <w:t>, a to alespoň v souladu s obecnými minimálními požadavky stanovenými v revidované rámcové směrnici o odpadech.</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Zlepšete sběr</w:t>
            </w:r>
            <w:r>
              <w:rPr>
                <w:rFonts w:ascii="Times New Roman" w:hAnsi="Times New Roman"/>
                <w:noProof/>
                <w:sz w:val="24"/>
              </w:rPr>
              <w:t>:</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 xml:space="preserve">rozšířením infrastruktury pro sběr,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 xml:space="preserve">zlepšením povědomí spotřebitelů,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objasněním převodu vlastnictví odpadních zařízení v rámci řetězce pro nakládání s odpady a</w:t>
            </w:r>
          </w:p>
          <w:p>
            <w:pPr>
              <w:keepNext/>
              <w:numPr>
                <w:ilvl w:val="1"/>
                <w:numId w:val="39"/>
              </w:numPr>
              <w:spacing w:after="120"/>
              <w:jc w:val="both"/>
              <w:rPr>
                <w:rFonts w:ascii="Times New Roman" w:hAnsi="Times New Roman" w:cs="Times New Roman"/>
                <w:noProof/>
                <w:sz w:val="24"/>
                <w:szCs w:val="24"/>
              </w:rPr>
            </w:pPr>
            <w:r>
              <w:rPr>
                <w:rFonts w:ascii="Times New Roman" w:hAnsi="Times New Roman"/>
                <w:noProof/>
                <w:sz w:val="24"/>
              </w:rPr>
              <w:t>tím, že budete od všech subjektů zajišťujících sběr vyžadovat, aby spolupracovaly v rámci programu pro dodržování předpisů.</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Prosazujte požadavky týkající se náležitého zpracování</w:t>
            </w:r>
            <w:r>
              <w:rPr>
                <w:rFonts w:ascii="Times New Roman" w:hAnsi="Times New Roman"/>
                <w:noProof/>
                <w:sz w:val="24"/>
              </w:rPr>
              <w:t xml:space="preserve"> stanovené ve směrnici; zvažte přijetí minimálních standardů kvality pro zpracování OEEZ.</w:t>
            </w:r>
          </w:p>
          <w:p>
            <w:pPr>
              <w:keepNext/>
              <w:numPr>
                <w:ilvl w:val="0"/>
                <w:numId w:val="37"/>
              </w:numPr>
              <w:spacing w:after="120"/>
              <w:jc w:val="both"/>
              <w:rPr>
                <w:rFonts w:ascii="Times New Roman" w:hAnsi="Times New Roman" w:cs="Times New Roman"/>
                <w:noProof/>
                <w:sz w:val="24"/>
                <w:szCs w:val="24"/>
              </w:rPr>
            </w:pPr>
            <w:r>
              <w:rPr>
                <w:rFonts w:ascii="Times New Roman" w:hAnsi="Times New Roman"/>
                <w:noProof/>
                <w:sz w:val="24"/>
              </w:rPr>
              <w:t xml:space="preserve">Uplatněte/vypracujte </w:t>
            </w:r>
            <w:r>
              <w:rPr>
                <w:rFonts w:ascii="Times New Roman" w:hAnsi="Times New Roman"/>
                <w:b/>
                <w:noProof/>
                <w:sz w:val="24"/>
              </w:rPr>
              <w:t>mechanismy pro výměnu informací o výrobku</w:t>
            </w:r>
            <w:r>
              <w:rPr>
                <w:rFonts w:ascii="Times New Roman" w:hAnsi="Times New Roman"/>
                <w:noProof/>
                <w:sz w:val="24"/>
              </w:rPr>
              <w:t xml:space="preserve"> podstatných pro recyklaci a přípravu k opětovnému použití mezi výrobci a provozovateli recyklačních zařízení (např. platforma I4R – Information for Recyclers</w:t>
            </w:r>
            <w:r>
              <w:rPr>
                <w:rStyle w:val="FootnoteReference"/>
                <w:noProof/>
              </w:rPr>
              <w:footnoteReference w:id="35"/>
            </w:r>
            <w:r>
              <w:rPr>
                <w:rFonts w:ascii="Times New Roman" w:hAnsi="Times New Roman"/>
                <w:noProof/>
                <w:sz w:val="24"/>
              </w:rPr>
              <w:t>).</w:t>
            </w:r>
          </w:p>
          <w:p>
            <w:pPr>
              <w:keepNext/>
              <w:numPr>
                <w:ilvl w:val="0"/>
                <w:numId w:val="37"/>
              </w:numPr>
              <w:spacing w:after="120"/>
              <w:jc w:val="both"/>
              <w:rPr>
                <w:rFonts w:ascii="Times New Roman" w:hAnsi="Times New Roman" w:cs="Times New Roman"/>
                <w:noProof/>
                <w:sz w:val="24"/>
                <w:szCs w:val="24"/>
              </w:rPr>
            </w:pPr>
            <w:r>
              <w:rPr>
                <w:rFonts w:ascii="Times New Roman" w:hAnsi="Times New Roman"/>
                <w:b/>
                <w:noProof/>
                <w:sz w:val="24"/>
              </w:rPr>
              <w:t xml:space="preserve">Zřiďte síť </w:t>
            </w:r>
            <w:r>
              <w:rPr>
                <w:rFonts w:ascii="Times New Roman" w:hAnsi="Times New Roman"/>
                <w:noProof/>
                <w:sz w:val="24"/>
              </w:rPr>
              <w:t>registrovaných a oprávněných/certifikovaných provozovatelů na vnitrostátní úrovni pro „</w:t>
            </w:r>
            <w:r>
              <w:rPr>
                <w:rFonts w:ascii="Times New Roman" w:hAnsi="Times New Roman"/>
                <w:b/>
                <w:noProof/>
                <w:sz w:val="24"/>
              </w:rPr>
              <w:t>přípravu k opětovnému použití</w:t>
            </w:r>
            <w:r>
              <w:rPr>
                <w:rFonts w:ascii="Times New Roman" w:hAnsi="Times New Roman"/>
                <w:noProof/>
                <w:sz w:val="24"/>
              </w:rPr>
              <w:t>“.</w:t>
            </w:r>
          </w:p>
          <w:p>
            <w:pPr>
              <w:keepNext/>
              <w:numPr>
                <w:ilvl w:val="0"/>
                <w:numId w:val="37"/>
              </w:numPr>
              <w:spacing w:after="120"/>
              <w:jc w:val="both"/>
              <w:rPr>
                <w:rFonts w:ascii="Times New Roman" w:hAnsi="Times New Roman" w:cs="Times New Roman"/>
                <w:noProof/>
                <w:snapToGrid w:val="0"/>
                <w:sz w:val="24"/>
                <w:szCs w:val="24"/>
              </w:rPr>
            </w:pPr>
            <w:r>
              <w:rPr>
                <w:rFonts w:ascii="Times New Roman" w:hAnsi="Times New Roman"/>
                <w:noProof/>
                <w:sz w:val="24"/>
              </w:rPr>
              <w:t xml:space="preserve">Zvažte přijetí </w:t>
            </w:r>
            <w:r>
              <w:rPr>
                <w:rFonts w:ascii="Times New Roman" w:hAnsi="Times New Roman"/>
                <w:b/>
                <w:noProof/>
                <w:sz w:val="24"/>
              </w:rPr>
              <w:t xml:space="preserve">odděleného cíle </w:t>
            </w:r>
            <w:r>
              <w:rPr>
                <w:rFonts w:ascii="Times New Roman" w:hAnsi="Times New Roman"/>
                <w:noProof/>
                <w:sz w:val="24"/>
              </w:rPr>
              <w:t>„</w:t>
            </w:r>
            <w:r>
              <w:rPr>
                <w:rFonts w:ascii="Times New Roman" w:hAnsi="Times New Roman"/>
                <w:b/>
                <w:noProof/>
                <w:sz w:val="24"/>
              </w:rPr>
              <w:t>přípravy k opětovnému použití</w:t>
            </w:r>
            <w:r>
              <w:rPr>
                <w:rFonts w:ascii="Times New Roman" w:hAnsi="Times New Roman"/>
                <w:noProof/>
                <w:sz w:val="24"/>
              </w:rPr>
              <w:t>“ na vnitrostátní úrovni.</w:t>
            </w:r>
          </w:p>
        </w:tc>
      </w:tr>
    </w:tbl>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Obalové odpady</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V roce 2015 dosáhl celkový obalový odpad vytvořený v EU přibližně 85 milionů tun, což je přibližně 3,4 % celkového vzniklého odpadu</w:t>
      </w:r>
      <w:r>
        <w:rPr>
          <w:rStyle w:val="FootnoteReference"/>
          <w:rFonts w:ascii="Times New Roman" w:hAnsi="Times New Roman"/>
          <w:noProof/>
        </w:rPr>
        <w:footnoteReference w:id="36"/>
      </w:r>
      <w:r>
        <w:rPr>
          <w:rFonts w:ascii="Times New Roman" w:hAnsi="Times New Roman"/>
          <w:noProof/>
        </w:rPr>
        <w:t>. Množství vzniklého odpadu v posledních letech pomalu narůstá.</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 xml:space="preserve">Směrnice o obalech stanoví konkrétní cíle pro obalové odpady, které mají být splněny do konce roku 2008 (některým členským státům byla poskytnuta prodloužená lhůta – všechny přestaly platit v roce 2015): celkové cíle týkající se využití a recyklace (60 % a 55 %) spolu s cíli týkajícími se recyklace konkrétních materiálů (60 % pro papír a lepenku, 60 % pro sklo, 50 % pro kovy, 22,5 % pro plasty a 15 % pro dřevo).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Průměrná celková míra recyklace obalů v EU se od roku 2005 soustavně zvyšuje (na 65,8 % v roce 2015</w:t>
      </w:r>
      <w:r>
        <w:rPr>
          <w:rStyle w:val="FootnoteReference"/>
          <w:rFonts w:ascii="Times New Roman" w:hAnsi="Times New Roman"/>
          <w:noProof/>
        </w:rPr>
        <w:footnoteReference w:id="37"/>
      </w:r>
      <w:r>
        <w:rPr>
          <w:rFonts w:ascii="Times New Roman" w:hAnsi="Times New Roman"/>
          <w:noProof/>
        </w:rPr>
        <w:t xml:space="preserve">). Mezi lety 2013 a 2015 však množství vzniklého obalového odpadu v EU vzrostlo o 6 %, což naznačuje, že </w:t>
      </w:r>
      <w:r>
        <w:rPr>
          <w:rFonts w:ascii="Times New Roman" w:hAnsi="Times New Roman"/>
          <w:b/>
          <w:noProof/>
        </w:rPr>
        <w:t>je třeba více pracovat na předcházení vzniku odpadů</w:t>
      </w:r>
      <w:r>
        <w:rPr>
          <w:rFonts w:ascii="Times New Roman" w:hAnsi="Times New Roman"/>
          <w:noProof/>
        </w:rPr>
        <w:t>. Studie včasného varování rovněž zdůraznila nesrovnalosti v údajích o obalech v několika členských státech, což naznačuje, že množství obalů uvedených na trh může být podhodnoceno.</w:t>
      </w:r>
    </w:p>
    <w:p>
      <w:pPr>
        <w:keepNext/>
        <w:spacing w:after="120" w:line="240" w:lineRule="auto"/>
        <w:jc w:val="both"/>
        <w:rPr>
          <w:rFonts w:ascii="Times New Roman" w:hAnsi="Times New Roman" w:cs="Times New Roman"/>
          <w:noProof/>
        </w:rPr>
      </w:pPr>
      <w:r>
        <w:rPr>
          <w:rFonts w:ascii="Times New Roman" w:hAnsi="Times New Roman"/>
          <w:noProof/>
          <w:sz w:val="24"/>
        </w:rPr>
        <w:t>Revidovaná směrnice o obalech</w:t>
      </w:r>
      <w:r>
        <w:rPr>
          <w:rStyle w:val="FootnoteReference"/>
          <w:rFonts w:ascii="Times New Roman" w:hAnsi="Times New Roman"/>
          <w:noProof/>
          <w:sz w:val="24"/>
        </w:rPr>
        <w:footnoteReference w:id="38"/>
      </w:r>
      <w:r>
        <w:rPr>
          <w:rFonts w:ascii="Times New Roman" w:hAnsi="Times New Roman"/>
          <w:noProof/>
          <w:sz w:val="24"/>
        </w:rPr>
        <w:t xml:space="preserve"> představila ambicióznější celkové cíle pro recyklaci obalů (65 % v roce 2025 a 70 % v roce 2030) a vyšší cíle pro jednotlivé materiály (jako například 55 % v roce 2030 pro plasty). To bude vyžadovat zvýšené úsilí v EU, aby byly </w:t>
      </w:r>
      <w:r>
        <w:rPr>
          <w:rFonts w:ascii="Times New Roman" w:hAnsi="Times New Roman"/>
          <w:b/>
          <w:noProof/>
          <w:sz w:val="24"/>
        </w:rPr>
        <w:t>systémy pro tříděný sběr odpadů</w:t>
      </w:r>
      <w:r>
        <w:rPr>
          <w:rFonts w:ascii="Times New Roman" w:hAnsi="Times New Roman"/>
          <w:noProof/>
          <w:sz w:val="24"/>
        </w:rPr>
        <w:t xml:space="preserve"> organizovány účinněji, a bylo tak možné zachytit více recyklovatelných materiálů, a to i prostřednictvím vylepšených systémů rozšířené odpovědnosti výrobce.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 xml:space="preserve">Většina členských států stávající celkové cíle týkající se recyklace plní, ačkoliv </w:t>
      </w:r>
      <w:r>
        <w:rPr>
          <w:rFonts w:ascii="Times New Roman" w:hAnsi="Times New Roman"/>
          <w:b/>
          <w:noProof/>
        </w:rPr>
        <w:t xml:space="preserve">Maďarsko </w:t>
      </w:r>
      <w:r>
        <w:rPr>
          <w:rFonts w:ascii="Times New Roman" w:hAnsi="Times New Roman"/>
          <w:noProof/>
        </w:rPr>
        <w:t xml:space="preserve">(od roku 2012) </w:t>
      </w:r>
      <w:r>
        <w:rPr>
          <w:rFonts w:ascii="Times New Roman" w:hAnsi="Times New Roman"/>
          <w:b/>
          <w:noProof/>
        </w:rPr>
        <w:t xml:space="preserve">a Malta </w:t>
      </w:r>
      <w:r>
        <w:rPr>
          <w:rFonts w:ascii="Times New Roman" w:hAnsi="Times New Roman"/>
          <w:noProof/>
        </w:rPr>
        <w:t>(od roku 2013</w:t>
      </w:r>
      <w:r>
        <w:rPr>
          <w:rStyle w:val="FootnoteReference"/>
          <w:rFonts w:ascii="Times New Roman" w:hAnsi="Times New Roman"/>
          <w:noProof/>
        </w:rPr>
        <w:footnoteReference w:id="39"/>
      </w:r>
      <w:r>
        <w:rPr>
          <w:rFonts w:ascii="Times New Roman" w:hAnsi="Times New Roman"/>
          <w:noProof/>
        </w:rPr>
        <w:t>) tyto cíle</w:t>
      </w:r>
      <w:r>
        <w:rPr>
          <w:rFonts w:ascii="Times New Roman" w:hAnsi="Times New Roman"/>
          <w:b/>
          <w:noProof/>
        </w:rPr>
        <w:t xml:space="preserve"> nesplnily,</w:t>
      </w:r>
      <w:r>
        <w:rPr>
          <w:rFonts w:ascii="Times New Roman" w:hAnsi="Times New Roman"/>
          <w:noProof/>
        </w:rPr>
        <w:t xml:space="preserve"> a to výrazně. Několik členských států nesplnilo jeden nebo více cílů pro konkrétní materiály: pro papír a lepenku (</w:t>
      </w:r>
      <w:r>
        <w:rPr>
          <w:rFonts w:ascii="Times New Roman" w:hAnsi="Times New Roman"/>
          <w:b/>
          <w:noProof/>
        </w:rPr>
        <w:t>Malta</w:t>
      </w:r>
      <w:r>
        <w:rPr>
          <w:rFonts w:ascii="Times New Roman" w:hAnsi="Times New Roman"/>
          <w:noProof/>
        </w:rPr>
        <w:t>), dřevo (</w:t>
      </w:r>
      <w:r>
        <w:rPr>
          <w:rFonts w:ascii="Times New Roman" w:hAnsi="Times New Roman"/>
          <w:b/>
          <w:noProof/>
        </w:rPr>
        <w:t>Finsko</w:t>
      </w:r>
      <w:r>
        <w:rPr>
          <w:rFonts w:ascii="Times New Roman" w:hAnsi="Times New Roman"/>
          <w:noProof/>
        </w:rPr>
        <w:t xml:space="preserve">, </w:t>
      </w:r>
      <w:r>
        <w:rPr>
          <w:rFonts w:ascii="Times New Roman" w:hAnsi="Times New Roman"/>
          <w:b/>
          <w:noProof/>
        </w:rPr>
        <w:t>Chorvatsko</w:t>
      </w:r>
      <w:r>
        <w:rPr>
          <w:rFonts w:ascii="Times New Roman" w:hAnsi="Times New Roman"/>
          <w:noProof/>
        </w:rPr>
        <w:t xml:space="preserve">, </w:t>
      </w:r>
      <w:r>
        <w:rPr>
          <w:rFonts w:ascii="Times New Roman" w:hAnsi="Times New Roman"/>
          <w:b/>
          <w:noProof/>
        </w:rPr>
        <w:t>Kypr</w:t>
      </w:r>
      <w:r>
        <w:rPr>
          <w:rFonts w:ascii="Times New Roman" w:hAnsi="Times New Roman"/>
          <w:noProof/>
        </w:rPr>
        <w:t xml:space="preserve">, </w:t>
      </w:r>
      <w:r>
        <w:rPr>
          <w:rFonts w:ascii="Times New Roman" w:hAnsi="Times New Roman"/>
          <w:b/>
          <w:noProof/>
        </w:rPr>
        <w:t>Malta</w:t>
      </w:r>
      <w:r>
        <w:rPr>
          <w:rFonts w:ascii="Times New Roman" w:hAnsi="Times New Roman"/>
          <w:noProof/>
        </w:rPr>
        <w:t>), kovy (</w:t>
      </w:r>
      <w:r>
        <w:rPr>
          <w:rFonts w:ascii="Times New Roman" w:hAnsi="Times New Roman"/>
          <w:b/>
          <w:noProof/>
        </w:rPr>
        <w:t>Chorvatsko</w:t>
      </w:r>
      <w:r>
        <w:rPr>
          <w:rFonts w:ascii="Times New Roman" w:hAnsi="Times New Roman"/>
          <w:noProof/>
        </w:rPr>
        <w:t xml:space="preserve">, </w:t>
      </w:r>
      <w:r>
        <w:rPr>
          <w:rFonts w:ascii="Times New Roman" w:hAnsi="Times New Roman"/>
          <w:b/>
          <w:noProof/>
        </w:rPr>
        <w:t>Malta</w:t>
      </w:r>
      <w:r>
        <w:rPr>
          <w:rFonts w:ascii="Times New Roman" w:hAnsi="Times New Roman"/>
          <w:noProof/>
        </w:rPr>
        <w:t>) a sklo (</w:t>
      </w:r>
      <w:r>
        <w:rPr>
          <w:rFonts w:ascii="Times New Roman" w:hAnsi="Times New Roman"/>
          <w:b/>
          <w:noProof/>
        </w:rPr>
        <w:t>Kypr</w:t>
      </w:r>
      <w:r>
        <w:rPr>
          <w:rFonts w:ascii="Times New Roman" w:hAnsi="Times New Roman"/>
          <w:noProof/>
        </w:rPr>
        <w:t xml:space="preserve">, </w:t>
      </w:r>
      <w:r>
        <w:rPr>
          <w:rFonts w:ascii="Times New Roman" w:hAnsi="Times New Roman"/>
          <w:b/>
          <w:noProof/>
        </w:rPr>
        <w:t>Maďarsko</w:t>
      </w:r>
      <w:r>
        <w:rPr>
          <w:rFonts w:ascii="Times New Roman" w:hAnsi="Times New Roman"/>
          <w:noProof/>
        </w:rPr>
        <w:t xml:space="preserve">, </w:t>
      </w:r>
      <w:r>
        <w:rPr>
          <w:rFonts w:ascii="Times New Roman" w:hAnsi="Times New Roman"/>
          <w:b/>
          <w:noProof/>
        </w:rPr>
        <w:t>Malta</w:t>
      </w:r>
      <w:r>
        <w:rPr>
          <w:rFonts w:ascii="Times New Roman" w:hAnsi="Times New Roman"/>
          <w:noProof/>
        </w:rPr>
        <w:t>,</w:t>
      </w:r>
      <w:r>
        <w:rPr>
          <w:rFonts w:ascii="Times New Roman" w:hAnsi="Times New Roman"/>
          <w:b/>
          <w:noProof/>
        </w:rPr>
        <w:t xml:space="preserve"> Polsko</w:t>
      </w:r>
      <w:r>
        <w:rPr>
          <w:rFonts w:ascii="Times New Roman" w:hAnsi="Times New Roman"/>
          <w:noProof/>
        </w:rPr>
        <w:t xml:space="preserve">, </w:t>
      </w:r>
      <w:r>
        <w:rPr>
          <w:rFonts w:ascii="Times New Roman" w:hAnsi="Times New Roman"/>
          <w:b/>
          <w:noProof/>
        </w:rPr>
        <w:t>Portugalsko</w:t>
      </w:r>
      <w:r>
        <w:rPr>
          <w:rFonts w:ascii="Times New Roman" w:hAnsi="Times New Roman"/>
          <w:noProof/>
        </w:rPr>
        <w:t xml:space="preserve">, </w:t>
      </w:r>
      <w:r>
        <w:rPr>
          <w:rFonts w:ascii="Times New Roman" w:hAnsi="Times New Roman"/>
          <w:b/>
          <w:noProof/>
        </w:rPr>
        <w:t>Rumunsko</w:t>
      </w:r>
      <w:r>
        <w:rPr>
          <w:rFonts w:ascii="Times New Roman" w:hAnsi="Times New Roman"/>
          <w:noProof/>
        </w:rPr>
        <w:t xml:space="preserve"> a </w:t>
      </w:r>
      <w:r>
        <w:rPr>
          <w:rFonts w:ascii="Times New Roman" w:hAnsi="Times New Roman"/>
          <w:b/>
          <w:noProof/>
        </w:rPr>
        <w:t>Řecko</w:t>
      </w:r>
      <w:r>
        <w:rPr>
          <w:rFonts w:ascii="Times New Roman" w:hAnsi="Times New Roman"/>
          <w:noProof/>
        </w:rPr>
        <w:t>). Komise se s dotčenými členskými státy spojila a prostřednictvím opatření na podporu dodržování předpisů a dalších činností na zlepšení výsledků vypracovala cílené poradenství.</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Ukládání na skládku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Ukládání na skládku je nejméně preferovanou možností zpracování odpadů. Přestože množství komunálního odpadu ukládaného na skládku v EU celkově postupně klesá (během období let 2013–2016 kleslo o 18 %</w:t>
      </w:r>
      <w:r>
        <w:rPr>
          <w:rStyle w:val="FootnoteReference"/>
          <w:rFonts w:ascii="Times New Roman" w:hAnsi="Times New Roman"/>
          <w:noProof/>
          <w:sz w:val="24"/>
        </w:rPr>
        <w:footnoteReference w:id="40"/>
      </w:r>
      <w:r>
        <w:rPr>
          <w:rFonts w:ascii="Times New Roman" w:hAnsi="Times New Roman"/>
          <w:noProof/>
          <w:sz w:val="24"/>
        </w:rPr>
        <w:t xml:space="preserve">), průměrná míra ukládání komunálního odpadu na skládky v roce 2016 v EU stále činila 24 %. V rámci EU přetrvávají velké rozdíly: v roce 2016 bylo </w:t>
      </w:r>
      <w:r>
        <w:rPr>
          <w:rFonts w:ascii="Times New Roman" w:hAnsi="Times New Roman"/>
          <w:b/>
          <w:noProof/>
          <w:sz w:val="24"/>
        </w:rPr>
        <w:t>stále</w:t>
      </w:r>
      <w:r>
        <w:rPr>
          <w:rFonts w:ascii="Times New Roman" w:hAnsi="Times New Roman"/>
          <w:noProof/>
          <w:sz w:val="24"/>
        </w:rPr>
        <w:t xml:space="preserve"> </w:t>
      </w:r>
      <w:r>
        <w:rPr>
          <w:rFonts w:ascii="Times New Roman" w:hAnsi="Times New Roman"/>
          <w:b/>
          <w:noProof/>
          <w:sz w:val="24"/>
        </w:rPr>
        <w:t>10 členských států, které uložily na skládku více než 50 %</w:t>
      </w:r>
      <w:r>
        <w:rPr>
          <w:rFonts w:ascii="Times New Roman" w:hAnsi="Times New Roman"/>
          <w:noProof/>
          <w:sz w:val="24"/>
        </w:rPr>
        <w:t xml:space="preserve"> </w:t>
      </w:r>
      <w:r>
        <w:rPr>
          <w:rFonts w:ascii="Times New Roman" w:hAnsi="Times New Roman"/>
          <w:b/>
          <w:noProof/>
          <w:sz w:val="24"/>
        </w:rPr>
        <w:t>komunálního odpadu</w:t>
      </w:r>
      <w:r>
        <w:rPr>
          <w:rFonts w:ascii="Times New Roman" w:hAnsi="Times New Roman"/>
          <w:noProof/>
          <w:sz w:val="24"/>
        </w:rPr>
        <w:t xml:space="preserve">, přičemž pět států nahlásilo míry </w:t>
      </w:r>
      <w:r>
        <w:rPr>
          <w:rFonts w:ascii="Times New Roman" w:hAnsi="Times New Roman"/>
          <w:b/>
          <w:noProof/>
          <w:sz w:val="24"/>
        </w:rPr>
        <w:t>přesahující 70 %</w:t>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Směrnice o skládkách ukládala členským státům povinnost omezit ukládání biologicky rozložitelného komunálního odpadu na skládky na maximálně 75 % do roku 2006, 50 % do roku 2009 a 35 % do roku 2016, a to ve srovnání s úrovní v roce 1995</w:t>
      </w:r>
      <w:r>
        <w:rPr>
          <w:rStyle w:val="FootnoteReference"/>
          <w:rFonts w:ascii="Times New Roman" w:hAnsi="Times New Roman"/>
          <w:noProof/>
          <w:sz w:val="24"/>
        </w:rPr>
        <w:footnoteReference w:id="41"/>
      </w:r>
      <w:r>
        <w:rPr>
          <w:rFonts w:ascii="Times New Roman" w:hAnsi="Times New Roman"/>
          <w:noProof/>
          <w:sz w:val="24"/>
        </w:rPr>
        <w:t>. Revidovaná směrnice</w:t>
      </w:r>
      <w:r>
        <w:rPr>
          <w:rStyle w:val="FootnoteReference"/>
          <w:rFonts w:ascii="Times New Roman" w:hAnsi="Times New Roman"/>
          <w:noProof/>
          <w:sz w:val="24"/>
        </w:rPr>
        <w:footnoteReference w:id="42"/>
      </w:r>
      <w:r>
        <w:rPr>
          <w:rFonts w:ascii="Times New Roman" w:hAnsi="Times New Roman"/>
          <w:noProof/>
          <w:sz w:val="24"/>
        </w:rPr>
        <w:t xml:space="preserve"> požaduje, aby členské státy do roku 2035 omezily ukládání komunálního odpadu na skládku na maximálních 10 % a zavádí zákaz ukládat na skládku odpad z tříděného sběru, včetně biologicky rozložitelného odpadu.</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noProof/>
        </w:rPr>
        <w:t xml:space="preserve">Pokud jde o splnění cílů pro omezení biologicky rozložitelného odpadu, úplnost údajů předložených členskými státy se liší. Podle poskytnutých údajů polovina členských států v roce 2015 již splnila cíl 35 % stanovený pro rok 2016. </w:t>
      </w:r>
      <w:r>
        <w:rPr>
          <w:rFonts w:ascii="Times New Roman" w:hAnsi="Times New Roman"/>
          <w:b/>
          <w:noProof/>
        </w:rPr>
        <w:t xml:space="preserve">Chorvatsko </w:t>
      </w:r>
      <w:r>
        <w:rPr>
          <w:rFonts w:ascii="Times New Roman" w:hAnsi="Times New Roman"/>
          <w:noProof/>
        </w:rPr>
        <w:t xml:space="preserve">nesplnilo svůj cíl 75 % stanovený pro rok 2013. </w:t>
      </w:r>
      <w:r>
        <w:rPr>
          <w:rFonts w:ascii="Times New Roman" w:hAnsi="Times New Roman"/>
          <w:b/>
          <w:noProof/>
        </w:rPr>
        <w:t xml:space="preserve">Česká republika, Kypr, Lotyšsko, Řecko </w:t>
      </w:r>
      <w:r>
        <w:rPr>
          <w:rFonts w:ascii="Times New Roman" w:hAnsi="Times New Roman"/>
          <w:noProof/>
        </w:rPr>
        <w:t xml:space="preserve">a </w:t>
      </w:r>
      <w:r>
        <w:rPr>
          <w:rFonts w:ascii="Times New Roman" w:hAnsi="Times New Roman"/>
          <w:b/>
          <w:noProof/>
        </w:rPr>
        <w:t xml:space="preserve">Slovensko </w:t>
      </w:r>
      <w:r>
        <w:rPr>
          <w:rFonts w:ascii="Times New Roman" w:hAnsi="Times New Roman"/>
          <w:noProof/>
        </w:rPr>
        <w:t>nesplnily</w:t>
      </w:r>
      <w:r>
        <w:rPr>
          <w:rFonts w:ascii="Times New Roman" w:hAnsi="Times New Roman"/>
          <w:b/>
          <w:noProof/>
        </w:rPr>
        <w:t xml:space="preserve"> </w:t>
      </w:r>
      <w:r>
        <w:rPr>
          <w:rFonts w:ascii="Times New Roman" w:hAnsi="Times New Roman"/>
          <w:noProof/>
        </w:rPr>
        <w:t>50% cíl, který byl rovněž stanoven pro rok 2013.</w:t>
      </w:r>
      <w:r>
        <w:rPr>
          <w:rFonts w:ascii="Times New Roman" w:hAnsi="Times New Roman"/>
          <w:b/>
          <w:noProof/>
        </w:rPr>
        <w:t xml:space="preserve"> Malta</w:t>
      </w:r>
      <w:r>
        <w:rPr>
          <w:rFonts w:ascii="Times New Roman" w:hAnsi="Times New Roman"/>
          <w:noProof/>
        </w:rPr>
        <w:t>, která má vysokou celkovou míru ukládání komunálního odpadu na skládky, žádné nejnovější údaje</w:t>
      </w:r>
      <w:r>
        <w:rPr>
          <w:rFonts w:ascii="Times New Roman" w:hAnsi="Times New Roman"/>
          <w:b/>
          <w:noProof/>
        </w:rPr>
        <w:t xml:space="preserve"> neposkytla</w:t>
      </w:r>
      <w:r>
        <w:rPr>
          <w:rFonts w:ascii="Times New Roman" w:hAnsi="Times New Roman"/>
          <w:noProof/>
        </w:rPr>
        <w:t>. Komise se s dotčenými členskými státy spojila a prostřednictvím opatření na podporu dodržování předpisů a dalších činností na zlepšení výsledků vypracovala cílené poradenství.</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Nedávná studie provedená pro Komisi</w:t>
      </w:r>
      <w:r>
        <w:rPr>
          <w:rStyle w:val="FootnoteReference"/>
          <w:rFonts w:ascii="Times New Roman" w:hAnsi="Times New Roman"/>
          <w:noProof/>
          <w:sz w:val="24"/>
        </w:rPr>
        <w:footnoteReference w:id="43"/>
      </w:r>
      <w:r>
        <w:rPr>
          <w:rFonts w:ascii="Times New Roman" w:hAnsi="Times New Roman"/>
          <w:noProof/>
          <w:sz w:val="24"/>
        </w:rPr>
        <w:t xml:space="preserve"> zjistila, že 15 členských států zcela neplní povinnost stanovenou ve směrnici</w:t>
      </w:r>
      <w:r>
        <w:rPr>
          <w:rStyle w:val="FootnoteReference"/>
          <w:rFonts w:ascii="Times New Roman" w:hAnsi="Times New Roman"/>
          <w:noProof/>
          <w:sz w:val="24"/>
        </w:rPr>
        <w:footnoteReference w:id="44"/>
      </w:r>
      <w:r>
        <w:rPr>
          <w:rFonts w:ascii="Times New Roman" w:hAnsi="Times New Roman"/>
          <w:noProof/>
          <w:sz w:val="24"/>
        </w:rPr>
        <w:t xml:space="preserve"> týkající se zpracování odpadu před uložením na skládku.</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Navzdory oznámení členských států o uzavření skládek, které nejsou v souladu se směrnicí, zůstává počet zařízení, která </w:t>
      </w:r>
      <w:r>
        <w:rPr>
          <w:rFonts w:ascii="Times New Roman" w:hAnsi="Times New Roman"/>
          <w:b/>
          <w:noProof/>
          <w:sz w:val="24"/>
        </w:rPr>
        <w:t>nejsou v souladu s požadavky</w:t>
      </w:r>
      <w:r>
        <w:rPr>
          <w:rFonts w:ascii="Times New Roman" w:hAnsi="Times New Roman"/>
          <w:noProof/>
          <w:sz w:val="24"/>
        </w:rPr>
        <w:t xml:space="preserve"> směrnice, předmětem obav.</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Kaly z čistíren odpadních vod</w:t>
      </w:r>
    </w:p>
    <w:p>
      <w:pPr>
        <w:spacing w:line="240" w:lineRule="auto"/>
        <w:jc w:val="both"/>
        <w:rPr>
          <w:rFonts w:ascii="Times New Roman" w:hAnsi="Times New Roman" w:cs="Times New Roman"/>
          <w:noProof/>
          <w:sz w:val="24"/>
          <w:szCs w:val="24"/>
        </w:rPr>
      </w:pPr>
      <w:r>
        <w:rPr>
          <w:rFonts w:ascii="Times New Roman" w:hAnsi="Times New Roman"/>
          <w:noProof/>
          <w:sz w:val="24"/>
        </w:rPr>
        <w:t>Směrnice o kalech z čistíren odpadních vod usiluje o kontrolu používání kalů z čistíren odpadních vod v zemědělství. Stanoví mezní hodnoty pro koncentrace těžkých kovů v kalech určených pro používání v zemědělství a pro ošetření půdy.</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Směrnice je v platnosti více než 30 let a v celé EU je dobře prováděna. </w:t>
      </w:r>
      <w:r>
        <w:rPr>
          <w:rFonts w:ascii="Times New Roman" w:hAnsi="Times New Roman"/>
          <w:b/>
          <w:noProof/>
          <w:sz w:val="24"/>
        </w:rPr>
        <w:t>Všechny členské státy stanovily</w:t>
      </w:r>
      <w:r>
        <w:rPr>
          <w:rFonts w:ascii="Times New Roman" w:hAnsi="Times New Roman"/>
          <w:noProof/>
          <w:sz w:val="24"/>
        </w:rPr>
        <w:t xml:space="preserve"> </w:t>
      </w:r>
      <w:r>
        <w:rPr>
          <w:rFonts w:ascii="Times New Roman" w:hAnsi="Times New Roman"/>
          <w:b/>
          <w:noProof/>
          <w:sz w:val="24"/>
        </w:rPr>
        <w:t>mezní hodnoty pro koncentrace</w:t>
      </w:r>
      <w:r>
        <w:rPr>
          <w:rFonts w:ascii="Times New Roman" w:hAnsi="Times New Roman"/>
          <w:noProof/>
          <w:sz w:val="24"/>
        </w:rPr>
        <w:t xml:space="preserve"> těžkých kovů v půdě, které jsou </w:t>
      </w:r>
      <w:r>
        <w:rPr>
          <w:rFonts w:ascii="Times New Roman" w:hAnsi="Times New Roman"/>
          <w:b/>
          <w:noProof/>
          <w:sz w:val="24"/>
        </w:rPr>
        <w:t>v souladu s požadavky směrnice – nebo ještě mnohem přísnější</w:t>
      </w:r>
      <w:r>
        <w:rPr>
          <w:rFonts w:ascii="Times New Roman" w:hAnsi="Times New Roman"/>
          <w:noProof/>
          <w:sz w:val="24"/>
        </w:rPr>
        <w:t>.</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hAnsi="Times New Roman"/>
          <w:b/>
          <w:smallCaps/>
          <w:noProof/>
          <w:color w:val="000000"/>
          <w:sz w:val="24"/>
        </w:rPr>
        <w:t>Závěry</w:t>
      </w:r>
    </w:p>
    <w:p>
      <w:pPr>
        <w:spacing w:after="120" w:line="240" w:lineRule="auto"/>
        <w:jc w:val="both"/>
        <w:rPr>
          <w:rFonts w:ascii="Times New Roman" w:hAnsi="Times New Roman" w:cs="Times New Roman"/>
          <w:noProof/>
          <w:sz w:val="24"/>
          <w:szCs w:val="24"/>
        </w:rPr>
      </w:pPr>
      <w:r>
        <w:rPr>
          <w:rFonts w:ascii="Times New Roman" w:hAnsi="Times New Roman"/>
          <w:noProof/>
          <w:sz w:val="24"/>
        </w:rPr>
        <w:t>Právní předpisy EU o odpadech přinášejí výrazná zlepšení v oblasti nakládání s odpady. Má</w:t>
      </w:r>
      <w:r>
        <w:rPr>
          <w:rFonts w:ascii="Times New Roman" w:hAnsi="Times New Roman"/>
          <w:noProof/>
          <w:sz w:val="24"/>
        </w:rPr>
        <w:noBreakHyphen/>
        <w:t xml:space="preserve">li však EU sklízet environmentální a hospodářské přínosy oběhového hospodářství a být konkurenceschopná ve světě stále omezenějších zdrojů, je zásadní plné provádění těchto právních předpisů.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Zprávy včasného varování týkající se komunálního odpadu a úsilí Komise v oblasti podpory dodržování předpisů popsané v této zprávě poukazují na neustálý pokrok v členských státech, ale rovněž na závažné mezery a problémy, které je třeba rychle řešit.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Dobrý pokrok je možný, podniknou-li dotčené členské státy urychleně kroky směřující k provádění opatření identifikovaných v této zprávě a v doprovodných zprávách pro jednotlivé země. Účinnější tříděný sběr odpadu, účinné systémy odpovědnosti výrobce, ekonomické nástroje jako například daně za ukládání na skládku a spalování, jakož i zlepšená kvalita údajů, to vše je zásadní pro zajištění souladu s právními předpisy EU o odpadech, nyní i v budoucnu. </w:t>
      </w:r>
    </w:p>
    <w:p>
      <w:pPr>
        <w:spacing w:after="120" w:line="240" w:lineRule="auto"/>
        <w:jc w:val="both"/>
        <w:rPr>
          <w:rFonts w:ascii="Times New Roman" w:hAnsi="Times New Roman" w:cs="Times New Roman"/>
          <w:noProof/>
          <w:sz w:val="24"/>
          <w:szCs w:val="24"/>
        </w:rPr>
      </w:pPr>
      <w:r>
        <w:rPr>
          <w:rFonts w:ascii="Times New Roman" w:hAnsi="Times New Roman"/>
          <w:noProof/>
          <w:sz w:val="24"/>
        </w:rPr>
        <w:t>V návaznosti na tuto zprávu Komise začne v členských státech, u nichž existuje riziko, že nesplní cíle týkající se komunálního odpadu pro rok 2020, provádět návštěvy na vysoké úrovni týkající se oběhového hospodářství a odpadu. V této souvislosti bude Komise spolupracovat s příslušnými zúčastněnými stranami včetně sdružení místních a regionálních subjektů.</w:t>
      </w:r>
    </w:p>
    <w:p>
      <w:pPr>
        <w:spacing w:after="120" w:line="240" w:lineRule="auto"/>
        <w:jc w:val="both"/>
        <w:rPr>
          <w:rFonts w:ascii="Times New Roman" w:hAnsi="Times New Roman" w:cs="Times New Roman"/>
          <w:noProof/>
          <w:sz w:val="24"/>
          <w:szCs w:val="24"/>
        </w:rPr>
      </w:pPr>
      <w:r>
        <w:rPr>
          <w:rFonts w:ascii="Times New Roman" w:hAnsi="Times New Roman"/>
          <w:noProof/>
          <w:sz w:val="24"/>
        </w:rPr>
        <w:t>Komise bude nadále vyhrazovat významné zdroje na podporu členských států v jejich úsilí o provádění, a to i prostřednictvím technické pomoci (např. prostřednictvím přezkumu provádění právních předpisů v oblasti životního prostředí</w:t>
      </w:r>
      <w:r>
        <w:rPr>
          <w:rStyle w:val="FootnoteReference"/>
          <w:rFonts w:ascii="Times New Roman" w:hAnsi="Times New Roman"/>
          <w:noProof/>
          <w:sz w:val="24"/>
        </w:rPr>
        <w:footnoteReference w:id="45"/>
      </w:r>
      <w:r>
        <w:rPr>
          <w:rFonts w:ascii="Times New Roman" w:hAnsi="Times New Roman"/>
          <w:noProof/>
          <w:sz w:val="24"/>
        </w:rPr>
        <w:t xml:space="preserve"> a výměny osvědčených postupů</w:t>
      </w:r>
      <w:r>
        <w:rPr>
          <w:rStyle w:val="FootnoteReference"/>
          <w:rFonts w:ascii="Times New Roman" w:hAnsi="Times New Roman"/>
          <w:noProof/>
          <w:sz w:val="24"/>
        </w:rPr>
        <w:footnoteReference w:id="46"/>
      </w:r>
      <w:r>
        <w:rPr>
          <w:rFonts w:ascii="Times New Roman" w:hAnsi="Times New Roman"/>
          <w:noProof/>
          <w:sz w:val="24"/>
        </w:rPr>
        <w:t>) a finančních prostředků EU. Je však na vnitrostátních orgánech, aby zintenzivnily proces nutných politických reforem a vystupňovaly opatření prováděná v praxi.</w:t>
      </w:r>
    </w:p>
    <w:p>
      <w:pPr>
        <w:spacing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76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Podrobné informace o těchto zprávách pro jednotlivé směrnice lze nalézt na: </w:t>
      </w:r>
      <w:hyperlink r:id="rId1">
        <w:r>
          <w:rPr>
            <w:rStyle w:val="Hyperlink"/>
          </w:rPr>
          <w:t>http://ec.europa.eu/environment/waste/reporting/index</w:t>
        </w:r>
      </w:hyperlink>
      <w:r>
        <w:t xml:space="preserve">. </w:t>
      </w:r>
    </w:p>
  </w:footnote>
  <w:footnote w:id="2">
    <w:p>
      <w:pPr>
        <w:pStyle w:val="FootnoteText"/>
      </w:pPr>
      <w:r>
        <w:rPr>
          <w:rStyle w:val="FootnoteReference"/>
        </w:rPr>
        <w:footnoteRef/>
      </w:r>
      <w:r>
        <w:t xml:space="preserve"> Předchozí zpráva o provádění COM/2017/088 final pokrývá období let 2010–2012. Komise je ze zákona povinna tuto zprávu vydat.</w:t>
      </w:r>
    </w:p>
  </w:footnote>
  <w:footnote w:id="3">
    <w:p>
      <w:pPr>
        <w:pStyle w:val="FootnoteText"/>
      </w:pPr>
      <w:r>
        <w:rPr>
          <w:rStyle w:val="FootnoteReference"/>
        </w:rPr>
        <w:footnoteRef/>
      </w:r>
      <w:r>
        <w:t xml:space="preserve"> Existují i další právní akty, u nichž musí členské státy Komisi předkládat zprávy o provádění. Lhůty pro předkládání těchto dotazníků se však liší.</w:t>
      </w:r>
    </w:p>
  </w:footnote>
  <w:footnote w:id="4">
    <w:p>
      <w:pPr>
        <w:pStyle w:val="FootnoteText"/>
      </w:pPr>
      <w:r>
        <w:rPr>
          <w:rStyle w:val="FootnoteReference"/>
        </w:rPr>
        <w:footnoteRef/>
      </w:r>
      <w:r>
        <w:t xml:space="preserve"> Eunomia Research and Consulting Ltd </w:t>
      </w:r>
      <w:r>
        <w:rPr>
          <w:i/>
        </w:rPr>
        <w:t>et al</w:t>
      </w:r>
      <w:r>
        <w:t xml:space="preserve"> (2018), </w:t>
      </w:r>
      <w:r>
        <w:rPr>
          <w:rFonts w:ascii="Times New Roman" w:hAnsi="Times New Roman"/>
          <w:sz w:val="24"/>
        </w:rPr>
        <w:t>„</w:t>
      </w:r>
      <w:r>
        <w:t>Study to identify Member States at risk of non-compliance</w:t>
      </w:r>
      <w:r>
        <w:rPr>
          <w:i/>
        </w:rPr>
        <w:t xml:space="preserve"> </w:t>
      </w:r>
      <w:r>
        <w:t>with the 2020 target of the Waste Framework Directive and to follow-up phase 1 and 2 of the compliance promotion exercise</w:t>
      </w:r>
      <w:r>
        <w:rPr>
          <w:rFonts w:ascii="Times New Roman" w:hAnsi="Times New Roman"/>
          <w:sz w:val="24"/>
        </w:rPr>
        <w:t>“</w:t>
      </w:r>
      <w:r>
        <w:t xml:space="preserve"> („Studie za účelem identifikace členských států, kterým hrozí, že nesplní cíl pro rok 2020 stanovený rámcovou směrnicí o odpadech, a za účelem navazující fáze 1 a 2 opatření na podporu dodržování předpisů“).</w:t>
      </w:r>
    </w:p>
  </w:footnote>
  <w:footnote w:id="5">
    <w:p>
      <w:pPr>
        <w:pStyle w:val="FootnoteText"/>
      </w:pPr>
      <w:r>
        <w:rPr>
          <w:rStyle w:val="FootnoteReference"/>
        </w:rPr>
        <w:footnoteRef/>
      </w:r>
      <w:r>
        <w:t xml:space="preserve"> Evropské tematické středisko pro odpady a materiály v ekologickém hospodářství (ETC/WMGE) pro Evropskou agenturu pro životní prostředí (2018), </w:t>
      </w:r>
      <w:r>
        <w:rPr>
          <w:rFonts w:ascii="Times New Roman" w:hAnsi="Times New Roman"/>
          <w:sz w:val="24"/>
        </w:rPr>
        <w:t>„</w:t>
      </w:r>
      <w:r>
        <w:t>Scenarios for municipal waste recycling based on the European Reference Model on Municipal Waste, Contribution to the first Early Warning report</w:t>
      </w:r>
      <w:r>
        <w:rPr>
          <w:rFonts w:ascii="Times New Roman" w:hAnsi="Times New Roman"/>
          <w:sz w:val="24"/>
        </w:rPr>
        <w:t>“</w:t>
      </w:r>
      <w:r>
        <w:t xml:space="preserve"> („Scénáře pro recyklaci komunálního odpadu založené na evropském referenčním modelu pro komunální odpad, příspěvek k první zprávě včasného varování“).</w:t>
      </w:r>
    </w:p>
  </w:footnote>
  <w:footnote w:id="6">
    <w:p>
      <w:pPr>
        <w:pStyle w:val="FootnoteText"/>
      </w:pPr>
      <w:r>
        <w:rPr>
          <w:rStyle w:val="FootnoteReference"/>
        </w:rPr>
        <w:footnoteRef/>
      </w:r>
      <w:r>
        <w:t xml:space="preserve"> BIO od společnosti Deloitte (2017), </w:t>
      </w:r>
      <w:r>
        <w:rPr>
          <w:rFonts w:ascii="Times New Roman" w:hAnsi="Times New Roman"/>
          <w:sz w:val="24"/>
        </w:rPr>
        <w:t>„</w:t>
      </w:r>
      <w:r>
        <w:t>Resource efficient use of mixed wastes; Improving management of construction and demolition waste</w:t>
      </w:r>
      <w:r>
        <w:rPr>
          <w:rFonts w:ascii="Times New Roman" w:hAnsi="Times New Roman"/>
          <w:sz w:val="24"/>
        </w:rPr>
        <w:t>“</w:t>
      </w:r>
      <w:r>
        <w:t xml:space="preserve"> („Účinné využívání zdrojů ze směsného odpadu; zlepšení nakládání se stavebním a demoličním odpadem“).</w:t>
      </w:r>
    </w:p>
  </w:footnote>
  <w:footnote w:id="7">
    <w:p>
      <w:pPr>
        <w:pStyle w:val="FootnoteText"/>
      </w:pPr>
      <w:r>
        <w:rPr>
          <w:rStyle w:val="FootnoteReference"/>
        </w:rPr>
        <w:footnoteRef/>
      </w:r>
      <w:r>
        <w:t xml:space="preserve"> BiPRO GmbH (2017), </w:t>
      </w:r>
      <w:r>
        <w:rPr>
          <w:rFonts w:ascii="Times New Roman" w:hAnsi="Times New Roman"/>
          <w:sz w:val="24"/>
        </w:rPr>
        <w:t>„</w:t>
      </w:r>
      <w:r>
        <w:t>Support to selected Member States in improving hazardous waste management based on assessment of Member States' performance</w:t>
      </w:r>
      <w:r>
        <w:rPr>
          <w:rFonts w:ascii="Times New Roman" w:hAnsi="Times New Roman"/>
          <w:sz w:val="24"/>
        </w:rPr>
        <w:t>“</w:t>
      </w:r>
      <w:r>
        <w:t xml:space="preserve"> („Podpora vybraných členských států při zlepšování nakládání s nebezpečným odpadem na základě posouzení výsledků členských států“).</w:t>
      </w:r>
    </w:p>
  </w:footnote>
  <w:footnote w:id="8">
    <w:p>
      <w:pPr>
        <w:pStyle w:val="FootnoteText"/>
      </w:pPr>
      <w:r>
        <w:rPr>
          <w:rStyle w:val="FootnoteReference"/>
        </w:rPr>
        <w:footnoteRef/>
      </w:r>
      <w:r>
        <w:t xml:space="preserve"> BiPRO GmbH (2018), </w:t>
      </w:r>
      <w:r>
        <w:rPr>
          <w:rFonts w:ascii="Times New Roman" w:hAnsi="Times New Roman"/>
          <w:sz w:val="24"/>
        </w:rPr>
        <w:t>„</w:t>
      </w:r>
      <w:r>
        <w:t>WEEE compliance promotion exercise</w:t>
      </w:r>
      <w:r>
        <w:rPr>
          <w:rFonts w:ascii="Times New Roman" w:hAnsi="Times New Roman"/>
          <w:sz w:val="24"/>
        </w:rPr>
        <w:t>“</w:t>
      </w:r>
      <w:r>
        <w:t xml:space="preserve"> („Opatření na podporu dodržování předpisů v oblasti OEEZ“).</w:t>
      </w:r>
    </w:p>
  </w:footnote>
  <w:footnote w:id="9">
    <w:p>
      <w:pPr>
        <w:pStyle w:val="FootnoteText"/>
      </w:pPr>
      <w:r>
        <w:rPr>
          <w:rStyle w:val="FootnoteReference"/>
        </w:rPr>
        <w:footnoteRef/>
      </w:r>
      <w:r>
        <w:t xml:space="preserve"> Eurostat: </w:t>
      </w:r>
      <w:hyperlink r:id="rId2">
        <w:r>
          <w:rPr>
            <w:rStyle w:val="Hyperlink"/>
          </w:rPr>
          <w:t>http://ec.europa.eu/eurostat/web/waste/data/database</w:t>
        </w:r>
      </w:hyperlink>
      <w:r>
        <w:t>, soubor údajů (env_wasmun).</w:t>
      </w:r>
    </w:p>
  </w:footnote>
  <w:footnote w:id="10">
    <w:p>
      <w:pPr>
        <w:pStyle w:val="FootnoteText"/>
      </w:pPr>
      <w:r>
        <w:rPr>
          <w:rStyle w:val="FootnoteReference"/>
        </w:rPr>
        <w:footnoteRef/>
      </w:r>
      <w:r>
        <w:t xml:space="preserve"> Ustanovení čl. 11 odst. 2 písm. a) rámcové směrnice o odpadech.</w:t>
      </w:r>
    </w:p>
  </w:footnote>
  <w:footnote w:id="11">
    <w:p>
      <w:pPr>
        <w:pStyle w:val="FootnoteText"/>
      </w:pPr>
      <w:r>
        <w:rPr>
          <w:rStyle w:val="FootnoteReference"/>
        </w:rPr>
        <w:footnoteRef/>
      </w:r>
      <w:r>
        <w:t xml:space="preserve"> Směrnice (EU) 2018/851, dále jen revidovaná rámcová směrnice o odpadech.</w:t>
      </w:r>
    </w:p>
  </w:footnote>
  <w:footnote w:id="12">
    <w:p>
      <w:pPr>
        <w:pStyle w:val="FootnoteText"/>
      </w:pPr>
      <w:r>
        <w:rPr>
          <w:rStyle w:val="FootnoteReference"/>
        </w:rPr>
        <w:footnoteRef/>
      </w:r>
      <w:r>
        <w:t xml:space="preserve"> Ustanovení čl. 11 odst. 2 písm. c) až e) směrnice (EU) 2018/851.</w:t>
      </w:r>
    </w:p>
  </w:footnote>
  <w:footnote w:id="13">
    <w:p>
      <w:pPr>
        <w:pStyle w:val="FootnoteText"/>
      </w:pPr>
      <w:r>
        <w:rPr>
          <w:rStyle w:val="FootnoteReference"/>
        </w:rPr>
        <w:footnoteRef/>
      </w:r>
      <w:r>
        <w:t xml:space="preserve"> Eunomia (2018) a ETC/WMGE (2018). </w:t>
      </w:r>
    </w:p>
  </w:footnote>
  <w:footnote w:id="14">
    <w:p>
      <w:pPr>
        <w:pStyle w:val="FootnoteText"/>
        <w:rPr>
          <w:rFonts w:cs="Times New Roman"/>
          <w:color w:val="000000"/>
        </w:rPr>
      </w:pPr>
      <w:r>
        <w:rPr>
          <w:rStyle w:val="FootnoteReference"/>
        </w:rPr>
        <w:footnoteRef/>
      </w:r>
      <w:r>
        <w:t xml:space="preserve"> Založeno na jejich zvolené metodě výpočtu. </w:t>
      </w:r>
      <w:r>
        <w:rPr>
          <w:color w:val="000000"/>
        </w:rPr>
        <w:t xml:space="preserve">Pro účely ověřování dodržování cíle podle čl. 11 odst. 2 písm. a) rámcové směrnice o odpadech stanoví rozhodnutí 2011/753/EU čtyři alternativní metody výpočtu pro podávání zpráv, pokud jde o míry </w:t>
      </w:r>
      <w:r>
        <w:rPr>
          <w:rFonts w:ascii="Times New Roman" w:hAnsi="Times New Roman"/>
          <w:sz w:val="24"/>
        </w:rPr>
        <w:t>„</w:t>
      </w:r>
      <w:r>
        <w:rPr>
          <w:color w:val="000000"/>
        </w:rPr>
        <w:t>přípravy k opětovnému použití a recyklace</w:t>
      </w:r>
      <w:r>
        <w:rPr>
          <w:rFonts w:ascii="Times New Roman" w:hAnsi="Times New Roman"/>
          <w:sz w:val="24"/>
        </w:rPr>
        <w:t>“</w:t>
      </w:r>
      <w:r>
        <w:rPr>
          <w:color w:val="000000"/>
        </w:rPr>
        <w:t xml:space="preserve"> odpadu z domácností.</w:t>
      </w:r>
    </w:p>
  </w:footnote>
  <w:footnote w:id="15">
    <w:p>
      <w:pPr>
        <w:pStyle w:val="FootnoteText"/>
        <w:rPr>
          <w:lang w:val="fr-BE"/>
        </w:rPr>
      </w:pPr>
      <w:r>
        <w:rPr>
          <w:rStyle w:val="FootnoteReference"/>
        </w:rPr>
        <w:footnoteRef/>
      </w:r>
      <w:r>
        <w:t xml:space="preserve"> ETC/WMGE (2018).</w:t>
      </w:r>
    </w:p>
  </w:footnote>
  <w:footnote w:id="16">
    <w:p>
      <w:pPr>
        <w:pStyle w:val="FootnoteText"/>
        <w:rPr>
          <w:lang w:val="fr-BE"/>
        </w:rPr>
      </w:pPr>
      <w:r>
        <w:rPr>
          <w:rStyle w:val="FootnoteReference"/>
        </w:rPr>
        <w:footnoteRef/>
      </w:r>
      <w:r>
        <w:t xml:space="preserve"> http://ec.europa.eu/environment/waste/framework/support_implementation.htm.</w:t>
      </w:r>
    </w:p>
  </w:footnote>
  <w:footnote w:id="17">
    <w:p>
      <w:pPr>
        <w:pStyle w:val="FootnoteText"/>
      </w:pPr>
      <w:r>
        <w:rPr>
          <w:rStyle w:val="FootnoteReference"/>
        </w:rPr>
        <w:footnoteRef/>
      </w:r>
      <w:r>
        <w:t xml:space="preserve"> Hierarchie způsobů nakládání s odpady řadí možnosti nakládání podle jejich udržitelnosti a za hlavní prioritu považuje předcházení vzniku odpadů, po kterém následuje recyklace, energetické využívání odpadů a až na spodní příčce žebříčku odstraňování (např. skládkování).</w:t>
      </w:r>
    </w:p>
  </w:footnote>
  <w:footnote w:id="18">
    <w:p>
      <w:pPr>
        <w:pStyle w:val="FootnoteText"/>
      </w:pPr>
      <w:r>
        <w:rPr>
          <w:rStyle w:val="FootnoteReference"/>
        </w:rPr>
        <w:footnoteRef/>
      </w:r>
      <w:r>
        <w:t xml:space="preserve"> Eurostat, soubor údajů (env_wasgen).</w:t>
      </w:r>
    </w:p>
  </w:footnote>
  <w:footnote w:id="19">
    <w:p>
      <w:pPr>
        <w:pStyle w:val="FootnoteText"/>
      </w:pPr>
      <w:r>
        <w:rPr>
          <w:rStyle w:val="FootnoteReference"/>
        </w:rPr>
        <w:footnoteRef/>
      </w:r>
      <w:r>
        <w:t xml:space="preserve"> Ustanovení čl. 11 odst. 2 písm. b).</w:t>
      </w:r>
    </w:p>
  </w:footnote>
  <w:footnote w:id="20">
    <w:p>
      <w:pPr>
        <w:pStyle w:val="FootnoteText"/>
      </w:pPr>
      <w:r>
        <w:rPr>
          <w:rStyle w:val="FootnoteReference"/>
        </w:rPr>
        <w:footnoteRef/>
      </w:r>
      <w:r>
        <w:t xml:space="preserve"> ARGUS (2017), </w:t>
      </w:r>
      <w:r>
        <w:rPr>
          <w:rFonts w:ascii="Times New Roman" w:hAnsi="Times New Roman"/>
          <w:sz w:val="24"/>
        </w:rPr>
        <w:t>„</w:t>
      </w:r>
      <w:r>
        <w:t>Compliance reporting on Waste Framework Directive – material recovery rates for construction &amp; demolition waste for reporting period 2013 – 2015</w:t>
      </w:r>
      <w:r>
        <w:rPr>
          <w:rFonts w:ascii="Times New Roman" w:hAnsi="Times New Roman"/>
          <w:sz w:val="24"/>
        </w:rPr>
        <w:t>“</w:t>
      </w:r>
      <w:r>
        <w:t xml:space="preserve"> („Zpráva o souladu s rámcovou směrnicí o odpadech – úrovně využití materiálu pro stavební a demoliční odpad pro vykazované období let 2013–2015“); zpráva o validaci 2017.</w:t>
      </w:r>
    </w:p>
  </w:footnote>
  <w:footnote w:id="21">
    <w:p>
      <w:pPr>
        <w:pStyle w:val="FootnoteText"/>
      </w:pPr>
      <w:r>
        <w:rPr>
          <w:rStyle w:val="FootnoteReference"/>
        </w:rPr>
        <w:footnoteRef/>
      </w:r>
      <w:r>
        <w:t xml:space="preserve"> BIO od společnosti Deloitte (2017); Eurostat, soubor údajů (</w:t>
      </w:r>
      <w:hyperlink r:id="rId3">
        <w:r>
          <w:rPr>
            <w:rStyle w:val="Hyperlink"/>
          </w:rPr>
          <w:t>cei_wm040</w:t>
        </w:r>
      </w:hyperlink>
      <w:r>
        <w:t>).</w:t>
      </w:r>
    </w:p>
  </w:footnote>
  <w:footnote w:id="22">
    <w:p>
      <w:pPr>
        <w:pStyle w:val="FootnoteText"/>
      </w:pPr>
      <w:r>
        <w:rPr>
          <w:rStyle w:val="FootnoteReference"/>
        </w:rPr>
        <w:footnoteRef/>
      </w:r>
      <w:r>
        <w:t xml:space="preserve"> https://ec.europa.eu/docsroom/documents/20509/attachments/1/translations/en/renditions/native.</w:t>
      </w:r>
    </w:p>
  </w:footnote>
  <w:footnote w:id="23">
    <w:p>
      <w:pPr>
        <w:pStyle w:val="FootnoteText"/>
      </w:pPr>
      <w:r>
        <w:rPr>
          <w:rStyle w:val="FootnoteReference"/>
        </w:rPr>
        <w:footnoteRef/>
      </w:r>
      <w:r>
        <w:t xml:space="preserve"> Eurostat; soubor údajů (env_wasgen).</w:t>
      </w:r>
    </w:p>
  </w:footnote>
  <w:footnote w:id="24">
    <w:p>
      <w:pPr>
        <w:pStyle w:val="FootnoteText"/>
      </w:pPr>
      <w:r>
        <w:rPr>
          <w:rStyle w:val="FootnoteReference"/>
        </w:rPr>
        <w:footnoteRef/>
      </w:r>
      <w:r>
        <w:t xml:space="preserve"> BiPRO GmbH (2015), </w:t>
      </w:r>
      <w:r>
        <w:rPr>
          <w:rFonts w:ascii="Times New Roman" w:hAnsi="Times New Roman"/>
          <w:sz w:val="24"/>
        </w:rPr>
        <w:t>„</w:t>
      </w:r>
      <w:r>
        <w:t>Support to selected Member States in improving hazardous waste management based on assessment of Member States' performance</w:t>
      </w:r>
      <w:r>
        <w:rPr>
          <w:rFonts w:ascii="Times New Roman" w:hAnsi="Times New Roman"/>
          <w:sz w:val="24"/>
        </w:rPr>
        <w:t>“</w:t>
      </w:r>
      <w:r>
        <w:t xml:space="preserve"> („Podpora vybraných členských států při zlepšování nakládání s nebezpečným odpadem na základě posouzení výsledků členských států“) – analyzováno 10 členských států; a BiPRO (2017) – analyzováno 14 členských států.</w:t>
      </w:r>
    </w:p>
  </w:footnote>
  <w:footnote w:id="25">
    <w:p>
      <w:pPr>
        <w:pStyle w:val="FootnoteText"/>
      </w:pPr>
      <w:r>
        <w:rPr>
          <w:rStyle w:val="FootnoteReference"/>
        </w:rPr>
        <w:footnoteRef/>
      </w:r>
      <w:r>
        <w:t xml:space="preserve"> Polychlorované bifenyly / polychlorované terfenyly.</w:t>
      </w:r>
    </w:p>
  </w:footnote>
  <w:footnote w:id="26">
    <w:p>
      <w:pPr>
        <w:pStyle w:val="FootnoteText"/>
        <w:rPr>
          <w:highlight w:val="yellow"/>
        </w:rPr>
      </w:pPr>
      <w:r>
        <w:rPr>
          <w:rStyle w:val="FootnoteReference"/>
        </w:rPr>
        <w:footnoteRef/>
      </w:r>
      <w:r>
        <w:t xml:space="preserve"> Dostupné ve všech jazycích EU na: </w:t>
      </w:r>
      <w:hyperlink r:id="rId4">
        <w:r>
          <w:rPr>
            <w:rStyle w:val="Hyperlink"/>
          </w:rPr>
          <w:t>http://eur-lex.europa.eu/legal-content/EN/TXT/?uri=uriserv:OJ.C_.2018.124.01.0001.01.ENG&amp;toc=OJ:C:2018:124:TOC</w:t>
        </w:r>
      </w:hyperlink>
      <w:r>
        <w:t>.</w:t>
      </w:r>
    </w:p>
  </w:footnote>
  <w:footnote w:id="27">
    <w:p>
      <w:pPr>
        <w:pStyle w:val="FootnoteText"/>
      </w:pPr>
      <w:r>
        <w:rPr>
          <w:rStyle w:val="FootnoteReference"/>
        </w:rPr>
        <w:footnoteRef/>
      </w:r>
      <w:r>
        <w:t xml:space="preserve"> Jak je stanoveno v čl. 15 odst. 2 rámcové směrnice o odpadech.</w:t>
      </w:r>
    </w:p>
  </w:footnote>
  <w:footnote w:id="28">
    <w:p>
      <w:pPr>
        <w:pStyle w:val="FootnoteText"/>
      </w:pPr>
      <w:r>
        <w:rPr>
          <w:rStyle w:val="FootnoteReference"/>
        </w:rPr>
        <w:footnoteRef/>
      </w:r>
      <w:r>
        <w:t xml:space="preserve"> Vypočteno na základě „výpočetních nástrojů pro OEEZ“ dostupných na http://ec.europa.eu/environment/waste/weee/data_en.htm. </w:t>
      </w:r>
    </w:p>
  </w:footnote>
  <w:footnote w:id="29">
    <w:p>
      <w:pPr>
        <w:pStyle w:val="FootnoteText"/>
      </w:pPr>
      <w:r>
        <w:rPr>
          <w:rStyle w:val="FootnoteReference"/>
        </w:rPr>
        <w:footnoteRef/>
      </w:r>
      <w:r>
        <w:t xml:space="preserve"> United National University (2007), přezkum směrnice 2002/96/ES o odpadních elektrických a elektronických zařízeních (OEEZ) z roku 2008.</w:t>
      </w:r>
    </w:p>
  </w:footnote>
  <w:footnote w:id="30">
    <w:p>
      <w:pPr>
        <w:pStyle w:val="FootnoteText"/>
      </w:pPr>
      <w:r>
        <w:rPr>
          <w:rStyle w:val="FootnoteReference"/>
        </w:rPr>
        <w:footnoteRef/>
      </w:r>
      <w:r>
        <w:t xml:space="preserve"> Cíl platil do konce roku 2015.</w:t>
      </w:r>
    </w:p>
  </w:footnote>
  <w:footnote w:id="31">
    <w:p>
      <w:pPr>
        <w:pStyle w:val="FootnoteText"/>
      </w:pPr>
      <w:r>
        <w:rPr>
          <w:rStyle w:val="FootnoteReference"/>
        </w:rPr>
        <w:footnoteRef/>
      </w:r>
      <w:r>
        <w:t xml:space="preserve"> Lotyšsko nesplnilo cíl v roce 2015, zatímco další členské státy ho nesplnily v roce 2014 (nejnovější poskytnuté údaje) nebo v předchozích letech.</w:t>
      </w:r>
    </w:p>
  </w:footnote>
  <w:footnote w:id="32">
    <w:p>
      <w:pPr>
        <w:pStyle w:val="FootnoteText"/>
      </w:pPr>
      <w:r>
        <w:rPr>
          <w:rStyle w:val="FootnoteReference"/>
        </w:rPr>
        <w:footnoteRef/>
      </w:r>
      <w:r>
        <w:t xml:space="preserve"> </w:t>
      </w:r>
      <w:r>
        <w:fldChar w:fldCharType="begin"/>
      </w:r>
      <w: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fldChar w:fldCharType="separate"/>
      </w:r>
      <w:r>
        <w:rPr>
          <w:rFonts w:cs="Times New Roman"/>
          <w:szCs w:val="24"/>
        </w:rPr>
        <w:t>Eurostat</w:t>
      </w:r>
      <w:r>
        <w:fldChar w:fldCharType="end"/>
      </w:r>
      <w:r>
        <w:t>; soubor údajů (env_waselee).</w:t>
      </w:r>
    </w:p>
  </w:footnote>
  <w:footnote w:id="33">
    <w:p>
      <w:pPr>
        <w:pStyle w:val="FootnoteText"/>
      </w:pPr>
      <w:r>
        <w:rPr>
          <w:rStyle w:val="FootnoteReference"/>
        </w:rPr>
        <w:footnoteRef/>
      </w:r>
      <w:r>
        <w:t xml:space="preserve"> V době přípravy této zprávy nebyly údaje za rok 2016 k dispozici.</w:t>
      </w:r>
    </w:p>
  </w:footnote>
  <w:footnote w:id="34">
    <w:p>
      <w:pPr>
        <w:pStyle w:val="FootnoteText"/>
        <w:rPr>
          <w:lang w:val="it-IT"/>
        </w:rPr>
      </w:pPr>
      <w:r>
        <w:rPr>
          <w:rStyle w:val="FootnoteReference"/>
        </w:rPr>
        <w:footnoteRef/>
      </w:r>
      <w:r>
        <w:t xml:space="preserve"> BiPRO (2018).</w:t>
      </w:r>
    </w:p>
  </w:footnote>
  <w:footnote w:id="35">
    <w:p>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hyperlink r:id="rId5">
        <w:r>
          <w:rPr>
            <w:rStyle w:val="Hyperlink"/>
          </w:rPr>
          <w:t>https://i4r-platform.eu/</w:t>
        </w:r>
      </w:hyperlink>
    </w:p>
  </w:footnote>
  <w:footnote w:id="36">
    <w:p>
      <w:pPr>
        <w:pStyle w:val="FootnoteText"/>
      </w:pPr>
      <w:r>
        <w:rPr>
          <w:rStyle w:val="FootnoteReference"/>
        </w:rPr>
        <w:footnoteRef/>
      </w:r>
      <w:r>
        <w:t xml:space="preserve"> </w:t>
      </w:r>
      <w:r>
        <w:fldChar w:fldCharType="begin"/>
      </w:r>
      <w: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fldChar w:fldCharType="separate"/>
      </w:r>
      <w:r>
        <w:rPr>
          <w:rFonts w:cs="Times New Roman"/>
          <w:szCs w:val="24"/>
        </w:rPr>
        <w:t>Eurostat; soubor údajů (env_wasgen) a (env_waspac)</w:t>
      </w:r>
      <w:r>
        <w:fldChar w:fldCharType="end"/>
      </w:r>
      <w:r>
        <w:t>.</w:t>
      </w:r>
    </w:p>
  </w:footnote>
  <w:footnote w:id="37">
    <w:p>
      <w:pPr>
        <w:pStyle w:val="FootnoteText"/>
      </w:pPr>
      <w:r>
        <w:rPr>
          <w:rStyle w:val="FootnoteReference"/>
        </w:rPr>
        <w:footnoteRef/>
      </w:r>
      <w:r>
        <w:t xml:space="preserve"> Tamtéž.</w:t>
      </w:r>
    </w:p>
  </w:footnote>
  <w:footnote w:id="38">
    <w:p>
      <w:pPr>
        <w:pStyle w:val="FootnoteText"/>
      </w:pPr>
      <w:r>
        <w:rPr>
          <w:rStyle w:val="FootnoteReference"/>
        </w:rPr>
        <w:footnoteRef/>
      </w:r>
      <w:r>
        <w:t xml:space="preserve"> Směrnice (EU) 2018/852.</w:t>
      </w:r>
    </w:p>
  </w:footnote>
  <w:footnote w:id="39">
    <w:p>
      <w:pPr>
        <w:pStyle w:val="FootnoteText"/>
      </w:pPr>
      <w:r>
        <w:rPr>
          <w:rStyle w:val="FootnoteReference"/>
        </w:rPr>
        <w:footnoteRef/>
      </w:r>
      <w:r>
        <w:t xml:space="preserve"> Údaje za rok 2015 dosud nebyly vykázány.</w:t>
      </w:r>
    </w:p>
  </w:footnote>
  <w:footnote w:id="40">
    <w:p>
      <w:pPr>
        <w:pStyle w:val="FootnoteText"/>
      </w:pPr>
      <w:r>
        <w:rPr>
          <w:rStyle w:val="FootnoteReference"/>
        </w:rPr>
        <w:footnoteRef/>
      </w:r>
      <w:r>
        <w:t xml:space="preserve"> Eurostat; soubor údajů (emv_wasmun).</w:t>
      </w:r>
    </w:p>
  </w:footnote>
  <w:footnote w:id="41">
    <w:p>
      <w:pPr>
        <w:pStyle w:val="FootnoteText"/>
      </w:pPr>
      <w:r>
        <w:rPr>
          <w:rStyle w:val="FootnoteReference"/>
        </w:rPr>
        <w:footnoteRef/>
      </w:r>
      <w:r>
        <w:t xml:space="preserve"> Ustanovení čl. 5 odst. 2 směrnice o skládkách umožňuje splnění cílů o čtyři roky prodloužit v případech, kdy členské státy v roce 1995 ukládaly na skládku více než 80 % svého komunálního odpadu.</w:t>
      </w:r>
    </w:p>
  </w:footnote>
  <w:footnote w:id="42">
    <w:p>
      <w:pPr>
        <w:pStyle w:val="FootnoteText"/>
      </w:pPr>
      <w:r>
        <w:rPr>
          <w:rStyle w:val="FootnoteReference"/>
        </w:rPr>
        <w:footnoteRef/>
      </w:r>
      <w:r>
        <w:t xml:space="preserve"> Směrnice (EU) 2018/850.</w:t>
      </w:r>
    </w:p>
  </w:footnote>
  <w:footnote w:id="43">
    <w:p>
      <w:pPr>
        <w:pStyle w:val="FootnoteText"/>
        <w:rPr>
          <w:b/>
          <w:bCs/>
        </w:rPr>
      </w:pPr>
      <w:r>
        <w:rPr>
          <w:rStyle w:val="FootnoteReference"/>
        </w:rPr>
        <w:footnoteRef/>
      </w:r>
      <w:r>
        <w:t xml:space="preserve"> Milieu (2017), </w:t>
      </w:r>
      <w:r>
        <w:rPr>
          <w:rFonts w:ascii="Times New Roman" w:hAnsi="Times New Roman"/>
          <w:sz w:val="24"/>
        </w:rPr>
        <w:t>„</w:t>
      </w:r>
      <w:r>
        <w:t>Study to assess the implementation by the EU Member States of certain provisions of Directive 1999/31/EC on the landfill of waste</w:t>
      </w:r>
      <w:r>
        <w:rPr>
          <w:rFonts w:ascii="Times New Roman" w:hAnsi="Times New Roman"/>
          <w:sz w:val="24"/>
        </w:rPr>
        <w:t>“</w:t>
      </w:r>
      <w:r>
        <w:t xml:space="preserve"> („Studie týkající se provádění některých ustanovení směrnice 1999/31/ES o skládkách odpadů členskými státy EU“).</w:t>
      </w:r>
    </w:p>
  </w:footnote>
  <w:footnote w:id="44">
    <w:p>
      <w:pPr>
        <w:pStyle w:val="FootnoteText"/>
      </w:pPr>
      <w:r>
        <w:rPr>
          <w:rStyle w:val="FootnoteReference"/>
        </w:rPr>
        <w:footnoteRef/>
      </w:r>
      <w:r>
        <w:t xml:space="preserve"> Ustanovení čl. 6 písm. a) směrnice o skládkách.</w:t>
      </w:r>
    </w:p>
  </w:footnote>
  <w:footnote w:id="45">
    <w:p>
      <w:pPr>
        <w:pStyle w:val="FootnoteText"/>
      </w:pPr>
      <w:r>
        <w:rPr>
          <w:rStyle w:val="FootnoteReference"/>
        </w:rPr>
        <w:footnoteRef/>
      </w:r>
      <w:r>
        <w:t xml:space="preserve"> http://ec.europa.eu/environment/eir/index_en.htm.</w:t>
      </w:r>
    </w:p>
  </w:footnote>
  <w:footnote w:id="46">
    <w:p>
      <w:pPr>
        <w:pStyle w:val="FootnoteText"/>
      </w:pPr>
      <w:r>
        <w:rPr>
          <w:rStyle w:val="FootnoteReference"/>
        </w:rPr>
        <w:footnoteRef/>
      </w:r>
      <w:r>
        <w:t xml:space="preserve"> TAIEX-EIR Peer2Peer – http://ec.europa.eu/environment/eir/p2p/index_en.htm.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E81"/>
    <w:multiLevelType w:val="hybridMultilevel"/>
    <w:tmpl w:val="D338A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35F77"/>
    <w:multiLevelType w:val="hybridMultilevel"/>
    <w:tmpl w:val="2408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B0D6B"/>
    <w:multiLevelType w:val="hybridMultilevel"/>
    <w:tmpl w:val="D696B2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20F85"/>
    <w:multiLevelType w:val="hybridMultilevel"/>
    <w:tmpl w:val="13865E66"/>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B134A4"/>
    <w:multiLevelType w:val="hybridMultilevel"/>
    <w:tmpl w:val="52F636DC"/>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B3E18"/>
    <w:multiLevelType w:val="hybridMultilevel"/>
    <w:tmpl w:val="C994C3D4"/>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5222C"/>
    <w:multiLevelType w:val="hybridMultilevel"/>
    <w:tmpl w:val="31607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B46CF"/>
    <w:multiLevelType w:val="hybridMultilevel"/>
    <w:tmpl w:val="5C1C1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94C90"/>
    <w:multiLevelType w:val="hybridMultilevel"/>
    <w:tmpl w:val="CB923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5688"/>
    <w:multiLevelType w:val="hybridMultilevel"/>
    <w:tmpl w:val="D0108D50"/>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76C82"/>
    <w:multiLevelType w:val="hybridMultilevel"/>
    <w:tmpl w:val="074C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6F5689"/>
    <w:multiLevelType w:val="hybridMultilevel"/>
    <w:tmpl w:val="147E62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AD2F35"/>
    <w:multiLevelType w:val="hybridMultilevel"/>
    <w:tmpl w:val="6D780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472D44C9"/>
    <w:multiLevelType w:val="hybridMultilevel"/>
    <w:tmpl w:val="24E6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7C1B95"/>
    <w:multiLevelType w:val="hybridMultilevel"/>
    <w:tmpl w:val="CB08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33D11"/>
    <w:multiLevelType w:val="multilevel"/>
    <w:tmpl w:val="FB20AE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E02BF1"/>
    <w:multiLevelType w:val="hybridMultilevel"/>
    <w:tmpl w:val="EDEE7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520DB7"/>
    <w:multiLevelType w:val="hybridMultilevel"/>
    <w:tmpl w:val="8D625276"/>
    <w:lvl w:ilvl="0" w:tplc="BB0EAA0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602E0305"/>
    <w:multiLevelType w:val="hybridMultilevel"/>
    <w:tmpl w:val="0C0A37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5436C2"/>
    <w:multiLevelType w:val="hybridMultilevel"/>
    <w:tmpl w:val="C0D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42025"/>
    <w:multiLevelType w:val="hybridMultilevel"/>
    <w:tmpl w:val="A6767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6732A7"/>
    <w:multiLevelType w:val="hybridMultilevel"/>
    <w:tmpl w:val="DF90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5C6D10"/>
    <w:multiLevelType w:val="hybridMultilevel"/>
    <w:tmpl w:val="99002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B5304E2"/>
    <w:multiLevelType w:val="hybridMultilevel"/>
    <w:tmpl w:val="0C184AA0"/>
    <w:lvl w:ilvl="0" w:tplc="68DAE3C4">
      <w:start w:val="1"/>
      <w:numFmt w:val="bullet"/>
      <w:lvlText w:val="•"/>
      <w:lvlJc w:val="left"/>
      <w:pPr>
        <w:tabs>
          <w:tab w:val="num" w:pos="720"/>
        </w:tabs>
        <w:ind w:left="720" w:hanging="360"/>
      </w:pPr>
      <w:rPr>
        <w:rFonts w:ascii="Arial" w:hAnsi="Arial" w:hint="default"/>
      </w:rPr>
    </w:lvl>
    <w:lvl w:ilvl="1" w:tplc="693ECFAC" w:tentative="1">
      <w:start w:val="1"/>
      <w:numFmt w:val="bullet"/>
      <w:lvlText w:val="•"/>
      <w:lvlJc w:val="left"/>
      <w:pPr>
        <w:tabs>
          <w:tab w:val="num" w:pos="1440"/>
        </w:tabs>
        <w:ind w:left="1440" w:hanging="360"/>
      </w:pPr>
      <w:rPr>
        <w:rFonts w:ascii="Arial" w:hAnsi="Arial" w:hint="default"/>
      </w:rPr>
    </w:lvl>
    <w:lvl w:ilvl="2" w:tplc="B41065A0" w:tentative="1">
      <w:start w:val="1"/>
      <w:numFmt w:val="bullet"/>
      <w:lvlText w:val="•"/>
      <w:lvlJc w:val="left"/>
      <w:pPr>
        <w:tabs>
          <w:tab w:val="num" w:pos="2160"/>
        </w:tabs>
        <w:ind w:left="2160" w:hanging="360"/>
      </w:pPr>
      <w:rPr>
        <w:rFonts w:ascii="Arial" w:hAnsi="Arial" w:hint="default"/>
      </w:rPr>
    </w:lvl>
    <w:lvl w:ilvl="3" w:tplc="40E85F02" w:tentative="1">
      <w:start w:val="1"/>
      <w:numFmt w:val="bullet"/>
      <w:lvlText w:val="•"/>
      <w:lvlJc w:val="left"/>
      <w:pPr>
        <w:tabs>
          <w:tab w:val="num" w:pos="2880"/>
        </w:tabs>
        <w:ind w:left="2880" w:hanging="360"/>
      </w:pPr>
      <w:rPr>
        <w:rFonts w:ascii="Arial" w:hAnsi="Arial" w:hint="default"/>
      </w:rPr>
    </w:lvl>
    <w:lvl w:ilvl="4" w:tplc="4AD097A8" w:tentative="1">
      <w:start w:val="1"/>
      <w:numFmt w:val="bullet"/>
      <w:lvlText w:val="•"/>
      <w:lvlJc w:val="left"/>
      <w:pPr>
        <w:tabs>
          <w:tab w:val="num" w:pos="3600"/>
        </w:tabs>
        <w:ind w:left="3600" w:hanging="360"/>
      </w:pPr>
      <w:rPr>
        <w:rFonts w:ascii="Arial" w:hAnsi="Arial" w:hint="default"/>
      </w:rPr>
    </w:lvl>
    <w:lvl w:ilvl="5" w:tplc="A29A9186" w:tentative="1">
      <w:start w:val="1"/>
      <w:numFmt w:val="bullet"/>
      <w:lvlText w:val="•"/>
      <w:lvlJc w:val="left"/>
      <w:pPr>
        <w:tabs>
          <w:tab w:val="num" w:pos="4320"/>
        </w:tabs>
        <w:ind w:left="4320" w:hanging="360"/>
      </w:pPr>
      <w:rPr>
        <w:rFonts w:ascii="Arial" w:hAnsi="Arial" w:hint="default"/>
      </w:rPr>
    </w:lvl>
    <w:lvl w:ilvl="6" w:tplc="2F6CC430" w:tentative="1">
      <w:start w:val="1"/>
      <w:numFmt w:val="bullet"/>
      <w:lvlText w:val="•"/>
      <w:lvlJc w:val="left"/>
      <w:pPr>
        <w:tabs>
          <w:tab w:val="num" w:pos="5040"/>
        </w:tabs>
        <w:ind w:left="5040" w:hanging="360"/>
      </w:pPr>
      <w:rPr>
        <w:rFonts w:ascii="Arial" w:hAnsi="Arial" w:hint="default"/>
      </w:rPr>
    </w:lvl>
    <w:lvl w:ilvl="7" w:tplc="E7B46436" w:tentative="1">
      <w:start w:val="1"/>
      <w:numFmt w:val="bullet"/>
      <w:lvlText w:val="•"/>
      <w:lvlJc w:val="left"/>
      <w:pPr>
        <w:tabs>
          <w:tab w:val="num" w:pos="5760"/>
        </w:tabs>
        <w:ind w:left="5760" w:hanging="360"/>
      </w:pPr>
      <w:rPr>
        <w:rFonts w:ascii="Arial" w:hAnsi="Arial" w:hint="default"/>
      </w:rPr>
    </w:lvl>
    <w:lvl w:ilvl="8" w:tplc="CFD4A7A2" w:tentative="1">
      <w:start w:val="1"/>
      <w:numFmt w:val="bullet"/>
      <w:lvlText w:val="•"/>
      <w:lvlJc w:val="left"/>
      <w:pPr>
        <w:tabs>
          <w:tab w:val="num" w:pos="6480"/>
        </w:tabs>
        <w:ind w:left="6480" w:hanging="360"/>
      </w:pPr>
      <w:rPr>
        <w:rFonts w:ascii="Arial" w:hAnsi="Arial" w:hint="default"/>
      </w:rPr>
    </w:lvl>
  </w:abstractNum>
  <w:abstractNum w:abstractNumId="25">
    <w:nsid w:val="7B5B128D"/>
    <w:multiLevelType w:val="hybridMultilevel"/>
    <w:tmpl w:val="C71C3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22"/>
  </w:num>
  <w:num w:numId="14">
    <w:abstractNumId w:val="7"/>
  </w:num>
  <w:num w:numId="15">
    <w:abstractNumId w:val="21"/>
  </w:num>
  <w:num w:numId="16">
    <w:abstractNumId w:val="24"/>
  </w:num>
  <w:num w:numId="17">
    <w:abstractNumId w:val="23"/>
  </w:num>
  <w:num w:numId="18">
    <w:abstractNumId w:val="14"/>
  </w:num>
  <w:num w:numId="19">
    <w:abstractNumId w:val="13"/>
  </w:num>
  <w:num w:numId="20">
    <w:abstractNumId w:val="3"/>
  </w:num>
  <w:num w:numId="21">
    <w:abstractNumId w:val="13"/>
  </w:num>
  <w:num w:numId="22">
    <w:abstractNumId w:val="11"/>
  </w:num>
  <w:num w:numId="23">
    <w:abstractNumId w:val="8"/>
  </w:num>
  <w:num w:numId="24">
    <w:abstractNumId w:val="0"/>
  </w:num>
  <w:num w:numId="25">
    <w:abstractNumId w:val="2"/>
  </w:num>
  <w:num w:numId="26">
    <w:abstractNumId w:val="13"/>
  </w:num>
  <w:num w:numId="27">
    <w:abstractNumId w:val="13"/>
  </w:num>
  <w:num w:numId="28">
    <w:abstractNumId w:val="4"/>
  </w:num>
  <w:num w:numId="29">
    <w:abstractNumId w:val="18"/>
  </w:num>
  <w:num w:numId="30">
    <w:abstractNumId w:val="12"/>
  </w:num>
  <w:num w:numId="31">
    <w:abstractNumId w:val="15"/>
  </w:num>
  <w:num w:numId="32">
    <w:abstractNumId w:val="17"/>
  </w:num>
  <w:num w:numId="33">
    <w:abstractNumId w:val="6"/>
  </w:num>
  <w:num w:numId="34">
    <w:abstractNumId w:val="20"/>
  </w:num>
  <w:num w:numId="35">
    <w:abstractNumId w:val="10"/>
  </w:num>
  <w:num w:numId="36">
    <w:abstractNumId w:val="9"/>
  </w:num>
  <w:num w:numId="37">
    <w:abstractNumId w:val="25"/>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A26B69-5605-42BC-8A3C-7C07206F3616"/>
    <w:docVar w:name="LW_COVERPAGE_TYPE" w:val="1"/>
    <w:docVar w:name="LW_CROSSREFERENCE" w:val="{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V Bruselu dne "/>
    <w:docVar w:name="LW_EMISSION_SUFFIX" w:val=" "/>
    <w:docVar w:name="LW_ID_DOCTYPE_NONLW" w:val="CP-008"/>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 provád\u283?ní právních p\u345?edpis\u367? EU v oblasti odpad\u367?, v\u269?etn\u283? zprávy v\u269?asného varování pro \u269?lenské státy, kterým hrozí, \u382?e nesplní cíl zvý\u353?it do roku 2020 úrove\u328? p\u345?ípravy k op\u283?tovnému pou\u382?ití / recyklace komunálního odpadu"/>
    <w:docVar w:name="LW_TYPE.DOC.CP" w:val="ZPRÁVA KOMISE EVROPSKÉMU PARLAMENTU, RAD\u282?, EVROPSKÉMU HOSPODÁ\u344?SKÉMU A SOCIÁLNÍMU VÝBORU A VÝBORU REGION\u366?"/>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Calibri" w:eastAsia="Times New Roman" w:hAnsi="Calibri" w:cs="Arial"/>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Calibri" w:eastAsia="Times New Roman" w:hAnsi="Calibri" w:cs="Arial"/>
      <w:sz w:val="20"/>
      <w:szCs w:val="20"/>
      <w:lang w:eastAsia="cs-CZ"/>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lang w:eastAsia="cs-CZ"/>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cs-CZ"/>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Calibri" w:eastAsia="Times New Roman" w:hAnsi="Calibri" w:cs="Arial"/>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Calibri" w:eastAsia="Times New Roman" w:hAnsi="Calibri" w:cs="Arial"/>
      <w:sz w:val="20"/>
      <w:szCs w:val="20"/>
      <w:lang w:eastAsia="cs-CZ"/>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lang w:eastAsia="cs-CZ"/>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cs-CZ"/>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5250">
      <w:bodyDiv w:val="1"/>
      <w:marLeft w:val="0"/>
      <w:marRight w:val="0"/>
      <w:marTop w:val="0"/>
      <w:marBottom w:val="0"/>
      <w:divBdr>
        <w:top w:val="none" w:sz="0" w:space="0" w:color="auto"/>
        <w:left w:val="none" w:sz="0" w:space="0" w:color="auto"/>
        <w:bottom w:val="none" w:sz="0" w:space="0" w:color="auto"/>
        <w:right w:val="none" w:sz="0" w:space="0" w:color="auto"/>
      </w:divBdr>
    </w:div>
    <w:div w:id="640424880">
      <w:bodyDiv w:val="1"/>
      <w:marLeft w:val="0"/>
      <w:marRight w:val="0"/>
      <w:marTop w:val="0"/>
      <w:marBottom w:val="0"/>
      <w:divBdr>
        <w:top w:val="none" w:sz="0" w:space="0" w:color="auto"/>
        <w:left w:val="none" w:sz="0" w:space="0" w:color="auto"/>
        <w:bottom w:val="none" w:sz="0" w:space="0" w:color="auto"/>
        <w:right w:val="none" w:sz="0" w:space="0" w:color="auto"/>
      </w:divBdr>
    </w:div>
    <w:div w:id="943221888">
      <w:bodyDiv w:val="1"/>
      <w:marLeft w:val="0"/>
      <w:marRight w:val="0"/>
      <w:marTop w:val="0"/>
      <w:marBottom w:val="0"/>
      <w:divBdr>
        <w:top w:val="none" w:sz="0" w:space="0" w:color="auto"/>
        <w:left w:val="none" w:sz="0" w:space="0" w:color="auto"/>
        <w:bottom w:val="none" w:sz="0" w:space="0" w:color="auto"/>
        <w:right w:val="none" w:sz="0" w:space="0" w:color="auto"/>
      </w:divBdr>
    </w:div>
    <w:div w:id="1086421402">
      <w:bodyDiv w:val="1"/>
      <w:marLeft w:val="0"/>
      <w:marRight w:val="0"/>
      <w:marTop w:val="0"/>
      <w:marBottom w:val="0"/>
      <w:divBdr>
        <w:top w:val="none" w:sz="0" w:space="0" w:color="auto"/>
        <w:left w:val="none" w:sz="0" w:space="0" w:color="auto"/>
        <w:bottom w:val="none" w:sz="0" w:space="0" w:color="auto"/>
        <w:right w:val="none" w:sz="0" w:space="0" w:color="auto"/>
      </w:divBdr>
    </w:div>
    <w:div w:id="1432358376">
      <w:bodyDiv w:val="1"/>
      <w:marLeft w:val="0"/>
      <w:marRight w:val="0"/>
      <w:marTop w:val="0"/>
      <w:marBottom w:val="0"/>
      <w:divBdr>
        <w:top w:val="none" w:sz="0" w:space="0" w:color="auto"/>
        <w:left w:val="none" w:sz="0" w:space="0" w:color="auto"/>
        <w:bottom w:val="none" w:sz="0" w:space="0" w:color="auto"/>
        <w:right w:val="none" w:sz="0" w:space="0" w:color="auto"/>
      </w:divBdr>
      <w:divsChild>
        <w:div w:id="1149446070">
          <w:marLeft w:val="1166"/>
          <w:marRight w:val="0"/>
          <w:marTop w:val="0"/>
          <w:marBottom w:val="0"/>
          <w:divBdr>
            <w:top w:val="none" w:sz="0" w:space="0" w:color="auto"/>
            <w:left w:val="none" w:sz="0" w:space="0" w:color="auto"/>
            <w:bottom w:val="none" w:sz="0" w:space="0" w:color="auto"/>
            <w:right w:val="none" w:sz="0" w:space="0" w:color="auto"/>
          </w:divBdr>
        </w:div>
        <w:div w:id="1771120857">
          <w:marLeft w:val="1166"/>
          <w:marRight w:val="0"/>
          <w:marTop w:val="0"/>
          <w:marBottom w:val="0"/>
          <w:divBdr>
            <w:top w:val="none" w:sz="0" w:space="0" w:color="auto"/>
            <w:left w:val="none" w:sz="0" w:space="0" w:color="auto"/>
            <w:bottom w:val="none" w:sz="0" w:space="0" w:color="auto"/>
            <w:right w:val="none" w:sz="0" w:space="0" w:color="auto"/>
          </w:divBdr>
        </w:div>
        <w:div w:id="2083064655">
          <w:marLeft w:val="1166"/>
          <w:marRight w:val="0"/>
          <w:marTop w:val="0"/>
          <w:marBottom w:val="0"/>
          <w:divBdr>
            <w:top w:val="none" w:sz="0" w:space="0" w:color="auto"/>
            <w:left w:val="none" w:sz="0" w:space="0" w:color="auto"/>
            <w:bottom w:val="none" w:sz="0" w:space="0" w:color="auto"/>
            <w:right w:val="none" w:sz="0" w:space="0" w:color="auto"/>
          </w:divBdr>
        </w:div>
      </w:divsChild>
    </w:div>
    <w:div w:id="1434977086">
      <w:bodyDiv w:val="1"/>
      <w:marLeft w:val="0"/>
      <w:marRight w:val="0"/>
      <w:marTop w:val="0"/>
      <w:marBottom w:val="0"/>
      <w:divBdr>
        <w:top w:val="none" w:sz="0" w:space="0" w:color="auto"/>
        <w:left w:val="none" w:sz="0" w:space="0" w:color="auto"/>
        <w:bottom w:val="none" w:sz="0" w:space="0" w:color="auto"/>
        <w:right w:val="none" w:sz="0" w:space="0" w:color="auto"/>
      </w:divBdr>
    </w:div>
    <w:div w:id="1609238462">
      <w:bodyDiv w:val="1"/>
      <w:marLeft w:val="0"/>
      <w:marRight w:val="0"/>
      <w:marTop w:val="0"/>
      <w:marBottom w:val="0"/>
      <w:divBdr>
        <w:top w:val="none" w:sz="0" w:space="0" w:color="auto"/>
        <w:left w:val="none" w:sz="0" w:space="0" w:color="auto"/>
        <w:bottom w:val="none" w:sz="0" w:space="0" w:color="auto"/>
        <w:right w:val="none" w:sz="0" w:space="0" w:color="auto"/>
      </w:divBdr>
    </w:div>
    <w:div w:id="1894148564">
      <w:bodyDiv w:val="1"/>
      <w:marLeft w:val="0"/>
      <w:marRight w:val="0"/>
      <w:marTop w:val="0"/>
      <w:marBottom w:val="0"/>
      <w:divBdr>
        <w:top w:val="none" w:sz="0" w:space="0" w:color="auto"/>
        <w:left w:val="none" w:sz="0" w:space="0" w:color="auto"/>
        <w:bottom w:val="none" w:sz="0" w:space="0" w:color="auto"/>
        <w:right w:val="none" w:sz="0" w:space="0" w:color="auto"/>
      </w:divBdr>
      <w:divsChild>
        <w:div w:id="506293245">
          <w:marLeft w:val="504"/>
          <w:marRight w:val="0"/>
          <w:marTop w:val="280"/>
          <w:marBottom w:val="0"/>
          <w:divBdr>
            <w:top w:val="none" w:sz="0" w:space="0" w:color="auto"/>
            <w:left w:val="none" w:sz="0" w:space="0" w:color="auto"/>
            <w:bottom w:val="none" w:sz="0" w:space="0" w:color="auto"/>
            <w:right w:val="none" w:sz="0" w:space="0" w:color="auto"/>
          </w:divBdr>
        </w:div>
        <w:div w:id="107966915">
          <w:marLeft w:val="504"/>
          <w:marRight w:val="0"/>
          <w:marTop w:val="280"/>
          <w:marBottom w:val="0"/>
          <w:divBdr>
            <w:top w:val="none" w:sz="0" w:space="0" w:color="auto"/>
            <w:left w:val="none" w:sz="0" w:space="0" w:color="auto"/>
            <w:bottom w:val="none" w:sz="0" w:space="0" w:color="auto"/>
            <w:right w:val="none" w:sz="0" w:space="0" w:color="auto"/>
          </w:divBdr>
        </w:div>
        <w:div w:id="1880122616">
          <w:marLeft w:val="504"/>
          <w:marRight w:val="0"/>
          <w:marTop w:val="280"/>
          <w:marBottom w:val="0"/>
          <w:divBdr>
            <w:top w:val="none" w:sz="0" w:space="0" w:color="auto"/>
            <w:left w:val="none" w:sz="0" w:space="0" w:color="auto"/>
            <w:bottom w:val="none" w:sz="0" w:space="0" w:color="auto"/>
            <w:right w:val="none" w:sz="0" w:space="0" w:color="auto"/>
          </w:divBdr>
        </w:div>
        <w:div w:id="1918712544">
          <w:marLeft w:val="504"/>
          <w:marRight w:val="0"/>
          <w:marTop w:val="280"/>
          <w:marBottom w:val="0"/>
          <w:divBdr>
            <w:top w:val="none" w:sz="0" w:space="0" w:color="auto"/>
            <w:left w:val="none" w:sz="0" w:space="0" w:color="auto"/>
            <w:bottom w:val="none" w:sz="0" w:space="0" w:color="auto"/>
            <w:right w:val="none" w:sz="0" w:space="0" w:color="auto"/>
          </w:divBdr>
        </w:div>
        <w:div w:id="228467431">
          <w:marLeft w:val="504"/>
          <w:marRight w:val="0"/>
          <w:marTop w:val="280"/>
          <w:marBottom w:val="0"/>
          <w:divBdr>
            <w:top w:val="none" w:sz="0" w:space="0" w:color="auto"/>
            <w:left w:val="none" w:sz="0" w:space="0" w:color="auto"/>
            <w:bottom w:val="none" w:sz="0" w:space="0" w:color="auto"/>
            <w:right w:val="none" w:sz="0" w:space="0" w:color="auto"/>
          </w:divBdr>
        </w:div>
        <w:div w:id="1762919636">
          <w:marLeft w:val="504"/>
          <w:marRight w:val="0"/>
          <w:marTop w:val="280"/>
          <w:marBottom w:val="0"/>
          <w:divBdr>
            <w:top w:val="none" w:sz="0" w:space="0" w:color="auto"/>
            <w:left w:val="none" w:sz="0" w:space="0" w:color="auto"/>
            <w:bottom w:val="none" w:sz="0" w:space="0" w:color="auto"/>
            <w:right w:val="none" w:sz="0" w:space="0" w:color="auto"/>
          </w:divBdr>
        </w:div>
        <w:div w:id="708064569">
          <w:marLeft w:val="504"/>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tgm/table.do?tab=table&amp;plugin=1&amp;language=en&amp;pcode=cei_wm040" TargetMode="External"/><Relationship Id="rId2" Type="http://schemas.openxmlformats.org/officeDocument/2006/relationships/hyperlink" Target="http://ec.europa.eu/eurostat/web/waste/data/database" TargetMode="External"/><Relationship Id="rId1" Type="http://schemas.openxmlformats.org/officeDocument/2006/relationships/hyperlink" Target="http://ec.europa.eu/environment/waste/reporting/index" TargetMode="External"/><Relationship Id="rId5" Type="http://schemas.openxmlformats.org/officeDocument/2006/relationships/hyperlink" Target="https://i4r-platform.eu/" TargetMode="External"/><Relationship Id="rId4" Type="http://schemas.openxmlformats.org/officeDocument/2006/relationships/hyperlink" Target="http://eur-lex.europa.eu/legal-content/EN/TXT/?uri=uriserv:OJ.C_.2018.124.01.0001.01.ENG&amp;toc=OJ:C:2018: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2C7C-8352-4307-96E5-4762B37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2903</Words>
  <Characters>16900</Characters>
  <Application>Microsoft Office Word</Application>
  <DocSecurity>0</DocSecurity>
  <Lines>286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2018-07-25T08:11:00Z</dcterms:created>
  <dcterms:modified xsi:type="dcterms:W3CDTF">2018-09-17T10:17:00Z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