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7B7" w:rsidRDefault="00725CEA">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E653081-C3EA-48EE-8821-76289949F57D" style="width:451pt;height:362pt">
            <v:imagedata r:id="rId8" o:title=""/>
          </v:shape>
        </w:pict>
      </w:r>
    </w:p>
    <w:bookmarkEnd w:id="0"/>
    <w:p w:rsidR="006737B7" w:rsidRDefault="006737B7">
      <w:pPr>
        <w:spacing w:line="240" w:lineRule="auto"/>
        <w:rPr>
          <w:noProof/>
        </w:rPr>
        <w:sectPr w:rsidR="006737B7">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6737B7" w:rsidRDefault="00725CEA">
      <w:pPr>
        <w:rPr>
          <w:noProof/>
          <w:lang w:val="en-GB"/>
        </w:rPr>
      </w:pPr>
      <w:r>
        <w:rPr>
          <w:noProof/>
          <w:lang w:val="en-GB"/>
        </w:rPr>
        <w:lastRenderedPageBreak/>
        <w:br/>
      </w:r>
    </w:p>
    <w:p w:rsidR="006737B7" w:rsidRDefault="00725CEA">
      <w:pPr>
        <w:spacing w:line="240" w:lineRule="auto"/>
        <w:contextualSpacing/>
        <w:jc w:val="center"/>
        <w:rPr>
          <w:rFonts w:ascii="Times New Roman" w:hAnsi="Times New Roman" w:cs="Times New Roman"/>
          <w:b/>
          <w:noProof/>
          <w:sz w:val="24"/>
          <w:szCs w:val="24"/>
        </w:rPr>
      </w:pPr>
      <w:r>
        <w:rPr>
          <w:rFonts w:ascii="Times New Roman" w:hAnsi="Times New Roman"/>
          <w:b/>
          <w:noProof/>
          <w:sz w:val="24"/>
        </w:rPr>
        <w:t>COMUNICACIÓN CONJUNTA AL PARLAMENTO EUROPEO,</w:t>
      </w:r>
    </w:p>
    <w:p w:rsidR="006737B7" w:rsidRDefault="00725CEA">
      <w:pPr>
        <w:spacing w:line="240" w:lineRule="auto"/>
        <w:jc w:val="center"/>
        <w:rPr>
          <w:rFonts w:ascii="Times New Roman" w:hAnsi="Times New Roman" w:cs="Times New Roman"/>
          <w:b/>
          <w:noProof/>
          <w:sz w:val="24"/>
          <w:szCs w:val="24"/>
        </w:rPr>
      </w:pPr>
      <w:r>
        <w:rPr>
          <w:rFonts w:ascii="Times New Roman" w:hAnsi="Times New Roman"/>
          <w:b/>
          <w:noProof/>
          <w:sz w:val="24"/>
        </w:rPr>
        <w:t>AL CONSEJO, AL COMITÉ ECONÓMICO Y SOCIAL, AL COMITÉ DE LAS REGIONES Y AL BANCO EUROPEO DE INVERSIONES</w:t>
      </w:r>
    </w:p>
    <w:p w:rsidR="006737B7" w:rsidRDefault="00725CEA">
      <w:pPr>
        <w:spacing w:line="240" w:lineRule="auto"/>
        <w:contextualSpacing/>
        <w:jc w:val="center"/>
        <w:rPr>
          <w:rFonts w:ascii="Times New Roman" w:hAnsi="Times New Roman" w:cs="Times New Roman"/>
          <w:b/>
          <w:noProof/>
          <w:sz w:val="24"/>
          <w:szCs w:val="24"/>
        </w:rPr>
      </w:pPr>
      <w:r>
        <w:rPr>
          <w:rFonts w:ascii="Times New Roman" w:hAnsi="Times New Roman"/>
          <w:b/>
          <w:noProof/>
          <w:sz w:val="24"/>
        </w:rPr>
        <w:t xml:space="preserve">Conectar Europa y Asia - Elementos de una estrategia de la UE </w:t>
      </w:r>
    </w:p>
    <w:p w:rsidR="006737B7" w:rsidRDefault="00725CEA">
      <w:pPr>
        <w:pStyle w:val="ListParagraph"/>
        <w:numPr>
          <w:ilvl w:val="0"/>
          <w:numId w:val="30"/>
        </w:numPr>
        <w:spacing w:line="240" w:lineRule="auto"/>
        <w:rPr>
          <w:rFonts w:ascii="Times New Roman" w:hAnsi="Times New Roman" w:cs="Times New Roman"/>
          <w:noProof/>
          <w:sz w:val="24"/>
          <w:szCs w:val="24"/>
        </w:rPr>
      </w:pPr>
      <w:r>
        <w:rPr>
          <w:rFonts w:ascii="Times New Roman" w:hAnsi="Times New Roman"/>
          <w:b/>
          <w:noProof/>
          <w:sz w:val="24"/>
        </w:rPr>
        <w:t>Introducción</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La relación entre la Unión Europea y Asia tiene una importancia mundial y es probable que los vínculos aumenten en los próximos años. Asia, que cuenta aproximadamente con el 60 % </w:t>
      </w:r>
      <w:r>
        <w:rPr>
          <w:rFonts w:ascii="Times New Roman" w:hAnsi="Times New Roman"/>
          <w:noProof/>
          <w:sz w:val="24"/>
          <w:szCs w:val="24"/>
        </w:rPr>
        <w:t>de la población mundial, representa el 35 % de las exportaciones de la UE (618 000 millones EUR) y el 45 % de las importaciones de la UE (774 000 millones EUR)</w:t>
      </w:r>
      <w:r>
        <w:rPr>
          <w:rStyle w:val="FootnoteReference"/>
          <w:rFonts w:ascii="Times New Roman" w:hAnsi="Times New Roman"/>
          <w:noProof/>
          <w:sz w:val="24"/>
          <w:szCs w:val="24"/>
        </w:rPr>
        <w:footnoteReference w:id="2"/>
      </w:r>
      <w:r>
        <w:rPr>
          <w:rFonts w:ascii="Times New Roman" w:hAnsi="Times New Roman"/>
          <w:noProof/>
          <w:sz w:val="24"/>
          <w:szCs w:val="24"/>
        </w:rPr>
        <w:t>. Tanto para Europa como para Asia, la creciente interdependencia mundial es una oportunidad par</w:t>
      </w:r>
      <w:r>
        <w:rPr>
          <w:rFonts w:ascii="Times New Roman" w:hAnsi="Times New Roman"/>
          <w:noProof/>
          <w:sz w:val="24"/>
          <w:szCs w:val="24"/>
        </w:rPr>
        <w:t>a reforzar la cooperación, una cooperación política pacífica, unas relaciones económicas equitativas y más intensas, un diálogo social amplio y la colaboración en materia de seguridad internacional y regional. Europa y Asia, conjuntamente, pueden ser los m</w:t>
      </w:r>
      <w:r>
        <w:rPr>
          <w:rFonts w:ascii="Times New Roman" w:hAnsi="Times New Roman"/>
          <w:noProof/>
          <w:sz w:val="24"/>
          <w:szCs w:val="24"/>
        </w:rPr>
        <w:t xml:space="preserve">otores de un enfoque más cooperativo de la escena política mundial, la estabilidad global y la prosperidad económica regional. </w:t>
      </w:r>
    </w:p>
    <w:p w:rsidR="006737B7" w:rsidRDefault="00725CEA">
      <w:pPr>
        <w:tabs>
          <w:tab w:val="left" w:pos="1080"/>
        </w:tabs>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Para lograr un nuevo cambio de ritmo en dicha cooperación y para aprovechar las oportunidades de la economía mundial, la UE y </w:t>
      </w:r>
      <w:r>
        <w:rPr>
          <w:rFonts w:ascii="Times New Roman" w:hAnsi="Times New Roman"/>
          <w:noProof/>
          <w:sz w:val="24"/>
          <w:szCs w:val="24"/>
        </w:rPr>
        <w:t>Asia deberán garantizar una conectividad eficiente y sostenible. La conectividad</w:t>
      </w:r>
      <w:r>
        <w:rPr>
          <w:rStyle w:val="FootnoteReference"/>
          <w:rFonts w:ascii="Times New Roman" w:hAnsi="Times New Roman"/>
          <w:noProof/>
          <w:sz w:val="24"/>
          <w:szCs w:val="24"/>
        </w:rPr>
        <w:footnoteReference w:id="3"/>
      </w:r>
      <w:r>
        <w:rPr>
          <w:rFonts w:ascii="Times New Roman" w:hAnsi="Times New Roman"/>
          <w:noProof/>
          <w:sz w:val="24"/>
          <w:szCs w:val="24"/>
        </w:rPr>
        <w:t xml:space="preserve"> contribuye al crecimiento económico y al empleo, a la competitividad y al comercio mundial, y a que las personas, bienes y servicios circulen y entre Europa y Asia.</w:t>
      </w:r>
    </w:p>
    <w:p w:rsidR="006737B7" w:rsidRDefault="00725CEA">
      <w:pPr>
        <w:tabs>
          <w:tab w:val="left" w:pos="1080"/>
        </w:tabs>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Se calcul</w:t>
      </w:r>
      <w:r>
        <w:rPr>
          <w:rFonts w:ascii="Times New Roman" w:hAnsi="Times New Roman"/>
          <w:noProof/>
          <w:sz w:val="24"/>
          <w:szCs w:val="24"/>
        </w:rPr>
        <w:t>a que Asia requerirá anualmente más de 1,3 billones EUR de inversiones en infraestructuras en las próximas décadas para mantener las tasas de crecimiento actuales y adaptarse al cambio climático</w:t>
      </w:r>
      <w:r>
        <w:rPr>
          <w:rStyle w:val="FootnoteReference"/>
          <w:rFonts w:ascii="Times New Roman" w:hAnsi="Times New Roman"/>
          <w:noProof/>
          <w:sz w:val="24"/>
          <w:szCs w:val="24"/>
        </w:rPr>
        <w:footnoteReference w:id="4"/>
      </w:r>
      <w:r>
        <w:rPr>
          <w:rFonts w:ascii="Times New Roman" w:hAnsi="Times New Roman"/>
          <w:noProof/>
          <w:sz w:val="24"/>
          <w:szCs w:val="24"/>
        </w:rPr>
        <w:t>. En comparación, en la UE, se calcula que la inversión en la</w:t>
      </w:r>
      <w:r>
        <w:rPr>
          <w:rFonts w:ascii="Times New Roman" w:hAnsi="Times New Roman"/>
          <w:noProof/>
          <w:sz w:val="24"/>
          <w:szCs w:val="24"/>
        </w:rPr>
        <w:t xml:space="preserve"> red transeuropea de transporte precisará 1,5 billones EUR en el período 2021-2030. Sin embargo, no es meramente un desafío en materia de inversión. Asia comprende distintas regiones, que albergan a países muy diversos en términos de modelos económicos y n</w:t>
      </w:r>
      <w:r>
        <w:rPr>
          <w:rFonts w:ascii="Times New Roman" w:hAnsi="Times New Roman"/>
          <w:noProof/>
          <w:sz w:val="24"/>
          <w:szCs w:val="24"/>
        </w:rPr>
        <w:t>iveles de desarrollo. Se precisan normas, estándares y prácticas coherentes y armonizadas para promover el acceso al mercado y la libre circulación de bienes, servicios, capitales y personas a través de las fronteras. Se precisan asimismo normas sociales y</w:t>
      </w:r>
      <w:r>
        <w:rPr>
          <w:rFonts w:ascii="Times New Roman" w:hAnsi="Times New Roman"/>
          <w:noProof/>
          <w:sz w:val="24"/>
          <w:szCs w:val="24"/>
        </w:rPr>
        <w:t xml:space="preserve"> medioambientales estrictas, una planificación adecuada y un análisis de costes y beneficios en todo el ciclo de vida para garantizar a largo plazo la sostenibilidad de las inversiones en la conectividad. Hay que garantizar la sostenibilidad fiscal y finan</w:t>
      </w:r>
      <w:r>
        <w:rPr>
          <w:rFonts w:ascii="Times New Roman" w:hAnsi="Times New Roman"/>
          <w:noProof/>
          <w:sz w:val="24"/>
          <w:szCs w:val="24"/>
        </w:rPr>
        <w:t>ciera de los proyectos de infraestructura para evitar el riesgo de endeudamiento.</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Por esta razón, la Comisión propone la creación de elementos para una </w:t>
      </w:r>
      <w:r>
        <w:rPr>
          <w:rFonts w:ascii="Times New Roman" w:hAnsi="Times New Roman"/>
          <w:b/>
          <w:noProof/>
          <w:sz w:val="24"/>
          <w:szCs w:val="24"/>
        </w:rPr>
        <w:t>estrategia de la UE sobre la conexión entre Europa y Asia</w:t>
      </w:r>
      <w:r>
        <w:rPr>
          <w:rFonts w:ascii="Times New Roman" w:hAnsi="Times New Roman"/>
          <w:noProof/>
          <w:sz w:val="24"/>
          <w:szCs w:val="24"/>
        </w:rPr>
        <w:t xml:space="preserve"> con iniciativas y propuestas políticas concret</w:t>
      </w:r>
      <w:r>
        <w:rPr>
          <w:rFonts w:ascii="Times New Roman" w:hAnsi="Times New Roman"/>
          <w:noProof/>
          <w:sz w:val="24"/>
          <w:szCs w:val="24"/>
        </w:rPr>
        <w:t xml:space="preserve">as para mejorar dichas conexiones, en particular a través de la interoperabilidad del transporte, la </w:t>
      </w:r>
      <w:r>
        <w:rPr>
          <w:rFonts w:ascii="Times New Roman" w:hAnsi="Times New Roman"/>
          <w:noProof/>
          <w:sz w:val="24"/>
          <w:szCs w:val="24"/>
        </w:rPr>
        <w:lastRenderedPageBreak/>
        <w:t>energía y las redes digitales</w:t>
      </w:r>
      <w:r>
        <w:rPr>
          <w:rStyle w:val="FootnoteReference"/>
          <w:rFonts w:ascii="Times New Roman" w:hAnsi="Times New Roman"/>
          <w:noProof/>
          <w:sz w:val="24"/>
          <w:szCs w:val="24"/>
        </w:rPr>
        <w:footnoteReference w:id="5"/>
      </w:r>
      <w:r>
        <w:rPr>
          <w:rFonts w:ascii="Times New Roman" w:hAnsi="Times New Roman"/>
          <w:noProof/>
          <w:sz w:val="24"/>
          <w:szCs w:val="24"/>
        </w:rPr>
        <w:t>. La presente Comunicación también forma parte de la contribución de la UE para la 12.ª Reunión Asia-Europa (ASEM) en octubre</w:t>
      </w:r>
      <w:r>
        <w:rPr>
          <w:rFonts w:ascii="Times New Roman" w:hAnsi="Times New Roman"/>
          <w:noProof/>
          <w:sz w:val="24"/>
          <w:szCs w:val="24"/>
        </w:rPr>
        <w:t xml:space="preserve"> de 2018, que ofrecerá la oportunidad de promover la conectividad e impulsar la cooperación con los socios asiáticos.</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La presente Comunicación debe leerse conjuntamente con la propuesta de la Comisión para el próximo marco financiero plurianual</w:t>
      </w:r>
      <w:r>
        <w:rPr>
          <w:rStyle w:val="FootnoteReference"/>
          <w:rFonts w:ascii="Times New Roman" w:hAnsi="Times New Roman"/>
          <w:noProof/>
          <w:sz w:val="24"/>
          <w:szCs w:val="24"/>
        </w:rPr>
        <w:footnoteReference w:id="6"/>
      </w:r>
      <w:r>
        <w:rPr>
          <w:rFonts w:ascii="Times New Roman" w:hAnsi="Times New Roman"/>
          <w:noProof/>
          <w:sz w:val="24"/>
          <w:szCs w:val="24"/>
        </w:rPr>
        <w:t xml:space="preserve">, que fija </w:t>
      </w:r>
      <w:r>
        <w:rPr>
          <w:rFonts w:ascii="Times New Roman" w:hAnsi="Times New Roman"/>
          <w:noProof/>
          <w:sz w:val="24"/>
          <w:szCs w:val="24"/>
        </w:rPr>
        <w:t>prioridades claras, que se especificaron en recientes comunicaciones de la Comisión</w:t>
      </w:r>
      <w:r>
        <w:rPr>
          <w:rStyle w:val="FootnoteReference"/>
          <w:rFonts w:ascii="Times New Roman" w:hAnsi="Times New Roman"/>
          <w:noProof/>
          <w:sz w:val="24"/>
          <w:szCs w:val="24"/>
        </w:rPr>
        <w:footnoteReference w:id="7"/>
      </w:r>
      <w:r>
        <w:rPr>
          <w:rFonts w:ascii="Times New Roman" w:hAnsi="Times New Roman"/>
          <w:noProof/>
          <w:sz w:val="24"/>
          <w:szCs w:val="24"/>
        </w:rPr>
        <w:t xml:space="preserve"> y proporcionan medios para promover y apoyar las inversiones privadas a nivel mundial. </w:t>
      </w:r>
    </w:p>
    <w:p w:rsidR="006737B7" w:rsidRDefault="00725CEA">
      <w:pPr>
        <w:pStyle w:val="ListParagraph"/>
        <w:numPr>
          <w:ilvl w:val="0"/>
          <w:numId w:val="30"/>
        </w:numPr>
        <w:spacing w:line="240" w:lineRule="auto"/>
        <w:rPr>
          <w:rFonts w:ascii="Times New Roman" w:hAnsi="Times New Roman" w:cs="Times New Roman"/>
          <w:b/>
          <w:noProof/>
          <w:sz w:val="24"/>
          <w:szCs w:val="24"/>
        </w:rPr>
      </w:pPr>
      <w:r>
        <w:rPr>
          <w:rFonts w:ascii="Times New Roman" w:hAnsi="Times New Roman"/>
          <w:b/>
          <w:noProof/>
          <w:sz w:val="24"/>
          <w:szCs w:val="24"/>
        </w:rPr>
        <w:t>La vía europea: conectividad sostenible, amplia y basada en normas</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La UE ha sido un</w:t>
      </w:r>
      <w:r>
        <w:rPr>
          <w:rFonts w:ascii="Times New Roman" w:hAnsi="Times New Roman"/>
          <w:noProof/>
          <w:sz w:val="24"/>
          <w:szCs w:val="24"/>
        </w:rPr>
        <w:t xml:space="preserve"> motor de conectividad interna a lo largo de las últimas décadas. A través de la creación del </w:t>
      </w:r>
      <w:r>
        <w:rPr>
          <w:rFonts w:ascii="Times New Roman" w:hAnsi="Times New Roman"/>
          <w:b/>
          <w:noProof/>
          <w:sz w:val="24"/>
          <w:szCs w:val="24"/>
        </w:rPr>
        <w:t>mercado interior</w:t>
      </w:r>
      <w:r>
        <w:rPr>
          <w:rFonts w:ascii="Times New Roman" w:hAnsi="Times New Roman"/>
          <w:noProof/>
          <w:sz w:val="24"/>
          <w:szCs w:val="24"/>
        </w:rPr>
        <w:t xml:space="preserve">, la UE permite la libre circulación de personas, bienes, servicios y capitales. Las normas de la UE, como las relativas al control de las ayudas </w:t>
      </w:r>
      <w:r>
        <w:rPr>
          <w:rFonts w:ascii="Times New Roman" w:hAnsi="Times New Roman"/>
          <w:noProof/>
          <w:sz w:val="24"/>
          <w:szCs w:val="24"/>
        </w:rPr>
        <w:t>estatales y las de contratación, garantizan una competencia equitativa y transparente, mientras que las políticas de la Unión garantizan también la protección del medio ambiente, la seguridad, la protección y los derechos sociales e individuales</w:t>
      </w:r>
      <w:r>
        <w:rPr>
          <w:rStyle w:val="FootnoteReference"/>
          <w:noProof/>
          <w:sz w:val="24"/>
          <w:szCs w:val="24"/>
        </w:rPr>
        <w:footnoteReference w:id="8"/>
      </w:r>
      <w:r>
        <w:rPr>
          <w:rFonts w:ascii="Times New Roman" w:hAnsi="Times New Roman"/>
          <w:noProof/>
          <w:sz w:val="24"/>
          <w:szCs w:val="24"/>
        </w:rPr>
        <w:t>. En la mi</w:t>
      </w:r>
      <w:r>
        <w:rPr>
          <w:rFonts w:ascii="Times New Roman" w:hAnsi="Times New Roman"/>
          <w:noProof/>
          <w:sz w:val="24"/>
          <w:szCs w:val="24"/>
        </w:rPr>
        <w:t>sma línea, la UE también promueve una economía circular, con bajas emisiones de gases de efecto invernadero y resiliencia frente al cambio climático con el fin de alcanzar los objetivos de desarrollo sostenible (ODS) y los objetivos establecidos en el Acue</w:t>
      </w:r>
      <w:r>
        <w:rPr>
          <w:rFonts w:ascii="Times New Roman" w:hAnsi="Times New Roman"/>
          <w:noProof/>
          <w:sz w:val="24"/>
          <w:szCs w:val="24"/>
        </w:rPr>
        <w:t>rdo de París sobre cambio climático.</w:t>
      </w:r>
      <w:r>
        <w:rPr>
          <w:rFonts w:ascii="Times New Roman" w:hAnsi="Times New Roman"/>
          <w:b/>
          <w:noProof/>
          <w:sz w:val="24"/>
          <w:szCs w:val="24"/>
        </w:rPr>
        <w:t xml:space="preserve"> </w:t>
      </w:r>
      <w:r>
        <w:rPr>
          <w:rFonts w:ascii="Times New Roman" w:hAnsi="Times New Roman"/>
          <w:noProof/>
          <w:sz w:val="24"/>
          <w:szCs w:val="24"/>
        </w:rPr>
        <w:t xml:space="preserve">Estas políticas han alentado las inversiones en conectividad transfronteriza, basándose en una clara red transeuropea (RTE) con prioridades y normas bien delimitadas. Los ciudadanos, como usuarios de la conectividad, y </w:t>
      </w:r>
      <w:r>
        <w:rPr>
          <w:rFonts w:ascii="Times New Roman" w:hAnsi="Times New Roman"/>
          <w:noProof/>
          <w:sz w:val="24"/>
          <w:szCs w:val="24"/>
        </w:rPr>
        <w:t>las empresas, se benefician de la posibilidad de recurrir a una infraestructura paneuropea eficiente, una competencia libre y leal, y normas comunes. El mercado interior de la UE ha dado lugar a una mayor productividad y competitividad, y puede ser una fue</w:t>
      </w:r>
      <w:r>
        <w:rPr>
          <w:rFonts w:ascii="Times New Roman" w:hAnsi="Times New Roman"/>
          <w:noProof/>
          <w:sz w:val="24"/>
          <w:szCs w:val="24"/>
        </w:rPr>
        <w:t xml:space="preserve">nte de inspiración a escala mundial.  </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Las políticas de conectividad de la UE tienen por objeto promover la eficiencia en el mercado único de la UE y aumentar la conectividad a escala mundial, haciendo hincapié en los beneficios y derechos de las personas.</w:t>
      </w:r>
      <w:r>
        <w:rPr>
          <w:rFonts w:ascii="Times New Roman" w:hAnsi="Times New Roman"/>
          <w:noProof/>
          <w:sz w:val="24"/>
          <w:szCs w:val="24"/>
        </w:rPr>
        <w:t xml:space="preserve"> Estos objetivos se ven apoyados por políticas sobre desarrollo sostenible, descarbonización, digitalización, inversión, innovación y liderazgo mundial.</w:t>
      </w:r>
    </w:p>
    <w:p w:rsidR="006737B7" w:rsidRDefault="00725CEA">
      <w:pPr>
        <w:spacing w:line="240" w:lineRule="auto"/>
        <w:jc w:val="both"/>
        <w:rPr>
          <w:rFonts w:ascii="Times New Roman" w:hAnsi="Times New Roman" w:cs="Times New Roman"/>
          <w:noProof/>
          <w:sz w:val="24"/>
          <w:szCs w:val="24"/>
          <w:highlight w:val="yellow"/>
        </w:rPr>
      </w:pPr>
      <w:r>
        <w:rPr>
          <w:rFonts w:ascii="Times New Roman" w:hAnsi="Times New Roman"/>
          <w:noProof/>
          <w:sz w:val="24"/>
          <w:szCs w:val="24"/>
        </w:rPr>
        <w:t xml:space="preserve">La experiencia de la UE le permite promover un enfoque de la conectividad que sea sostenible, amplio y </w:t>
      </w:r>
      <w:r>
        <w:rPr>
          <w:rFonts w:ascii="Times New Roman" w:hAnsi="Times New Roman"/>
          <w:noProof/>
          <w:sz w:val="24"/>
          <w:szCs w:val="24"/>
        </w:rPr>
        <w:t xml:space="preserve">basado en normas. </w:t>
      </w:r>
    </w:p>
    <w:p w:rsidR="006737B7" w:rsidRDefault="00725CEA">
      <w:pPr>
        <w:pStyle w:val="ListParagraph"/>
        <w:numPr>
          <w:ilvl w:val="0"/>
          <w:numId w:val="27"/>
        </w:numPr>
        <w:spacing w:line="240" w:lineRule="auto"/>
        <w:jc w:val="both"/>
        <w:rPr>
          <w:rFonts w:ascii="Times New Roman" w:hAnsi="Times New Roman" w:cs="Times New Roman"/>
          <w:noProof/>
          <w:sz w:val="24"/>
          <w:szCs w:val="24"/>
        </w:rPr>
      </w:pPr>
      <w:r>
        <w:rPr>
          <w:rFonts w:ascii="Times New Roman" w:hAnsi="Times New Roman"/>
          <w:b/>
          <w:noProof/>
          <w:sz w:val="24"/>
          <w:szCs w:val="24"/>
        </w:rPr>
        <w:lastRenderedPageBreak/>
        <w:t>Conectividad sostenible.</w:t>
      </w:r>
      <w:r>
        <w:rPr>
          <w:rFonts w:ascii="Times New Roman" w:hAnsi="Times New Roman"/>
          <w:noProof/>
          <w:sz w:val="24"/>
          <w:szCs w:val="24"/>
        </w:rPr>
        <w:t xml:space="preserve"> Para impulsar la productividad y crear crecimiento y empleo, las inversiones en conectividad deben garantizar la eficiencia del mercado y ser viables desde el punto de vista presupuestario. Para responder a los r</w:t>
      </w:r>
      <w:r>
        <w:rPr>
          <w:rFonts w:ascii="Times New Roman" w:hAnsi="Times New Roman"/>
          <w:noProof/>
          <w:sz w:val="24"/>
          <w:szCs w:val="24"/>
        </w:rPr>
        <w:t>etos del cambio climático y la degradación del medio ambiente, debe fomentar la descarbonización de la economía y respetar normas rigurosas, basadas en evaluaciones de impacto ambiental. Para avanzar en el progreso social, debe mantener unos niveles elevad</w:t>
      </w:r>
      <w:r>
        <w:rPr>
          <w:rFonts w:ascii="Times New Roman" w:hAnsi="Times New Roman"/>
          <w:noProof/>
          <w:sz w:val="24"/>
          <w:szCs w:val="24"/>
        </w:rPr>
        <w:t>os de transparencia y buena gobernanza y dar voz a las personas afectadas por los proyectos, sobre la base de consultas públicas adecuadas. Las políticas sobre conectividad deberían reducir las externalidades negativas, como el impacto medioambiental, la c</w:t>
      </w:r>
      <w:r>
        <w:rPr>
          <w:rFonts w:ascii="Times New Roman" w:hAnsi="Times New Roman"/>
          <w:noProof/>
          <w:sz w:val="24"/>
          <w:szCs w:val="24"/>
        </w:rPr>
        <w:t>ongestión, el ruido, la contaminación y los accidentes. En definitiva, la conectividad ha de ser sostenible a largo plazo desde el punto de vista económico, presupuestario, medioambiental y social.</w:t>
      </w:r>
    </w:p>
    <w:p w:rsidR="006737B7" w:rsidRDefault="006737B7">
      <w:pPr>
        <w:pStyle w:val="ListParagraph"/>
        <w:spacing w:line="240" w:lineRule="auto"/>
        <w:jc w:val="both"/>
        <w:rPr>
          <w:rFonts w:ascii="Times New Roman" w:hAnsi="Times New Roman" w:cs="Times New Roman"/>
          <w:noProof/>
          <w:sz w:val="24"/>
          <w:szCs w:val="24"/>
        </w:rPr>
      </w:pPr>
    </w:p>
    <w:p w:rsidR="006737B7" w:rsidRDefault="00725CEA">
      <w:pPr>
        <w:pStyle w:val="ListParagraph"/>
        <w:numPr>
          <w:ilvl w:val="0"/>
          <w:numId w:val="27"/>
        </w:numPr>
        <w:spacing w:line="240" w:lineRule="auto"/>
        <w:jc w:val="both"/>
        <w:rPr>
          <w:rFonts w:ascii="Times New Roman" w:hAnsi="Times New Roman" w:cs="Times New Roman"/>
          <w:noProof/>
          <w:sz w:val="24"/>
          <w:szCs w:val="24"/>
        </w:rPr>
      </w:pPr>
      <w:r>
        <w:rPr>
          <w:rFonts w:ascii="Times New Roman" w:hAnsi="Times New Roman"/>
          <w:b/>
          <w:noProof/>
          <w:sz w:val="24"/>
          <w:szCs w:val="24"/>
        </w:rPr>
        <w:t>Conectividad amplia.</w:t>
      </w:r>
      <w:r>
        <w:rPr>
          <w:rFonts w:ascii="Times New Roman" w:hAnsi="Times New Roman"/>
          <w:i/>
          <w:noProof/>
          <w:sz w:val="24"/>
          <w:szCs w:val="24"/>
        </w:rPr>
        <w:t xml:space="preserve"> </w:t>
      </w:r>
      <w:r>
        <w:rPr>
          <w:rFonts w:ascii="Times New Roman" w:hAnsi="Times New Roman"/>
          <w:noProof/>
          <w:sz w:val="24"/>
          <w:szCs w:val="24"/>
        </w:rPr>
        <w:t>La conectividad trata sobre las rede</w:t>
      </w:r>
      <w:r>
        <w:rPr>
          <w:rFonts w:ascii="Times New Roman" w:hAnsi="Times New Roman"/>
          <w:noProof/>
          <w:sz w:val="24"/>
          <w:szCs w:val="24"/>
        </w:rPr>
        <w:t>s y el flujo de personas, bienes, servicios y capitales que pasan por ellas. Abarca las conexiones de transporte por tierra, mar o aire. También abarca las redes digitales, móviles y fijas, desde las redes primarias de internet hasta la última milla, y des</w:t>
      </w:r>
      <w:r>
        <w:rPr>
          <w:rFonts w:ascii="Times New Roman" w:hAnsi="Times New Roman"/>
          <w:noProof/>
          <w:sz w:val="24"/>
          <w:szCs w:val="24"/>
        </w:rPr>
        <w:t>de los cables a los satélites. Abarca asimismo las redes y flujos de energía, desde el gas (incluido el gas natural licuado) hasta las redes eléctricas, y desde las fuentes renovables hasta la eficiencia energética. Deben optimizarse las sinergias entre lo</w:t>
      </w:r>
      <w:r>
        <w:rPr>
          <w:rFonts w:ascii="Times New Roman" w:hAnsi="Times New Roman"/>
          <w:noProof/>
          <w:sz w:val="24"/>
          <w:szCs w:val="24"/>
        </w:rPr>
        <w:t>s tres sectores, que en ocasiones dan lugar a formas de conectividad nuevas e innovadoras. La conectividad tiene una dimensión humana esencial y los intereses y los derechos de los ciudadanos deben constituir el núcleo de toda política.</w:t>
      </w:r>
    </w:p>
    <w:p w:rsidR="006737B7" w:rsidRDefault="006737B7">
      <w:pPr>
        <w:pStyle w:val="ListParagraph"/>
        <w:rPr>
          <w:rFonts w:ascii="Times New Roman" w:hAnsi="Times New Roman" w:cs="Times New Roman"/>
          <w:noProof/>
          <w:sz w:val="24"/>
          <w:szCs w:val="24"/>
        </w:rPr>
      </w:pPr>
    </w:p>
    <w:p w:rsidR="006737B7" w:rsidRDefault="00725CEA">
      <w:pPr>
        <w:pStyle w:val="ListParagraph"/>
        <w:numPr>
          <w:ilvl w:val="0"/>
          <w:numId w:val="27"/>
        </w:numPr>
        <w:spacing w:line="240" w:lineRule="auto"/>
        <w:jc w:val="both"/>
        <w:rPr>
          <w:rFonts w:ascii="Times New Roman" w:hAnsi="Times New Roman" w:cs="Times New Roman"/>
          <w:noProof/>
          <w:sz w:val="24"/>
          <w:szCs w:val="24"/>
        </w:rPr>
      </w:pPr>
      <w:r>
        <w:rPr>
          <w:rFonts w:ascii="Times New Roman" w:hAnsi="Times New Roman"/>
          <w:b/>
          <w:noProof/>
          <w:sz w:val="24"/>
          <w:szCs w:val="24"/>
        </w:rPr>
        <w:t>Conectividad inter</w:t>
      </w:r>
      <w:r>
        <w:rPr>
          <w:rFonts w:ascii="Times New Roman" w:hAnsi="Times New Roman"/>
          <w:b/>
          <w:noProof/>
          <w:sz w:val="24"/>
          <w:szCs w:val="24"/>
        </w:rPr>
        <w:t>nacional basada en normas.</w:t>
      </w:r>
      <w:r>
        <w:rPr>
          <w:rFonts w:ascii="Times New Roman" w:hAnsi="Times New Roman"/>
          <w:noProof/>
          <w:sz w:val="24"/>
          <w:szCs w:val="24"/>
        </w:rPr>
        <w:t xml:space="preserve"> Se precisan normas para que las personas, bienes, servicios y capitales circulen con eficiencia, equidad y fluidez. Unas prácticas, normas, convenios y normas técnicas acordadas a nivel internacional, con el apoyo de organizacion</w:t>
      </w:r>
      <w:r>
        <w:rPr>
          <w:rFonts w:ascii="Times New Roman" w:hAnsi="Times New Roman"/>
          <w:noProof/>
          <w:sz w:val="24"/>
          <w:szCs w:val="24"/>
        </w:rPr>
        <w:t xml:space="preserve">es e instituciones internacionales permiten la interoperabilidad de las redes y los intercambios transfronterizos. En el mercado interior, la UE garantiza la no discriminación y la igualdad de condiciones para las empresas, y promueve un entorno abierto y </w:t>
      </w:r>
      <w:r>
        <w:rPr>
          <w:rFonts w:ascii="Times New Roman" w:hAnsi="Times New Roman"/>
          <w:noProof/>
          <w:sz w:val="24"/>
          <w:szCs w:val="24"/>
        </w:rPr>
        <w:t>transparente de inversión, al tiempo que protege sus activos críticos</w:t>
      </w:r>
      <w:r>
        <w:rPr>
          <w:rStyle w:val="FootnoteReference"/>
          <w:rFonts w:ascii="Times New Roman" w:hAnsi="Times New Roman"/>
          <w:noProof/>
          <w:sz w:val="24"/>
          <w:szCs w:val="24"/>
        </w:rPr>
        <w:footnoteReference w:id="9"/>
      </w:r>
      <w:r>
        <w:rPr>
          <w:rFonts w:ascii="Times New Roman" w:hAnsi="Times New Roman"/>
          <w:noProof/>
          <w:sz w:val="24"/>
          <w:szCs w:val="24"/>
        </w:rPr>
        <w:t xml:space="preserve">. La UE deberá seguir fomentando unos procesos de contratación más abiertos y transparentes en los que las empresas gocen de igualdad de condiciones. </w:t>
      </w:r>
    </w:p>
    <w:p w:rsidR="006737B7" w:rsidRDefault="00725CEA">
      <w:pPr>
        <w:jc w:val="both"/>
        <w:rPr>
          <w:rFonts w:ascii="Times New Roman" w:hAnsi="Times New Roman" w:cs="Times New Roman"/>
          <w:noProof/>
          <w:sz w:val="24"/>
          <w:szCs w:val="24"/>
        </w:rPr>
      </w:pPr>
      <w:r>
        <w:rPr>
          <w:rFonts w:ascii="Times New Roman" w:hAnsi="Times New Roman"/>
          <w:noProof/>
          <w:sz w:val="24"/>
          <w:szCs w:val="24"/>
        </w:rPr>
        <w:t>Sobre esta base, la UE se compromet</w:t>
      </w:r>
      <w:r>
        <w:rPr>
          <w:rFonts w:ascii="Times New Roman" w:hAnsi="Times New Roman"/>
          <w:noProof/>
          <w:sz w:val="24"/>
          <w:szCs w:val="24"/>
        </w:rPr>
        <w:t xml:space="preserve">erá con sus vecinos y socios asiáticos en torno a tres ejes: </w:t>
      </w:r>
    </w:p>
    <w:p w:rsidR="006737B7" w:rsidRDefault="00725CEA">
      <w:pPr>
        <w:pStyle w:val="ListParagraph"/>
        <w:numPr>
          <w:ilvl w:val="0"/>
          <w:numId w:val="27"/>
        </w:numPr>
        <w:spacing w:line="240" w:lineRule="auto"/>
        <w:jc w:val="both"/>
        <w:rPr>
          <w:rFonts w:ascii="Times New Roman" w:hAnsi="Times New Roman" w:cs="Times New Roman"/>
          <w:noProof/>
          <w:sz w:val="24"/>
          <w:szCs w:val="24"/>
        </w:rPr>
      </w:pPr>
      <w:r>
        <w:rPr>
          <w:rFonts w:ascii="Times New Roman" w:hAnsi="Times New Roman"/>
          <w:noProof/>
          <w:sz w:val="24"/>
          <w:szCs w:val="24"/>
        </w:rPr>
        <w:t>en primer lugar, contribuyendo a la eficiencia de las conexiones y redes entre Europa y Asia a través de corredores de transporte prioritarios, enlaces digitales y cooperación en materia de ener</w:t>
      </w:r>
      <w:r>
        <w:rPr>
          <w:rFonts w:ascii="Times New Roman" w:hAnsi="Times New Roman"/>
          <w:noProof/>
          <w:sz w:val="24"/>
          <w:szCs w:val="24"/>
        </w:rPr>
        <w:t>gía al servicio de los ciudadanos y las respectivas economías;</w:t>
      </w:r>
    </w:p>
    <w:p w:rsidR="006737B7" w:rsidRDefault="00725CEA">
      <w:pPr>
        <w:pStyle w:val="ListParagraph"/>
        <w:numPr>
          <w:ilvl w:val="0"/>
          <w:numId w:val="27"/>
        </w:numPr>
        <w:spacing w:line="240" w:lineRule="auto"/>
        <w:jc w:val="both"/>
        <w:rPr>
          <w:rFonts w:ascii="Times New Roman" w:hAnsi="Times New Roman" w:cs="Times New Roman"/>
          <w:noProof/>
          <w:sz w:val="24"/>
          <w:szCs w:val="24"/>
        </w:rPr>
      </w:pPr>
      <w:r>
        <w:rPr>
          <w:rFonts w:ascii="Times New Roman" w:hAnsi="Times New Roman"/>
          <w:noProof/>
          <w:sz w:val="24"/>
          <w:szCs w:val="24"/>
        </w:rPr>
        <w:t>en segundo lugar, estableciendo asociaciones para la conectividad basadas en normas comúnmente acordadas que permitan una mejor gobernanza de los flujos de bienes, personas, servicios y capital</w:t>
      </w:r>
      <w:r>
        <w:rPr>
          <w:rFonts w:ascii="Times New Roman" w:hAnsi="Times New Roman"/>
          <w:noProof/>
          <w:sz w:val="24"/>
          <w:szCs w:val="24"/>
        </w:rPr>
        <w:t>es;</w:t>
      </w:r>
    </w:p>
    <w:p w:rsidR="006737B7" w:rsidRDefault="00725CEA">
      <w:pPr>
        <w:pStyle w:val="ListParagraph"/>
        <w:numPr>
          <w:ilvl w:val="0"/>
          <w:numId w:val="27"/>
        </w:numPr>
        <w:spacing w:line="240" w:lineRule="auto"/>
        <w:jc w:val="both"/>
        <w:rPr>
          <w:rFonts w:ascii="Times New Roman" w:hAnsi="Times New Roman" w:cs="Times New Roman"/>
          <w:noProof/>
          <w:sz w:val="24"/>
          <w:szCs w:val="24"/>
        </w:rPr>
      </w:pPr>
      <w:r>
        <w:rPr>
          <w:rFonts w:ascii="Times New Roman" w:hAnsi="Times New Roman"/>
          <w:noProof/>
          <w:sz w:val="24"/>
          <w:szCs w:val="24"/>
        </w:rPr>
        <w:t>en tercer lugar, contribuyendo a abordar los importantes déficits de inversión mediante la mejora de la movilización de los recursos, una mayor movilización de los recursos financieros de la UE y el refuezo de las asociaciones internacionales.</w:t>
      </w:r>
    </w:p>
    <w:p w:rsidR="006737B7" w:rsidRDefault="006737B7">
      <w:pPr>
        <w:pStyle w:val="ListParagraph"/>
        <w:spacing w:line="240" w:lineRule="auto"/>
        <w:jc w:val="both"/>
        <w:rPr>
          <w:rFonts w:ascii="Times New Roman" w:hAnsi="Times New Roman" w:cs="Times New Roman"/>
          <w:noProof/>
          <w:sz w:val="24"/>
          <w:szCs w:val="24"/>
        </w:rPr>
      </w:pPr>
    </w:p>
    <w:p w:rsidR="006737B7" w:rsidRDefault="00725CEA">
      <w:pPr>
        <w:pStyle w:val="ListParagraph"/>
        <w:numPr>
          <w:ilvl w:val="0"/>
          <w:numId w:val="30"/>
        </w:numPr>
        <w:spacing w:line="240" w:lineRule="auto"/>
        <w:rPr>
          <w:rFonts w:ascii="Times New Roman" w:hAnsi="Times New Roman" w:cs="Times New Roman"/>
          <w:b/>
          <w:noProof/>
          <w:sz w:val="24"/>
          <w:szCs w:val="24"/>
        </w:rPr>
      </w:pPr>
      <w:r>
        <w:rPr>
          <w:rFonts w:ascii="Times New Roman" w:hAnsi="Times New Roman"/>
          <w:b/>
          <w:noProof/>
          <w:sz w:val="24"/>
          <w:szCs w:val="24"/>
        </w:rPr>
        <w:t>Constru</w:t>
      </w:r>
      <w:r>
        <w:rPr>
          <w:rFonts w:ascii="Times New Roman" w:hAnsi="Times New Roman"/>
          <w:b/>
          <w:noProof/>
          <w:sz w:val="24"/>
          <w:szCs w:val="24"/>
        </w:rPr>
        <w:t>cción de conexiones eficientes entre Europa y Asia</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Para reforzar la eficiencia de las conexiones existentes y futuras, la Unión, junto con sus socios, deberá abordar los enlaces de transporte, energía y digitales entre Europa y Asia, teniendo en cuenta la </w:t>
      </w:r>
      <w:r>
        <w:rPr>
          <w:rFonts w:ascii="Times New Roman" w:hAnsi="Times New Roman"/>
          <w:noProof/>
          <w:sz w:val="24"/>
          <w:szCs w:val="24"/>
        </w:rPr>
        <w:t>rapidez de los cambios tecnológicos, que tienen un fuerte impacto en la conectividad. Al tiempo que se abordan las conexiones físicas entre Europa y Asia, la UE y sus socios también deberán fomentar la conectividad y la movilidad de estudiantes, docentes e</w:t>
      </w:r>
      <w:r>
        <w:rPr>
          <w:rFonts w:ascii="Times New Roman" w:hAnsi="Times New Roman"/>
          <w:noProof/>
          <w:sz w:val="24"/>
          <w:szCs w:val="24"/>
        </w:rPr>
        <w:t xml:space="preserve"> investigadores.</w:t>
      </w:r>
    </w:p>
    <w:p w:rsidR="006737B7" w:rsidRDefault="00725CEA">
      <w:pPr>
        <w:pStyle w:val="ListParagraph"/>
        <w:numPr>
          <w:ilvl w:val="1"/>
          <w:numId w:val="30"/>
        </w:numPr>
        <w:spacing w:line="240" w:lineRule="auto"/>
        <w:rPr>
          <w:rFonts w:ascii="Times New Roman" w:hAnsi="Times New Roman" w:cs="Times New Roman"/>
          <w:b/>
          <w:noProof/>
          <w:sz w:val="24"/>
          <w:szCs w:val="24"/>
        </w:rPr>
      </w:pPr>
      <w:r>
        <w:rPr>
          <w:rFonts w:ascii="Times New Roman" w:hAnsi="Times New Roman"/>
          <w:b/>
          <w:noProof/>
          <w:sz w:val="24"/>
          <w:szCs w:val="24"/>
        </w:rPr>
        <w:t>Transporte</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Tanto los socios asiáticos como la Unión tienen interés en desarrollar unos corredores y rutas comerciales eficientes, económicamente viables y sostenibles desde el punto de vista medioambiental entre Europa y Asia. Hoy en día, </w:t>
      </w:r>
      <w:r>
        <w:rPr>
          <w:rFonts w:ascii="Times New Roman" w:hAnsi="Times New Roman"/>
          <w:noProof/>
          <w:sz w:val="24"/>
          <w:szCs w:val="24"/>
        </w:rPr>
        <w:t>medido en valor, el 70 % de los intercambios comerciales se efectúa por vía marítima, más del 25 % por vía aérea, mientras que el ferrocarril sigue siendo relativamente marginal. El potencial de crecimiento en todos los sectores es considerable.</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La UE debe</w:t>
      </w:r>
      <w:r>
        <w:rPr>
          <w:rFonts w:ascii="Times New Roman" w:hAnsi="Times New Roman"/>
          <w:noProof/>
          <w:sz w:val="24"/>
          <w:szCs w:val="24"/>
        </w:rPr>
        <w:t xml:space="preserve"> mejorar la conectividad de los transportes junto con sus vecinos y socios asiáticos. La UE debe trabajar para </w:t>
      </w:r>
      <w:r>
        <w:rPr>
          <w:rFonts w:ascii="Times New Roman" w:hAnsi="Times New Roman"/>
          <w:b/>
          <w:noProof/>
          <w:sz w:val="24"/>
          <w:szCs w:val="24"/>
        </w:rPr>
        <w:t>conectar el bien desarrollado marco de la Red Transeuropea de Transporte (RTE-T) con las redes de Asia.</w:t>
      </w:r>
      <w:r>
        <w:rPr>
          <w:rFonts w:ascii="Times New Roman" w:hAnsi="Times New Roman"/>
          <w:noProof/>
          <w:sz w:val="24"/>
          <w:szCs w:val="24"/>
        </w:rPr>
        <w:t xml:space="preserve"> La RTE-T incluye normas y prioridades claras para promover el transporte multimodal transfronterizo e interoperable, es decir, una combinación de transporte por ferrocarril y navegación marítima e interior. Para lograr este objetivo, la UE podría ofrecer </w:t>
      </w:r>
      <w:r>
        <w:rPr>
          <w:rFonts w:ascii="Times New Roman" w:hAnsi="Times New Roman"/>
          <w:noProof/>
          <w:sz w:val="24"/>
          <w:szCs w:val="24"/>
        </w:rPr>
        <w:t>asistencia técnica, según proceda, para ayudar a sus socios a planificar sus sistemas de transporte y asegurar su interconexión, y contribuir a la financiación de infraestructuras adecuadas (véase la parte 4). Nuevos métodos para evaluar los niveles de con</w:t>
      </w:r>
      <w:r>
        <w:rPr>
          <w:rFonts w:ascii="Times New Roman" w:hAnsi="Times New Roman"/>
          <w:noProof/>
          <w:sz w:val="24"/>
          <w:szCs w:val="24"/>
        </w:rPr>
        <w:t>ectividad, por ejemplo, índices de conectividad, contribuirán a detectar las lagunas y oportunidades. La UE también deberá contribuir a que la conectividad de los transportes con Asia sea más segura.</w:t>
      </w:r>
    </w:p>
    <w:tbl>
      <w:tblPr>
        <w:tblStyle w:val="TableGrid"/>
        <w:tblW w:w="0" w:type="auto"/>
        <w:tblInd w:w="108" w:type="dxa"/>
        <w:tblLayout w:type="fixed"/>
        <w:tblLook w:val="04A0" w:firstRow="1" w:lastRow="0" w:firstColumn="1" w:lastColumn="0" w:noHBand="0" w:noVBand="1"/>
      </w:tblPr>
      <w:tblGrid>
        <w:gridCol w:w="9072"/>
      </w:tblGrid>
      <w:tr w:rsidR="006737B7">
        <w:tc>
          <w:tcPr>
            <w:tcW w:w="9072" w:type="dxa"/>
            <w:shd w:val="clear" w:color="auto" w:fill="8DB3E2" w:themeFill="text2" w:themeFillTint="66"/>
          </w:tcPr>
          <w:p w:rsidR="006737B7" w:rsidRDefault="00725CEA">
            <w:pPr>
              <w:jc w:val="center"/>
              <w:rPr>
                <w:rFonts w:ascii="Times New Roman" w:hAnsi="Times New Roman" w:cs="Times New Roman"/>
                <w:b/>
                <w:noProof/>
                <w:sz w:val="24"/>
                <w:szCs w:val="24"/>
              </w:rPr>
            </w:pPr>
            <w:r>
              <w:rPr>
                <w:rFonts w:ascii="Times New Roman" w:hAnsi="Times New Roman"/>
                <w:b/>
                <w:noProof/>
                <w:sz w:val="24"/>
                <w:szCs w:val="24"/>
              </w:rPr>
              <w:t>Conectividad y seguridad</w:t>
            </w:r>
          </w:p>
        </w:tc>
      </w:tr>
      <w:tr w:rsidR="006737B7">
        <w:tc>
          <w:tcPr>
            <w:tcW w:w="9072" w:type="dxa"/>
          </w:tcPr>
          <w:p w:rsidR="006737B7" w:rsidRDefault="006737B7">
            <w:pPr>
              <w:jc w:val="both"/>
              <w:rPr>
                <w:rFonts w:ascii="Times New Roman" w:hAnsi="Times New Roman" w:cs="Times New Roman"/>
                <w:noProof/>
                <w:sz w:val="24"/>
                <w:szCs w:val="24"/>
              </w:rPr>
            </w:pPr>
          </w:p>
          <w:p w:rsidR="006737B7" w:rsidRDefault="00725CEA">
            <w:pPr>
              <w:jc w:val="both"/>
              <w:rPr>
                <w:rFonts w:ascii="Times New Roman" w:hAnsi="Times New Roman" w:cs="Times New Roman"/>
                <w:noProof/>
                <w:sz w:val="24"/>
                <w:szCs w:val="24"/>
              </w:rPr>
            </w:pPr>
            <w:r>
              <w:rPr>
                <w:rFonts w:ascii="Times New Roman" w:hAnsi="Times New Roman"/>
                <w:noProof/>
                <w:sz w:val="24"/>
                <w:szCs w:val="24"/>
              </w:rPr>
              <w:t>El mundo depende cada vez más</w:t>
            </w:r>
            <w:r>
              <w:rPr>
                <w:rFonts w:ascii="Times New Roman" w:hAnsi="Times New Roman"/>
                <w:noProof/>
                <w:sz w:val="24"/>
                <w:szCs w:val="24"/>
              </w:rPr>
              <w:t xml:space="preserve"> de sofisticadas de redes y transferencias de datos, conexiones de energía, cadenas de valor perfectamente sincronizadas y movilidad de las personas. La gestión de estos flujos implica encontrar el equilibrio adecuado entre su facilitación y garantizar su </w:t>
            </w:r>
            <w:r>
              <w:rPr>
                <w:rFonts w:ascii="Times New Roman" w:hAnsi="Times New Roman"/>
                <w:noProof/>
                <w:sz w:val="24"/>
                <w:szCs w:val="24"/>
              </w:rPr>
              <w:t>seguridad y protección. En una era de amenazas híbridas y terrorismo, el «flujo de seguridad» tiene una gran importancia. El acceso a rutas comerciales sigue dependiendo de un entorno político y de seguridad adecuado y depende de que se aborden retos tales</w:t>
            </w:r>
            <w:r>
              <w:rPr>
                <w:rFonts w:ascii="Times New Roman" w:hAnsi="Times New Roman"/>
                <w:noProof/>
                <w:sz w:val="24"/>
                <w:szCs w:val="24"/>
              </w:rPr>
              <w:t xml:space="preserve"> como la delincuencia organizada transnacional y todo tipo de tráfico y trata ilícitos, la ciberseguridad y los ataques a la seguridad del transporte y la energía. Estos retos no pueden abordarse únicamente a través de las políticas interiores y exteriores</w:t>
            </w:r>
            <w:r>
              <w:rPr>
                <w:rFonts w:ascii="Times New Roman" w:hAnsi="Times New Roman"/>
                <w:noProof/>
                <w:sz w:val="24"/>
                <w:szCs w:val="24"/>
              </w:rPr>
              <w:t xml:space="preserve"> de los países o entidades. La UE debe colaborar con los países socios para hacer la conectividad de los transportes con Asia más segura, en particular en el ámbito de la ciberseguridad. </w:t>
            </w:r>
          </w:p>
        </w:tc>
      </w:tr>
    </w:tbl>
    <w:p w:rsidR="006737B7" w:rsidRDefault="006737B7">
      <w:pPr>
        <w:spacing w:line="240" w:lineRule="auto"/>
        <w:jc w:val="both"/>
        <w:rPr>
          <w:rFonts w:ascii="Times New Roman" w:hAnsi="Times New Roman" w:cs="Times New Roman"/>
          <w:noProof/>
          <w:sz w:val="24"/>
          <w:szCs w:val="24"/>
        </w:rPr>
      </w:pPr>
    </w:p>
    <w:p w:rsidR="006737B7" w:rsidRDefault="00725CEA">
      <w:pPr>
        <w:pStyle w:val="ListParagraph"/>
        <w:numPr>
          <w:ilvl w:val="0"/>
          <w:numId w:val="24"/>
        </w:numPr>
        <w:spacing w:line="240" w:lineRule="auto"/>
        <w:jc w:val="both"/>
        <w:rPr>
          <w:rFonts w:ascii="Times New Roman" w:hAnsi="Times New Roman" w:cs="Times New Roman"/>
          <w:b/>
          <w:noProof/>
          <w:sz w:val="24"/>
          <w:szCs w:val="24"/>
        </w:rPr>
      </w:pPr>
      <w:r>
        <w:rPr>
          <w:rFonts w:ascii="Times New Roman" w:hAnsi="Times New Roman"/>
          <w:b/>
          <w:noProof/>
          <w:sz w:val="24"/>
          <w:szCs w:val="24"/>
        </w:rPr>
        <w:t>Transporte aéreo</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Los </w:t>
      </w:r>
      <w:r>
        <w:rPr>
          <w:rFonts w:ascii="Times New Roman" w:hAnsi="Times New Roman"/>
          <w:b/>
          <w:noProof/>
          <w:sz w:val="24"/>
          <w:szCs w:val="24"/>
        </w:rPr>
        <w:t>acuerdos de aviación</w:t>
      </w:r>
      <w:r>
        <w:rPr>
          <w:rFonts w:ascii="Times New Roman" w:hAnsi="Times New Roman"/>
          <w:noProof/>
          <w:sz w:val="24"/>
          <w:szCs w:val="24"/>
        </w:rPr>
        <w:t xml:space="preserve"> de la UE con terceros pa</w:t>
      </w:r>
      <w:r>
        <w:rPr>
          <w:rFonts w:ascii="Times New Roman" w:hAnsi="Times New Roman"/>
          <w:noProof/>
          <w:sz w:val="24"/>
          <w:szCs w:val="24"/>
        </w:rPr>
        <w:t xml:space="preserve">íses crean nuevas perspectivas económicas al abrir los mercados y ofrecer posibilidades de inversión. </w:t>
      </w:r>
      <w:r>
        <w:rPr>
          <w:rFonts w:ascii="Times New Roman" w:hAnsi="Times New Roman" w:cs="Times New Roman"/>
          <w:noProof/>
          <w:sz w:val="24"/>
          <w:szCs w:val="24"/>
        </w:rPr>
        <w:t>Para permitir el crecimiento del transporte aéreo en beneficio de los ciudadanos y las empresas de la UE y de los países socios, la UE está negociando act</w:t>
      </w:r>
      <w:r>
        <w:rPr>
          <w:rFonts w:ascii="Times New Roman" w:hAnsi="Times New Roman" w:cs="Times New Roman"/>
          <w:noProof/>
          <w:sz w:val="24"/>
          <w:szCs w:val="24"/>
        </w:rPr>
        <w:t>ualmente acuerdos de aviación con varios países de la vecindad de la UE y Asia</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De este modo, la UE también aborda el impacto medioambiental y climático de la aviación, en particular la cuestión de las emisiones. La UE seguirá apoyando en Europa, Asia y o</w:t>
      </w:r>
      <w:r>
        <w:rPr>
          <w:rFonts w:ascii="Times New Roman" w:hAnsi="Times New Roman" w:cs="Times New Roman"/>
          <w:noProof/>
          <w:sz w:val="24"/>
          <w:szCs w:val="24"/>
        </w:rPr>
        <w:t>tros lugares, la</w:t>
      </w:r>
      <w:r>
        <w:rPr>
          <w:rFonts w:ascii="Times New Roman" w:hAnsi="Times New Roman"/>
          <w:noProof/>
          <w:sz w:val="24"/>
          <w:szCs w:val="24"/>
        </w:rPr>
        <w:t xml:space="preserve"> </w:t>
      </w:r>
      <w:r>
        <w:rPr>
          <w:rFonts w:ascii="Times New Roman" w:hAnsi="Times New Roman"/>
          <w:b/>
          <w:noProof/>
          <w:sz w:val="24"/>
          <w:szCs w:val="24"/>
        </w:rPr>
        <w:t>descarbonización a largo plazo</w:t>
      </w:r>
      <w:r>
        <w:rPr>
          <w:rFonts w:ascii="Times New Roman" w:hAnsi="Times New Roman"/>
          <w:noProof/>
          <w:sz w:val="24"/>
          <w:szCs w:val="24"/>
        </w:rPr>
        <w:t xml:space="preserve"> del transporte aéreo, en particular mediante el fomento de la aplicación efectiva de los acuerdos internacionales</w:t>
      </w:r>
      <w:r>
        <w:rPr>
          <w:rStyle w:val="FootnoteReference"/>
          <w:rFonts w:ascii="Times New Roman" w:hAnsi="Times New Roman"/>
          <w:noProof/>
          <w:sz w:val="24"/>
          <w:szCs w:val="24"/>
        </w:rPr>
        <w:footnoteReference w:id="11"/>
      </w:r>
      <w:r>
        <w:rPr>
          <w:rFonts w:ascii="Times New Roman" w:hAnsi="Times New Roman"/>
          <w:noProof/>
          <w:sz w:val="24"/>
          <w:szCs w:val="24"/>
        </w:rPr>
        <w:t xml:space="preserve"> y a través de actividades dirigidas a crear capacidades en los países socios.</w:t>
      </w:r>
    </w:p>
    <w:p w:rsidR="006737B7" w:rsidRDefault="00725CEA">
      <w:pPr>
        <w:pStyle w:val="ListParagraph"/>
        <w:numPr>
          <w:ilvl w:val="0"/>
          <w:numId w:val="24"/>
        </w:numPr>
        <w:spacing w:line="240" w:lineRule="auto"/>
        <w:jc w:val="both"/>
        <w:rPr>
          <w:rFonts w:ascii="Times New Roman" w:hAnsi="Times New Roman" w:cs="Times New Roman"/>
          <w:b/>
          <w:noProof/>
          <w:sz w:val="24"/>
          <w:szCs w:val="24"/>
        </w:rPr>
      </w:pPr>
      <w:r>
        <w:rPr>
          <w:rFonts w:ascii="Times New Roman" w:hAnsi="Times New Roman"/>
          <w:b/>
          <w:noProof/>
          <w:sz w:val="24"/>
          <w:szCs w:val="24"/>
        </w:rPr>
        <w:t>Transporte marí</w:t>
      </w:r>
      <w:r>
        <w:rPr>
          <w:rFonts w:ascii="Times New Roman" w:hAnsi="Times New Roman"/>
          <w:b/>
          <w:noProof/>
          <w:sz w:val="24"/>
          <w:szCs w:val="24"/>
        </w:rPr>
        <w:t xml:space="preserve">timo </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La UE apoya un transporte marítimo limpio y sostenible mediante el desarrollo de medidas a escala de la UE y comprometiéndose con los esfuerzos medioambientales, en particular de la Organización Marítima Internacional (OMI). Como parte de su estrateg</w:t>
      </w:r>
      <w:r>
        <w:rPr>
          <w:rFonts w:ascii="Times New Roman" w:hAnsi="Times New Roman"/>
          <w:noProof/>
          <w:sz w:val="24"/>
          <w:szCs w:val="24"/>
        </w:rPr>
        <w:t xml:space="preserve">ia para reducir las emisiones de carbono del transporte, la Comisión seguirá fomentando la utilización de </w:t>
      </w:r>
      <w:r>
        <w:rPr>
          <w:rFonts w:ascii="Times New Roman" w:hAnsi="Times New Roman"/>
          <w:b/>
          <w:noProof/>
          <w:sz w:val="24"/>
          <w:szCs w:val="24"/>
        </w:rPr>
        <w:t>combustibles alternativos</w:t>
      </w:r>
      <w:r>
        <w:rPr>
          <w:rFonts w:ascii="Times New Roman" w:hAnsi="Times New Roman"/>
          <w:noProof/>
          <w:sz w:val="24"/>
          <w:szCs w:val="24"/>
        </w:rPr>
        <w:t xml:space="preserve"> en los puertos de Europa y Asia. Al continuar colaborando con terceros países asiáticos a través de </w:t>
      </w:r>
      <w:r>
        <w:rPr>
          <w:rFonts w:ascii="Times New Roman" w:hAnsi="Times New Roman"/>
          <w:b/>
          <w:noProof/>
          <w:sz w:val="24"/>
          <w:szCs w:val="24"/>
        </w:rPr>
        <w:t>acuerdos de transporte m</w:t>
      </w:r>
      <w:r>
        <w:rPr>
          <w:rFonts w:ascii="Times New Roman" w:hAnsi="Times New Roman"/>
          <w:b/>
          <w:noProof/>
          <w:sz w:val="24"/>
          <w:szCs w:val="24"/>
        </w:rPr>
        <w:t>arítimo</w:t>
      </w:r>
      <w:r>
        <w:rPr>
          <w:rFonts w:ascii="Times New Roman" w:hAnsi="Times New Roman"/>
          <w:noProof/>
          <w:sz w:val="24"/>
          <w:szCs w:val="24"/>
        </w:rPr>
        <w:t xml:space="preserve"> pertinentes, contribuirá a regular y facilitar el tráfico </w:t>
      </w:r>
      <w:r>
        <w:rPr>
          <w:rFonts w:ascii="Times New Roman" w:hAnsi="Times New Roman" w:cs="Times New Roman"/>
          <w:noProof/>
          <w:sz w:val="24"/>
          <w:szCs w:val="24"/>
        </w:rPr>
        <w:t>marítimo. A fin de acelerar los trámites aduaneros, deberá promover sus iniciativas para digitalizar y simplificar los trámites administrativos en los puertos de Asia</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La UE también deberá </w:t>
      </w:r>
      <w:r>
        <w:rPr>
          <w:rFonts w:ascii="Times New Roman" w:hAnsi="Times New Roman" w:cs="Times New Roman"/>
          <w:noProof/>
          <w:sz w:val="24"/>
          <w:szCs w:val="24"/>
        </w:rPr>
        <w:t>fomentar la adopción generalizada de las normas de Rotterdam, lo que facilitará el uso de documentos electrónicos en el transporte marítimo</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A fin de reforzar la seguridad marítima, la UE deberá proponer medidas</w:t>
      </w:r>
      <w:r>
        <w:rPr>
          <w:rFonts w:ascii="Times New Roman" w:hAnsi="Times New Roman"/>
          <w:noProof/>
          <w:sz w:val="24"/>
          <w:szCs w:val="24"/>
        </w:rPr>
        <w:t xml:space="preserve"> suplementarias y seguir apoyando los esfuer</w:t>
      </w:r>
      <w:r>
        <w:rPr>
          <w:rFonts w:ascii="Times New Roman" w:hAnsi="Times New Roman"/>
          <w:noProof/>
          <w:sz w:val="24"/>
          <w:szCs w:val="24"/>
        </w:rPr>
        <w:t>zos internacionales, en particular a través de la OMI. La UE deberá seguir desempeñando la función de puente de la cuenca del Mar Negro.</w:t>
      </w:r>
    </w:p>
    <w:p w:rsidR="006737B7" w:rsidRDefault="00725CEA">
      <w:pPr>
        <w:pStyle w:val="ListParagraph"/>
        <w:numPr>
          <w:ilvl w:val="0"/>
          <w:numId w:val="24"/>
        </w:numPr>
        <w:spacing w:line="240" w:lineRule="auto"/>
        <w:jc w:val="both"/>
        <w:rPr>
          <w:rFonts w:ascii="Times New Roman" w:hAnsi="Times New Roman" w:cs="Times New Roman"/>
          <w:b/>
          <w:noProof/>
          <w:sz w:val="24"/>
          <w:szCs w:val="24"/>
        </w:rPr>
      </w:pPr>
      <w:r>
        <w:rPr>
          <w:rFonts w:ascii="Times New Roman" w:hAnsi="Times New Roman"/>
          <w:b/>
          <w:noProof/>
          <w:sz w:val="24"/>
          <w:szCs w:val="24"/>
        </w:rPr>
        <w:t>Transporte terrestre</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En el sector del </w:t>
      </w:r>
      <w:r>
        <w:rPr>
          <w:rFonts w:ascii="Times New Roman" w:hAnsi="Times New Roman"/>
          <w:b/>
          <w:noProof/>
          <w:sz w:val="24"/>
          <w:szCs w:val="24"/>
        </w:rPr>
        <w:t>transporte ferroviario</w:t>
      </w:r>
      <w:r>
        <w:rPr>
          <w:rFonts w:ascii="Times New Roman" w:hAnsi="Times New Roman"/>
          <w:noProof/>
          <w:sz w:val="24"/>
          <w:szCs w:val="24"/>
        </w:rPr>
        <w:t>, la UE, junto con sus socios, trabaja en pro de la mayor c</w:t>
      </w:r>
      <w:r>
        <w:rPr>
          <w:rFonts w:ascii="Times New Roman" w:hAnsi="Times New Roman"/>
          <w:noProof/>
          <w:sz w:val="24"/>
          <w:szCs w:val="24"/>
        </w:rPr>
        <w:t>ompetitividad de las conexiones ferroviarias, reduciendo los tiempos de tránsito y mejorando los factores de carga. La UE ha ampliado la red transeuropea de transporte (RTE-T) a los países de los Balcanes Occidentales, y recientemente ha acordado la amplia</w:t>
      </w:r>
      <w:r>
        <w:rPr>
          <w:rFonts w:ascii="Times New Roman" w:hAnsi="Times New Roman"/>
          <w:noProof/>
          <w:sz w:val="24"/>
          <w:szCs w:val="24"/>
        </w:rPr>
        <w:t xml:space="preserve">ción de la RTE-T con los seis países de la Asociación Oriental (Armenia, Azerbaiyán, Bielorrusia, Georgia, Moldavia y Ucrania). Tanto las conexiones ferroviarias </w:t>
      </w:r>
      <w:r>
        <w:rPr>
          <w:rFonts w:ascii="Times New Roman" w:hAnsi="Times New Roman"/>
          <w:b/>
          <w:noProof/>
          <w:sz w:val="24"/>
          <w:szCs w:val="24"/>
        </w:rPr>
        <w:t>norte-sur</w:t>
      </w:r>
      <w:r>
        <w:rPr>
          <w:rStyle w:val="FootnoteReference"/>
          <w:rFonts w:ascii="Times New Roman" w:hAnsi="Times New Roman"/>
          <w:noProof/>
          <w:sz w:val="24"/>
          <w:szCs w:val="24"/>
        </w:rPr>
        <w:footnoteReference w:id="14"/>
      </w:r>
      <w:r>
        <w:rPr>
          <w:rFonts w:ascii="Times New Roman" w:hAnsi="Times New Roman"/>
          <w:noProof/>
          <w:sz w:val="24"/>
          <w:szCs w:val="24"/>
        </w:rPr>
        <w:t xml:space="preserve"> como </w:t>
      </w:r>
      <w:r>
        <w:rPr>
          <w:rFonts w:ascii="Times New Roman" w:hAnsi="Times New Roman"/>
          <w:b/>
          <w:noProof/>
          <w:sz w:val="24"/>
          <w:szCs w:val="24"/>
        </w:rPr>
        <w:t>este-oeste</w:t>
      </w:r>
      <w:r>
        <w:rPr>
          <w:rStyle w:val="FootnoteReference"/>
          <w:rFonts w:ascii="Times New Roman" w:hAnsi="Times New Roman"/>
          <w:noProof/>
          <w:sz w:val="24"/>
          <w:szCs w:val="24"/>
        </w:rPr>
        <w:footnoteReference w:id="15"/>
      </w:r>
      <w:r>
        <w:rPr>
          <w:rFonts w:ascii="Times New Roman" w:hAnsi="Times New Roman"/>
          <w:noProof/>
          <w:sz w:val="24"/>
          <w:szCs w:val="24"/>
        </w:rPr>
        <w:t xml:space="preserve"> podrían desempeñar un importante papel en el futuro. La conexión f</w:t>
      </w:r>
      <w:r>
        <w:rPr>
          <w:rFonts w:ascii="Times New Roman" w:hAnsi="Times New Roman"/>
          <w:noProof/>
          <w:sz w:val="24"/>
          <w:szCs w:val="24"/>
        </w:rPr>
        <w:t>erroviaria entre la UE y China en particular ha experimentado un fuerte crecimiento. Deberán abordarse los retos para la viabilidad económica a largo plazo y la neutralidad competitiva de este enlace ferroviario. La UE está apoyando la iniciativa sobre Der</w:t>
      </w:r>
      <w:r>
        <w:rPr>
          <w:rFonts w:ascii="Times New Roman" w:hAnsi="Times New Roman"/>
          <w:noProof/>
          <w:sz w:val="24"/>
          <w:szCs w:val="24"/>
        </w:rPr>
        <w:t xml:space="preserve">echo ferroviario unificado de la Comisión Económica para Europa de las Naciones Unidas (CEPE/ONU), que pretende unificar el régimen jurídico del transporte ferroviario de mercancías en todo el continente </w:t>
      </w:r>
      <w:r>
        <w:rPr>
          <w:rFonts w:ascii="Times New Roman" w:hAnsi="Times New Roman" w:cs="Times New Roman"/>
          <w:noProof/>
          <w:sz w:val="24"/>
          <w:szCs w:val="24"/>
        </w:rPr>
        <w:t>euroasiático. La UE colaborará con las organizacione</w:t>
      </w:r>
      <w:r>
        <w:rPr>
          <w:rFonts w:ascii="Times New Roman" w:hAnsi="Times New Roman" w:cs="Times New Roman"/>
          <w:noProof/>
          <w:sz w:val="24"/>
          <w:szCs w:val="24"/>
        </w:rPr>
        <w:t>s pertinentes de transporte ferroviario para ampliar la aplicación de las especificaciones técnicas y los marcos de gestión de seguridad de la UE</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w:t>
      </w:r>
      <w:r>
        <w:rPr>
          <w:rFonts w:ascii="Times New Roman" w:hAnsi="Times New Roman"/>
          <w:noProof/>
          <w:sz w:val="24"/>
          <w:szCs w:val="24"/>
        </w:rPr>
        <w:t xml:space="preserve"> En cuanto a la conectividad entre Europa y Asia, el </w:t>
      </w:r>
      <w:r>
        <w:rPr>
          <w:rFonts w:ascii="Times New Roman" w:hAnsi="Times New Roman"/>
          <w:b/>
          <w:noProof/>
          <w:sz w:val="24"/>
          <w:szCs w:val="24"/>
        </w:rPr>
        <w:t>transporte por carretera</w:t>
      </w:r>
      <w:r>
        <w:rPr>
          <w:rFonts w:ascii="Times New Roman" w:hAnsi="Times New Roman"/>
          <w:noProof/>
          <w:sz w:val="24"/>
          <w:szCs w:val="24"/>
        </w:rPr>
        <w:t xml:space="preserve"> suele ser el modo más eficaz en</w:t>
      </w:r>
      <w:r>
        <w:rPr>
          <w:rFonts w:ascii="Times New Roman" w:hAnsi="Times New Roman"/>
          <w:noProof/>
          <w:sz w:val="24"/>
          <w:szCs w:val="24"/>
        </w:rPr>
        <w:t xml:space="preserve"> distancias medias (como a Asia Central) y como red de transporte secundaria en combinación con otros modos de transporte. Además, es esencial garantizar unas condiciones sociales adecuadas para los trabajadores del sector y una competencia leal entre las </w:t>
      </w:r>
      <w:r>
        <w:rPr>
          <w:rFonts w:ascii="Times New Roman" w:hAnsi="Times New Roman"/>
          <w:noProof/>
          <w:sz w:val="24"/>
          <w:szCs w:val="24"/>
        </w:rPr>
        <w:t xml:space="preserve">empresas de transporte por carretera. En su compromiso con los países asiáticos, la UE deberá centrarse en promover la </w:t>
      </w:r>
      <w:r>
        <w:rPr>
          <w:rFonts w:ascii="Times New Roman" w:hAnsi="Times New Roman"/>
          <w:b/>
          <w:noProof/>
          <w:sz w:val="24"/>
          <w:szCs w:val="24"/>
        </w:rPr>
        <w:t>seguridad vial</w:t>
      </w:r>
      <w:r>
        <w:rPr>
          <w:rFonts w:ascii="Times New Roman" w:hAnsi="Times New Roman"/>
          <w:noProof/>
          <w:sz w:val="24"/>
          <w:szCs w:val="24"/>
        </w:rPr>
        <w:t xml:space="preserve"> compartiendo las mejores prácticas y las soluciones más adecuadas para reducir las muertes y lesiones en carretera.</w:t>
      </w:r>
      <w:r>
        <w:rPr>
          <w:rFonts w:ascii="Times New Roman" w:hAnsi="Times New Roman"/>
          <w:b/>
          <w:noProof/>
          <w:sz w:val="24"/>
          <w:szCs w:val="24"/>
        </w:rPr>
        <w:t xml:space="preserve"> </w:t>
      </w:r>
      <w:r>
        <w:rPr>
          <w:rFonts w:ascii="Times New Roman" w:hAnsi="Times New Roman"/>
          <w:noProof/>
          <w:sz w:val="24"/>
          <w:szCs w:val="24"/>
        </w:rPr>
        <w:t xml:space="preserve">La UE también ayudará a promover el intercambio de información </w:t>
      </w:r>
      <w:r>
        <w:rPr>
          <w:rFonts w:ascii="Times New Roman" w:hAnsi="Times New Roman"/>
          <w:b/>
          <w:noProof/>
          <w:sz w:val="24"/>
          <w:szCs w:val="24"/>
        </w:rPr>
        <w:t>aduanera</w:t>
      </w:r>
      <w:r>
        <w:rPr>
          <w:rFonts w:ascii="Times New Roman" w:hAnsi="Times New Roman"/>
          <w:noProof/>
          <w:sz w:val="24"/>
          <w:szCs w:val="24"/>
        </w:rPr>
        <w:t xml:space="preserve"> y a desarrollar la cooperación en materia de tránsito, tanto de forma bilateral como a través de la Organización Mundial de Aduanas (OMA).</w:t>
      </w:r>
    </w:p>
    <w:p w:rsidR="006737B7" w:rsidRDefault="00725CEA">
      <w:pPr>
        <w:pStyle w:val="ListParagraph"/>
        <w:numPr>
          <w:ilvl w:val="1"/>
          <w:numId w:val="30"/>
        </w:numPr>
        <w:spacing w:line="240" w:lineRule="auto"/>
        <w:rPr>
          <w:rFonts w:ascii="Times New Roman" w:hAnsi="Times New Roman" w:cs="Times New Roman"/>
          <w:b/>
          <w:noProof/>
          <w:sz w:val="24"/>
          <w:szCs w:val="24"/>
        </w:rPr>
      </w:pPr>
      <w:r>
        <w:rPr>
          <w:rFonts w:ascii="Times New Roman" w:hAnsi="Times New Roman"/>
          <w:b/>
          <w:noProof/>
          <w:sz w:val="24"/>
          <w:szCs w:val="24"/>
        </w:rPr>
        <w:t>Conectividad digital</w:t>
      </w:r>
    </w:p>
    <w:p w:rsidR="006737B7" w:rsidRDefault="00725CEA">
      <w:pPr>
        <w:spacing w:line="240" w:lineRule="auto"/>
        <w:jc w:val="both"/>
        <w:rPr>
          <w:rFonts w:ascii="Times New Roman" w:hAnsi="Times New Roman" w:cs="Times New Roman"/>
          <w:noProof/>
          <w:sz w:val="24"/>
          <w:szCs w:val="24"/>
        </w:rPr>
      </w:pPr>
      <w:r>
        <w:rPr>
          <w:rFonts w:ascii="Times New Roman" w:hAnsi="Times New Roman"/>
          <w:b/>
          <w:noProof/>
          <w:sz w:val="24"/>
          <w:szCs w:val="24"/>
        </w:rPr>
        <w:t xml:space="preserve">Los enlaces de redes de </w:t>
      </w:r>
      <w:r>
        <w:rPr>
          <w:rFonts w:ascii="Times New Roman" w:hAnsi="Times New Roman"/>
          <w:b/>
          <w:noProof/>
          <w:sz w:val="24"/>
          <w:szCs w:val="24"/>
        </w:rPr>
        <w:t>alta capacidad</w:t>
      </w:r>
      <w:r>
        <w:rPr>
          <w:rFonts w:ascii="Times New Roman" w:hAnsi="Times New Roman"/>
          <w:noProof/>
          <w:sz w:val="24"/>
          <w:szCs w:val="24"/>
        </w:rPr>
        <w:t xml:space="preserve"> son críticos para apoyar la economía digital.</w:t>
      </w:r>
      <w:r>
        <w:rPr>
          <w:noProof/>
          <w:sz w:val="24"/>
          <w:szCs w:val="24"/>
        </w:rPr>
        <w:t xml:space="preserve"> </w:t>
      </w:r>
      <w:r>
        <w:rPr>
          <w:rFonts w:ascii="Times New Roman" w:hAnsi="Times New Roman"/>
          <w:noProof/>
          <w:sz w:val="24"/>
          <w:szCs w:val="24"/>
        </w:rPr>
        <w:t>Los enlaces de la red básica con países asiáticos y otros terceros países contribuirán a una red plenamente entrelazada, que aporte el ancho de banda necesario y otros criterios de calidad para e</w:t>
      </w:r>
      <w:r>
        <w:rPr>
          <w:rFonts w:ascii="Times New Roman" w:hAnsi="Times New Roman"/>
          <w:noProof/>
          <w:sz w:val="24"/>
          <w:szCs w:val="24"/>
        </w:rPr>
        <w:t xml:space="preserve">sta infraestructura cada vez más crítica. El acceso universal y asequible a internet ha demostrado ser un </w:t>
      </w:r>
      <w:r>
        <w:rPr>
          <w:rFonts w:ascii="Times New Roman" w:hAnsi="Times New Roman"/>
          <w:b/>
          <w:noProof/>
          <w:sz w:val="24"/>
          <w:szCs w:val="24"/>
        </w:rPr>
        <w:t>motor de desarrollo socioeconómico</w:t>
      </w:r>
      <w:r>
        <w:rPr>
          <w:rFonts w:ascii="Times New Roman" w:hAnsi="Times New Roman"/>
          <w:noProof/>
          <w:sz w:val="24"/>
          <w:szCs w:val="24"/>
        </w:rPr>
        <w:t>.</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En sus relaciones con los países asiáticos, la UE deberá promover un entorno de TIC pacífico, seguro y abierto, ab</w:t>
      </w:r>
      <w:r>
        <w:rPr>
          <w:rFonts w:ascii="Times New Roman" w:hAnsi="Times New Roman"/>
          <w:noProof/>
          <w:sz w:val="24"/>
          <w:szCs w:val="24"/>
        </w:rPr>
        <w:t xml:space="preserve">ordando al mismo tiempo las amenazas a la seguridad informática y la protección de los derechos humanos y las libertades en línea, incluida la protección de los datos personales. Se precisa un enfoque regulador coherente para apoyar la inversión pública y </w:t>
      </w:r>
      <w:r>
        <w:rPr>
          <w:rFonts w:ascii="Times New Roman" w:hAnsi="Times New Roman"/>
          <w:noProof/>
          <w:sz w:val="24"/>
          <w:szCs w:val="24"/>
        </w:rPr>
        <w:t>privada en infraestructura digital</w:t>
      </w:r>
      <w:r>
        <w:rPr>
          <w:rStyle w:val="FootnoteReference"/>
          <w:rFonts w:ascii="Times New Roman" w:hAnsi="Times New Roman"/>
          <w:noProof/>
          <w:sz w:val="24"/>
          <w:szCs w:val="24"/>
        </w:rPr>
        <w:footnoteReference w:id="17"/>
      </w:r>
      <w:r>
        <w:rPr>
          <w:rFonts w:ascii="Times New Roman" w:hAnsi="Times New Roman"/>
          <w:noProof/>
          <w:sz w:val="24"/>
          <w:szCs w:val="24"/>
        </w:rPr>
        <w:t xml:space="preserve">, así como políticas e incentivos para superar la brecha digital, en particular en las regiones remotas o en los países sin salida al mar. Para ello, la Unión proseguirá, según corresponda, su </w:t>
      </w:r>
      <w:r>
        <w:rPr>
          <w:rFonts w:ascii="Times New Roman" w:hAnsi="Times New Roman"/>
          <w:b/>
          <w:noProof/>
          <w:sz w:val="24"/>
          <w:szCs w:val="24"/>
        </w:rPr>
        <w:t>estrategia sobre digitalizac</w:t>
      </w:r>
      <w:r>
        <w:rPr>
          <w:rFonts w:ascii="Times New Roman" w:hAnsi="Times New Roman"/>
          <w:b/>
          <w:noProof/>
          <w:sz w:val="24"/>
          <w:szCs w:val="24"/>
        </w:rPr>
        <w:t>ión para el desarrollo</w:t>
      </w:r>
      <w:r>
        <w:rPr>
          <w:rStyle w:val="FootnoteReference"/>
          <w:rFonts w:ascii="Times New Roman" w:hAnsi="Times New Roman"/>
          <w:noProof/>
          <w:sz w:val="24"/>
          <w:szCs w:val="24"/>
        </w:rPr>
        <w:footnoteReference w:id="18"/>
      </w:r>
      <w:r>
        <w:rPr>
          <w:rFonts w:ascii="Times New Roman" w:hAnsi="Times New Roman"/>
          <w:noProof/>
          <w:sz w:val="24"/>
          <w:szCs w:val="24"/>
        </w:rPr>
        <w:t xml:space="preserve"> en Asia promoviendo las tecnologías y servicios digitales con objeto de estimular el desarrollo socioeconómico.</w:t>
      </w:r>
    </w:p>
    <w:p w:rsidR="006737B7" w:rsidRDefault="006737B7">
      <w:pPr>
        <w:spacing w:line="240" w:lineRule="auto"/>
        <w:jc w:val="both"/>
        <w:rPr>
          <w:rFonts w:ascii="Times New Roman" w:hAnsi="Times New Roman" w:cs="Times New Roman"/>
          <w:noProof/>
          <w:sz w:val="24"/>
          <w:szCs w:val="24"/>
        </w:rPr>
      </w:pPr>
    </w:p>
    <w:p w:rsidR="006737B7" w:rsidRDefault="00725CEA">
      <w:pPr>
        <w:pStyle w:val="ListParagraph"/>
        <w:numPr>
          <w:ilvl w:val="1"/>
          <w:numId w:val="30"/>
        </w:numPr>
        <w:spacing w:line="240" w:lineRule="auto"/>
        <w:rPr>
          <w:rFonts w:ascii="Times New Roman" w:hAnsi="Times New Roman" w:cs="Times New Roman"/>
          <w:b/>
          <w:noProof/>
          <w:sz w:val="24"/>
          <w:szCs w:val="24"/>
        </w:rPr>
      </w:pPr>
      <w:r>
        <w:rPr>
          <w:rFonts w:ascii="Times New Roman" w:hAnsi="Times New Roman"/>
          <w:b/>
          <w:noProof/>
          <w:sz w:val="24"/>
          <w:szCs w:val="24"/>
        </w:rPr>
        <w:t>Conectividad energética</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La liberalización del mercado energético de la UE junto con los objetivos de energías renovable</w:t>
      </w:r>
      <w:r>
        <w:rPr>
          <w:rFonts w:ascii="Times New Roman" w:hAnsi="Times New Roman"/>
          <w:noProof/>
          <w:sz w:val="24"/>
          <w:szCs w:val="24"/>
        </w:rPr>
        <w:t>s y de eficiencia energética para 2020 y la estrategia de la Unión de la Energía han propiciado una transformación impulsada por el mercado hacia la energía limpia, dando lugar a una red eléctrica más descarbonizada y más interconectada, que es esencial pa</w:t>
      </w:r>
      <w:r>
        <w:rPr>
          <w:rFonts w:ascii="Times New Roman" w:hAnsi="Times New Roman"/>
          <w:noProof/>
          <w:sz w:val="24"/>
          <w:szCs w:val="24"/>
        </w:rPr>
        <w:t xml:space="preserve">ra la competencia y un factor clave para la integración de fuentes variables de energía renovable. La UE deberá promover </w:t>
      </w:r>
      <w:r>
        <w:rPr>
          <w:rFonts w:ascii="Times New Roman" w:hAnsi="Times New Roman"/>
          <w:b/>
          <w:noProof/>
          <w:sz w:val="24"/>
          <w:szCs w:val="24"/>
        </w:rPr>
        <w:t>plataformas regionales de conectividad energética</w:t>
      </w:r>
      <w:r>
        <w:rPr>
          <w:rFonts w:ascii="Times New Roman" w:hAnsi="Times New Roman"/>
          <w:noProof/>
          <w:sz w:val="24"/>
          <w:szCs w:val="24"/>
        </w:rPr>
        <w:t xml:space="preserve"> centradas en los principios de mercado, fomentar la modernización de los sistemas de </w:t>
      </w:r>
      <w:r>
        <w:rPr>
          <w:rFonts w:ascii="Times New Roman" w:hAnsi="Times New Roman"/>
          <w:noProof/>
          <w:sz w:val="24"/>
          <w:szCs w:val="24"/>
        </w:rPr>
        <w:t xml:space="preserve">energía y la adopción de soluciones de energía limpia, y apoyar las </w:t>
      </w:r>
      <w:r>
        <w:rPr>
          <w:rFonts w:ascii="Times New Roman" w:hAnsi="Times New Roman"/>
          <w:b/>
          <w:noProof/>
          <w:sz w:val="24"/>
          <w:szCs w:val="24"/>
        </w:rPr>
        <w:t>interconexiones energéticas entre los socios de Asia y con ellos</w:t>
      </w:r>
      <w:r>
        <w:rPr>
          <w:rFonts w:ascii="Times New Roman" w:hAnsi="Times New Roman"/>
          <w:noProof/>
          <w:sz w:val="24"/>
          <w:szCs w:val="24"/>
        </w:rPr>
        <w:t>.</w:t>
      </w:r>
    </w:p>
    <w:p w:rsidR="006737B7" w:rsidRDefault="00725CEA">
      <w:pPr>
        <w:pStyle w:val="ListParagraph"/>
        <w:numPr>
          <w:ilvl w:val="1"/>
          <w:numId w:val="30"/>
        </w:numPr>
        <w:spacing w:line="240" w:lineRule="auto"/>
        <w:rPr>
          <w:rFonts w:ascii="Times New Roman" w:hAnsi="Times New Roman" w:cs="Times New Roman"/>
          <w:b/>
          <w:noProof/>
          <w:sz w:val="24"/>
          <w:szCs w:val="24"/>
        </w:rPr>
      </w:pPr>
      <w:r>
        <w:rPr>
          <w:rFonts w:ascii="Times New Roman" w:hAnsi="Times New Roman"/>
          <w:b/>
          <w:noProof/>
          <w:sz w:val="24"/>
          <w:szCs w:val="24"/>
        </w:rPr>
        <w:t>Conectividad entre las personas</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La conectividad y movilidad entre estudiantes, personal docente e investigadores </w:t>
      </w:r>
      <w:r>
        <w:rPr>
          <w:rFonts w:ascii="Times New Roman" w:hAnsi="Times New Roman"/>
          <w:b/>
          <w:noProof/>
          <w:sz w:val="24"/>
          <w:szCs w:val="24"/>
        </w:rPr>
        <w:t xml:space="preserve">es clave </w:t>
      </w:r>
      <w:r>
        <w:rPr>
          <w:rFonts w:ascii="Times New Roman" w:hAnsi="Times New Roman"/>
          <w:b/>
          <w:noProof/>
          <w:sz w:val="24"/>
          <w:szCs w:val="24"/>
        </w:rPr>
        <w:t>para el entendimiento mutuo y el crecimiento económico</w:t>
      </w:r>
      <w:r>
        <w:rPr>
          <w:rFonts w:ascii="Times New Roman" w:hAnsi="Times New Roman"/>
          <w:noProof/>
          <w:sz w:val="24"/>
          <w:szCs w:val="24"/>
        </w:rPr>
        <w:t>. Desde 2014, diferentes programas han financiado la movilidad de más de 18 000 estudiantes, investigadores y personal. La UE deberá reforzar en mayor medida los intercambios de estudiantes y docentes c</w:t>
      </w:r>
      <w:r>
        <w:rPr>
          <w:rFonts w:ascii="Times New Roman" w:hAnsi="Times New Roman"/>
          <w:noProof/>
          <w:sz w:val="24"/>
          <w:szCs w:val="24"/>
        </w:rPr>
        <w:t xml:space="preserve">on los países asiáticos a través del programa Erasmus, las acciones Marie Skłodowska Curie, el reconocimiento mutuo de títulos y el intercambio regional de investigadores e innovadores. La UE deberá fomentar la cooperación entre ciudades, en particular la </w:t>
      </w:r>
      <w:r>
        <w:rPr>
          <w:rFonts w:ascii="Times New Roman" w:hAnsi="Times New Roman"/>
          <w:noProof/>
          <w:sz w:val="24"/>
          <w:szCs w:val="24"/>
        </w:rPr>
        <w:t>interacción entre las Capitales de la Cultura de la UE y sus homólogas de Asia, y aumentar la movilidad de los artistas y la cooperación en el ámbito del deporte.</w:t>
      </w:r>
    </w:p>
    <w:tbl>
      <w:tblPr>
        <w:tblStyle w:val="TableGrid"/>
        <w:tblW w:w="0" w:type="auto"/>
        <w:tblInd w:w="108" w:type="dxa"/>
        <w:tblLayout w:type="fixed"/>
        <w:tblLook w:val="04A0" w:firstRow="1" w:lastRow="0" w:firstColumn="1" w:lastColumn="0" w:noHBand="0" w:noVBand="1"/>
      </w:tblPr>
      <w:tblGrid>
        <w:gridCol w:w="9072"/>
      </w:tblGrid>
      <w:tr w:rsidR="006737B7">
        <w:tc>
          <w:tcPr>
            <w:tcW w:w="9072" w:type="dxa"/>
            <w:shd w:val="clear" w:color="auto" w:fill="8DB3E2" w:themeFill="text2" w:themeFillTint="66"/>
          </w:tcPr>
          <w:p w:rsidR="006737B7" w:rsidRDefault="00725CEA">
            <w:pPr>
              <w:jc w:val="center"/>
              <w:rPr>
                <w:rFonts w:ascii="Times New Roman" w:hAnsi="Times New Roman" w:cs="Times New Roman"/>
                <w:b/>
                <w:noProof/>
                <w:sz w:val="24"/>
                <w:szCs w:val="24"/>
              </w:rPr>
            </w:pPr>
            <w:r>
              <w:rPr>
                <w:rFonts w:ascii="Times New Roman" w:hAnsi="Times New Roman"/>
                <w:b/>
                <w:noProof/>
                <w:sz w:val="24"/>
                <w:szCs w:val="24"/>
              </w:rPr>
              <w:t>Acciones clave para el capítulo 3</w:t>
            </w:r>
          </w:p>
        </w:tc>
      </w:tr>
      <w:tr w:rsidR="006737B7">
        <w:tc>
          <w:tcPr>
            <w:tcW w:w="9072" w:type="dxa"/>
          </w:tcPr>
          <w:p w:rsidR="006737B7" w:rsidRDefault="006737B7">
            <w:pPr>
              <w:ind w:left="720"/>
              <w:jc w:val="both"/>
              <w:rPr>
                <w:rFonts w:ascii="Times New Roman" w:hAnsi="Times New Roman" w:cs="Times New Roman"/>
                <w:noProof/>
                <w:sz w:val="24"/>
                <w:szCs w:val="24"/>
              </w:rPr>
            </w:pPr>
          </w:p>
          <w:p w:rsidR="006737B7" w:rsidRDefault="00725CEA">
            <w:pPr>
              <w:jc w:val="both"/>
              <w:rPr>
                <w:rFonts w:ascii="Times New Roman" w:eastAsia="Calibri" w:hAnsi="Times New Roman" w:cs="Times New Roman"/>
                <w:i/>
                <w:noProof/>
                <w:sz w:val="24"/>
                <w:szCs w:val="24"/>
              </w:rPr>
            </w:pPr>
            <w:r>
              <w:rPr>
                <w:rFonts w:ascii="Times New Roman" w:hAnsi="Times New Roman"/>
                <w:i/>
                <w:noProof/>
                <w:sz w:val="24"/>
                <w:szCs w:val="24"/>
              </w:rPr>
              <w:t>La Comisión:</w:t>
            </w:r>
          </w:p>
          <w:p w:rsidR="006737B7" w:rsidRDefault="006737B7">
            <w:pPr>
              <w:jc w:val="both"/>
              <w:rPr>
                <w:rFonts w:ascii="Times New Roman" w:eastAsia="Calibri" w:hAnsi="Times New Roman" w:cs="Times New Roman"/>
                <w:i/>
                <w:noProof/>
                <w:sz w:val="24"/>
                <w:szCs w:val="24"/>
              </w:rPr>
            </w:pPr>
          </w:p>
          <w:p w:rsidR="006737B7" w:rsidRDefault="00725CEA">
            <w:pPr>
              <w:numPr>
                <w:ilvl w:val="0"/>
                <w:numId w:val="20"/>
              </w:numPr>
              <w:jc w:val="both"/>
              <w:rPr>
                <w:rFonts w:ascii="Times New Roman" w:hAnsi="Times New Roman" w:cs="Times New Roman"/>
                <w:i/>
                <w:noProof/>
                <w:sz w:val="24"/>
                <w:szCs w:val="24"/>
              </w:rPr>
            </w:pPr>
            <w:r>
              <w:rPr>
                <w:rFonts w:ascii="Times New Roman" w:hAnsi="Times New Roman"/>
                <w:i/>
                <w:noProof/>
                <w:sz w:val="24"/>
                <w:szCs w:val="24"/>
              </w:rPr>
              <w:t>Desarrollará una metodología para evaluar l</w:t>
            </w:r>
            <w:r>
              <w:rPr>
                <w:rFonts w:ascii="Times New Roman" w:hAnsi="Times New Roman"/>
                <w:i/>
                <w:noProof/>
                <w:sz w:val="24"/>
                <w:szCs w:val="24"/>
              </w:rPr>
              <w:t>os niveles de conectividad sostenible en Europa y Asia y su impacto económico en la UE y sus regiones.</w:t>
            </w:r>
          </w:p>
          <w:p w:rsidR="006737B7" w:rsidRDefault="00725CEA">
            <w:pPr>
              <w:numPr>
                <w:ilvl w:val="0"/>
                <w:numId w:val="20"/>
              </w:numPr>
              <w:jc w:val="both"/>
              <w:rPr>
                <w:rFonts w:ascii="Times New Roman" w:hAnsi="Times New Roman" w:cs="Times New Roman"/>
                <w:i/>
                <w:noProof/>
                <w:sz w:val="24"/>
                <w:szCs w:val="24"/>
              </w:rPr>
            </w:pPr>
            <w:r>
              <w:rPr>
                <w:rFonts w:ascii="Times New Roman" w:hAnsi="Times New Roman"/>
                <w:i/>
                <w:noProof/>
                <w:sz w:val="24"/>
                <w:szCs w:val="24"/>
              </w:rPr>
              <w:t>Promoverá el intercambio de datos para las aduanas y los corredores de transporte digitales, y evaluará los riesgos.</w:t>
            </w:r>
          </w:p>
          <w:p w:rsidR="006737B7" w:rsidRDefault="00725CEA">
            <w:pPr>
              <w:numPr>
                <w:ilvl w:val="0"/>
                <w:numId w:val="20"/>
              </w:numPr>
              <w:jc w:val="both"/>
              <w:rPr>
                <w:rFonts w:ascii="Times New Roman" w:hAnsi="Times New Roman" w:cs="Times New Roman"/>
                <w:i/>
                <w:noProof/>
                <w:sz w:val="24"/>
                <w:szCs w:val="24"/>
              </w:rPr>
            </w:pPr>
            <w:r>
              <w:rPr>
                <w:rFonts w:ascii="Times New Roman" w:hAnsi="Times New Roman"/>
                <w:i/>
                <w:noProof/>
                <w:sz w:val="24"/>
                <w:szCs w:val="24"/>
              </w:rPr>
              <w:t xml:space="preserve">Proseguirá las negociaciones del </w:t>
            </w:r>
            <w:r>
              <w:rPr>
                <w:rFonts w:ascii="Times New Roman" w:hAnsi="Times New Roman"/>
                <w:i/>
                <w:noProof/>
                <w:sz w:val="24"/>
                <w:szCs w:val="24"/>
              </w:rPr>
              <w:t>Acuerdo de transporte aéreo con la Asociación de Naciones del Sudeste Asiático (ASEAN), Azerbaiyán, Turquía y Qatar, y firmará acuerdos bilaterales de seguridad aérea con la República Popular de China y Japón.</w:t>
            </w:r>
          </w:p>
          <w:p w:rsidR="006737B7" w:rsidRDefault="00725CEA">
            <w:pPr>
              <w:numPr>
                <w:ilvl w:val="0"/>
                <w:numId w:val="20"/>
              </w:numPr>
              <w:jc w:val="both"/>
              <w:rPr>
                <w:rFonts w:ascii="Times New Roman" w:hAnsi="Times New Roman" w:cs="Times New Roman"/>
                <w:i/>
                <w:noProof/>
                <w:sz w:val="24"/>
                <w:szCs w:val="24"/>
              </w:rPr>
            </w:pPr>
            <w:r>
              <w:rPr>
                <w:rFonts w:ascii="Times New Roman" w:hAnsi="Times New Roman"/>
                <w:i/>
                <w:noProof/>
                <w:sz w:val="24"/>
                <w:szCs w:val="24"/>
              </w:rPr>
              <w:t xml:space="preserve">Promoverá acuerdos sobre la descarbonización </w:t>
            </w:r>
            <w:r>
              <w:rPr>
                <w:rFonts w:ascii="Times New Roman" w:hAnsi="Times New Roman"/>
                <w:i/>
                <w:noProof/>
                <w:sz w:val="24"/>
                <w:szCs w:val="24"/>
              </w:rPr>
              <w:t>del transporte en los foros internacionales, en particular en los sectores marítimo y de la aviación.</w:t>
            </w:r>
          </w:p>
          <w:p w:rsidR="006737B7" w:rsidRDefault="00725CEA">
            <w:pPr>
              <w:numPr>
                <w:ilvl w:val="0"/>
                <w:numId w:val="20"/>
              </w:numPr>
              <w:jc w:val="both"/>
              <w:rPr>
                <w:rFonts w:ascii="Times New Roman" w:hAnsi="Times New Roman" w:cs="Times New Roman"/>
                <w:b/>
                <w:i/>
                <w:noProof/>
                <w:sz w:val="24"/>
                <w:szCs w:val="24"/>
              </w:rPr>
            </w:pPr>
            <w:r>
              <w:rPr>
                <w:rFonts w:ascii="Times New Roman" w:hAnsi="Times New Roman"/>
                <w:i/>
                <w:noProof/>
                <w:sz w:val="24"/>
                <w:szCs w:val="24"/>
              </w:rPr>
              <w:t>Promoverá la digitalización y la simplificación administrativa del transporte marítimo en Asia y los países del Mar Negro, así como la adopción de las Reg</w:t>
            </w:r>
            <w:r>
              <w:rPr>
                <w:rFonts w:ascii="Times New Roman" w:hAnsi="Times New Roman"/>
                <w:i/>
                <w:noProof/>
                <w:sz w:val="24"/>
                <w:szCs w:val="24"/>
              </w:rPr>
              <w:t>las de Rotterdam.</w:t>
            </w:r>
          </w:p>
          <w:p w:rsidR="006737B7" w:rsidRDefault="00725CEA">
            <w:pPr>
              <w:pStyle w:val="ListParagraph"/>
              <w:numPr>
                <w:ilvl w:val="0"/>
                <w:numId w:val="20"/>
              </w:numPr>
              <w:jc w:val="both"/>
              <w:rPr>
                <w:rFonts w:ascii="Times New Roman" w:eastAsia="Calibri" w:hAnsi="Times New Roman" w:cs="Times New Roman"/>
                <w:i/>
                <w:noProof/>
                <w:sz w:val="24"/>
                <w:szCs w:val="24"/>
              </w:rPr>
            </w:pPr>
            <w:r>
              <w:rPr>
                <w:rFonts w:ascii="Times New Roman" w:hAnsi="Times New Roman"/>
                <w:i/>
                <w:noProof/>
                <w:sz w:val="24"/>
                <w:szCs w:val="24"/>
              </w:rPr>
              <w:t xml:space="preserve">Estudiará la posibilidad de ampliar el mandato del coordinador o coordinadores del corredor RTE-T de la UE a la región de ampliación y la política de vecindad en la revisión prevista del Reglamento RTE-T, que debe completarse para 2023 a </w:t>
            </w:r>
            <w:r>
              <w:rPr>
                <w:rFonts w:ascii="Times New Roman" w:hAnsi="Times New Roman"/>
                <w:i/>
                <w:noProof/>
                <w:sz w:val="24"/>
                <w:szCs w:val="24"/>
              </w:rPr>
              <w:t>más tardar.</w:t>
            </w:r>
          </w:p>
          <w:p w:rsidR="006737B7" w:rsidRDefault="00725CEA">
            <w:pPr>
              <w:pStyle w:val="ListParagraph"/>
              <w:numPr>
                <w:ilvl w:val="0"/>
                <w:numId w:val="20"/>
              </w:numPr>
              <w:jc w:val="both"/>
              <w:rPr>
                <w:rFonts w:ascii="Times New Roman" w:eastAsia="Calibri" w:hAnsi="Times New Roman" w:cs="Times New Roman"/>
                <w:i/>
                <w:noProof/>
                <w:sz w:val="24"/>
                <w:szCs w:val="24"/>
              </w:rPr>
            </w:pPr>
            <w:r>
              <w:rPr>
                <w:rFonts w:ascii="Times New Roman" w:hAnsi="Times New Roman"/>
                <w:i/>
                <w:noProof/>
                <w:sz w:val="24"/>
                <w:szCs w:val="24"/>
              </w:rPr>
              <w:t>Trabajará en el ámbito de las normas para el uso ético de tecnologías como la inteligencia artificial, y fomentará el pleno cumplimiento de un comportamiento estatal responsable en línea.</w:t>
            </w:r>
          </w:p>
          <w:p w:rsidR="006737B7" w:rsidRDefault="00725CEA">
            <w:pPr>
              <w:numPr>
                <w:ilvl w:val="0"/>
                <w:numId w:val="20"/>
              </w:numPr>
              <w:jc w:val="both"/>
              <w:rPr>
                <w:rFonts w:ascii="Times New Roman" w:hAnsi="Times New Roman" w:cs="Times New Roman"/>
                <w:noProof/>
                <w:sz w:val="24"/>
                <w:szCs w:val="24"/>
              </w:rPr>
            </w:pPr>
            <w:r>
              <w:rPr>
                <w:rFonts w:ascii="Times New Roman" w:hAnsi="Times New Roman"/>
                <w:i/>
                <w:noProof/>
                <w:sz w:val="24"/>
                <w:szCs w:val="24"/>
              </w:rPr>
              <w:t>Promoverá los programas Erasmus+ y Marie Skłodowska Curi</w:t>
            </w:r>
            <w:r>
              <w:rPr>
                <w:rFonts w:ascii="Times New Roman" w:hAnsi="Times New Roman"/>
                <w:i/>
                <w:noProof/>
                <w:sz w:val="24"/>
                <w:szCs w:val="24"/>
              </w:rPr>
              <w:t>e en Asia y los correspondientes acuerdos de reciprocidad a fin de aumentar las oportunidades para el intercambio y la movilidad.</w:t>
            </w:r>
          </w:p>
          <w:p w:rsidR="006737B7" w:rsidRDefault="006737B7">
            <w:pPr>
              <w:ind w:left="720"/>
              <w:jc w:val="both"/>
              <w:rPr>
                <w:rFonts w:ascii="Times New Roman" w:hAnsi="Times New Roman" w:cs="Times New Roman"/>
                <w:noProof/>
                <w:sz w:val="24"/>
                <w:szCs w:val="24"/>
              </w:rPr>
            </w:pPr>
          </w:p>
        </w:tc>
      </w:tr>
    </w:tbl>
    <w:p w:rsidR="006737B7" w:rsidRDefault="006737B7">
      <w:pPr>
        <w:pStyle w:val="ListParagraph"/>
        <w:spacing w:line="240" w:lineRule="auto"/>
        <w:ind w:left="360"/>
        <w:rPr>
          <w:rFonts w:ascii="Times New Roman" w:hAnsi="Times New Roman" w:cs="Times New Roman"/>
          <w:b/>
          <w:noProof/>
          <w:sz w:val="24"/>
          <w:szCs w:val="24"/>
        </w:rPr>
      </w:pPr>
    </w:p>
    <w:p w:rsidR="006737B7" w:rsidRDefault="006737B7">
      <w:pPr>
        <w:pStyle w:val="ListParagraph"/>
        <w:spacing w:line="240" w:lineRule="auto"/>
        <w:ind w:left="360"/>
        <w:rPr>
          <w:rFonts w:ascii="Times New Roman" w:hAnsi="Times New Roman" w:cs="Times New Roman"/>
          <w:b/>
          <w:noProof/>
          <w:sz w:val="24"/>
          <w:szCs w:val="24"/>
        </w:rPr>
      </w:pPr>
    </w:p>
    <w:p w:rsidR="006737B7" w:rsidRDefault="006737B7">
      <w:pPr>
        <w:pStyle w:val="ListParagraph"/>
        <w:spacing w:line="240" w:lineRule="auto"/>
        <w:ind w:left="360"/>
        <w:rPr>
          <w:rFonts w:ascii="Times New Roman" w:hAnsi="Times New Roman" w:cs="Times New Roman"/>
          <w:b/>
          <w:noProof/>
          <w:sz w:val="24"/>
          <w:szCs w:val="24"/>
        </w:rPr>
      </w:pPr>
    </w:p>
    <w:p w:rsidR="00725CEA" w:rsidRDefault="00725CEA">
      <w:pPr>
        <w:pStyle w:val="ListParagraph"/>
        <w:spacing w:line="240" w:lineRule="auto"/>
        <w:ind w:left="360"/>
        <w:rPr>
          <w:rFonts w:ascii="Times New Roman" w:hAnsi="Times New Roman" w:cs="Times New Roman"/>
          <w:b/>
          <w:noProof/>
          <w:sz w:val="24"/>
          <w:szCs w:val="24"/>
        </w:rPr>
      </w:pPr>
    </w:p>
    <w:p w:rsidR="00725CEA" w:rsidRDefault="00725CEA">
      <w:pPr>
        <w:pStyle w:val="ListParagraph"/>
        <w:spacing w:line="240" w:lineRule="auto"/>
        <w:ind w:left="360"/>
        <w:rPr>
          <w:rFonts w:ascii="Times New Roman" w:hAnsi="Times New Roman" w:cs="Times New Roman"/>
          <w:b/>
          <w:noProof/>
          <w:sz w:val="24"/>
          <w:szCs w:val="24"/>
        </w:rPr>
      </w:pPr>
    </w:p>
    <w:p w:rsidR="00725CEA" w:rsidRDefault="00725CEA">
      <w:pPr>
        <w:pStyle w:val="ListParagraph"/>
        <w:spacing w:line="240" w:lineRule="auto"/>
        <w:ind w:left="360"/>
        <w:rPr>
          <w:rFonts w:ascii="Times New Roman" w:hAnsi="Times New Roman" w:cs="Times New Roman"/>
          <w:b/>
          <w:noProof/>
          <w:sz w:val="24"/>
          <w:szCs w:val="24"/>
        </w:rPr>
      </w:pPr>
    </w:p>
    <w:p w:rsidR="00725CEA" w:rsidRDefault="00725CEA">
      <w:pPr>
        <w:pStyle w:val="ListParagraph"/>
        <w:spacing w:line="240" w:lineRule="auto"/>
        <w:ind w:left="360"/>
        <w:rPr>
          <w:rFonts w:ascii="Times New Roman" w:hAnsi="Times New Roman" w:cs="Times New Roman"/>
          <w:b/>
          <w:noProof/>
          <w:sz w:val="24"/>
          <w:szCs w:val="24"/>
        </w:rPr>
      </w:pPr>
    </w:p>
    <w:p w:rsidR="00725CEA" w:rsidRDefault="00725CEA">
      <w:pPr>
        <w:pStyle w:val="ListParagraph"/>
        <w:spacing w:line="240" w:lineRule="auto"/>
        <w:ind w:left="360"/>
        <w:rPr>
          <w:rFonts w:ascii="Times New Roman" w:hAnsi="Times New Roman" w:cs="Times New Roman"/>
          <w:b/>
          <w:noProof/>
          <w:sz w:val="24"/>
          <w:szCs w:val="24"/>
        </w:rPr>
      </w:pPr>
    </w:p>
    <w:p w:rsidR="00725CEA" w:rsidRDefault="00725CEA">
      <w:pPr>
        <w:pStyle w:val="ListParagraph"/>
        <w:spacing w:line="240" w:lineRule="auto"/>
        <w:ind w:left="360"/>
        <w:rPr>
          <w:rFonts w:ascii="Times New Roman" w:hAnsi="Times New Roman" w:cs="Times New Roman"/>
          <w:b/>
          <w:noProof/>
          <w:sz w:val="24"/>
          <w:szCs w:val="24"/>
        </w:rPr>
      </w:pPr>
    </w:p>
    <w:p w:rsidR="006737B7" w:rsidRDefault="006737B7">
      <w:pPr>
        <w:pStyle w:val="ListParagraph"/>
        <w:spacing w:line="240" w:lineRule="auto"/>
        <w:ind w:left="360"/>
        <w:rPr>
          <w:rFonts w:ascii="Times New Roman" w:hAnsi="Times New Roman" w:cs="Times New Roman"/>
          <w:b/>
          <w:noProof/>
          <w:sz w:val="24"/>
          <w:szCs w:val="24"/>
        </w:rPr>
      </w:pPr>
    </w:p>
    <w:p w:rsidR="006737B7" w:rsidRDefault="006737B7">
      <w:pPr>
        <w:pStyle w:val="ListParagraph"/>
        <w:spacing w:line="240" w:lineRule="auto"/>
        <w:ind w:left="360"/>
        <w:rPr>
          <w:rFonts w:ascii="Times New Roman" w:hAnsi="Times New Roman" w:cs="Times New Roman"/>
          <w:b/>
          <w:noProof/>
          <w:sz w:val="24"/>
          <w:szCs w:val="24"/>
        </w:rPr>
      </w:pPr>
    </w:p>
    <w:p w:rsidR="006737B7" w:rsidRDefault="00725CEA">
      <w:pPr>
        <w:pStyle w:val="ListParagraph"/>
        <w:numPr>
          <w:ilvl w:val="0"/>
          <w:numId w:val="30"/>
        </w:numPr>
        <w:spacing w:line="240" w:lineRule="auto"/>
        <w:rPr>
          <w:rFonts w:ascii="Times New Roman" w:hAnsi="Times New Roman" w:cs="Times New Roman"/>
          <w:b/>
          <w:noProof/>
          <w:sz w:val="24"/>
          <w:szCs w:val="24"/>
        </w:rPr>
      </w:pPr>
      <w:r>
        <w:rPr>
          <w:rFonts w:ascii="Times New Roman" w:hAnsi="Times New Roman"/>
          <w:b/>
          <w:noProof/>
          <w:sz w:val="24"/>
          <w:szCs w:val="24"/>
        </w:rPr>
        <w:t>Creación de asociaciones internacionales para una conectividad sostenible</w:t>
      </w:r>
    </w:p>
    <w:p w:rsidR="006737B7" w:rsidRDefault="00725CEA">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Existe una </w:t>
      </w:r>
      <w:r>
        <w:rPr>
          <w:rFonts w:ascii="Times New Roman" w:hAnsi="Times New Roman" w:cs="Times New Roman"/>
          <w:b/>
          <w:noProof/>
          <w:sz w:val="24"/>
          <w:szCs w:val="24"/>
        </w:rPr>
        <w:t>diversidad de actores</w:t>
      </w:r>
      <w:r>
        <w:rPr>
          <w:rFonts w:ascii="Times New Roman" w:hAnsi="Times New Roman" w:cs="Times New Roman"/>
          <w:noProof/>
          <w:sz w:val="24"/>
          <w:szCs w:val="24"/>
        </w:rPr>
        <w:t xml:space="preserve"> y dinámicas </w:t>
      </w:r>
      <w:r>
        <w:rPr>
          <w:rFonts w:ascii="Times New Roman" w:hAnsi="Times New Roman" w:cs="Times New Roman"/>
          <w:noProof/>
          <w:sz w:val="24"/>
          <w:szCs w:val="24"/>
        </w:rPr>
        <w:t>que fijan los parámetros para la cooperación en materia de conectividad sostenible</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xml:space="preserve">. Para lograr una conectividad eficaz, la UE deberá reforzar las </w:t>
      </w:r>
      <w:r>
        <w:rPr>
          <w:rFonts w:ascii="Times New Roman" w:hAnsi="Times New Roman"/>
          <w:noProof/>
          <w:sz w:val="24"/>
          <w:szCs w:val="24"/>
        </w:rPr>
        <w:t xml:space="preserve">asociaciones bilaterales, regionales e internacionales </w:t>
      </w:r>
      <w:r>
        <w:rPr>
          <w:rFonts w:ascii="Times New Roman" w:hAnsi="Times New Roman" w:cs="Times New Roman"/>
          <w:noProof/>
          <w:sz w:val="24"/>
          <w:szCs w:val="24"/>
        </w:rPr>
        <w:t>existentes</w:t>
      </w:r>
      <w:r>
        <w:rPr>
          <w:rFonts w:ascii="Times New Roman" w:hAnsi="Times New Roman"/>
          <w:noProof/>
          <w:sz w:val="24"/>
          <w:szCs w:val="24"/>
        </w:rPr>
        <w:t xml:space="preserve"> y crear otras nuevas que sean sostenibles,</w:t>
      </w:r>
      <w:r>
        <w:rPr>
          <w:rFonts w:ascii="Times New Roman" w:hAnsi="Times New Roman"/>
          <w:noProof/>
          <w:sz w:val="24"/>
          <w:szCs w:val="24"/>
        </w:rPr>
        <w:t xml:space="preserve"> abiertas, integradoras y basadas en normas.</w:t>
      </w:r>
    </w:p>
    <w:p w:rsidR="006737B7" w:rsidRDefault="00725CEA">
      <w:pPr>
        <w:pStyle w:val="ListParagraph"/>
        <w:numPr>
          <w:ilvl w:val="1"/>
          <w:numId w:val="30"/>
        </w:numPr>
        <w:spacing w:line="240" w:lineRule="auto"/>
        <w:rPr>
          <w:rFonts w:ascii="Times New Roman" w:hAnsi="Times New Roman" w:cs="Times New Roman"/>
          <w:b/>
          <w:noProof/>
          <w:sz w:val="24"/>
          <w:szCs w:val="24"/>
        </w:rPr>
      </w:pPr>
      <w:r>
        <w:rPr>
          <w:rFonts w:ascii="Times New Roman" w:hAnsi="Times New Roman"/>
          <w:b/>
          <w:noProof/>
          <w:sz w:val="24"/>
          <w:szCs w:val="24"/>
        </w:rPr>
        <w:t>Cooperación bilateral</w:t>
      </w:r>
    </w:p>
    <w:p w:rsidR="006737B7" w:rsidRDefault="00725CEA">
      <w:pPr>
        <w:spacing w:line="240" w:lineRule="auto"/>
        <w:jc w:val="both"/>
        <w:rPr>
          <w:rFonts w:ascii="Times New Roman" w:hAnsi="Times New Roman"/>
          <w:noProof/>
          <w:sz w:val="24"/>
          <w:szCs w:val="24"/>
        </w:rPr>
      </w:pPr>
      <w:r>
        <w:rPr>
          <w:rFonts w:ascii="Times New Roman" w:hAnsi="Times New Roman"/>
          <w:noProof/>
          <w:sz w:val="24"/>
          <w:szCs w:val="24"/>
        </w:rPr>
        <w:t xml:space="preserve">La UE es un importante socio en la </w:t>
      </w:r>
      <w:r>
        <w:rPr>
          <w:rFonts w:ascii="Times New Roman" w:hAnsi="Times New Roman"/>
          <w:b/>
          <w:noProof/>
          <w:sz w:val="24"/>
          <w:szCs w:val="24"/>
        </w:rPr>
        <w:t>cooperación para el desarrollo y las inversiones</w:t>
      </w:r>
      <w:r>
        <w:rPr>
          <w:rFonts w:ascii="Times New Roman" w:hAnsi="Times New Roman"/>
          <w:noProof/>
          <w:sz w:val="24"/>
          <w:szCs w:val="24"/>
        </w:rPr>
        <w:t xml:space="preserve"> en Asia. Los diálogos sobre desarrollo también abordan la inversión y la conectividad sostenible y deben incluir la potencial cooperación con terceros países. En este contexto, la UE y sus socios asiáticos pueden colaborar más para mejorar el entorno norm</w:t>
      </w:r>
      <w:r>
        <w:rPr>
          <w:rFonts w:ascii="Times New Roman" w:hAnsi="Times New Roman"/>
          <w:noProof/>
          <w:sz w:val="24"/>
          <w:szCs w:val="24"/>
        </w:rPr>
        <w:t>ativo, la gestión de las finanzas públicas y la movilización de recursos nacionales. La UE también ofrecerá su apoyo, entre otras cosas a través de asistencia técnica, para reforzar la capacidad de planificación, y para desarrollar y aplicar proyectos, pol</w:t>
      </w:r>
      <w:r>
        <w:rPr>
          <w:rFonts w:ascii="Times New Roman" w:hAnsi="Times New Roman"/>
          <w:noProof/>
          <w:sz w:val="24"/>
          <w:szCs w:val="24"/>
        </w:rPr>
        <w:t>íticas y regímenes normativos de conectividad sostenibles, sobre la base de las mejores prácticas y normas internacionales.</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La cooperación bilateral con cada país deberá adaptarse a su situación específica. Por ejemplo, con China, la UE deberá reforzar la </w:t>
      </w:r>
      <w:r>
        <w:rPr>
          <w:rFonts w:ascii="Times New Roman" w:hAnsi="Times New Roman"/>
          <w:noProof/>
          <w:sz w:val="24"/>
          <w:szCs w:val="24"/>
        </w:rPr>
        <w:t>cooperación existente sobre las respectivas infraestructuras y las iniciativas de cooperación al desarrollo, fomentar la aplicación de los principios de acceso al mercado y unas condiciones de competencia equitativas, así como basarse en normas internacion</w:t>
      </w:r>
      <w:r>
        <w:rPr>
          <w:rFonts w:ascii="Times New Roman" w:hAnsi="Times New Roman"/>
          <w:noProof/>
          <w:sz w:val="24"/>
          <w:szCs w:val="24"/>
        </w:rPr>
        <w:t>ales en las iniciativas sobre conectividad. Por lo que respecta a Japón, la UE deberá coordinar estrechamente sus esfuerzos para promover las normas internacionales y la cooperación regional en Asia, en particular revitalizando el diálogo UE-Japón en el ám</w:t>
      </w:r>
      <w:r>
        <w:rPr>
          <w:rFonts w:ascii="Times New Roman" w:hAnsi="Times New Roman"/>
          <w:noProof/>
          <w:sz w:val="24"/>
          <w:szCs w:val="24"/>
        </w:rPr>
        <w:t>bito de los transportes. En el sudeste asiático, la UE deberá proseguir con Singapur el diálogo en materia de transporte que se inició en 2011.</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Al mismo tiempo, la UE deberá ampliar el diálogo sobre conectividad sostenible con otros socios, como Afganistán</w:t>
      </w:r>
      <w:r>
        <w:rPr>
          <w:rFonts w:ascii="Times New Roman" w:hAnsi="Times New Roman"/>
          <w:noProof/>
          <w:sz w:val="24"/>
          <w:szCs w:val="24"/>
        </w:rPr>
        <w:t>, India, Indonesia, Irán, Pakistán, Rusia, República de Corea, Turquía y los países de Asia Central, así como Australia y los Estados Unidos.</w:t>
      </w:r>
    </w:p>
    <w:tbl>
      <w:tblPr>
        <w:tblStyle w:val="TableGrid"/>
        <w:tblW w:w="0" w:type="auto"/>
        <w:tblLayout w:type="fixed"/>
        <w:tblLook w:val="04A0" w:firstRow="1" w:lastRow="0" w:firstColumn="1" w:lastColumn="0" w:noHBand="0" w:noVBand="1"/>
      </w:tblPr>
      <w:tblGrid>
        <w:gridCol w:w="9072"/>
      </w:tblGrid>
      <w:tr w:rsidR="006737B7">
        <w:tc>
          <w:tcPr>
            <w:tcW w:w="907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6737B7" w:rsidRDefault="00725CEA">
            <w:pPr>
              <w:jc w:val="center"/>
              <w:rPr>
                <w:rFonts w:ascii="Times New Roman" w:hAnsi="Times New Roman" w:cs="Times New Roman"/>
                <w:b/>
                <w:noProof/>
                <w:sz w:val="24"/>
                <w:szCs w:val="24"/>
              </w:rPr>
            </w:pPr>
            <w:r>
              <w:rPr>
                <w:rFonts w:ascii="Times New Roman" w:hAnsi="Times New Roman"/>
                <w:b/>
                <w:noProof/>
                <w:sz w:val="24"/>
                <w:szCs w:val="24"/>
              </w:rPr>
              <w:t xml:space="preserve"> Conectividad sostenible</w:t>
            </w:r>
          </w:p>
          <w:p w:rsidR="006737B7" w:rsidRDefault="00725CEA">
            <w:pPr>
              <w:jc w:val="center"/>
              <w:rPr>
                <w:rFonts w:ascii="Times New Roman" w:hAnsi="Times New Roman" w:cs="Times New Roman"/>
                <w:b/>
                <w:noProof/>
                <w:sz w:val="24"/>
                <w:szCs w:val="24"/>
              </w:rPr>
            </w:pPr>
            <w:r>
              <w:rPr>
                <w:rFonts w:ascii="Times New Roman" w:hAnsi="Times New Roman"/>
                <w:b/>
                <w:noProof/>
                <w:sz w:val="24"/>
                <w:szCs w:val="24"/>
              </w:rPr>
              <w:t>y políticas de vecindad y de ampliación de la UE</w:t>
            </w:r>
          </w:p>
        </w:tc>
      </w:tr>
      <w:tr w:rsidR="006737B7">
        <w:tc>
          <w:tcPr>
            <w:tcW w:w="9072" w:type="dxa"/>
            <w:tcBorders>
              <w:top w:val="single" w:sz="4" w:space="0" w:color="auto"/>
              <w:left w:val="single" w:sz="4" w:space="0" w:color="auto"/>
              <w:bottom w:val="single" w:sz="4" w:space="0" w:color="auto"/>
              <w:right w:val="single" w:sz="4" w:space="0" w:color="auto"/>
            </w:tcBorders>
          </w:tcPr>
          <w:p w:rsidR="006737B7" w:rsidRDefault="006737B7">
            <w:pPr>
              <w:jc w:val="both"/>
              <w:rPr>
                <w:rFonts w:ascii="Times New Roman" w:hAnsi="Times New Roman" w:cs="Times New Roman"/>
                <w:noProof/>
                <w:sz w:val="24"/>
                <w:szCs w:val="24"/>
              </w:rPr>
            </w:pPr>
          </w:p>
          <w:p w:rsidR="006737B7" w:rsidRDefault="00725CEA">
            <w:pPr>
              <w:jc w:val="both"/>
              <w:rPr>
                <w:rFonts w:ascii="Times New Roman" w:hAnsi="Times New Roman" w:cs="Times New Roman"/>
                <w:noProof/>
                <w:sz w:val="24"/>
                <w:szCs w:val="24"/>
              </w:rPr>
            </w:pPr>
            <w:r>
              <w:rPr>
                <w:rFonts w:ascii="Times New Roman" w:hAnsi="Times New Roman"/>
                <w:noProof/>
                <w:sz w:val="24"/>
                <w:szCs w:val="24"/>
              </w:rPr>
              <w:t>La conectividad es un aspecto importan</w:t>
            </w:r>
            <w:r>
              <w:rPr>
                <w:rFonts w:ascii="Times New Roman" w:hAnsi="Times New Roman"/>
                <w:noProof/>
                <w:sz w:val="24"/>
                <w:szCs w:val="24"/>
              </w:rPr>
              <w:t xml:space="preserve">te de las políticas de vecindad y de ampliación de la UE. A medida que los países cubiertos por estas políticas aproximan o armonizan sus enfoques con los de la UE, la conectividad sostenible se introduce gradualmente en su legislación. </w:t>
            </w:r>
          </w:p>
          <w:p w:rsidR="006737B7" w:rsidRDefault="00725CEA">
            <w:pPr>
              <w:jc w:val="both"/>
              <w:rPr>
                <w:rFonts w:ascii="Times New Roman" w:hAnsi="Times New Roman" w:cs="Times New Roman"/>
                <w:noProof/>
                <w:sz w:val="24"/>
                <w:szCs w:val="24"/>
              </w:rPr>
            </w:pPr>
            <w:r>
              <w:rPr>
                <w:rFonts w:ascii="Times New Roman" w:hAnsi="Times New Roman"/>
                <w:noProof/>
                <w:sz w:val="24"/>
                <w:szCs w:val="24"/>
              </w:rPr>
              <w:t xml:space="preserve">En el contexto de </w:t>
            </w:r>
            <w:r>
              <w:rPr>
                <w:rFonts w:ascii="Times New Roman" w:hAnsi="Times New Roman"/>
                <w:noProof/>
                <w:sz w:val="24"/>
                <w:szCs w:val="24"/>
              </w:rPr>
              <w:t>la nueva política de la UE en los Balcanes Occidentales</w:t>
            </w:r>
            <w:r>
              <w:rPr>
                <w:rStyle w:val="FootnoteReference"/>
                <w:rFonts w:ascii="Times New Roman" w:hAnsi="Times New Roman"/>
                <w:noProof/>
                <w:sz w:val="24"/>
                <w:szCs w:val="24"/>
              </w:rPr>
              <w:footnoteReference w:id="20"/>
            </w:r>
            <w:r>
              <w:rPr>
                <w:rFonts w:ascii="Times New Roman" w:hAnsi="Times New Roman"/>
                <w:noProof/>
                <w:sz w:val="24"/>
                <w:szCs w:val="24"/>
              </w:rPr>
              <w:t>, la Comisión ha puesto en marcha recientemente iniciativas emblemáticas para una mayor conectividad y una Agenda Digital para la región. Asimismo, la Declaración Ministerial de Sofía de la Cumbre UE-</w:t>
            </w:r>
            <w:r>
              <w:rPr>
                <w:rFonts w:ascii="Times New Roman" w:hAnsi="Times New Roman"/>
                <w:noProof/>
                <w:sz w:val="24"/>
                <w:szCs w:val="24"/>
              </w:rPr>
              <w:t>Balcanes Occidentales de mayo de 2018 se compromete a aumentar sustancialmente la conectividad en todas sus formas: transporte, energía y dimensiones digital y humana</w:t>
            </w:r>
            <w:r>
              <w:rPr>
                <w:rStyle w:val="FootnoteReference"/>
                <w:rFonts w:ascii="Times New Roman" w:hAnsi="Times New Roman"/>
                <w:noProof/>
                <w:sz w:val="24"/>
                <w:szCs w:val="24"/>
              </w:rPr>
              <w:footnoteReference w:id="21"/>
            </w:r>
            <w:r>
              <w:rPr>
                <w:rFonts w:ascii="Times New Roman" w:hAnsi="Times New Roman"/>
                <w:noProof/>
                <w:sz w:val="24"/>
                <w:szCs w:val="24"/>
              </w:rPr>
              <w:t>.</w:t>
            </w:r>
            <w:r>
              <w:rPr>
                <w:rStyle w:val="FootnoteReference"/>
                <w:noProof/>
                <w:sz w:val="24"/>
                <w:szCs w:val="24"/>
              </w:rPr>
              <w:t>.</w:t>
            </w:r>
            <w:r>
              <w:rPr>
                <w:rFonts w:ascii="Times New Roman" w:hAnsi="Times New Roman"/>
                <w:noProof/>
                <w:sz w:val="24"/>
                <w:szCs w:val="24"/>
              </w:rPr>
              <w:t xml:space="preserve"> Actualmente se está preparando un plan de acción para la inversión en el sector del tr</w:t>
            </w:r>
            <w:r>
              <w:rPr>
                <w:rFonts w:ascii="Times New Roman" w:hAnsi="Times New Roman"/>
                <w:noProof/>
                <w:sz w:val="24"/>
                <w:szCs w:val="24"/>
              </w:rPr>
              <w:t xml:space="preserve">ansporte en los países de la Asociación Oriental, además del reciente compromiso de intensificar la cooperación en el ámbito de la economía digital. </w:t>
            </w:r>
          </w:p>
          <w:p w:rsidR="006737B7" w:rsidRDefault="00725CEA">
            <w:pPr>
              <w:spacing w:after="200"/>
              <w:jc w:val="both"/>
              <w:rPr>
                <w:rFonts w:ascii="Times New Roman" w:hAnsi="Times New Roman" w:cs="Times New Roman"/>
                <w:noProof/>
                <w:sz w:val="24"/>
                <w:szCs w:val="24"/>
              </w:rPr>
            </w:pPr>
            <w:r>
              <w:rPr>
                <w:rFonts w:ascii="Times New Roman" w:hAnsi="Times New Roman"/>
                <w:noProof/>
                <w:sz w:val="24"/>
                <w:szCs w:val="24"/>
              </w:rPr>
              <w:t>En este contexto, la Comisión garantizará que la conectividad sostenible se tenga más ampliamente en cuent</w:t>
            </w:r>
            <w:r>
              <w:rPr>
                <w:rFonts w:ascii="Times New Roman" w:hAnsi="Times New Roman"/>
                <w:noProof/>
                <w:sz w:val="24"/>
                <w:szCs w:val="24"/>
              </w:rPr>
              <w:t>a en las políticas de vecindad y de ampliación de la UE, y promoverá una mayor convergencia técnica y reglamentaria en este ámbito. También proporcionará asistencia en la aplicación de la legislación relativa a la contratación pública y promoverá la transp</w:t>
            </w:r>
            <w:r>
              <w:rPr>
                <w:rFonts w:ascii="Times New Roman" w:hAnsi="Times New Roman"/>
                <w:noProof/>
                <w:sz w:val="24"/>
                <w:szCs w:val="24"/>
              </w:rPr>
              <w:t>arencia y las mejores prácticas.</w:t>
            </w:r>
          </w:p>
        </w:tc>
      </w:tr>
    </w:tbl>
    <w:p w:rsidR="006737B7" w:rsidRDefault="006737B7">
      <w:pPr>
        <w:spacing w:line="240" w:lineRule="auto"/>
        <w:jc w:val="both"/>
        <w:rPr>
          <w:rFonts w:ascii="Times New Roman" w:hAnsi="Times New Roman" w:cs="Times New Roman"/>
          <w:noProof/>
          <w:sz w:val="24"/>
          <w:szCs w:val="24"/>
        </w:rPr>
      </w:pPr>
    </w:p>
    <w:p w:rsidR="006737B7" w:rsidRDefault="00725CEA">
      <w:pPr>
        <w:pStyle w:val="ListParagraph"/>
        <w:numPr>
          <w:ilvl w:val="1"/>
          <w:numId w:val="33"/>
        </w:numPr>
        <w:spacing w:line="240" w:lineRule="auto"/>
        <w:rPr>
          <w:rFonts w:ascii="Times New Roman" w:hAnsi="Times New Roman" w:cs="Times New Roman"/>
          <w:noProof/>
          <w:sz w:val="24"/>
          <w:szCs w:val="24"/>
        </w:rPr>
      </w:pPr>
      <w:r>
        <w:rPr>
          <w:rFonts w:ascii="Times New Roman" w:hAnsi="Times New Roman"/>
          <w:b/>
          <w:noProof/>
          <w:sz w:val="24"/>
          <w:szCs w:val="24"/>
        </w:rPr>
        <w:t>Cooperación regional</w:t>
      </w:r>
      <w:r>
        <w:rPr>
          <w:rFonts w:ascii="Times New Roman" w:hAnsi="Times New Roman"/>
          <w:noProof/>
          <w:sz w:val="24"/>
          <w:szCs w:val="24"/>
        </w:rPr>
        <w:t xml:space="preserve"> </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La UE tiene experiencia en la creación de estructuras regionales de cooperación, como la de la región del Mar Báltico. La UE, trabajando con sus países socios, organizaciones internacionales e </w:t>
      </w:r>
      <w:r>
        <w:rPr>
          <w:rFonts w:ascii="Times New Roman" w:hAnsi="Times New Roman"/>
          <w:noProof/>
          <w:sz w:val="24"/>
          <w:szCs w:val="24"/>
        </w:rPr>
        <w:t xml:space="preserve">instituciones financieras, deberá estudiar el desarrollo de enfoques para la cooperación regional en materia de conectividad para Asia, ofreciendo un análisis de actividades relacionadas con la conectividad en regiones específicas, así como de las lagunas </w:t>
      </w:r>
      <w:r>
        <w:rPr>
          <w:rFonts w:ascii="Times New Roman" w:hAnsi="Times New Roman"/>
          <w:noProof/>
          <w:sz w:val="24"/>
          <w:szCs w:val="24"/>
        </w:rPr>
        <w:t>de conectividad y las posibilidades de cooperación para apoyar la conectividad UE-Asia.</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Asia cuenta con varios mecanismos y organizaciones internacionales con mandatos relacionados con la conectividad</w:t>
      </w:r>
      <w:r>
        <w:rPr>
          <w:rStyle w:val="FootnoteReference"/>
          <w:rFonts w:ascii="Times New Roman" w:hAnsi="Times New Roman"/>
          <w:noProof/>
          <w:sz w:val="24"/>
          <w:szCs w:val="24"/>
        </w:rPr>
        <w:footnoteReference w:id="22"/>
      </w:r>
      <w:r>
        <w:rPr>
          <w:rFonts w:ascii="Times New Roman" w:hAnsi="Times New Roman"/>
          <w:noProof/>
          <w:sz w:val="24"/>
          <w:szCs w:val="24"/>
        </w:rPr>
        <w:t>. La naturaleza de la implicación de la UE con estas or</w:t>
      </w:r>
      <w:r>
        <w:rPr>
          <w:rFonts w:ascii="Times New Roman" w:hAnsi="Times New Roman"/>
          <w:noProof/>
          <w:sz w:val="24"/>
          <w:szCs w:val="24"/>
        </w:rPr>
        <w:t>ganizaciones depende de sus actividades y ámbito de actuación. La ASEM es una plataforma importante para la colaboración con los principales socios asiáticos. La UE deberá seguir reforzando su cooperación con la ASEAN, un agente fundamental de la conectivi</w:t>
      </w:r>
      <w:r>
        <w:rPr>
          <w:rFonts w:ascii="Times New Roman" w:hAnsi="Times New Roman"/>
          <w:noProof/>
          <w:sz w:val="24"/>
          <w:szCs w:val="24"/>
        </w:rPr>
        <w:t>dad en el sudeste asiático, en apoyo del Plan Maestro de Conectividad de la ASEAN 2025, y la convergencia de las normas, en particular a través del actual diálogo en el ámbito de los transportes</w:t>
      </w:r>
      <w:r>
        <w:rPr>
          <w:rStyle w:val="FootnoteReference"/>
          <w:rFonts w:ascii="Times New Roman" w:hAnsi="Times New Roman"/>
          <w:noProof/>
          <w:sz w:val="24"/>
          <w:szCs w:val="24"/>
        </w:rPr>
        <w:footnoteReference w:id="23"/>
      </w:r>
      <w:r>
        <w:rPr>
          <w:rFonts w:ascii="Times New Roman" w:hAnsi="Times New Roman"/>
          <w:noProof/>
          <w:sz w:val="24"/>
          <w:szCs w:val="24"/>
        </w:rPr>
        <w:t>. Por último, la UE también deberá fomentar la cooperación re</w:t>
      </w:r>
      <w:r>
        <w:rPr>
          <w:rFonts w:ascii="Times New Roman" w:hAnsi="Times New Roman"/>
          <w:noProof/>
          <w:sz w:val="24"/>
          <w:szCs w:val="24"/>
        </w:rPr>
        <w:t>gional sobre la conectividad sostenible como un aspecto clave de su estrategia para Asia Central.</w:t>
      </w:r>
    </w:p>
    <w:p w:rsidR="006737B7" w:rsidRDefault="00725CEA">
      <w:pPr>
        <w:pStyle w:val="ListParagraph"/>
        <w:numPr>
          <w:ilvl w:val="1"/>
          <w:numId w:val="33"/>
        </w:numPr>
        <w:spacing w:line="240" w:lineRule="auto"/>
        <w:rPr>
          <w:rFonts w:ascii="Times New Roman" w:hAnsi="Times New Roman" w:cs="Times New Roman"/>
          <w:b/>
          <w:noProof/>
          <w:sz w:val="24"/>
          <w:szCs w:val="24"/>
        </w:rPr>
      </w:pPr>
      <w:r>
        <w:rPr>
          <w:rFonts w:ascii="Times New Roman" w:hAnsi="Times New Roman"/>
          <w:b/>
          <w:noProof/>
          <w:sz w:val="24"/>
          <w:szCs w:val="24"/>
        </w:rPr>
        <w:t xml:space="preserve">Cooperación internacional </w:t>
      </w:r>
    </w:p>
    <w:p w:rsidR="006737B7" w:rsidRDefault="00725CEA">
      <w:pPr>
        <w:spacing w:line="240" w:lineRule="auto"/>
        <w:jc w:val="both"/>
        <w:rPr>
          <w:rFonts w:ascii="Times New Roman" w:hAnsi="Times New Roman"/>
          <w:noProof/>
          <w:sz w:val="24"/>
          <w:szCs w:val="24"/>
        </w:rPr>
      </w:pPr>
      <w:r>
        <w:rPr>
          <w:rFonts w:ascii="Times New Roman" w:hAnsi="Times New Roman"/>
          <w:noProof/>
          <w:sz w:val="24"/>
          <w:szCs w:val="24"/>
        </w:rPr>
        <w:t>La cooperación internacional desempeña un papel fundamental a la hora de determinar los marcos jurídicos y las formas concretas que</w:t>
      </w:r>
      <w:r>
        <w:rPr>
          <w:rFonts w:ascii="Times New Roman" w:hAnsi="Times New Roman"/>
          <w:noProof/>
          <w:sz w:val="24"/>
          <w:szCs w:val="24"/>
        </w:rPr>
        <w:t xml:space="preserve"> adopta la conectividad. Desempeña un papel importante a la hora de reforzar la sostenibilidad de estos marcos, como lo demuestra la reciente iniciativa de la UE sobre la gobernanza de los océanos.</w:t>
      </w:r>
    </w:p>
    <w:p w:rsidR="00725CEA" w:rsidRDefault="00725CEA">
      <w:pPr>
        <w:spacing w:line="240" w:lineRule="auto"/>
        <w:jc w:val="both"/>
        <w:rPr>
          <w:rFonts w:ascii="Times New Roman" w:hAnsi="Times New Roman"/>
          <w:noProof/>
          <w:sz w:val="24"/>
          <w:szCs w:val="24"/>
        </w:rPr>
      </w:pPr>
    </w:p>
    <w:p w:rsidR="00725CEA" w:rsidRDefault="00725CEA">
      <w:pPr>
        <w:spacing w:line="240" w:lineRule="auto"/>
        <w:jc w:val="both"/>
        <w:rPr>
          <w:rFonts w:ascii="Times New Roman" w:hAnsi="Times New Roman"/>
          <w:noProof/>
          <w:sz w:val="24"/>
          <w:szCs w:val="24"/>
        </w:rPr>
      </w:pPr>
    </w:p>
    <w:p w:rsidR="00725CEA" w:rsidRDefault="00725CEA">
      <w:pPr>
        <w:spacing w:line="240" w:lineRule="auto"/>
        <w:jc w:val="both"/>
        <w:rPr>
          <w:rFonts w:ascii="Times New Roman" w:hAnsi="Times New Roman" w:cs="Times New Roman"/>
          <w:noProof/>
          <w:sz w:val="24"/>
          <w:szCs w:val="24"/>
        </w:rPr>
      </w:pPr>
    </w:p>
    <w:tbl>
      <w:tblPr>
        <w:tblStyle w:val="TableGrid"/>
        <w:tblW w:w="0" w:type="auto"/>
        <w:tblInd w:w="108" w:type="dxa"/>
        <w:tblLayout w:type="fixed"/>
        <w:tblLook w:val="04A0" w:firstRow="1" w:lastRow="0" w:firstColumn="1" w:lastColumn="0" w:noHBand="0" w:noVBand="1"/>
      </w:tblPr>
      <w:tblGrid>
        <w:gridCol w:w="9047"/>
      </w:tblGrid>
      <w:tr w:rsidR="006737B7">
        <w:trPr>
          <w:trHeight w:val="128"/>
        </w:trPr>
        <w:tc>
          <w:tcPr>
            <w:tcW w:w="904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6737B7" w:rsidRDefault="00725CEA">
            <w:pPr>
              <w:jc w:val="center"/>
              <w:rPr>
                <w:rFonts w:ascii="Times New Roman" w:hAnsi="Times New Roman" w:cs="Times New Roman"/>
                <w:b/>
                <w:noProof/>
                <w:sz w:val="24"/>
                <w:szCs w:val="24"/>
              </w:rPr>
            </w:pPr>
            <w:r>
              <w:rPr>
                <w:rFonts w:ascii="Times New Roman" w:hAnsi="Times New Roman"/>
                <w:b/>
                <w:noProof/>
                <w:sz w:val="24"/>
                <w:szCs w:val="24"/>
              </w:rPr>
              <w:t>Gobernanza de los océanos</w:t>
            </w:r>
          </w:p>
        </w:tc>
      </w:tr>
      <w:tr w:rsidR="006737B7">
        <w:trPr>
          <w:trHeight w:val="1467"/>
        </w:trPr>
        <w:tc>
          <w:tcPr>
            <w:tcW w:w="9047" w:type="dxa"/>
            <w:tcBorders>
              <w:top w:val="single" w:sz="4" w:space="0" w:color="auto"/>
              <w:left w:val="single" w:sz="4" w:space="0" w:color="auto"/>
              <w:bottom w:val="single" w:sz="4" w:space="0" w:color="auto"/>
              <w:right w:val="single" w:sz="4" w:space="0" w:color="auto"/>
            </w:tcBorders>
          </w:tcPr>
          <w:p w:rsidR="006737B7" w:rsidRDefault="006737B7">
            <w:pPr>
              <w:jc w:val="both"/>
              <w:rPr>
                <w:rFonts w:ascii="Times New Roman" w:hAnsi="Times New Roman" w:cs="Times New Roman"/>
                <w:noProof/>
                <w:sz w:val="24"/>
                <w:szCs w:val="24"/>
              </w:rPr>
            </w:pPr>
          </w:p>
          <w:p w:rsidR="006737B7" w:rsidRDefault="00725CEA">
            <w:pPr>
              <w:jc w:val="both"/>
              <w:rPr>
                <w:rFonts w:ascii="Times New Roman" w:hAnsi="Times New Roman" w:cs="Times New Roman"/>
                <w:noProof/>
                <w:sz w:val="24"/>
                <w:szCs w:val="24"/>
              </w:rPr>
            </w:pPr>
            <w:r>
              <w:rPr>
                <w:rFonts w:ascii="Times New Roman" w:hAnsi="Times New Roman"/>
                <w:noProof/>
                <w:sz w:val="24"/>
                <w:szCs w:val="24"/>
              </w:rPr>
              <w:t>La UE está comprometida con la</w:t>
            </w:r>
            <w:r>
              <w:rPr>
                <w:rFonts w:ascii="Times New Roman" w:hAnsi="Times New Roman"/>
                <w:noProof/>
                <w:sz w:val="24"/>
                <w:szCs w:val="24"/>
              </w:rPr>
              <w:t xml:space="preserve"> libertad de navegación y una gobernanza sostenible de los océanos y mares. En noviembre de 2016, una Comunicación conjunta</w:t>
            </w:r>
            <w:r>
              <w:rPr>
                <w:rStyle w:val="FootnoteReference"/>
                <w:rFonts w:ascii="Times New Roman" w:hAnsi="Times New Roman"/>
                <w:noProof/>
                <w:sz w:val="24"/>
                <w:szCs w:val="24"/>
              </w:rPr>
              <w:footnoteReference w:id="24"/>
            </w:r>
            <w:r>
              <w:rPr>
                <w:rFonts w:ascii="Times New Roman" w:hAnsi="Times New Roman"/>
                <w:noProof/>
                <w:sz w:val="24"/>
                <w:szCs w:val="24"/>
              </w:rPr>
              <w:t xml:space="preserve"> propuso 50 medidas para la seguridad, la protección, la limpieza y la gestión sostenible de los océanos en todo el mundo, buscando </w:t>
            </w:r>
            <w:r>
              <w:rPr>
                <w:rFonts w:ascii="Times New Roman" w:hAnsi="Times New Roman"/>
                <w:noProof/>
                <w:sz w:val="24"/>
                <w:szCs w:val="24"/>
              </w:rPr>
              <w:t>«asociaciones de los océanos» con interlocutores clave. Junto con el Banco Mundial, la UE estableció un «marco de desarrollo de la economía azul» que ayudará a los Estados, regiones y comunidades ribereños en la transición a la economía azul, mediante la c</w:t>
            </w:r>
            <w:r>
              <w:rPr>
                <w:rFonts w:ascii="Times New Roman" w:hAnsi="Times New Roman"/>
                <w:noProof/>
                <w:sz w:val="24"/>
                <w:szCs w:val="24"/>
              </w:rPr>
              <w:t xml:space="preserve">reación de un mecanismo de financiación combinada para inversiones del sector público y privado a lo largo de 30 años. </w:t>
            </w:r>
          </w:p>
        </w:tc>
      </w:tr>
    </w:tbl>
    <w:p w:rsidR="006737B7" w:rsidRDefault="006737B7">
      <w:pPr>
        <w:spacing w:line="240" w:lineRule="auto"/>
        <w:jc w:val="both"/>
        <w:rPr>
          <w:rFonts w:ascii="Times New Roman" w:hAnsi="Times New Roman" w:cs="Times New Roman"/>
          <w:noProof/>
          <w:sz w:val="24"/>
          <w:szCs w:val="24"/>
        </w:rPr>
      </w:pP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Las organizaciones internacionales</w:t>
      </w:r>
      <w:r>
        <w:rPr>
          <w:rStyle w:val="FootnoteReference"/>
          <w:rFonts w:ascii="Times New Roman" w:hAnsi="Times New Roman"/>
          <w:noProof/>
          <w:sz w:val="24"/>
          <w:szCs w:val="24"/>
        </w:rPr>
        <w:footnoteReference w:id="25"/>
      </w:r>
      <w:r>
        <w:rPr>
          <w:rFonts w:ascii="Times New Roman" w:hAnsi="Times New Roman"/>
          <w:noProof/>
          <w:sz w:val="24"/>
          <w:szCs w:val="24"/>
        </w:rPr>
        <w:t xml:space="preserve"> desarrollan </w:t>
      </w:r>
      <w:r>
        <w:rPr>
          <w:rFonts w:ascii="Times New Roman" w:hAnsi="Times New Roman"/>
          <w:b/>
          <w:noProof/>
          <w:sz w:val="24"/>
          <w:szCs w:val="24"/>
        </w:rPr>
        <w:t>normas y acuerdos internacionales</w:t>
      </w:r>
      <w:r>
        <w:rPr>
          <w:rFonts w:ascii="Times New Roman" w:hAnsi="Times New Roman"/>
          <w:noProof/>
          <w:sz w:val="24"/>
          <w:szCs w:val="24"/>
        </w:rPr>
        <w:t>, cuya aplicación y reconocimiento se precisan para l</w:t>
      </w:r>
      <w:r>
        <w:rPr>
          <w:rFonts w:ascii="Times New Roman" w:hAnsi="Times New Roman"/>
          <w:noProof/>
          <w:sz w:val="24"/>
          <w:szCs w:val="24"/>
        </w:rPr>
        <w:t xml:space="preserve">uchar contra el cambio climático y la degradación del medio ambiente, promover el acceso al mercado, un comercio libre y justo y para garantizar la </w:t>
      </w:r>
      <w:r>
        <w:rPr>
          <w:rFonts w:ascii="Times New Roman" w:hAnsi="Times New Roman"/>
          <w:b/>
          <w:noProof/>
          <w:sz w:val="24"/>
          <w:szCs w:val="24"/>
        </w:rPr>
        <w:t>interoperabilidad de las redes</w:t>
      </w:r>
      <w:r>
        <w:rPr>
          <w:rStyle w:val="FootnoteReference"/>
          <w:rFonts w:ascii="Times New Roman" w:hAnsi="Times New Roman"/>
          <w:noProof/>
          <w:sz w:val="24"/>
          <w:szCs w:val="24"/>
        </w:rPr>
        <w:footnoteReference w:id="26"/>
      </w:r>
      <w:r>
        <w:rPr>
          <w:rFonts w:ascii="Times New Roman" w:hAnsi="Times New Roman"/>
          <w:noProof/>
          <w:sz w:val="24"/>
          <w:szCs w:val="24"/>
        </w:rPr>
        <w:t>. Las normas internacionales comúnmente adoptadas aportan una armonización té</w:t>
      </w:r>
      <w:r>
        <w:rPr>
          <w:rFonts w:ascii="Times New Roman" w:hAnsi="Times New Roman"/>
          <w:noProof/>
          <w:sz w:val="24"/>
          <w:szCs w:val="24"/>
        </w:rPr>
        <w:t>cnica que permite la interoperabilidad de las distintas redes.</w:t>
      </w:r>
      <w:r>
        <w:rPr>
          <w:rFonts w:ascii="Times New Roman" w:hAnsi="Times New Roman"/>
          <w:b/>
          <w:noProof/>
          <w:sz w:val="24"/>
          <w:szCs w:val="24"/>
        </w:rPr>
        <w:t xml:space="preserve"> </w:t>
      </w:r>
      <w:r>
        <w:rPr>
          <w:rFonts w:ascii="Times New Roman" w:hAnsi="Times New Roman"/>
          <w:noProof/>
          <w:sz w:val="24"/>
          <w:szCs w:val="24"/>
        </w:rPr>
        <w:t>Las organizaciones internacionales y europeas de normalización</w:t>
      </w:r>
      <w:r>
        <w:rPr>
          <w:rStyle w:val="FootnoteReference"/>
          <w:rFonts w:ascii="Times New Roman" w:hAnsi="Times New Roman"/>
          <w:noProof/>
          <w:sz w:val="24"/>
          <w:szCs w:val="24"/>
        </w:rPr>
        <w:footnoteReference w:id="27"/>
      </w:r>
      <w:r>
        <w:rPr>
          <w:rFonts w:ascii="Times New Roman" w:hAnsi="Times New Roman"/>
          <w:noProof/>
          <w:sz w:val="24"/>
          <w:szCs w:val="24"/>
        </w:rPr>
        <w:t xml:space="preserve"> son interlocutores esenciales de la UE para garantizar la armonización técnica en Europa y Asia, sobre la base de una elaboración consensuada de normas lideradas por la industria. La Comisión colaborará con estas organizaciones y los sectores pertinentes </w:t>
      </w:r>
      <w:r>
        <w:rPr>
          <w:rFonts w:ascii="Times New Roman" w:hAnsi="Times New Roman"/>
          <w:noProof/>
          <w:sz w:val="24"/>
          <w:szCs w:val="24"/>
        </w:rPr>
        <w:t>para revisar la necesidad de contar con normas relacionadas con la conectividad. La Comisión ampliará la prestación de asistencia técnica y se coordinará más estrechamente con las organizaciones internacionales y los socios extranjeros pertinentes, a fin d</w:t>
      </w:r>
      <w:r>
        <w:rPr>
          <w:rFonts w:ascii="Times New Roman" w:hAnsi="Times New Roman"/>
          <w:noProof/>
          <w:sz w:val="24"/>
          <w:szCs w:val="24"/>
        </w:rPr>
        <w:t>e garantizar el compromiso de terceros países clave con dichas normas y su amplia adopción. En general, la UE deberá reforzar su compromiso con las organizaciones internacionales y reforzar su representación exterior, la participación y la coordinación.</w:t>
      </w:r>
    </w:p>
    <w:tbl>
      <w:tblPr>
        <w:tblStyle w:val="TableGrid"/>
        <w:tblW w:w="0" w:type="auto"/>
        <w:tblInd w:w="108" w:type="dxa"/>
        <w:tblLayout w:type="fixed"/>
        <w:tblLook w:val="04A0" w:firstRow="1" w:lastRow="0" w:firstColumn="1" w:lastColumn="0" w:noHBand="0" w:noVBand="1"/>
      </w:tblPr>
      <w:tblGrid>
        <w:gridCol w:w="9072"/>
      </w:tblGrid>
      <w:tr w:rsidR="006737B7">
        <w:tc>
          <w:tcPr>
            <w:tcW w:w="907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6737B7" w:rsidRDefault="00725CEA">
            <w:pPr>
              <w:jc w:val="center"/>
              <w:rPr>
                <w:rFonts w:ascii="Times New Roman" w:hAnsi="Times New Roman" w:cs="Times New Roman"/>
                <w:b/>
                <w:noProof/>
                <w:sz w:val="24"/>
                <w:szCs w:val="24"/>
              </w:rPr>
            </w:pPr>
            <w:r>
              <w:rPr>
                <w:rFonts w:ascii="Times New Roman" w:hAnsi="Times New Roman"/>
                <w:b/>
                <w:noProof/>
                <w:sz w:val="24"/>
                <w:szCs w:val="24"/>
              </w:rPr>
              <w:t>Ac</w:t>
            </w:r>
            <w:r>
              <w:rPr>
                <w:rFonts w:ascii="Times New Roman" w:hAnsi="Times New Roman"/>
                <w:b/>
                <w:noProof/>
                <w:sz w:val="24"/>
                <w:szCs w:val="24"/>
              </w:rPr>
              <w:t>ciones clave para el capítulo 4</w:t>
            </w:r>
          </w:p>
        </w:tc>
      </w:tr>
      <w:tr w:rsidR="006737B7">
        <w:tc>
          <w:tcPr>
            <w:tcW w:w="9072" w:type="dxa"/>
            <w:tcBorders>
              <w:top w:val="single" w:sz="4" w:space="0" w:color="auto"/>
              <w:left w:val="single" w:sz="4" w:space="0" w:color="auto"/>
              <w:bottom w:val="single" w:sz="4" w:space="0" w:color="auto"/>
              <w:right w:val="single" w:sz="4" w:space="0" w:color="auto"/>
            </w:tcBorders>
          </w:tcPr>
          <w:p w:rsidR="006737B7" w:rsidRDefault="006737B7">
            <w:pPr>
              <w:ind w:left="720"/>
              <w:jc w:val="both"/>
              <w:rPr>
                <w:rFonts w:ascii="Times New Roman" w:hAnsi="Times New Roman" w:cs="Times New Roman"/>
                <w:noProof/>
                <w:sz w:val="24"/>
                <w:szCs w:val="24"/>
              </w:rPr>
            </w:pPr>
          </w:p>
          <w:p w:rsidR="006737B7" w:rsidRDefault="00725CEA">
            <w:pPr>
              <w:jc w:val="both"/>
              <w:rPr>
                <w:rFonts w:ascii="Times New Roman" w:hAnsi="Times New Roman" w:cs="Times New Roman"/>
                <w:i/>
                <w:noProof/>
                <w:sz w:val="24"/>
                <w:szCs w:val="24"/>
              </w:rPr>
            </w:pPr>
            <w:r>
              <w:rPr>
                <w:rFonts w:ascii="Times New Roman" w:hAnsi="Times New Roman"/>
                <w:i/>
                <w:noProof/>
                <w:sz w:val="24"/>
                <w:szCs w:val="24"/>
              </w:rPr>
              <w:t>La Comisión:</w:t>
            </w:r>
          </w:p>
          <w:p w:rsidR="006737B7" w:rsidRDefault="006737B7">
            <w:pPr>
              <w:jc w:val="both"/>
              <w:rPr>
                <w:rFonts w:ascii="Times New Roman" w:hAnsi="Times New Roman" w:cs="Times New Roman"/>
                <w:i/>
                <w:noProof/>
                <w:sz w:val="24"/>
                <w:szCs w:val="24"/>
              </w:rPr>
            </w:pPr>
          </w:p>
          <w:p w:rsidR="006737B7" w:rsidRDefault="00725CEA">
            <w:pPr>
              <w:numPr>
                <w:ilvl w:val="0"/>
                <w:numId w:val="34"/>
              </w:numPr>
              <w:jc w:val="both"/>
              <w:rPr>
                <w:rFonts w:ascii="Times New Roman" w:hAnsi="Times New Roman" w:cs="Times New Roman"/>
                <w:i/>
                <w:noProof/>
                <w:sz w:val="24"/>
                <w:szCs w:val="24"/>
              </w:rPr>
            </w:pPr>
            <w:r>
              <w:rPr>
                <w:rFonts w:ascii="Times New Roman" w:hAnsi="Times New Roman"/>
                <w:i/>
                <w:noProof/>
                <w:sz w:val="24"/>
                <w:szCs w:val="24"/>
              </w:rPr>
              <w:t>Intensificará la cooperación con los terceros países pertinentes, incluida la plataforma de conectividad UE-China, para promover la economía digital, una conectividad eficiente del transporte y una movilidad inteligente, sostenible y segura, basada en la a</w:t>
            </w:r>
            <w:r>
              <w:rPr>
                <w:rFonts w:ascii="Times New Roman" w:hAnsi="Times New Roman"/>
                <w:i/>
                <w:noProof/>
                <w:sz w:val="24"/>
                <w:szCs w:val="24"/>
              </w:rPr>
              <w:t xml:space="preserve">mpliación de la red RTE-T, y promoverá unas condiciones de competencia equitativas en la inversión. </w:t>
            </w:r>
          </w:p>
          <w:p w:rsidR="006737B7" w:rsidRDefault="00725CEA">
            <w:pPr>
              <w:pStyle w:val="ListParagraph"/>
              <w:numPr>
                <w:ilvl w:val="0"/>
                <w:numId w:val="34"/>
              </w:numPr>
              <w:jc w:val="both"/>
              <w:rPr>
                <w:rFonts w:ascii="Times New Roman" w:eastAsia="Calibri" w:hAnsi="Times New Roman" w:cs="Times New Roman"/>
                <w:i/>
                <w:noProof/>
                <w:sz w:val="24"/>
                <w:szCs w:val="24"/>
              </w:rPr>
            </w:pPr>
            <w:r>
              <w:rPr>
                <w:rFonts w:ascii="Times New Roman" w:hAnsi="Times New Roman"/>
                <w:i/>
                <w:noProof/>
                <w:sz w:val="24"/>
                <w:szCs w:val="24"/>
              </w:rPr>
              <w:t>Apoyará la conectividad sostenible en los diálogos sobre política y desarrollo con terceros países.</w:t>
            </w:r>
          </w:p>
          <w:p w:rsidR="006737B7" w:rsidRDefault="00725CEA">
            <w:pPr>
              <w:pStyle w:val="ListParagraph"/>
              <w:numPr>
                <w:ilvl w:val="0"/>
                <w:numId w:val="34"/>
              </w:numPr>
              <w:jc w:val="both"/>
              <w:rPr>
                <w:rFonts w:ascii="Times New Roman" w:eastAsia="Calibri" w:hAnsi="Times New Roman" w:cs="Times New Roman"/>
                <w:i/>
                <w:noProof/>
                <w:sz w:val="24"/>
                <w:szCs w:val="24"/>
              </w:rPr>
            </w:pPr>
            <w:r>
              <w:rPr>
                <w:rFonts w:ascii="Times New Roman" w:hAnsi="Times New Roman"/>
                <w:i/>
                <w:noProof/>
                <w:sz w:val="24"/>
                <w:szCs w:val="24"/>
              </w:rPr>
              <w:t>Intensificará la cooperación con las organizaciones reg</w:t>
            </w:r>
            <w:r>
              <w:rPr>
                <w:rFonts w:ascii="Times New Roman" w:hAnsi="Times New Roman"/>
                <w:i/>
                <w:noProof/>
                <w:sz w:val="24"/>
                <w:szCs w:val="24"/>
              </w:rPr>
              <w:t>ionales pertinentes de Asia y los enfoques piloto de cooperación para la conectividad regional con Asia.</w:t>
            </w:r>
          </w:p>
          <w:p w:rsidR="006737B7" w:rsidRDefault="00725CEA">
            <w:pPr>
              <w:pStyle w:val="ListParagraph"/>
              <w:numPr>
                <w:ilvl w:val="0"/>
                <w:numId w:val="34"/>
              </w:numPr>
              <w:jc w:val="both"/>
              <w:rPr>
                <w:rFonts w:ascii="Times New Roman" w:hAnsi="Times New Roman" w:cs="Times New Roman"/>
                <w:noProof/>
                <w:sz w:val="24"/>
                <w:szCs w:val="24"/>
              </w:rPr>
            </w:pPr>
            <w:r>
              <w:rPr>
                <w:rFonts w:ascii="Times New Roman" w:hAnsi="Times New Roman"/>
                <w:i/>
                <w:noProof/>
                <w:sz w:val="24"/>
                <w:szCs w:val="24"/>
              </w:rPr>
              <w:t>Cooperará con las organizaciones europeas e internacionales de normalización y sus miembros nacionales con vistas al desarrollo eficiente y conjunto de</w:t>
            </w:r>
            <w:r>
              <w:rPr>
                <w:rFonts w:ascii="Times New Roman" w:hAnsi="Times New Roman"/>
                <w:i/>
                <w:noProof/>
                <w:sz w:val="24"/>
                <w:szCs w:val="24"/>
              </w:rPr>
              <w:t xml:space="preserve"> las normas técnicas necesarias, incluso a través de asistencia técnica específica y cooperación técnica.</w:t>
            </w:r>
          </w:p>
          <w:p w:rsidR="006737B7" w:rsidRDefault="00725CEA">
            <w:pPr>
              <w:numPr>
                <w:ilvl w:val="0"/>
                <w:numId w:val="34"/>
              </w:numPr>
              <w:jc w:val="both"/>
              <w:rPr>
                <w:rFonts w:ascii="Times New Roman" w:hAnsi="Times New Roman" w:cs="Times New Roman"/>
                <w:noProof/>
                <w:sz w:val="24"/>
                <w:szCs w:val="24"/>
              </w:rPr>
            </w:pPr>
            <w:r>
              <w:rPr>
                <w:rFonts w:ascii="Times New Roman" w:hAnsi="Times New Roman"/>
                <w:i/>
                <w:noProof/>
                <w:sz w:val="24"/>
                <w:szCs w:val="24"/>
              </w:rPr>
              <w:t>Trabajará con la Comisión Económica para Europa de las Naciones Unidas (CEPE/ONU) para unificar el régimen jurídico del transporte ferroviario de merc</w:t>
            </w:r>
            <w:r>
              <w:rPr>
                <w:rFonts w:ascii="Times New Roman" w:hAnsi="Times New Roman"/>
                <w:i/>
                <w:noProof/>
                <w:sz w:val="24"/>
                <w:szCs w:val="24"/>
              </w:rPr>
              <w:t xml:space="preserve">ancías en el continente euroasiático, y con la Organización Intergubernamental para los Transportes Internacionales por Ferrocarril (OTIF) y la Organización para la Cooperación Ferroviaria (OSJD) para ampliar la aplicación de las especificaciones técnicas </w:t>
            </w:r>
            <w:r>
              <w:rPr>
                <w:rFonts w:ascii="Times New Roman" w:hAnsi="Times New Roman"/>
                <w:i/>
                <w:noProof/>
                <w:sz w:val="24"/>
                <w:szCs w:val="24"/>
              </w:rPr>
              <w:t>y los marcos de gestión de seguridad de la UE.</w:t>
            </w:r>
          </w:p>
          <w:p w:rsidR="006737B7" w:rsidRDefault="006737B7">
            <w:pPr>
              <w:ind w:left="720"/>
              <w:jc w:val="both"/>
              <w:rPr>
                <w:rFonts w:ascii="Times New Roman" w:hAnsi="Times New Roman" w:cs="Times New Roman"/>
                <w:noProof/>
                <w:sz w:val="24"/>
                <w:szCs w:val="24"/>
              </w:rPr>
            </w:pPr>
          </w:p>
        </w:tc>
      </w:tr>
    </w:tbl>
    <w:p w:rsidR="006737B7" w:rsidRDefault="006737B7">
      <w:pPr>
        <w:spacing w:line="240" w:lineRule="auto"/>
        <w:jc w:val="both"/>
        <w:rPr>
          <w:rFonts w:ascii="Times New Roman" w:hAnsi="Times New Roman" w:cs="Times New Roman"/>
          <w:i/>
          <w:noProof/>
          <w:sz w:val="24"/>
          <w:szCs w:val="24"/>
        </w:rPr>
      </w:pPr>
    </w:p>
    <w:p w:rsidR="006737B7" w:rsidRDefault="00725CEA">
      <w:pPr>
        <w:pStyle w:val="ListParagraph"/>
        <w:numPr>
          <w:ilvl w:val="0"/>
          <w:numId w:val="33"/>
        </w:numPr>
        <w:spacing w:line="240" w:lineRule="auto"/>
        <w:jc w:val="both"/>
        <w:rPr>
          <w:rFonts w:ascii="Times New Roman" w:hAnsi="Times New Roman" w:cs="Times New Roman"/>
          <w:b/>
          <w:noProof/>
          <w:sz w:val="24"/>
          <w:szCs w:val="24"/>
        </w:rPr>
      </w:pPr>
      <w:r>
        <w:rPr>
          <w:rFonts w:ascii="Times New Roman" w:hAnsi="Times New Roman"/>
          <w:b/>
          <w:noProof/>
          <w:sz w:val="24"/>
          <w:szCs w:val="24"/>
        </w:rPr>
        <w:t>Más y mejor inversión en conectividad sostenible</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A escala mundial, las necesidades de inversión en conectividad no se están cumpliendo. Un estudio del Banco Mundial sugiere que los países más pobres tienen,</w:t>
      </w:r>
      <w:r>
        <w:rPr>
          <w:rFonts w:ascii="Times New Roman" w:hAnsi="Times New Roman"/>
          <w:noProof/>
          <w:sz w:val="24"/>
          <w:szCs w:val="24"/>
        </w:rPr>
        <w:t xml:space="preserve"> proporcionalmente, las mayores necesidades (12,5 % del PIB por término medio) y las mayores deficiencias (7,5 % del PIB) en gastos en infraestructuras. Se precisa un enfoque global en materia de financiación para abordar este importante déficit de inversi</w:t>
      </w:r>
      <w:r>
        <w:rPr>
          <w:rFonts w:ascii="Times New Roman" w:hAnsi="Times New Roman"/>
          <w:noProof/>
          <w:sz w:val="24"/>
          <w:szCs w:val="24"/>
        </w:rPr>
        <w:t>ón. Ello empieza por mejorar la movilización de los recursos nacionales, los modelos de valoración para el uso de infraestructuras y los marcos reguladores. Esto es cierto para Asia, donde las disparidades regionales son muy amplias</w:t>
      </w:r>
      <w:r>
        <w:rPr>
          <w:rStyle w:val="FootnoteReference"/>
          <w:rFonts w:ascii="Times New Roman" w:hAnsi="Times New Roman"/>
          <w:noProof/>
          <w:sz w:val="24"/>
          <w:szCs w:val="24"/>
        </w:rPr>
        <w:footnoteReference w:id="28"/>
      </w:r>
      <w:r>
        <w:rPr>
          <w:rFonts w:ascii="Times New Roman" w:hAnsi="Times New Roman"/>
          <w:noProof/>
          <w:sz w:val="24"/>
          <w:szCs w:val="24"/>
        </w:rPr>
        <w:t xml:space="preserve">. </w:t>
      </w:r>
      <w:r>
        <w:rPr>
          <w:noProof/>
          <w:sz w:val="24"/>
          <w:szCs w:val="24"/>
        </w:rPr>
        <w:t xml:space="preserve"> </w:t>
      </w:r>
    </w:p>
    <w:p w:rsidR="006737B7" w:rsidRDefault="00725CEA">
      <w:pPr>
        <w:pStyle w:val="ListParagraph"/>
        <w:numPr>
          <w:ilvl w:val="1"/>
          <w:numId w:val="33"/>
        </w:num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Financiación de la </w:t>
      </w:r>
      <w:r>
        <w:rPr>
          <w:rFonts w:ascii="Times New Roman" w:hAnsi="Times New Roman"/>
          <w:b/>
          <w:noProof/>
          <w:sz w:val="24"/>
          <w:szCs w:val="24"/>
        </w:rPr>
        <w:t xml:space="preserve">UE nueva e innovadora para la conectividad </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La presente Comunicación no pretende establecer un plan de inversiones, aunque los instrumentos financieros actuales y futuros de la UE podrían ofrecer perspectivas para apoyar la inversión privada en proyectos r</w:t>
      </w:r>
      <w:r>
        <w:rPr>
          <w:rFonts w:ascii="Times New Roman" w:hAnsi="Times New Roman"/>
          <w:noProof/>
          <w:sz w:val="24"/>
          <w:szCs w:val="24"/>
        </w:rPr>
        <w:t xml:space="preserve">elativos a la conectividad. </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La UE tiene ya un sólido </w:t>
      </w:r>
      <w:r>
        <w:rPr>
          <w:rFonts w:ascii="Times New Roman" w:hAnsi="Times New Roman"/>
          <w:b/>
          <w:noProof/>
          <w:sz w:val="24"/>
          <w:szCs w:val="24"/>
        </w:rPr>
        <w:t>historial</w:t>
      </w:r>
      <w:r>
        <w:rPr>
          <w:rFonts w:ascii="Times New Roman" w:hAnsi="Times New Roman"/>
          <w:noProof/>
          <w:sz w:val="24"/>
          <w:szCs w:val="24"/>
        </w:rPr>
        <w:t xml:space="preserve"> de apoyo financiero a la conectividad</w:t>
      </w:r>
      <w:r>
        <w:rPr>
          <w:rStyle w:val="FootnoteReference"/>
          <w:rFonts w:ascii="Times New Roman" w:hAnsi="Times New Roman"/>
          <w:noProof/>
          <w:sz w:val="24"/>
          <w:szCs w:val="24"/>
        </w:rPr>
        <w:footnoteReference w:id="29"/>
      </w:r>
      <w:r>
        <w:rPr>
          <w:rFonts w:ascii="Times New Roman" w:hAnsi="Times New Roman"/>
          <w:noProof/>
          <w:sz w:val="24"/>
          <w:szCs w:val="24"/>
        </w:rPr>
        <w:t>. Los mecanismos de inversión geográficos, tales como el Instrumento de Inversión de la Política de Vecindad (NIF), el Mecanismo de Inversión para Asia Ce</w:t>
      </w:r>
      <w:r>
        <w:rPr>
          <w:rFonts w:ascii="Times New Roman" w:hAnsi="Times New Roman"/>
          <w:noProof/>
          <w:sz w:val="24"/>
          <w:szCs w:val="24"/>
        </w:rPr>
        <w:t>ntral (IFCA) y Mecanismo de Inversión para Asia (AIF), han concedido financiación y asistencia técnica para infraestructura y conectividad. Solo los mecanismos de inversión para Asia y Asia Central han movilizado más de 4 200 millones EUR de inversiones en</w:t>
      </w:r>
      <w:r>
        <w:rPr>
          <w:rFonts w:ascii="Times New Roman" w:hAnsi="Times New Roman"/>
          <w:noProof/>
          <w:sz w:val="24"/>
          <w:szCs w:val="24"/>
        </w:rPr>
        <w:t>tre 2010 y mediados de 2018 a través de la combinación de subvenciones y préstamos</w:t>
      </w:r>
      <w:r>
        <w:rPr>
          <w:rStyle w:val="FootnoteReference"/>
          <w:rFonts w:ascii="Times New Roman" w:hAnsi="Times New Roman"/>
          <w:noProof/>
          <w:sz w:val="24"/>
          <w:szCs w:val="24"/>
        </w:rPr>
        <w:footnoteReference w:id="30"/>
      </w:r>
      <w:r>
        <w:rPr>
          <w:rFonts w:ascii="Times New Roman" w:hAnsi="Times New Roman"/>
          <w:noProof/>
          <w:sz w:val="24"/>
          <w:szCs w:val="24"/>
        </w:rPr>
        <w:t>. El Plan de Inversiones para Europa también presenta oportunidades concretas de coinversiones en Europa.</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Para el próximo marco financiero plurianual (2021-2027), la Comisió</w:t>
      </w:r>
      <w:r>
        <w:rPr>
          <w:rFonts w:ascii="Times New Roman" w:hAnsi="Times New Roman"/>
          <w:noProof/>
          <w:sz w:val="24"/>
          <w:szCs w:val="24"/>
        </w:rPr>
        <w:t>n ha propuesto varias medidas innovadoras que puedan estimular la inversión pública y privada en conectividad. La propuesta de la Comisión incluye, en particular, un marco de inversión para la acción exterior, sobre la base del actual Fondo Europeo para el</w:t>
      </w:r>
      <w:r>
        <w:rPr>
          <w:rFonts w:ascii="Times New Roman" w:hAnsi="Times New Roman"/>
          <w:noProof/>
          <w:sz w:val="24"/>
          <w:szCs w:val="24"/>
        </w:rPr>
        <w:t xml:space="preserve"> Desarrollo Sostenible</w:t>
      </w:r>
      <w:r>
        <w:rPr>
          <w:rStyle w:val="FootnoteReference"/>
          <w:rFonts w:ascii="Times New Roman" w:hAnsi="Times New Roman"/>
          <w:noProof/>
          <w:sz w:val="24"/>
          <w:szCs w:val="24"/>
        </w:rPr>
        <w:footnoteReference w:id="31"/>
      </w:r>
      <w:r>
        <w:rPr>
          <w:rFonts w:ascii="Times New Roman" w:hAnsi="Times New Roman"/>
          <w:noProof/>
          <w:sz w:val="24"/>
          <w:szCs w:val="24"/>
        </w:rPr>
        <w:t xml:space="preserve"> (que forma parte del Plan de Inversiones Exteriores de la UE y se aplica a África y los países vecinos), para proporcionar financiación adicional para catalizar capital público y privado. Aunque se centrará principalmente en África y en los países vecinos</w:t>
      </w:r>
      <w:r>
        <w:rPr>
          <w:rFonts w:ascii="Times New Roman" w:hAnsi="Times New Roman"/>
          <w:noProof/>
          <w:sz w:val="24"/>
          <w:szCs w:val="24"/>
        </w:rPr>
        <w:t xml:space="preserve"> de la UE, parte de sus recursos se destinarán también a otras zonas geográficas. </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Por otra parte, la Comisión apoya todos los esfuerzos para hacer que el marco institucional y operativo de las inversiones de la UE en el exterior sea aún más eficaz y opera</w:t>
      </w:r>
      <w:r>
        <w:rPr>
          <w:rFonts w:ascii="Times New Roman" w:hAnsi="Times New Roman"/>
          <w:noProof/>
          <w:sz w:val="24"/>
          <w:szCs w:val="24"/>
        </w:rPr>
        <w:t>tivo, a fin de responder a nuestros principales desafíos en materia de inversión. Una reciente Comunicación de la Comisión</w:t>
      </w:r>
      <w:r>
        <w:rPr>
          <w:rStyle w:val="FootnoteReference"/>
          <w:rFonts w:ascii="Times New Roman" w:hAnsi="Times New Roman"/>
          <w:noProof/>
          <w:sz w:val="24"/>
          <w:szCs w:val="24"/>
        </w:rPr>
        <w:footnoteReference w:id="32"/>
      </w:r>
      <w:r>
        <w:rPr>
          <w:rFonts w:ascii="Times New Roman" w:hAnsi="Times New Roman"/>
          <w:noProof/>
          <w:sz w:val="24"/>
          <w:szCs w:val="24"/>
        </w:rPr>
        <w:t xml:space="preserve"> destaca la necesidad de la cooperación internacional para poder recurrir a una combinación de fuentes de financiación, especialmente</w:t>
      </w:r>
      <w:r>
        <w:rPr>
          <w:rFonts w:ascii="Times New Roman" w:hAnsi="Times New Roman"/>
          <w:noProof/>
          <w:sz w:val="24"/>
          <w:szCs w:val="24"/>
        </w:rPr>
        <w:t xml:space="preserve"> mediante la atracción de más inversión privada, y subraya la necesidad de aprovechar al máximo los instrumentos existentes, comenzando con el Fondo Europeo para el Desarrollo Sostenible. En la Comunicación también se pide a las principales instituciones f</w:t>
      </w:r>
      <w:r>
        <w:rPr>
          <w:rFonts w:ascii="Times New Roman" w:hAnsi="Times New Roman"/>
          <w:noProof/>
          <w:sz w:val="24"/>
          <w:szCs w:val="24"/>
        </w:rPr>
        <w:t>inancieras y de desarrollo activas en la financiación del desarrollo que refuercen su cooperación.</w:t>
      </w:r>
    </w:p>
    <w:p w:rsidR="006737B7" w:rsidRDefault="006737B7">
      <w:pPr>
        <w:spacing w:line="240" w:lineRule="auto"/>
        <w:jc w:val="both"/>
        <w:rPr>
          <w:rFonts w:ascii="Times New Roman" w:hAnsi="Times New Roman" w:cs="Times New Roman"/>
          <w:noProof/>
          <w:sz w:val="24"/>
          <w:szCs w:val="24"/>
        </w:rPr>
      </w:pPr>
    </w:p>
    <w:p w:rsidR="006737B7" w:rsidRDefault="006737B7">
      <w:pPr>
        <w:spacing w:line="240" w:lineRule="auto"/>
        <w:jc w:val="both"/>
        <w:rPr>
          <w:rFonts w:ascii="Times New Roman" w:hAnsi="Times New Roman" w:cs="Times New Roman"/>
          <w:noProof/>
          <w:sz w:val="24"/>
          <w:szCs w:val="24"/>
        </w:rPr>
      </w:pPr>
    </w:p>
    <w:tbl>
      <w:tblPr>
        <w:tblStyle w:val="TableGrid"/>
        <w:tblW w:w="0" w:type="auto"/>
        <w:tblInd w:w="108" w:type="dxa"/>
        <w:tblLayout w:type="fixed"/>
        <w:tblLook w:val="04A0" w:firstRow="1" w:lastRow="0" w:firstColumn="1" w:lastColumn="0" w:noHBand="0" w:noVBand="1"/>
      </w:tblPr>
      <w:tblGrid>
        <w:gridCol w:w="9072"/>
      </w:tblGrid>
      <w:tr w:rsidR="006737B7">
        <w:tc>
          <w:tcPr>
            <w:tcW w:w="907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6737B7" w:rsidRDefault="00725CEA">
            <w:pPr>
              <w:jc w:val="center"/>
              <w:rPr>
                <w:rFonts w:ascii="Times New Roman" w:hAnsi="Times New Roman" w:cs="Times New Roman"/>
                <w:b/>
                <w:noProof/>
                <w:sz w:val="24"/>
                <w:szCs w:val="24"/>
              </w:rPr>
            </w:pPr>
            <w:r>
              <w:rPr>
                <w:rFonts w:ascii="Times New Roman" w:hAnsi="Times New Roman"/>
                <w:b/>
                <w:noProof/>
                <w:sz w:val="24"/>
                <w:szCs w:val="24"/>
              </w:rPr>
              <w:t xml:space="preserve">Financiación innovadora para la cooperación internacional </w:t>
            </w:r>
          </w:p>
          <w:p w:rsidR="006737B7" w:rsidRDefault="00725CEA">
            <w:pPr>
              <w:jc w:val="center"/>
              <w:rPr>
                <w:rFonts w:ascii="Times New Roman" w:hAnsi="Times New Roman" w:cs="Times New Roman"/>
                <w:b/>
                <w:noProof/>
                <w:sz w:val="24"/>
                <w:szCs w:val="24"/>
              </w:rPr>
            </w:pPr>
            <w:r>
              <w:rPr>
                <w:rFonts w:ascii="Times New Roman" w:hAnsi="Times New Roman"/>
                <w:b/>
                <w:noProof/>
                <w:sz w:val="24"/>
                <w:szCs w:val="24"/>
              </w:rPr>
              <w:t>en el próximo marco financiero plurianual (2021-2027)</w:t>
            </w:r>
          </w:p>
        </w:tc>
      </w:tr>
      <w:tr w:rsidR="006737B7">
        <w:tc>
          <w:tcPr>
            <w:tcW w:w="9072" w:type="dxa"/>
            <w:tcBorders>
              <w:top w:val="single" w:sz="4" w:space="0" w:color="auto"/>
              <w:left w:val="single" w:sz="4" w:space="0" w:color="auto"/>
              <w:bottom w:val="single" w:sz="4" w:space="0" w:color="auto"/>
              <w:right w:val="single" w:sz="4" w:space="0" w:color="auto"/>
            </w:tcBorders>
          </w:tcPr>
          <w:p w:rsidR="006737B7" w:rsidRDefault="006737B7">
            <w:pPr>
              <w:jc w:val="both"/>
              <w:rPr>
                <w:rFonts w:ascii="Times New Roman" w:hAnsi="Times New Roman" w:cs="Times New Roman"/>
                <w:noProof/>
                <w:sz w:val="24"/>
                <w:szCs w:val="24"/>
              </w:rPr>
            </w:pPr>
          </w:p>
          <w:p w:rsidR="006737B7" w:rsidRDefault="00725CEA">
            <w:pPr>
              <w:jc w:val="both"/>
              <w:rPr>
                <w:rFonts w:ascii="Times New Roman" w:hAnsi="Times New Roman" w:cs="Times New Roman"/>
                <w:noProof/>
                <w:sz w:val="24"/>
                <w:szCs w:val="24"/>
              </w:rPr>
            </w:pPr>
            <w:r>
              <w:rPr>
                <w:rFonts w:ascii="Times New Roman" w:hAnsi="Times New Roman"/>
                <w:noProof/>
                <w:sz w:val="24"/>
                <w:szCs w:val="24"/>
              </w:rPr>
              <w:t>En mayo de 2018, la Comisión presentó su</w:t>
            </w:r>
            <w:r>
              <w:rPr>
                <w:rFonts w:ascii="Times New Roman" w:hAnsi="Times New Roman"/>
                <w:noProof/>
                <w:sz w:val="24"/>
                <w:szCs w:val="24"/>
              </w:rPr>
              <w:t xml:space="preserve"> propuesta</w:t>
            </w:r>
            <w:r>
              <w:rPr>
                <w:rStyle w:val="FootnoteReference"/>
                <w:rFonts w:ascii="Times New Roman" w:hAnsi="Times New Roman"/>
                <w:noProof/>
                <w:sz w:val="24"/>
                <w:szCs w:val="24"/>
              </w:rPr>
              <w:footnoteReference w:id="33"/>
            </w:r>
            <w:r>
              <w:rPr>
                <w:rFonts w:ascii="Times New Roman" w:hAnsi="Times New Roman"/>
                <w:noProof/>
                <w:sz w:val="24"/>
                <w:szCs w:val="24"/>
              </w:rPr>
              <w:t xml:space="preserve"> para el próximo marco financiero plurianual de la UE, que incluye medidas para impulsar la inversión y la conectividad sostenible. La Comisión propone una nueva arquitectura de inversiones exteriores, con mayor cobertura mundial, incluida Asia</w:t>
            </w:r>
            <w:r>
              <w:rPr>
                <w:rStyle w:val="FootnoteReference"/>
                <w:rFonts w:ascii="Times New Roman" w:hAnsi="Times New Roman"/>
                <w:noProof/>
                <w:sz w:val="24"/>
                <w:szCs w:val="24"/>
              </w:rPr>
              <w:footnoteReference w:id="34"/>
            </w:r>
            <w:r>
              <w:rPr>
                <w:rFonts w:ascii="Times New Roman" w:hAnsi="Times New Roman"/>
                <w:noProof/>
                <w:sz w:val="24"/>
                <w:szCs w:val="24"/>
              </w:rPr>
              <w:t>. Al igual que su predecesor, movilizará financiación pública y privada a través de una garantía reforzada de la UE, que podrá complementarse con subvenciones y préstamos. Si se aprueba, la nueva arquitectura promoverá una mayor inversión, incluso en conec</w:t>
            </w:r>
            <w:r>
              <w:rPr>
                <w:rFonts w:ascii="Times New Roman" w:hAnsi="Times New Roman"/>
                <w:noProof/>
                <w:sz w:val="24"/>
                <w:szCs w:val="24"/>
              </w:rPr>
              <w:t>tividad sostenible. Una propuesta de ampliación del presupuesto de investigación de la UE ayudará a la transición hacia unas formas más sostenibles de conectividad.</w:t>
            </w:r>
          </w:p>
        </w:tc>
      </w:tr>
    </w:tbl>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La UE deberá reforzar la cooperación con las </w:t>
      </w:r>
      <w:r>
        <w:rPr>
          <w:rFonts w:ascii="Times New Roman" w:hAnsi="Times New Roman"/>
          <w:b/>
          <w:noProof/>
          <w:sz w:val="24"/>
          <w:szCs w:val="24"/>
        </w:rPr>
        <w:t>entidades financieras públicas y privadas de</w:t>
      </w:r>
      <w:r>
        <w:rPr>
          <w:rFonts w:ascii="Times New Roman" w:hAnsi="Times New Roman"/>
          <w:b/>
          <w:noProof/>
          <w:sz w:val="24"/>
          <w:szCs w:val="24"/>
        </w:rPr>
        <w:t xml:space="preserve"> los Estados miembros de la UE, incluidos los fondos soberanos</w:t>
      </w:r>
      <w:r>
        <w:rPr>
          <w:rFonts w:ascii="Times New Roman" w:hAnsi="Times New Roman"/>
          <w:noProof/>
          <w:sz w:val="24"/>
          <w:szCs w:val="24"/>
        </w:rPr>
        <w:t>, y esforzarse para lograr una mayor concertación de las actividades con ellos. A fin de fomentar la financiación sostenible, la UE y las entidades de crédito europeas deberán asimismo mejorar e</w:t>
      </w:r>
      <w:r>
        <w:rPr>
          <w:rFonts w:ascii="Times New Roman" w:hAnsi="Times New Roman"/>
          <w:noProof/>
          <w:sz w:val="24"/>
          <w:szCs w:val="24"/>
        </w:rPr>
        <w:t>l diálogo con las entidades financieras públicas y privadas de terceros países, en consonancia con el «Plan de Acción: Financiar el desarrollo sostenible»</w:t>
      </w:r>
      <w:r>
        <w:rPr>
          <w:rStyle w:val="FootnoteReference"/>
          <w:rFonts w:ascii="Times New Roman" w:hAnsi="Times New Roman"/>
          <w:noProof/>
          <w:sz w:val="24"/>
          <w:szCs w:val="24"/>
        </w:rPr>
        <w:footnoteReference w:id="35"/>
      </w:r>
      <w:r>
        <w:rPr>
          <w:rFonts w:ascii="Times New Roman" w:hAnsi="Times New Roman"/>
          <w:noProof/>
          <w:sz w:val="24"/>
          <w:szCs w:val="24"/>
        </w:rPr>
        <w:t>. El Plan de Acción es un programa de debates en los foros internacionales con miras a una gestión má</w:t>
      </w:r>
      <w:r>
        <w:rPr>
          <w:rFonts w:ascii="Times New Roman" w:hAnsi="Times New Roman"/>
          <w:noProof/>
          <w:sz w:val="24"/>
          <w:szCs w:val="24"/>
        </w:rPr>
        <w:t>s sostenible del sistema financiero. La Comisión fomenta la cooperación relativa a las finanzas sostenibles y el intercambio de las mejores prácticas entre los bancos europeos, incluidos los bancos públicos y otros bancos de terceros países. También apoyar</w:t>
      </w:r>
      <w:r>
        <w:rPr>
          <w:rFonts w:ascii="Times New Roman" w:hAnsi="Times New Roman"/>
          <w:noProof/>
          <w:sz w:val="24"/>
          <w:szCs w:val="24"/>
        </w:rPr>
        <w:t>á iniciativas de responsabilidad social de las empresas para aplicar las normas internacionales para la financiación de proyectos relacionados con la conectividad. La UE apoyará los procesos en el contexto del G-7, el G-20 y la OCDE, a fin de adaptar las p</w:t>
      </w:r>
      <w:r>
        <w:rPr>
          <w:rFonts w:ascii="Times New Roman" w:hAnsi="Times New Roman"/>
          <w:noProof/>
          <w:sz w:val="24"/>
          <w:szCs w:val="24"/>
        </w:rPr>
        <w:t>rácticas de préstamo de las instituciones financieras públicas a los principios de la conectividad sostenible.</w:t>
      </w:r>
    </w:p>
    <w:p w:rsidR="006737B7" w:rsidRDefault="00725CEA">
      <w:pPr>
        <w:pStyle w:val="ListParagraph"/>
        <w:numPr>
          <w:ilvl w:val="1"/>
          <w:numId w:val="33"/>
        </w:numPr>
        <w:spacing w:line="240" w:lineRule="auto"/>
        <w:jc w:val="both"/>
        <w:rPr>
          <w:rFonts w:ascii="Times New Roman" w:hAnsi="Times New Roman" w:cs="Times New Roman"/>
          <w:b/>
          <w:noProof/>
          <w:sz w:val="24"/>
          <w:szCs w:val="24"/>
        </w:rPr>
      </w:pPr>
      <w:r>
        <w:rPr>
          <w:rFonts w:ascii="Times New Roman" w:hAnsi="Times New Roman"/>
          <w:b/>
          <w:noProof/>
          <w:sz w:val="24"/>
          <w:szCs w:val="24"/>
        </w:rPr>
        <w:t>Asociaciones internacionales en la financiación</w:t>
      </w:r>
    </w:p>
    <w:p w:rsidR="006737B7" w:rsidRDefault="00725CEA">
      <w:pPr>
        <w:spacing w:line="240" w:lineRule="auto"/>
        <w:jc w:val="both"/>
        <w:rPr>
          <w:rFonts w:ascii="Times New Roman" w:hAnsi="Times New Roman" w:cs="Times New Roman"/>
          <w:noProof/>
          <w:sz w:val="24"/>
          <w:szCs w:val="24"/>
        </w:rPr>
      </w:pPr>
      <w:r>
        <w:rPr>
          <w:rFonts w:ascii="Times New Roman" w:hAnsi="Times New Roman"/>
          <w:b/>
          <w:noProof/>
          <w:sz w:val="24"/>
          <w:szCs w:val="24"/>
        </w:rPr>
        <w:t>Las instituciones financieras internacionales y los bancos multilaterales de desarrollo</w:t>
      </w:r>
      <w:r>
        <w:rPr>
          <w:rFonts w:ascii="Times New Roman" w:hAnsi="Times New Roman"/>
          <w:noProof/>
          <w:sz w:val="24"/>
          <w:szCs w:val="24"/>
        </w:rPr>
        <w:t xml:space="preserve"> son un co</w:t>
      </w:r>
      <w:r>
        <w:rPr>
          <w:rFonts w:ascii="Times New Roman" w:hAnsi="Times New Roman"/>
          <w:noProof/>
          <w:sz w:val="24"/>
          <w:szCs w:val="24"/>
        </w:rPr>
        <w:t>mponente central en la arquitectura de financiación de la conectividad. El Banco Europeo de Inversiones (BEI), como banco de la UE y socio de inversión, y el Banco Europeo de Reconstrucción y Desarrollo (BERD) han ampliado sus préstamos, lo que proporciona</w:t>
      </w:r>
      <w:r>
        <w:rPr>
          <w:rFonts w:ascii="Times New Roman" w:hAnsi="Times New Roman"/>
          <w:noProof/>
          <w:sz w:val="24"/>
          <w:szCs w:val="24"/>
        </w:rPr>
        <w:t xml:space="preserve"> nuevas posibilidades de cooperación. El FMI y el Banco Mundial son socios importantes para la cooperación en la sostenibilidad de la deuda y la conectividad. La UE deberá asimismo intensificar su cooperación con el Banco Asiático de Desarrollo (BAD) y el </w:t>
      </w:r>
      <w:r>
        <w:rPr>
          <w:rFonts w:ascii="Times New Roman" w:hAnsi="Times New Roman"/>
          <w:noProof/>
          <w:sz w:val="24"/>
          <w:szCs w:val="24"/>
        </w:rPr>
        <w:t>Banco Asiático de Inversión en Infraestructuras (BAII), garantizando al mismo tiempo que se respetan plenamente las prioridades de la UE en estas relaciones. El apoyo de los bancos multilaterales de desarrollo es esencial para la puesta en práctica de la H</w:t>
      </w:r>
      <w:r>
        <w:rPr>
          <w:rFonts w:ascii="Times New Roman" w:hAnsi="Times New Roman"/>
          <w:noProof/>
          <w:sz w:val="24"/>
          <w:szCs w:val="24"/>
        </w:rPr>
        <w:t>oja de ruta hacia la infraestructura como una clase de activo del G-20, y una mayor incorporación de las plataformas de gestión de infraestructuras podría contribuir a mejorar la ejecución de los proyectos</w:t>
      </w:r>
      <w:r>
        <w:rPr>
          <w:rStyle w:val="FootnoteReference"/>
          <w:rFonts w:ascii="Times New Roman" w:hAnsi="Times New Roman"/>
          <w:noProof/>
          <w:sz w:val="24"/>
          <w:szCs w:val="24"/>
        </w:rPr>
        <w:footnoteReference w:id="36"/>
      </w:r>
      <w:r>
        <w:rPr>
          <w:rFonts w:ascii="Times New Roman" w:hAnsi="Times New Roman"/>
          <w:noProof/>
          <w:sz w:val="24"/>
          <w:szCs w:val="24"/>
        </w:rPr>
        <w:t>.</w:t>
      </w:r>
      <w:r>
        <w:rPr>
          <w:noProof/>
          <w:sz w:val="24"/>
          <w:szCs w:val="24"/>
        </w:rPr>
        <w:t xml:space="preserve"> </w:t>
      </w:r>
      <w:r>
        <w:rPr>
          <w:rFonts w:ascii="Times New Roman" w:hAnsi="Times New Roman"/>
          <w:noProof/>
          <w:sz w:val="24"/>
          <w:szCs w:val="24"/>
        </w:rPr>
        <w:t>También deberá aspirarse a mejorar la coordinaci</w:t>
      </w:r>
      <w:r>
        <w:rPr>
          <w:rFonts w:ascii="Times New Roman" w:hAnsi="Times New Roman"/>
          <w:noProof/>
          <w:sz w:val="24"/>
          <w:szCs w:val="24"/>
        </w:rPr>
        <w:t>ón de la participación de la UE en los bancos multilaterales de desarrollo.</w:t>
      </w:r>
    </w:p>
    <w:p w:rsidR="006737B7" w:rsidRDefault="006737B7">
      <w:pPr>
        <w:spacing w:line="240" w:lineRule="auto"/>
        <w:jc w:val="both"/>
        <w:rPr>
          <w:rFonts w:ascii="Times New Roman" w:hAnsi="Times New Roman" w:cs="Times New Roman"/>
          <w:i/>
          <w:noProof/>
          <w:sz w:val="24"/>
          <w:szCs w:val="24"/>
        </w:rPr>
      </w:pPr>
    </w:p>
    <w:p w:rsidR="006737B7" w:rsidRDefault="00725CEA">
      <w:pPr>
        <w:pStyle w:val="ListParagraph"/>
        <w:numPr>
          <w:ilvl w:val="1"/>
          <w:numId w:val="33"/>
        </w:numPr>
        <w:spacing w:line="240" w:lineRule="auto"/>
        <w:jc w:val="both"/>
        <w:rPr>
          <w:rFonts w:ascii="Times New Roman" w:hAnsi="Times New Roman" w:cs="Times New Roman"/>
          <w:b/>
          <w:noProof/>
          <w:sz w:val="24"/>
          <w:szCs w:val="24"/>
        </w:rPr>
      </w:pPr>
      <w:r>
        <w:rPr>
          <w:rFonts w:ascii="Times New Roman" w:hAnsi="Times New Roman"/>
          <w:b/>
          <w:noProof/>
          <w:sz w:val="24"/>
          <w:szCs w:val="24"/>
        </w:rPr>
        <w:t>Condiciones de competencia equitativas para las empresas</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Los requisitos clave para que las empresas desarrollen y promuevan la conectividad UE-Asia son unas condiciones de compete</w:t>
      </w:r>
      <w:r>
        <w:rPr>
          <w:rFonts w:ascii="Times New Roman" w:hAnsi="Times New Roman"/>
          <w:noProof/>
          <w:sz w:val="24"/>
          <w:szCs w:val="24"/>
        </w:rPr>
        <w:t>ncia equitativas adecuadas en el acceso a los mercados y inversiones extranjeras directas; la equidad y la transparencia en la contratación pública; prácticas de mercado no discriminatorias; y una protección equilibrada de los derechos de propiedad intelec</w:t>
      </w:r>
      <w:r>
        <w:rPr>
          <w:rFonts w:ascii="Times New Roman" w:hAnsi="Times New Roman"/>
          <w:noProof/>
          <w:sz w:val="24"/>
          <w:szCs w:val="24"/>
        </w:rPr>
        <w:t>tual</w:t>
      </w:r>
      <w:r>
        <w:rPr>
          <w:rStyle w:val="FootnoteReference"/>
          <w:rFonts w:ascii="Times New Roman" w:hAnsi="Times New Roman"/>
          <w:noProof/>
          <w:sz w:val="24"/>
          <w:szCs w:val="24"/>
        </w:rPr>
        <w:footnoteReference w:id="37"/>
      </w:r>
      <w:r>
        <w:rPr>
          <w:rFonts w:ascii="Times New Roman" w:hAnsi="Times New Roman"/>
          <w:noProof/>
          <w:sz w:val="24"/>
          <w:szCs w:val="24"/>
        </w:rPr>
        <w:t xml:space="preserve">. Son, por tanto, esenciales unos marcos fuertes de estabilidad macroeconómica y presupuestaria, unas reformas y políticas sectoriales sólidas, unos marcos presupuestarios y fiscales amplios anuales y a medio plazo, y unos sistemas sólidos de gestión </w:t>
      </w:r>
      <w:r>
        <w:rPr>
          <w:rFonts w:ascii="Times New Roman" w:hAnsi="Times New Roman"/>
          <w:noProof/>
          <w:sz w:val="24"/>
          <w:szCs w:val="24"/>
        </w:rPr>
        <w:t xml:space="preserve">de las finanzas públicas. La UE seguirá prestando apoyo a las iniciativas que garanticen unas condiciones de competencia equitativas para las empresas. Una mayor adhesión al </w:t>
      </w:r>
      <w:r>
        <w:rPr>
          <w:rFonts w:ascii="Times New Roman" w:hAnsi="Times New Roman"/>
          <w:b/>
          <w:noProof/>
          <w:sz w:val="24"/>
          <w:szCs w:val="24"/>
        </w:rPr>
        <w:t>Acuerdo sobre Contratación Pública</w:t>
      </w:r>
      <w:r>
        <w:rPr>
          <w:rFonts w:ascii="Times New Roman" w:hAnsi="Times New Roman"/>
          <w:noProof/>
          <w:sz w:val="24"/>
          <w:szCs w:val="24"/>
        </w:rPr>
        <w:t xml:space="preserve"> de la OMC (ACP) sería un paso concreto hacia ad</w:t>
      </w:r>
      <w:r>
        <w:rPr>
          <w:rFonts w:ascii="Times New Roman" w:hAnsi="Times New Roman"/>
          <w:noProof/>
          <w:sz w:val="24"/>
          <w:szCs w:val="24"/>
        </w:rPr>
        <w:t>elante. La rápida adopción de la propuesta de la Comisión sobre el Instrumento de Contratación Pública Internacional</w:t>
      </w:r>
      <w:r>
        <w:rPr>
          <w:rStyle w:val="FootnoteReference"/>
          <w:rFonts w:ascii="Times New Roman" w:hAnsi="Times New Roman"/>
          <w:noProof/>
          <w:sz w:val="24"/>
          <w:szCs w:val="24"/>
        </w:rPr>
        <w:footnoteReference w:id="38"/>
      </w:r>
      <w:r>
        <w:rPr>
          <w:rFonts w:ascii="Times New Roman" w:hAnsi="Times New Roman"/>
          <w:noProof/>
          <w:sz w:val="24"/>
          <w:szCs w:val="24"/>
        </w:rPr>
        <w:t xml:space="preserve"> alentaría a los socios a adherirse y a mostrarse más dispuestos en cuanto a los compromisos de acceso al mercado. La UE deberá continuar f</w:t>
      </w:r>
      <w:r>
        <w:rPr>
          <w:rFonts w:ascii="Times New Roman" w:hAnsi="Times New Roman"/>
          <w:noProof/>
          <w:sz w:val="24"/>
          <w:szCs w:val="24"/>
        </w:rPr>
        <w:t xml:space="preserve">omentando que los socios utilicen criterios de calidad y coste del ciclo de vida en los procedimientos de contratación pública. El logro de la igualdad de condiciones también requerirá la mejora de la transparencia de los </w:t>
      </w:r>
      <w:r>
        <w:rPr>
          <w:rFonts w:ascii="Times New Roman" w:hAnsi="Times New Roman"/>
          <w:b/>
          <w:noProof/>
          <w:sz w:val="24"/>
          <w:szCs w:val="24"/>
        </w:rPr>
        <w:t>sistemas de crédito a la exportaci</w:t>
      </w:r>
      <w:r>
        <w:rPr>
          <w:rFonts w:ascii="Times New Roman" w:hAnsi="Times New Roman"/>
          <w:b/>
          <w:noProof/>
          <w:sz w:val="24"/>
          <w:szCs w:val="24"/>
        </w:rPr>
        <w:t>ón</w:t>
      </w:r>
      <w:r>
        <w:rPr>
          <w:rFonts w:ascii="Times New Roman" w:hAnsi="Times New Roman"/>
          <w:noProof/>
          <w:sz w:val="24"/>
          <w:szCs w:val="24"/>
        </w:rPr>
        <w:t>. Las prácticas discriminatorias deben eliminarse. El Grupo de Trabajo Internacional sobre Créditos a la Exportación deberá establecer disciplinas para garantizar unas condiciones equitativas de competencia entre los exportadores de los distintos países.</w:t>
      </w:r>
      <w:r>
        <w:rPr>
          <w:rFonts w:ascii="Times New Roman" w:hAnsi="Times New Roman"/>
          <w:noProof/>
          <w:sz w:val="24"/>
          <w:szCs w:val="24"/>
        </w:rPr>
        <w:t xml:space="preserve"> </w:t>
      </w:r>
    </w:p>
    <w:p w:rsidR="006737B7" w:rsidRDefault="00725CEA">
      <w:pPr>
        <w:spacing w:line="240" w:lineRule="auto"/>
        <w:jc w:val="both"/>
        <w:rPr>
          <w:rFonts w:ascii="Times New Roman" w:hAnsi="Times New Roman"/>
          <w:noProof/>
          <w:sz w:val="24"/>
          <w:szCs w:val="24"/>
        </w:rPr>
      </w:pPr>
      <w:r>
        <w:rPr>
          <w:rFonts w:ascii="Times New Roman" w:hAnsi="Times New Roman"/>
          <w:noProof/>
          <w:sz w:val="24"/>
          <w:szCs w:val="24"/>
        </w:rPr>
        <w:t xml:space="preserve">La UE tiene la intención de intensificar sus esfuerzos de </w:t>
      </w:r>
      <w:r>
        <w:rPr>
          <w:rFonts w:ascii="Times New Roman" w:hAnsi="Times New Roman"/>
          <w:b/>
          <w:noProof/>
          <w:sz w:val="24"/>
          <w:szCs w:val="24"/>
        </w:rPr>
        <w:t>diplomacia económica</w:t>
      </w:r>
      <w:r>
        <w:rPr>
          <w:rStyle w:val="FootnoteReference"/>
          <w:rFonts w:ascii="Times New Roman" w:hAnsi="Times New Roman"/>
          <w:noProof/>
          <w:sz w:val="24"/>
          <w:szCs w:val="24"/>
        </w:rPr>
        <w:footnoteReference w:id="39"/>
      </w:r>
      <w:r>
        <w:rPr>
          <w:rFonts w:ascii="Times New Roman" w:hAnsi="Times New Roman"/>
          <w:noProof/>
          <w:sz w:val="24"/>
          <w:szCs w:val="24"/>
        </w:rPr>
        <w:t xml:space="preserve"> en Asia. Se propone apoyar plataformas para establecer correspondencias entre empresas europeas y asiáticas, centrándose en las pymes, y crear un grupo consultivo sobre conectividad entre Europa y Asia. La UE deberá seguir promoviendo su Portal Europeo de</w:t>
      </w:r>
      <w:r>
        <w:rPr>
          <w:rFonts w:ascii="Times New Roman" w:hAnsi="Times New Roman"/>
          <w:noProof/>
          <w:sz w:val="24"/>
          <w:szCs w:val="24"/>
        </w:rPr>
        <w:t xml:space="preserve"> Proyectos de Inversión (en el futuro, InvestEU Portal), que permite la visibilidad de oportunidades de inversión en la UE a todos los inversores interesados. </w:t>
      </w:r>
    </w:p>
    <w:p w:rsidR="006737B7" w:rsidRDefault="006737B7">
      <w:pPr>
        <w:spacing w:line="240" w:lineRule="auto"/>
        <w:jc w:val="both"/>
        <w:rPr>
          <w:rFonts w:ascii="Times New Roman" w:hAnsi="Times New Roman" w:cs="Times New Roman"/>
          <w:noProof/>
          <w:sz w:val="24"/>
          <w:szCs w:val="24"/>
        </w:rPr>
      </w:pPr>
    </w:p>
    <w:tbl>
      <w:tblPr>
        <w:tblStyle w:val="TableGrid"/>
        <w:tblW w:w="0" w:type="auto"/>
        <w:tblInd w:w="108" w:type="dxa"/>
        <w:tblLayout w:type="fixed"/>
        <w:tblLook w:val="04A0" w:firstRow="1" w:lastRow="0" w:firstColumn="1" w:lastColumn="0" w:noHBand="0" w:noVBand="1"/>
      </w:tblPr>
      <w:tblGrid>
        <w:gridCol w:w="9072"/>
      </w:tblGrid>
      <w:tr w:rsidR="006737B7">
        <w:tc>
          <w:tcPr>
            <w:tcW w:w="907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6737B7" w:rsidRDefault="00725CEA">
            <w:pPr>
              <w:jc w:val="center"/>
              <w:rPr>
                <w:rFonts w:ascii="Times New Roman" w:hAnsi="Times New Roman" w:cs="Times New Roman"/>
                <w:b/>
                <w:noProof/>
                <w:sz w:val="24"/>
                <w:szCs w:val="24"/>
              </w:rPr>
            </w:pPr>
            <w:r>
              <w:rPr>
                <w:rFonts w:ascii="Times New Roman" w:hAnsi="Times New Roman"/>
                <w:b/>
                <w:noProof/>
                <w:sz w:val="24"/>
                <w:szCs w:val="24"/>
              </w:rPr>
              <w:t>Acciones clave para el capítulo 5</w:t>
            </w:r>
          </w:p>
        </w:tc>
      </w:tr>
      <w:tr w:rsidR="006737B7">
        <w:tc>
          <w:tcPr>
            <w:tcW w:w="9072" w:type="dxa"/>
            <w:tcBorders>
              <w:top w:val="single" w:sz="4" w:space="0" w:color="auto"/>
              <w:left w:val="single" w:sz="4" w:space="0" w:color="auto"/>
              <w:bottom w:val="single" w:sz="4" w:space="0" w:color="auto"/>
              <w:right w:val="single" w:sz="4" w:space="0" w:color="auto"/>
            </w:tcBorders>
          </w:tcPr>
          <w:p w:rsidR="006737B7" w:rsidRDefault="006737B7">
            <w:pPr>
              <w:ind w:left="720"/>
              <w:jc w:val="both"/>
              <w:rPr>
                <w:rFonts w:ascii="Times New Roman" w:hAnsi="Times New Roman" w:cs="Times New Roman"/>
                <w:noProof/>
                <w:sz w:val="24"/>
                <w:szCs w:val="24"/>
              </w:rPr>
            </w:pPr>
          </w:p>
          <w:p w:rsidR="006737B7" w:rsidRDefault="00725CEA">
            <w:pPr>
              <w:jc w:val="both"/>
              <w:rPr>
                <w:rFonts w:ascii="Times New Roman" w:hAnsi="Times New Roman" w:cs="Times New Roman"/>
                <w:i/>
                <w:noProof/>
                <w:sz w:val="24"/>
                <w:szCs w:val="24"/>
              </w:rPr>
            </w:pPr>
            <w:r>
              <w:rPr>
                <w:rFonts w:ascii="Times New Roman" w:hAnsi="Times New Roman"/>
                <w:i/>
                <w:noProof/>
                <w:sz w:val="24"/>
                <w:szCs w:val="24"/>
              </w:rPr>
              <w:t>La Comisión (y, en su caso, la Alta Representante):</w:t>
            </w:r>
          </w:p>
          <w:p w:rsidR="006737B7" w:rsidRDefault="006737B7">
            <w:pPr>
              <w:jc w:val="both"/>
              <w:rPr>
                <w:rFonts w:ascii="Times New Roman" w:hAnsi="Times New Roman" w:cs="Times New Roman"/>
                <w:i/>
                <w:noProof/>
                <w:sz w:val="24"/>
                <w:szCs w:val="24"/>
              </w:rPr>
            </w:pPr>
          </w:p>
          <w:p w:rsidR="006737B7" w:rsidRDefault="00725CEA">
            <w:pPr>
              <w:pStyle w:val="ListParagraph"/>
              <w:numPr>
                <w:ilvl w:val="0"/>
                <w:numId w:val="35"/>
              </w:numPr>
              <w:jc w:val="both"/>
              <w:rPr>
                <w:rFonts w:ascii="Times New Roman" w:hAnsi="Times New Roman" w:cs="Times New Roman"/>
                <w:i/>
                <w:noProof/>
                <w:sz w:val="24"/>
                <w:szCs w:val="24"/>
              </w:rPr>
            </w:pPr>
            <w:r>
              <w:rPr>
                <w:rFonts w:ascii="Times New Roman" w:hAnsi="Times New Roman"/>
                <w:i/>
                <w:noProof/>
                <w:sz w:val="24"/>
                <w:szCs w:val="24"/>
              </w:rPr>
              <w:t>Facilitará la inversión en conectividad euroasiática a través de mecanismos de inversión y garantías, con la participación de los bancos públicos europeos (BEI, BERD y bancos nacionales y entidades de los Estados miembros) y las instituciones financieras i</w:t>
            </w:r>
            <w:r>
              <w:rPr>
                <w:rFonts w:ascii="Times New Roman" w:hAnsi="Times New Roman"/>
                <w:i/>
                <w:noProof/>
                <w:sz w:val="24"/>
                <w:szCs w:val="24"/>
              </w:rPr>
              <w:t>nternacionales, en consonancia con las normas internacionales y unas condiciones de competencia equitativas.</w:t>
            </w:r>
          </w:p>
          <w:p w:rsidR="006737B7" w:rsidRDefault="00725CEA">
            <w:pPr>
              <w:pStyle w:val="ListParagraph"/>
              <w:numPr>
                <w:ilvl w:val="0"/>
                <w:numId w:val="35"/>
              </w:numPr>
              <w:jc w:val="both"/>
              <w:rPr>
                <w:rFonts w:ascii="Times New Roman" w:hAnsi="Times New Roman" w:cs="Times New Roman"/>
                <w:i/>
                <w:noProof/>
                <w:sz w:val="24"/>
                <w:szCs w:val="24"/>
              </w:rPr>
            </w:pPr>
            <w:r>
              <w:rPr>
                <w:rFonts w:ascii="Times New Roman" w:hAnsi="Times New Roman"/>
                <w:i/>
                <w:noProof/>
                <w:sz w:val="24"/>
                <w:szCs w:val="24"/>
              </w:rPr>
              <w:t>Reforzará la cooperación para la inversión de la UE con el Banco Asiático de Desarrollo y el Banco Asiático de Inversión en Infraestructuras.</w:t>
            </w:r>
          </w:p>
          <w:p w:rsidR="006737B7" w:rsidRDefault="00725CEA">
            <w:pPr>
              <w:pStyle w:val="ListParagraph"/>
              <w:numPr>
                <w:ilvl w:val="0"/>
                <w:numId w:val="35"/>
              </w:numPr>
              <w:jc w:val="both"/>
              <w:rPr>
                <w:rFonts w:ascii="Times New Roman" w:hAnsi="Times New Roman" w:cs="Times New Roman"/>
                <w:i/>
                <w:noProof/>
                <w:sz w:val="24"/>
                <w:szCs w:val="24"/>
              </w:rPr>
            </w:pPr>
            <w:r>
              <w:rPr>
                <w:rFonts w:ascii="Times New Roman" w:hAnsi="Times New Roman"/>
                <w:i/>
                <w:noProof/>
                <w:sz w:val="24"/>
                <w:szCs w:val="24"/>
              </w:rPr>
              <w:t>Estab</w:t>
            </w:r>
            <w:r>
              <w:rPr>
                <w:rFonts w:ascii="Times New Roman" w:hAnsi="Times New Roman"/>
                <w:i/>
                <w:noProof/>
                <w:sz w:val="24"/>
                <w:szCs w:val="24"/>
              </w:rPr>
              <w:t xml:space="preserve">lecerá un grupo consultivo empresarial para la conectividad entre Europa y Asia. </w:t>
            </w:r>
          </w:p>
          <w:p w:rsidR="006737B7" w:rsidRDefault="00725CEA">
            <w:pPr>
              <w:pStyle w:val="ListParagraph"/>
              <w:numPr>
                <w:ilvl w:val="0"/>
                <w:numId w:val="35"/>
              </w:numPr>
              <w:jc w:val="both"/>
              <w:rPr>
                <w:rFonts w:ascii="Times New Roman" w:hAnsi="Times New Roman" w:cs="Times New Roman"/>
                <w:noProof/>
                <w:sz w:val="24"/>
                <w:szCs w:val="24"/>
              </w:rPr>
            </w:pPr>
            <w:r>
              <w:rPr>
                <w:rFonts w:ascii="Times New Roman" w:hAnsi="Times New Roman"/>
                <w:i/>
                <w:noProof/>
                <w:sz w:val="24"/>
                <w:szCs w:val="24"/>
              </w:rPr>
              <w:t>Abogará por una mayor transparencia de la contratación pública en infraestructuras euroasiáticas, incluso mediante una adhesión más generalizada al Acuerdo sobre Contratación</w:t>
            </w:r>
            <w:r>
              <w:rPr>
                <w:rFonts w:ascii="Times New Roman" w:hAnsi="Times New Roman"/>
                <w:i/>
                <w:noProof/>
                <w:sz w:val="24"/>
                <w:szCs w:val="24"/>
              </w:rPr>
              <w:t xml:space="preserve"> Pública de la OMC y la adopción de las normas de este acuerdo, así como mediante el apoyo a la creación de sitios web específicos sobre contratación pública.</w:t>
            </w:r>
          </w:p>
          <w:p w:rsidR="006737B7" w:rsidRDefault="006737B7">
            <w:pPr>
              <w:pStyle w:val="ListParagraph"/>
              <w:jc w:val="both"/>
              <w:rPr>
                <w:rFonts w:ascii="Times New Roman" w:hAnsi="Times New Roman" w:cs="Times New Roman"/>
                <w:noProof/>
                <w:sz w:val="24"/>
                <w:szCs w:val="24"/>
              </w:rPr>
            </w:pPr>
          </w:p>
        </w:tc>
      </w:tr>
    </w:tbl>
    <w:p w:rsidR="006737B7" w:rsidRDefault="006737B7">
      <w:pPr>
        <w:spacing w:line="240" w:lineRule="auto"/>
        <w:jc w:val="both"/>
        <w:rPr>
          <w:rFonts w:ascii="Times New Roman" w:hAnsi="Times New Roman" w:cs="Times New Roman"/>
          <w:noProof/>
          <w:sz w:val="24"/>
          <w:szCs w:val="24"/>
        </w:rPr>
      </w:pPr>
    </w:p>
    <w:p w:rsidR="006737B7" w:rsidRDefault="006737B7">
      <w:pPr>
        <w:spacing w:line="240" w:lineRule="auto"/>
        <w:jc w:val="both"/>
        <w:rPr>
          <w:rFonts w:ascii="Times New Roman" w:hAnsi="Times New Roman" w:cs="Times New Roman"/>
          <w:noProof/>
          <w:sz w:val="24"/>
          <w:szCs w:val="24"/>
        </w:rPr>
      </w:pPr>
    </w:p>
    <w:p w:rsidR="00725CEA" w:rsidRDefault="00725CEA">
      <w:pPr>
        <w:spacing w:line="240" w:lineRule="auto"/>
        <w:jc w:val="both"/>
        <w:rPr>
          <w:rFonts w:ascii="Times New Roman" w:hAnsi="Times New Roman" w:cs="Times New Roman"/>
          <w:noProof/>
          <w:sz w:val="24"/>
          <w:szCs w:val="24"/>
        </w:rPr>
      </w:pPr>
    </w:p>
    <w:p w:rsidR="00725CEA" w:rsidRDefault="00725CEA">
      <w:pPr>
        <w:spacing w:line="240" w:lineRule="auto"/>
        <w:jc w:val="both"/>
        <w:rPr>
          <w:rFonts w:ascii="Times New Roman" w:hAnsi="Times New Roman" w:cs="Times New Roman"/>
          <w:noProof/>
          <w:sz w:val="24"/>
          <w:szCs w:val="24"/>
        </w:rPr>
      </w:pPr>
    </w:p>
    <w:p w:rsidR="006737B7" w:rsidRDefault="00725CEA">
      <w:pPr>
        <w:pStyle w:val="ListParagraph"/>
        <w:numPr>
          <w:ilvl w:val="0"/>
          <w:numId w:val="33"/>
        </w:numPr>
        <w:spacing w:line="240" w:lineRule="auto"/>
        <w:jc w:val="both"/>
        <w:rPr>
          <w:rFonts w:ascii="Times New Roman" w:hAnsi="Times New Roman" w:cs="Times New Roman"/>
          <w:b/>
          <w:noProof/>
          <w:sz w:val="24"/>
          <w:szCs w:val="24"/>
        </w:rPr>
      </w:pPr>
      <w:r>
        <w:rPr>
          <w:rFonts w:ascii="Times New Roman" w:hAnsi="Times New Roman"/>
          <w:b/>
          <w:noProof/>
          <w:sz w:val="24"/>
          <w:szCs w:val="24"/>
        </w:rPr>
        <w:t>Conclusiones</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La presente Comunicación conjunta propone la base de una estrategia de la UE par</w:t>
      </w:r>
      <w:r>
        <w:rPr>
          <w:rFonts w:ascii="Times New Roman" w:hAnsi="Times New Roman"/>
          <w:noProof/>
          <w:sz w:val="24"/>
          <w:szCs w:val="24"/>
        </w:rPr>
        <w:t xml:space="preserve">a conectar Europa y Asia. Los </w:t>
      </w:r>
      <w:r>
        <w:rPr>
          <w:rFonts w:ascii="Times New Roman" w:hAnsi="Times New Roman"/>
          <w:b/>
          <w:noProof/>
          <w:sz w:val="24"/>
          <w:szCs w:val="24"/>
        </w:rPr>
        <w:t>principios de conectividad sostenible, amplia y basada en normas internacionales inspiran esta estrategia.</w:t>
      </w:r>
      <w:r>
        <w:rPr>
          <w:rFonts w:ascii="Times New Roman" w:hAnsi="Times New Roman"/>
          <w:noProof/>
          <w:sz w:val="24"/>
          <w:szCs w:val="24"/>
        </w:rPr>
        <w:t xml:space="preserve"> A través de este enfoque, la UE mejorará la calidad de la normativa y la igualdad de condiciones en la conectividad, in</w:t>
      </w:r>
      <w:r>
        <w:rPr>
          <w:rFonts w:ascii="Times New Roman" w:hAnsi="Times New Roman"/>
          <w:noProof/>
          <w:sz w:val="24"/>
          <w:szCs w:val="24"/>
        </w:rPr>
        <w:t>spirándose en su mercado interior. Contribuirá al desarrollo del transporte, la energía y las redes digitales, basándose en su experiencia en materia de conectividad transfronteriza. Tratará de reforzar sus asociaciones con terceros países, regiones y orga</w:t>
      </w:r>
      <w:r>
        <w:rPr>
          <w:rFonts w:ascii="Times New Roman" w:hAnsi="Times New Roman"/>
          <w:noProof/>
          <w:sz w:val="24"/>
          <w:szCs w:val="24"/>
        </w:rPr>
        <w:t>nizaciones internacionales. Aumentará la cooperación en el ámbito de la educación, la investigación, la innovación, la cultura, el deporte y el turismo, ayudando a promover la diversidad y la libre de circulación de ideas. En apoyo de estas diferentes polí</w:t>
      </w:r>
      <w:r>
        <w:rPr>
          <w:rFonts w:ascii="Times New Roman" w:hAnsi="Times New Roman"/>
          <w:noProof/>
          <w:sz w:val="24"/>
          <w:szCs w:val="24"/>
        </w:rPr>
        <w:t>ticas y acciones, la UE deberá utilizar todos los instrumentos y herramientas de su marco financiero para movilizar la inversión pública y privada en aras de la conectividad sostenible. Un esfuerzo conjunto de la UE y los Estados miembros para comunicar, l</w:t>
      </w:r>
      <w:r>
        <w:rPr>
          <w:rFonts w:ascii="Times New Roman" w:hAnsi="Times New Roman"/>
          <w:noProof/>
          <w:sz w:val="24"/>
          <w:szCs w:val="24"/>
        </w:rPr>
        <w:t xml:space="preserve">anzar y comercializar mejor los proyectos y programas de conectividad con los socios asiáticos también desempeñará un papel fundamental en el éxito de la estrategia.  </w:t>
      </w:r>
    </w:p>
    <w:p w:rsidR="006737B7" w:rsidRDefault="00725CEA">
      <w:pPr>
        <w:spacing w:line="240" w:lineRule="auto"/>
        <w:jc w:val="both"/>
        <w:rPr>
          <w:rFonts w:ascii="Times New Roman" w:hAnsi="Times New Roman" w:cs="Times New Roman"/>
          <w:noProof/>
          <w:sz w:val="24"/>
          <w:szCs w:val="24"/>
        </w:rPr>
      </w:pPr>
      <w:r>
        <w:rPr>
          <w:rFonts w:ascii="Times New Roman" w:hAnsi="Times New Roman"/>
          <w:noProof/>
          <w:sz w:val="24"/>
          <w:szCs w:val="24"/>
        </w:rPr>
        <w:t>La Comisión invita por tanto al Parlamento Europeo, al Consejo, al Comité Económico y So</w:t>
      </w:r>
      <w:r>
        <w:rPr>
          <w:rFonts w:ascii="Times New Roman" w:hAnsi="Times New Roman"/>
          <w:noProof/>
          <w:sz w:val="24"/>
          <w:szCs w:val="24"/>
        </w:rPr>
        <w:t>cial Europeo, al Comité de las Regiones, al Banco Europeo de Inversiones y a las partes interesadas a que apoyen las acciones presentadas en la presente Comunicación conjunta.</w:t>
      </w:r>
    </w:p>
    <w:sectPr w:rsidR="006737B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276"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7B7" w:rsidRDefault="00725CEA">
      <w:pPr>
        <w:spacing w:after="0" w:line="240" w:lineRule="auto"/>
      </w:pPr>
      <w:r>
        <w:separator/>
      </w:r>
    </w:p>
  </w:endnote>
  <w:endnote w:type="continuationSeparator" w:id="0">
    <w:p w:rsidR="006737B7" w:rsidRDefault="00725CEA">
      <w:pPr>
        <w:spacing w:after="0" w:line="240" w:lineRule="auto"/>
      </w:pPr>
      <w:r>
        <w:continuationSeparator/>
      </w:r>
    </w:p>
  </w:endnote>
  <w:endnote w:type="continuationNotice" w:id="1">
    <w:p w:rsidR="006737B7" w:rsidRDefault="00673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B7" w:rsidRDefault="00673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B7" w:rsidRDefault="00725CEA">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B7" w:rsidRDefault="006737B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B7" w:rsidRDefault="006737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10592"/>
      <w:docPartObj>
        <w:docPartGallery w:val="Page Numbers (Bottom of Page)"/>
        <w:docPartUnique/>
      </w:docPartObj>
    </w:sdtPr>
    <w:sdtEndPr/>
    <w:sdtContent>
      <w:p w:rsidR="006737B7" w:rsidRDefault="00725CEA">
        <w:pPr>
          <w:pStyle w:val="Footer"/>
          <w:jc w:val="center"/>
        </w:pPr>
        <w:r>
          <w:fldChar w:fldCharType="begin"/>
        </w:r>
        <w:r>
          <w:instrText xml:space="preserve"> PAGE   \* MERGEFORMAT </w:instrText>
        </w:r>
        <w:r>
          <w:fldChar w:fldCharType="separate"/>
        </w:r>
        <w:r>
          <w:rPr>
            <w:noProof/>
          </w:rPr>
          <w:t>1</w:t>
        </w:r>
        <w:r>
          <w:fldChar w:fldCharType="end"/>
        </w:r>
      </w:p>
    </w:sdtContent>
  </w:sdt>
  <w:p w:rsidR="006737B7" w:rsidRDefault="006737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B7" w:rsidRDefault="00673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7B7" w:rsidRDefault="00725CEA">
      <w:pPr>
        <w:spacing w:after="0" w:line="240" w:lineRule="auto"/>
      </w:pPr>
      <w:r>
        <w:separator/>
      </w:r>
    </w:p>
  </w:footnote>
  <w:footnote w:type="continuationSeparator" w:id="0">
    <w:p w:rsidR="006737B7" w:rsidRDefault="00725CEA">
      <w:pPr>
        <w:spacing w:after="0" w:line="240" w:lineRule="auto"/>
      </w:pPr>
      <w:r>
        <w:continuationSeparator/>
      </w:r>
    </w:p>
  </w:footnote>
  <w:footnote w:type="continuationNotice" w:id="1">
    <w:p w:rsidR="006737B7" w:rsidRDefault="006737B7">
      <w:pPr>
        <w:spacing w:after="0" w:line="240" w:lineRule="auto"/>
      </w:pPr>
    </w:p>
  </w:footnote>
  <w:footnote w:id="2">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Véanse las cifras correspondientes a 2016, disponible en http://trade.ec.europa.eu/doclib/docs/2011/january/tradoc_147207.pdf. </w:t>
      </w:r>
    </w:p>
  </w:footnote>
  <w:footnote w:id="3">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La conectividad se define en la declaración de los presidentes de la 13.ª reunión de ministros de Asuntos Exteriores de la ASEM celebrada en Nay Pyi Taw (Myanmar/Birmania) los días 20 y 21 de noviembre.</w:t>
      </w:r>
    </w:p>
  </w:footnote>
  <w:footnote w:id="4">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Banco Asiático de Desarrollo, Responder a</w:t>
      </w:r>
      <w:r>
        <w:rPr>
          <w:rStyle w:val="Emphasis"/>
          <w:rFonts w:ascii="Times New Roman" w:hAnsi="Times New Roman"/>
          <w:i w:val="0"/>
        </w:rPr>
        <w:t xml:space="preserve"> las nece</w:t>
      </w:r>
      <w:r>
        <w:rPr>
          <w:rStyle w:val="Emphasis"/>
          <w:rFonts w:ascii="Times New Roman" w:hAnsi="Times New Roman"/>
          <w:i w:val="0"/>
        </w:rPr>
        <w:t>sidades de infraestructura de Asia</w:t>
      </w:r>
      <w:r>
        <w:rPr>
          <w:rFonts w:ascii="Times New Roman" w:hAnsi="Times New Roman"/>
        </w:rPr>
        <w:t>, 2017.</w:t>
      </w:r>
    </w:p>
  </w:footnote>
  <w:footnote w:id="5">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La importancia de la conectividad para la prosperidad está reconocida en las diez prioridades de la Comisión Europea, la estrategia global de la UE sobre política exterior y de seguridad de la UE y el Consenso Eu</w:t>
      </w:r>
      <w:r>
        <w:rPr>
          <w:rFonts w:ascii="Times New Roman" w:hAnsi="Times New Roman"/>
        </w:rPr>
        <w:t>ropeo sobre Desarrollo.</w:t>
      </w:r>
    </w:p>
  </w:footnote>
  <w:footnote w:id="6">
    <w:p w:rsidR="006737B7" w:rsidRDefault="00725CEA">
      <w:pPr>
        <w:pStyle w:val="FootnoteText"/>
        <w:jc w:val="both"/>
      </w:pPr>
      <w:r>
        <w:rPr>
          <w:rStyle w:val="FootnoteReference"/>
        </w:rPr>
        <w:footnoteRef/>
      </w:r>
      <w:r>
        <w:t xml:space="preserve"> </w:t>
      </w:r>
      <w:r>
        <w:rPr>
          <w:rFonts w:ascii="Times New Roman" w:hAnsi="Times New Roman"/>
        </w:rPr>
        <w:t xml:space="preserve">Comunicación «Un presupuesto moderno para una Unión que proteja, empodere y vele por la seguridad. El marco financiero plurianual para el período 2021-2027», COM(2018) 321. </w:t>
      </w:r>
    </w:p>
  </w:footnote>
  <w:footnote w:id="7">
    <w:p w:rsidR="006737B7" w:rsidRDefault="00725CEA">
      <w:pPr>
        <w:pStyle w:val="FootnoteText"/>
        <w:jc w:val="both"/>
      </w:pPr>
      <w:r>
        <w:rPr>
          <w:rStyle w:val="FootnoteReference"/>
        </w:rPr>
        <w:footnoteRef/>
      </w:r>
      <w:r>
        <w:t xml:space="preserve"> </w:t>
      </w:r>
      <w:r>
        <w:rPr>
          <w:rFonts w:ascii="Times New Roman" w:hAnsi="Times New Roman"/>
        </w:rPr>
        <w:t>«Comunicación sobre una nueva alianza entre África y E</w:t>
      </w:r>
      <w:r>
        <w:rPr>
          <w:rFonts w:ascii="Times New Roman" w:hAnsi="Times New Roman"/>
        </w:rPr>
        <w:t xml:space="preserve">uropa para la inversión y el empleo sostenibles», COM (2018) 643 y Comunicación «Hacia una arquitectura financiera más eficiente para las inversiones fuera de la Unión Europea», COM (2018) 644. </w:t>
      </w:r>
    </w:p>
  </w:footnote>
  <w:footnote w:id="8">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La obligación de realizar evaluaciones de impacto medioambi</w:t>
      </w:r>
      <w:r>
        <w:rPr>
          <w:rFonts w:ascii="Times New Roman" w:hAnsi="Times New Roman"/>
        </w:rPr>
        <w:t>ental para los proyectos de infraestructura se introdujo por primera vez en la legislación de la UE en 1985. Deberán aplicarse el principio de cautela, el principio de acción preventiva, el principio de que los daños al medio ambiente deben corregirse pref</w:t>
      </w:r>
      <w:r>
        <w:rPr>
          <w:rFonts w:ascii="Times New Roman" w:hAnsi="Times New Roman"/>
        </w:rPr>
        <w:t>erentemente en la fuente misma, y el principio de quien contamina paga. Véase el Tratado de Funcionamiento de la Unión Europea, artículo 174, apartado 2.</w:t>
      </w:r>
    </w:p>
    <w:p w:rsidR="006737B7" w:rsidRDefault="006737B7">
      <w:pPr>
        <w:pStyle w:val="FootnoteText"/>
        <w:jc w:val="both"/>
        <w:rPr>
          <w:rFonts w:ascii="Times New Roman" w:hAnsi="Times New Roman" w:cs="Times New Roman"/>
        </w:rPr>
      </w:pPr>
    </w:p>
  </w:footnote>
  <w:footnote w:id="9">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Propuesta de Reglamento del Parlamento Europeo y del Consejo por el que se establece un marco para </w:t>
      </w:r>
      <w:r>
        <w:rPr>
          <w:rFonts w:ascii="Times New Roman" w:hAnsi="Times New Roman"/>
        </w:rPr>
        <w:t>el control de las inversiones extranjeras directas en la Unión Europea, COM(2017) 487.</w:t>
      </w:r>
    </w:p>
  </w:footnote>
  <w:footnote w:id="10">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Las negociaciones han finalizado con Armenia y están en curso con la ASEAN, Azerbaiyán, Turquía y Qatar. La Comisión ha rubricado un acuerdo de Zona Común de Aviación </w:t>
      </w:r>
      <w:r>
        <w:rPr>
          <w:rFonts w:ascii="Times New Roman" w:hAnsi="Times New Roman"/>
        </w:rPr>
        <w:t>con Ucrania, un acuerdo bilateral de seguridad aérea con China y está negociando con Japón.</w:t>
      </w:r>
    </w:p>
  </w:footnote>
  <w:footnote w:id="11">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Acuerdos de la OACI.</w:t>
      </w:r>
    </w:p>
  </w:footnote>
  <w:footnote w:id="12">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Comunicación «Objetivos estratégicos y recomendaciones para la política de transporte marítimo de la UE hasta 2018», COM(2009) 8.</w:t>
      </w:r>
    </w:p>
  </w:footnote>
  <w:footnote w:id="13">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Conveni</w:t>
      </w:r>
      <w:r>
        <w:rPr>
          <w:rFonts w:ascii="Times New Roman" w:hAnsi="Times New Roman"/>
        </w:rPr>
        <w:t>o de las Naciones Unidas sobre el Contrato de Transporte Internacional de Mercancías Total o Parcialmente Marítimo (2008).</w:t>
      </w:r>
    </w:p>
  </w:footnote>
  <w:footnote w:id="14">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Las conexiones ferroviarias norte-sur enlazan el Mediterráneo, el Mar Negro y el Golfo con el Mar del Norte, el Mar Báltico y el Ár</w:t>
      </w:r>
      <w:r>
        <w:rPr>
          <w:rFonts w:ascii="Times New Roman" w:hAnsi="Times New Roman"/>
        </w:rPr>
        <w:t>tico.</w:t>
      </w:r>
    </w:p>
  </w:footnote>
  <w:footnote w:id="15">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Las conexiones ferroviarias este-oeste enlazan la UE con China y Asia Central.</w:t>
      </w:r>
    </w:p>
  </w:footnote>
  <w:footnote w:id="16">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Organización Intergubernamental para los Transportes Internacionales por Ferrocarril (OTIF) y Organización para la Colaboración de los Ferrocarriles (OSJD, por sus sig</w:t>
      </w:r>
      <w:r>
        <w:rPr>
          <w:rFonts w:ascii="Times New Roman" w:hAnsi="Times New Roman"/>
        </w:rPr>
        <w:t>las en inglés).</w:t>
      </w:r>
    </w:p>
  </w:footnote>
  <w:footnote w:id="17">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Véase la Comunicación «Un presupuesto moderno para una Unión que proteja, empodere y vele por la seguridad. El marco financiero plurianual para el período 2021-2027», COM (2018) 321, en que la Comisión propone promover la conectividad dig</w:t>
      </w:r>
      <w:r>
        <w:rPr>
          <w:rFonts w:ascii="Times New Roman" w:hAnsi="Times New Roman"/>
        </w:rPr>
        <w:t>ital con países asiáticos y otros a través del Mecanismo «Conectar Europa» para el período de 2021 a 2027.</w:t>
      </w:r>
    </w:p>
  </w:footnote>
  <w:footnote w:id="18">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Véase el documento de trabajo «Digital4Development: mainstreaming digital technologies and services into EU development policy» (Digitalización par</w:t>
      </w:r>
      <w:r>
        <w:rPr>
          <w:rFonts w:ascii="Times New Roman" w:hAnsi="Times New Roman"/>
        </w:rPr>
        <w:t>a el desarrollo: integración de los servicios y tecnologías digitales en la política de desarrollo de la UE), SWD(2017) 157.</w:t>
      </w:r>
    </w:p>
  </w:footnote>
  <w:footnote w:id="19">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Véase el documento de trabajo conjunto SWD(2017) 436, «Cartografía de conectividad euroasiática — Principales conclusiones» sobre</w:t>
      </w:r>
      <w:r>
        <w:rPr>
          <w:rFonts w:ascii="Times New Roman" w:hAnsi="Times New Roman"/>
        </w:rPr>
        <w:t xml:space="preserve"> las diversas iniciativas de conectividad de los socios de la UE.</w:t>
      </w:r>
    </w:p>
  </w:footnote>
  <w:footnote w:id="20">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Comunicación «Una perspectiva creíble de ampliación y un mayor compromiso de la UE con los Balcanes Occidentales»,</w:t>
      </w:r>
    </w:p>
    <w:p w:rsidR="006737B7" w:rsidRDefault="00725CEA">
      <w:pPr>
        <w:pStyle w:val="FootnoteText"/>
        <w:jc w:val="both"/>
        <w:rPr>
          <w:rFonts w:ascii="Times New Roman" w:hAnsi="Times New Roman" w:cs="Times New Roman"/>
          <w:lang w:val="es-ES_tradnl"/>
        </w:rPr>
      </w:pPr>
      <w:r>
        <w:rPr>
          <w:rFonts w:ascii="Times New Roman" w:hAnsi="Times New Roman"/>
        </w:rPr>
        <w:t>COM(2018) 65.</w:t>
      </w:r>
    </w:p>
  </w:footnote>
  <w:footnote w:id="21">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Declaración de Sofía (mayo de 2018). Disponible en: http://www.consilium.europa.eu/media/34776/sofia-declaration_en.pdf.</w:t>
      </w:r>
    </w:p>
  </w:footnote>
  <w:footnote w:id="22">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Incluidos la ASEM, la ASEAN, la Iniciativa de Cooperación Técnica y Económica Multisectorial del Golfo de Bengala, la Cooperación Ec</w:t>
      </w:r>
      <w:r>
        <w:rPr>
          <w:rFonts w:ascii="Times New Roman" w:hAnsi="Times New Roman"/>
        </w:rPr>
        <w:t>onómica Regional para el Asia Central, la Asociación del Asia Meridional para la Cooperación Regional, la Cooperación Económica Subregional de Asia Meridional y la Organización de Cooperación de Shanghai.</w:t>
      </w:r>
    </w:p>
  </w:footnote>
  <w:footnote w:id="23">
    <w:p w:rsidR="006737B7" w:rsidRDefault="00725CEA">
      <w:pPr>
        <w:pStyle w:val="FootnoteText"/>
        <w:jc w:val="both"/>
      </w:pPr>
      <w:r>
        <w:rPr>
          <w:rStyle w:val="FootnoteReference"/>
        </w:rPr>
        <w:footnoteRef/>
      </w:r>
      <w:r>
        <w:rPr>
          <w:rStyle w:val="FootnoteReference"/>
        </w:rPr>
        <w:t xml:space="preserve"> </w:t>
      </w:r>
      <w:r>
        <w:rPr>
          <w:rFonts w:ascii="Times New Roman" w:hAnsi="Times New Roman"/>
        </w:rPr>
        <w:t>Cuando proceda, la UE podría participar a nivel t</w:t>
      </w:r>
      <w:r>
        <w:rPr>
          <w:rFonts w:ascii="Times New Roman" w:hAnsi="Times New Roman"/>
        </w:rPr>
        <w:t>écnico con la Unión Económica Euroasiática y sus Estados miembros, con el objetivo de lograr una mayor convergencia de sus normas y reglamentos técnicos con las normas internacionales.</w:t>
      </w:r>
    </w:p>
  </w:footnote>
  <w:footnote w:id="24">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Comunicación conjunta titulada «Gobernanza internacional de los océan</w:t>
      </w:r>
      <w:r>
        <w:rPr>
          <w:rFonts w:ascii="Times New Roman" w:hAnsi="Times New Roman"/>
        </w:rPr>
        <w:t>os», JOIN (2016) 49.</w:t>
      </w:r>
    </w:p>
  </w:footnote>
  <w:footnote w:id="25">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Incluidos la Organización para la Cooperación y el Desarrollo Económico, la CEPE de la ONU y su Comité de Transportes Interiores; en el transporte ferroviario, la OTIF y la OSJD; en el sector de la energía, la Agencia Internacional d</w:t>
      </w:r>
      <w:r>
        <w:rPr>
          <w:rFonts w:ascii="Times New Roman" w:hAnsi="Times New Roman"/>
        </w:rPr>
        <w:t>e la Energía y la Agencia Internacional de Energías Renovables. Entre otras organizaciones clave con un mandato de ámbito mundial figuran la OMI, la OACI, la UIT y la OIT en lo que respecta a los derechos sociales..</w:t>
      </w:r>
    </w:p>
  </w:footnote>
  <w:footnote w:id="26">
    <w:p w:rsidR="006737B7" w:rsidRDefault="00725CEA">
      <w:pPr>
        <w:pStyle w:val="FootnoteText"/>
        <w:jc w:val="both"/>
      </w:pPr>
      <w:r>
        <w:rPr>
          <w:rStyle w:val="FootnoteReference"/>
        </w:rPr>
        <w:footnoteRef/>
      </w:r>
      <w:r>
        <w:t xml:space="preserve"> </w:t>
      </w:r>
      <w:r>
        <w:rPr>
          <w:rFonts w:ascii="Times New Roman" w:hAnsi="Times New Roman"/>
        </w:rPr>
        <w:t xml:space="preserve">Incluidos, pero no exclusivamente, el </w:t>
      </w:r>
      <w:r>
        <w:rPr>
          <w:rFonts w:ascii="Times New Roman" w:hAnsi="Times New Roman"/>
        </w:rPr>
        <w:t xml:space="preserve">Convenio sobre el acceso a la información, la participación del público en la toma de decisiones y el acceso a la justicia en materia de medio ambiente, y la Convención de Espoo sobre la evaluación del impacto medioambiental en un contexto transfronterizo </w:t>
      </w:r>
      <w:r>
        <w:rPr>
          <w:rFonts w:ascii="Times New Roman" w:hAnsi="Times New Roman"/>
        </w:rPr>
        <w:t>y su Protocolo sobre la evaluación estratégica medioambiental.</w:t>
      </w:r>
    </w:p>
  </w:footnote>
  <w:footnote w:id="27">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La Comisión Electrotécnica Internacional (CEI), la Organización Internacional de Normalización (ISO) y la Unión Internacional de Telecomunicaciones; el Comité Europeo de Normalización, el Com</w:t>
      </w:r>
      <w:r>
        <w:rPr>
          <w:rFonts w:ascii="Times New Roman" w:hAnsi="Times New Roman"/>
        </w:rPr>
        <w:t>ité Europeo de Normalización Electrotécnica y el Instituto Europeo de Normas de Telecomunicaciones.</w:t>
      </w:r>
    </w:p>
  </w:footnote>
  <w:footnote w:id="28">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Inderst, George (2018), «Infrastructure Investment, Private Finance, and Institutional Investors: </w:t>
      </w:r>
      <w:r>
        <w:rPr>
          <w:rFonts w:ascii="Times New Roman" w:hAnsi="Times New Roman" w:cs="Times New Roman"/>
        </w:rPr>
        <w:br/>
      </w:r>
      <w:r>
        <w:rPr>
          <w:rFonts w:ascii="Times New Roman" w:hAnsi="Times New Roman"/>
        </w:rPr>
        <w:t>Asia from a Global Perspective» (Inversión en infraestr</w:t>
      </w:r>
      <w:r>
        <w:rPr>
          <w:rFonts w:ascii="Times New Roman" w:hAnsi="Times New Roman"/>
        </w:rPr>
        <w:t>uctura, financiación privada e inversores institucionales: Asia desde una perspectiva mundial), Instituto del Banco Asiático de Desarrollo.</w:t>
      </w:r>
    </w:p>
  </w:footnote>
  <w:footnote w:id="29">
    <w:p w:rsidR="006737B7" w:rsidRDefault="00725CEA">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Entre 2014 y mediados de 2018, el Mecanismo de Inversión para los Balcanes Occidentales ha movilizado alrededor de</w:t>
      </w:r>
      <w:r>
        <w:rPr>
          <w:rFonts w:ascii="Times New Roman" w:hAnsi="Times New Roman"/>
        </w:rPr>
        <w:t xml:space="preserve"> 2 400 millones EUR de inversiones en la conectividad, mientras que el Instrumento de Inversión de la Política de Vecindad ha movilizado alrededor de 2 900 millones EUR de inversiones en la conectividad en los países de la Asociación Oriental.</w:t>
      </w:r>
    </w:p>
  </w:footnote>
  <w:footnote w:id="30">
    <w:p w:rsidR="006737B7" w:rsidRDefault="00725CEA">
      <w:pPr>
        <w:pStyle w:val="FootnoteText"/>
        <w:jc w:val="both"/>
      </w:pPr>
      <w:r>
        <w:rPr>
          <w:rStyle w:val="FootnoteReference"/>
          <w:rFonts w:ascii="Times New Roman" w:hAnsi="Times New Roman"/>
        </w:rPr>
        <w:footnoteRef/>
      </w:r>
      <w:r>
        <w:rPr>
          <w:rFonts w:ascii="Times New Roman" w:hAnsi="Times New Roman"/>
        </w:rPr>
        <w:t xml:space="preserve"> Por ejempl</w:t>
      </w:r>
      <w:r>
        <w:rPr>
          <w:rFonts w:ascii="Times New Roman" w:hAnsi="Times New Roman"/>
        </w:rPr>
        <w:t>o, el BEI contribuye con 70 millones EUR al proyecto de transporte y de distribución de electricidad entre Asia Central y Asia Meridional (CASA-1000), que permite el transporte de electricidad desde Kirguistán y Tayikistán hasta Afganistán y Pakistán.</w:t>
      </w:r>
      <w:r>
        <w:t xml:space="preserve">  </w:t>
      </w:r>
    </w:p>
  </w:footnote>
  <w:footnote w:id="31">
    <w:p w:rsidR="006737B7" w:rsidRDefault="00725CEA">
      <w:pPr>
        <w:pStyle w:val="FootnoteText"/>
        <w:jc w:val="both"/>
      </w:pPr>
      <w:r>
        <w:rPr>
          <w:rStyle w:val="FootnoteReference"/>
        </w:rPr>
        <w:footnoteRef/>
      </w:r>
      <w:r>
        <w:t xml:space="preserve"> </w:t>
      </w:r>
      <w:r>
        <w:rPr>
          <w:rFonts w:ascii="Times New Roman" w:hAnsi="Times New Roman"/>
        </w:rPr>
        <w:t>Reglamento (UE) 2017/1601 del Parlamento Europeo y del Consejo de 26 de septiembre de 2017, por el que se establece el Fondo Europeo de Desarrollo Sostenible (FEDS), la Garantía del FEDS y el Fondo de Garantía del FEDS.</w:t>
      </w:r>
    </w:p>
  </w:footnote>
  <w:footnote w:id="32">
    <w:p w:rsidR="006737B7" w:rsidRDefault="00725CEA">
      <w:pPr>
        <w:pStyle w:val="FootnoteText"/>
        <w:jc w:val="both"/>
      </w:pPr>
      <w:r>
        <w:rPr>
          <w:rStyle w:val="FootnoteReference"/>
        </w:rPr>
        <w:footnoteRef/>
      </w:r>
      <w:r>
        <w:t xml:space="preserve"> </w:t>
      </w:r>
      <w:r>
        <w:rPr>
          <w:rFonts w:ascii="Times New Roman" w:hAnsi="Times New Roman"/>
        </w:rPr>
        <w:t>Comunicación de la Comisión al Par</w:t>
      </w:r>
      <w:r>
        <w:rPr>
          <w:rFonts w:ascii="Times New Roman" w:hAnsi="Times New Roman"/>
        </w:rPr>
        <w:t>lamento Europeo, el Consejo Europeo, el Consejo y el Banco Europeo de Inversiones. «Hacia una arquitectura financiera más eficiente para las inversiones fuera de la Unión Europea», COM(2018) 644.</w:t>
      </w:r>
    </w:p>
  </w:footnote>
  <w:footnote w:id="33">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Comunicación «Un presupuesto moderno para una Unión que pr</w:t>
      </w:r>
      <w:r>
        <w:rPr>
          <w:rFonts w:ascii="Times New Roman" w:hAnsi="Times New Roman"/>
        </w:rPr>
        <w:t>oteja, empodere y vele por la seguridad. El marco financiero plurianual para el período 2021-2027», COM(2018) 321. La Comunicación de la Comisión «Hacia una arquitectura financiera más eficiente para las inversiones fuera de la Unión Europea», COM(2018) 64</w:t>
      </w:r>
      <w:r>
        <w:rPr>
          <w:rFonts w:ascii="Times New Roman" w:hAnsi="Times New Roman"/>
        </w:rPr>
        <w:t>4, presenta la arquitectura de inversiones exteriores propuesta.</w:t>
      </w:r>
    </w:p>
  </w:footnote>
  <w:footnote w:id="34">
    <w:p w:rsidR="006737B7" w:rsidRDefault="00725CEA">
      <w:pPr>
        <w:pStyle w:val="FootnoteText"/>
        <w:jc w:val="both"/>
      </w:pPr>
      <w:r>
        <w:rPr>
          <w:rStyle w:val="FootnoteReference"/>
        </w:rPr>
        <w:footnoteRef/>
      </w:r>
      <w:r>
        <w:t xml:space="preserve"> </w:t>
      </w:r>
      <w:r>
        <w:rPr>
          <w:rFonts w:ascii="Times New Roman" w:hAnsi="Times New Roman"/>
        </w:rPr>
        <w:t>Véase la Comunicación citada en la nota a pie de página 30.</w:t>
      </w:r>
    </w:p>
  </w:footnote>
  <w:footnote w:id="35">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Comunicación sobre «Plan de Acción: Financiar el desarrollo sostenible», COM (2018) 97.</w:t>
      </w:r>
    </w:p>
  </w:footnote>
  <w:footnote w:id="36">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Por ejemplo, por lo que respecta a la</w:t>
      </w:r>
      <w:r>
        <w:rPr>
          <w:rFonts w:ascii="Times New Roman" w:hAnsi="Times New Roman"/>
        </w:rPr>
        <w:t xml:space="preserve"> plataforma de gestión SOURCE, véase el sitio web de la Fundación para la infraestructura sostenible, https://public.sif-source.org/.</w:t>
      </w:r>
    </w:p>
  </w:footnote>
  <w:footnote w:id="37">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Informe de la Comisión al Parlamento Europeo y al Consejo sobre los obstáculos al comercio y la inversión, 1 de enero a </w:t>
      </w:r>
      <w:r>
        <w:rPr>
          <w:rFonts w:ascii="Times New Roman" w:hAnsi="Times New Roman"/>
        </w:rPr>
        <w:t>31 de diciembre de 2016.</w:t>
      </w:r>
    </w:p>
  </w:footnote>
  <w:footnote w:id="38">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Propuesta de Reglamento de la Comisión sobre el acceso de los productos y servicios de terceros países al mercado interior de la Unión en el ámbito de la contratación pública, así como sobre los procedimientos de apoyo a las nego</w:t>
      </w:r>
      <w:r>
        <w:rPr>
          <w:rFonts w:ascii="Times New Roman" w:hAnsi="Times New Roman"/>
        </w:rPr>
        <w:t>ciaciones para el acceso de los productos y servicios de la Unión a los mercados de contratación pública de terceros países, COM (2016) 34. La propuesta está siendo estudiada actualmente por el Parlamento Europeo y por el Consejo.</w:t>
      </w:r>
    </w:p>
  </w:footnote>
  <w:footnote w:id="39">
    <w:p w:rsidR="006737B7" w:rsidRDefault="00725CE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Documento de reflexión </w:t>
      </w:r>
      <w:r>
        <w:rPr>
          <w:rFonts w:ascii="Times New Roman" w:hAnsi="Times New Roman"/>
        </w:rPr>
        <w:t>de la Comisión sobre el encauzamiento de la globalización, COM(2017) 240.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B7" w:rsidRDefault="00673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B7" w:rsidRDefault="006737B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B7" w:rsidRDefault="006737B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B7" w:rsidRDefault="006737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B7" w:rsidRDefault="006737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B7" w:rsidRDefault="00673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EB0"/>
    <w:multiLevelType w:val="hybridMultilevel"/>
    <w:tmpl w:val="CE9C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3F8B"/>
    <w:multiLevelType w:val="hybridMultilevel"/>
    <w:tmpl w:val="E766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60D08"/>
    <w:multiLevelType w:val="hybridMultilevel"/>
    <w:tmpl w:val="57D614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423D8F"/>
    <w:multiLevelType w:val="hybridMultilevel"/>
    <w:tmpl w:val="B524B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929C2"/>
    <w:multiLevelType w:val="hybridMultilevel"/>
    <w:tmpl w:val="5F68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908C7"/>
    <w:multiLevelType w:val="multilevel"/>
    <w:tmpl w:val="E93065F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843AA8"/>
    <w:multiLevelType w:val="hybridMultilevel"/>
    <w:tmpl w:val="1266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8285B"/>
    <w:multiLevelType w:val="hybridMultilevel"/>
    <w:tmpl w:val="C22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0426B"/>
    <w:multiLevelType w:val="hybridMultilevel"/>
    <w:tmpl w:val="94143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A36BE4"/>
    <w:multiLevelType w:val="hybridMultilevel"/>
    <w:tmpl w:val="BE46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55C4D"/>
    <w:multiLevelType w:val="hybridMultilevel"/>
    <w:tmpl w:val="A1E0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82C55"/>
    <w:multiLevelType w:val="hybridMultilevel"/>
    <w:tmpl w:val="8DE644AA"/>
    <w:lvl w:ilvl="0" w:tplc="8624B34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7010618"/>
    <w:multiLevelType w:val="hybridMultilevel"/>
    <w:tmpl w:val="0A6E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F02E2"/>
    <w:multiLevelType w:val="hybridMultilevel"/>
    <w:tmpl w:val="2FB8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A5E6C"/>
    <w:multiLevelType w:val="hybridMultilevel"/>
    <w:tmpl w:val="30AA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E665CE"/>
    <w:multiLevelType w:val="hybridMultilevel"/>
    <w:tmpl w:val="B726CF14"/>
    <w:lvl w:ilvl="0" w:tplc="F468F77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475CA3"/>
    <w:multiLevelType w:val="hybridMultilevel"/>
    <w:tmpl w:val="6F849E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B00D76"/>
    <w:multiLevelType w:val="hybridMultilevel"/>
    <w:tmpl w:val="438A7514"/>
    <w:lvl w:ilvl="0" w:tplc="BA027B8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96E57"/>
    <w:multiLevelType w:val="hybridMultilevel"/>
    <w:tmpl w:val="253A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85E53"/>
    <w:multiLevelType w:val="hybridMultilevel"/>
    <w:tmpl w:val="5FFA8842"/>
    <w:lvl w:ilvl="0" w:tplc="67B05C88">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A934834"/>
    <w:multiLevelType w:val="hybridMultilevel"/>
    <w:tmpl w:val="58E6E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3D56B77"/>
    <w:multiLevelType w:val="hybridMultilevel"/>
    <w:tmpl w:val="FC5E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6268C8"/>
    <w:multiLevelType w:val="hybridMultilevel"/>
    <w:tmpl w:val="3EDE24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86433B0"/>
    <w:multiLevelType w:val="hybridMultilevel"/>
    <w:tmpl w:val="238C2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C7427"/>
    <w:multiLevelType w:val="hybridMultilevel"/>
    <w:tmpl w:val="A0F68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2BC0C26"/>
    <w:multiLevelType w:val="hybridMultilevel"/>
    <w:tmpl w:val="9D381A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B987745"/>
    <w:multiLevelType w:val="hybridMultilevel"/>
    <w:tmpl w:val="EAEC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AC0642"/>
    <w:multiLevelType w:val="hybridMultilevel"/>
    <w:tmpl w:val="EA8A37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ED70116"/>
    <w:multiLevelType w:val="hybridMultilevel"/>
    <w:tmpl w:val="BD6EC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5E5AD6"/>
    <w:multiLevelType w:val="hybridMultilevel"/>
    <w:tmpl w:val="3652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A212E9"/>
    <w:multiLevelType w:val="hybridMultilevel"/>
    <w:tmpl w:val="C5B65332"/>
    <w:lvl w:ilvl="0" w:tplc="238628FC">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D53244D"/>
    <w:multiLevelType w:val="hybridMultilevel"/>
    <w:tmpl w:val="BB0E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2"/>
  </w:num>
  <w:num w:numId="4">
    <w:abstractNumId w:val="28"/>
  </w:num>
  <w:num w:numId="5">
    <w:abstractNumId w:val="29"/>
  </w:num>
  <w:num w:numId="6">
    <w:abstractNumId w:val="0"/>
  </w:num>
  <w:num w:numId="7">
    <w:abstractNumId w:val="13"/>
  </w:num>
  <w:num w:numId="8">
    <w:abstractNumId w:val="1"/>
  </w:num>
  <w:num w:numId="9">
    <w:abstractNumId w:val="18"/>
  </w:num>
  <w:num w:numId="10">
    <w:abstractNumId w:val="7"/>
  </w:num>
  <w:num w:numId="11">
    <w:abstractNumId w:val="23"/>
  </w:num>
  <w:num w:numId="12">
    <w:abstractNumId w:val="12"/>
  </w:num>
  <w:num w:numId="13">
    <w:abstractNumId w:val="4"/>
  </w:num>
  <w:num w:numId="14">
    <w:abstractNumId w:val="14"/>
  </w:num>
  <w:num w:numId="15">
    <w:abstractNumId w:val="31"/>
  </w:num>
  <w:num w:numId="16">
    <w:abstractNumId w:val="6"/>
  </w:num>
  <w:num w:numId="17">
    <w:abstractNumId w:val="3"/>
  </w:num>
  <w:num w:numId="18">
    <w:abstractNumId w:val="9"/>
  </w:num>
  <w:num w:numId="19">
    <w:abstractNumId w:val="20"/>
  </w:num>
  <w:num w:numId="20">
    <w:abstractNumId w:val="25"/>
  </w:num>
  <w:num w:numId="21">
    <w:abstractNumId w:val="24"/>
  </w:num>
  <w:num w:numId="22">
    <w:abstractNumId w:val="16"/>
  </w:num>
  <w:num w:numId="23">
    <w:abstractNumId w:val="26"/>
  </w:num>
  <w:num w:numId="24">
    <w:abstractNumId w:val="27"/>
  </w:num>
  <w:num w:numId="25">
    <w:abstractNumId w:val="15"/>
  </w:num>
  <w:num w:numId="26">
    <w:abstractNumId w:val="19"/>
  </w:num>
  <w:num w:numId="27">
    <w:abstractNumId w:val="2"/>
  </w:num>
  <w:num w:numId="28">
    <w:abstractNumId w:val="30"/>
  </w:num>
  <w:num w:numId="29">
    <w:abstractNumId w:val="11"/>
  </w:num>
  <w:num w:numId="30">
    <w:abstractNumId w:val="5"/>
  </w:num>
  <w:num w:numId="31">
    <w:abstractNumId w:val="8"/>
  </w:num>
  <w:num w:numId="32">
    <w:abstractNumId w:val="17"/>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E653081-C3EA-48EE-8821-76289949F57D"/>
    <w:docVar w:name="LW_COVERPAGE_TYPE" w:val="1"/>
    <w:docVar w:name="LW_CROSSREFERENCE" w:val="&lt;UNUSED&gt;"/>
    <w:docVar w:name="LW_DocType" w:val="NORMAL"/>
    <w:docVar w:name="LW_EMISSION" w:val="19.9.2018"/>
    <w:docVar w:name="LW_EMISSION_ISODATE" w:val="2018-09-19"/>
    <w:docVar w:name="LW_EMISSION_LOCATION" w:val="BRX"/>
    <w:docVar w:name="LW_EMISSION_PREFIX" w:val="Bruselas, "/>
    <w:docVar w:name="LW_EMISSION_SUFFIX" w:val=" "/>
    <w:docVar w:name="LW_ID_DOCTYPE_NONLW" w:val="CP-042"/>
    <w:docVar w:name="LW_LANGUE" w:val="ES"/>
    <w:docVar w:name="LW_LEVEL_OF_SENSITIVITY" w:val="Standard treatment"/>
    <w:docVar w:name="LW_NOM.INST" w:val="COMISIÓN EUROPEA"/>
    <w:docVar w:name="LW_NOM.INST_JOINTDOC" w:val="ALTA REPRESENTANTE_x000b_ DE LA UNIÓN PARA_x000b_ASUNTOS EXTERIORES Y_x000b_POLÍTICA DE SEGURIDAD"/>
    <w:docVar w:name="LW_PART_NBR" w:val="1"/>
    <w:docVar w:name="LW_PART_NBR_TOTAL" w:val="1"/>
    <w:docVar w:name="LW_REF.II.NEW.CP" w:val="&lt;UNUSED&gt;"/>
    <w:docVar w:name="LW_REF.II.NEW.CP_NUMBER" w:val="&lt;UNUSED&gt;"/>
    <w:docVar w:name="LW_REF.II.NEW.CP_YEAR" w:val="2018"/>
    <w:docVar w:name="LW_REF.INST.NEW" w:val="JOIN"/>
    <w:docVar w:name="LW_REF.INST.NEW_ADOPTED" w:val="final"/>
    <w:docVar w:name="LW_REF.INST.NEW_TEXT" w:val="(2018) 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Conectar Europa y Asia - Elementos de una estrategia de la UE&lt;/FMT&gt;_x000d__x000d__x000d__x000d__x000d__x000b__x000d__x000d__x000d__x000d__x000d__x000b_"/>
    <w:docVar w:name="LW_TYPE.DOC.CP" w:val="COMUNICACIÓN CONJUNTA AL PARLAMENTO EUROPEO,_x000b_AL CONSEJO, AL COMITÉ ECONÓMICO Y SOCIAL, AL COMITÉ DE LAS REGIONES Y AL BANCO EUROPEO DE INVERSIONES_x000b_"/>
    <w:docVar w:name="Stamp" w:val="\\dossiers.dgt.cec.eu.int\dossiers\EEAS\EEAS-2018-00221\EEAS-2018-00221-00-00-EN-EDT-00.201806221617445478627.DOCX"/>
  </w:docVars>
  <w:rsids>
    <w:rsidRoot w:val="006737B7"/>
    <w:rsid w:val="006737B7"/>
    <w:rsid w:val="00725C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48C0F3"/>
  <w15:docId w15:val="{EA026458-0A19-41EA-91E1-F8D84F3B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FootnoteReference">
    <w:name w:val="footnote reference"/>
    <w:basedOn w:val="DefaultParagraphFont"/>
    <w:uiPriority w:val="99"/>
    <w:unhideWhenUsed/>
    <w:rPr>
      <w:vertAlign w:val="superscript"/>
    </w:rPr>
  </w:style>
  <w:style w:type="paragraph" w:styleId="ListParagraph">
    <w:name w:val="List Paragraph"/>
    <w:aliases w:val="Normal bullet 2,Bullet list,Numbered List,List Paragraph1,1st level - Bullet List Paragraph,Lettre d'introduction,Paragrafo elenco,Paragraph,Bullet EY,List Paragraph11,Normal bullet 21,List Paragraph111,Bullet list1,Bullet point 1,Dot pt"/>
    <w:basedOn w:val="Normal"/>
    <w:link w:val="ListParagraphChar"/>
    <w:uiPriority w:val="34"/>
    <w:qFormat/>
    <w:pPr>
      <w:ind w:left="720"/>
      <w:contextualSpacing/>
    </w:p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contextualSpacing/>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contextualSpacing/>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contextualSpacing/>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contextualSpacing/>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update1">
    <w:name w:val="update1"/>
    <w:basedOn w:val="DefaultParagraphFont"/>
    <w:rPr>
      <w:color w:val="006666"/>
    </w:rPr>
  </w:style>
  <w:style w:type="character" w:customStyle="1" w:styleId="bold1">
    <w:name w:val="bold1"/>
    <w:basedOn w:val="DefaultParagraphFont"/>
    <w:rPr>
      <w:b/>
      <w:bCs/>
    </w:rPr>
  </w:style>
  <w:style w:type="character" w:styleId="Emphasis">
    <w:name w:val="Emphasis"/>
    <w:basedOn w:val="DefaultParagraphFont"/>
    <w:uiPriority w:val="20"/>
    <w:qFormat/>
    <w:rPr>
      <w:i/>
      <w:iCs/>
    </w:rPr>
  </w:style>
  <w:style w:type="character" w:customStyle="1" w:styleId="ListParagraphChar">
    <w:name w:val="List Paragraph Char"/>
    <w:aliases w:val="Normal bullet 2 Char,Bullet list Char,Numbered List Char,List Paragraph1 Char,1st level - Bullet List Paragraph Char,Lettre d'introduction Char,Paragrafo elenco Char,Paragraph Char,Bullet EY Char,List Paragraph11 Char,Dot pt Char"/>
    <w:link w:val="ListParagraph"/>
    <w:uiPriority w:val="34"/>
    <w:qFormat/>
    <w:locked/>
  </w:style>
  <w:style w:type="character" w:customStyle="1" w:styleId="filetitle1">
    <w:name w:val="file__title1"/>
    <w:basedOn w:val="DefaultParagraphFont"/>
    <w:rPr>
      <w:b/>
      <w:bCs/>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lang w:eastAsia="en-US" w:bidi="ar-SA"/>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517">
      <w:bodyDiv w:val="1"/>
      <w:marLeft w:val="0"/>
      <w:marRight w:val="0"/>
      <w:marTop w:val="0"/>
      <w:marBottom w:val="0"/>
      <w:divBdr>
        <w:top w:val="none" w:sz="0" w:space="0" w:color="auto"/>
        <w:left w:val="none" w:sz="0" w:space="0" w:color="auto"/>
        <w:bottom w:val="none" w:sz="0" w:space="0" w:color="auto"/>
        <w:right w:val="none" w:sz="0" w:space="0" w:color="auto"/>
      </w:divBdr>
    </w:div>
    <w:div w:id="424959393">
      <w:bodyDiv w:val="1"/>
      <w:marLeft w:val="0"/>
      <w:marRight w:val="0"/>
      <w:marTop w:val="0"/>
      <w:marBottom w:val="0"/>
      <w:divBdr>
        <w:top w:val="none" w:sz="0" w:space="0" w:color="auto"/>
        <w:left w:val="none" w:sz="0" w:space="0" w:color="auto"/>
        <w:bottom w:val="none" w:sz="0" w:space="0" w:color="auto"/>
        <w:right w:val="none" w:sz="0" w:space="0" w:color="auto"/>
      </w:divBdr>
    </w:div>
    <w:div w:id="427122719">
      <w:bodyDiv w:val="1"/>
      <w:marLeft w:val="0"/>
      <w:marRight w:val="0"/>
      <w:marTop w:val="0"/>
      <w:marBottom w:val="0"/>
      <w:divBdr>
        <w:top w:val="none" w:sz="0" w:space="0" w:color="auto"/>
        <w:left w:val="none" w:sz="0" w:space="0" w:color="auto"/>
        <w:bottom w:val="none" w:sz="0" w:space="0" w:color="auto"/>
        <w:right w:val="none" w:sz="0" w:space="0" w:color="auto"/>
      </w:divBdr>
    </w:div>
    <w:div w:id="547646614">
      <w:bodyDiv w:val="1"/>
      <w:marLeft w:val="0"/>
      <w:marRight w:val="0"/>
      <w:marTop w:val="0"/>
      <w:marBottom w:val="0"/>
      <w:divBdr>
        <w:top w:val="none" w:sz="0" w:space="0" w:color="auto"/>
        <w:left w:val="none" w:sz="0" w:space="0" w:color="auto"/>
        <w:bottom w:val="none" w:sz="0" w:space="0" w:color="auto"/>
        <w:right w:val="none" w:sz="0" w:space="0" w:color="auto"/>
      </w:divBdr>
    </w:div>
    <w:div w:id="562914376">
      <w:bodyDiv w:val="1"/>
      <w:marLeft w:val="0"/>
      <w:marRight w:val="0"/>
      <w:marTop w:val="0"/>
      <w:marBottom w:val="0"/>
      <w:divBdr>
        <w:top w:val="none" w:sz="0" w:space="0" w:color="auto"/>
        <w:left w:val="none" w:sz="0" w:space="0" w:color="auto"/>
        <w:bottom w:val="none" w:sz="0" w:space="0" w:color="auto"/>
        <w:right w:val="none" w:sz="0" w:space="0" w:color="auto"/>
      </w:divBdr>
    </w:div>
    <w:div w:id="633758692">
      <w:bodyDiv w:val="1"/>
      <w:marLeft w:val="0"/>
      <w:marRight w:val="0"/>
      <w:marTop w:val="0"/>
      <w:marBottom w:val="0"/>
      <w:divBdr>
        <w:top w:val="none" w:sz="0" w:space="0" w:color="auto"/>
        <w:left w:val="none" w:sz="0" w:space="0" w:color="auto"/>
        <w:bottom w:val="none" w:sz="0" w:space="0" w:color="auto"/>
        <w:right w:val="none" w:sz="0" w:space="0" w:color="auto"/>
      </w:divBdr>
    </w:div>
    <w:div w:id="725686375">
      <w:bodyDiv w:val="1"/>
      <w:marLeft w:val="0"/>
      <w:marRight w:val="0"/>
      <w:marTop w:val="0"/>
      <w:marBottom w:val="0"/>
      <w:divBdr>
        <w:top w:val="none" w:sz="0" w:space="0" w:color="auto"/>
        <w:left w:val="none" w:sz="0" w:space="0" w:color="auto"/>
        <w:bottom w:val="none" w:sz="0" w:space="0" w:color="auto"/>
        <w:right w:val="none" w:sz="0" w:space="0" w:color="auto"/>
      </w:divBdr>
      <w:divsChild>
        <w:div w:id="1408186848">
          <w:marLeft w:val="0"/>
          <w:marRight w:val="0"/>
          <w:marTop w:val="0"/>
          <w:marBottom w:val="0"/>
          <w:divBdr>
            <w:top w:val="none" w:sz="0" w:space="0" w:color="auto"/>
            <w:left w:val="none" w:sz="0" w:space="0" w:color="auto"/>
            <w:bottom w:val="none" w:sz="0" w:space="0" w:color="auto"/>
            <w:right w:val="none" w:sz="0" w:space="0" w:color="auto"/>
          </w:divBdr>
        </w:div>
        <w:div w:id="1609002887">
          <w:marLeft w:val="0"/>
          <w:marRight w:val="0"/>
          <w:marTop w:val="0"/>
          <w:marBottom w:val="0"/>
          <w:divBdr>
            <w:top w:val="none" w:sz="0" w:space="0" w:color="auto"/>
            <w:left w:val="none" w:sz="0" w:space="0" w:color="auto"/>
            <w:bottom w:val="none" w:sz="0" w:space="0" w:color="auto"/>
            <w:right w:val="none" w:sz="0" w:space="0" w:color="auto"/>
          </w:divBdr>
        </w:div>
      </w:divsChild>
    </w:div>
    <w:div w:id="1099646499">
      <w:bodyDiv w:val="1"/>
      <w:marLeft w:val="0"/>
      <w:marRight w:val="0"/>
      <w:marTop w:val="0"/>
      <w:marBottom w:val="0"/>
      <w:divBdr>
        <w:top w:val="none" w:sz="0" w:space="0" w:color="auto"/>
        <w:left w:val="none" w:sz="0" w:space="0" w:color="auto"/>
        <w:bottom w:val="none" w:sz="0" w:space="0" w:color="auto"/>
        <w:right w:val="none" w:sz="0" w:space="0" w:color="auto"/>
      </w:divBdr>
    </w:div>
    <w:div w:id="1480422824">
      <w:bodyDiv w:val="1"/>
      <w:marLeft w:val="0"/>
      <w:marRight w:val="0"/>
      <w:marTop w:val="0"/>
      <w:marBottom w:val="0"/>
      <w:divBdr>
        <w:top w:val="none" w:sz="0" w:space="0" w:color="auto"/>
        <w:left w:val="none" w:sz="0" w:space="0" w:color="auto"/>
        <w:bottom w:val="none" w:sz="0" w:space="0" w:color="auto"/>
        <w:right w:val="none" w:sz="0" w:space="0" w:color="auto"/>
      </w:divBdr>
    </w:div>
    <w:div w:id="2018455448">
      <w:bodyDiv w:val="1"/>
      <w:marLeft w:val="0"/>
      <w:marRight w:val="0"/>
      <w:marTop w:val="0"/>
      <w:marBottom w:val="0"/>
      <w:divBdr>
        <w:top w:val="none" w:sz="0" w:space="0" w:color="auto"/>
        <w:left w:val="none" w:sz="0" w:space="0" w:color="auto"/>
        <w:bottom w:val="none" w:sz="0" w:space="0" w:color="auto"/>
        <w:right w:val="none" w:sz="0" w:space="0" w:color="auto"/>
      </w:divBdr>
    </w:div>
    <w:div w:id="206425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B169A-4CB5-40FE-9F7E-6B2C1A29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16</Pages>
  <Words>4746</Words>
  <Characters>35121</Characters>
  <Application>Microsoft Office Word</Application>
  <DocSecurity>0</DocSecurity>
  <Lines>548</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HEILEMANN Stefanie (SG)</cp:lastModifiedBy>
  <cp:revision>70</cp:revision>
  <cp:lastPrinted>2018-09-12T09:05:00Z</cp:lastPrinted>
  <dcterms:created xsi:type="dcterms:W3CDTF">2018-09-26T14:00:00Z</dcterms:created>
  <dcterms:modified xsi:type="dcterms:W3CDTF">2018-10-09T09:56:00Z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ies>
</file>