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214B521E-F7D7-4E42-84BF-17AE5A27CFF1" style="width:450.75pt;height:333.75pt">
            <v:imagedata r:id="rId12" o:title=""/>
          </v:shape>
        </w:pict>
      </w:r>
    </w:p>
    <w:bookmarkEnd w:id="0"/>
    <w:p>
      <w:pPr>
        <w:rPr>
          <w:noProof/>
        </w:rPr>
        <w:sectPr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134" w:right="1417" w:bottom="1134" w:left="1417" w:header="709" w:footer="709" w:gutter="0"/>
          <w:pgNumType w:start="0"/>
          <w:cols w:space="720"/>
          <w:docGrid w:linePitch="326"/>
        </w:sectPr>
      </w:pPr>
    </w:p>
    <w:p>
      <w:pPr>
        <w:pStyle w:val="Heading1"/>
        <w:numPr>
          <w:ilvl w:val="0"/>
          <w:numId w:val="0"/>
        </w:numPr>
        <w:ind w:left="482"/>
        <w:rPr>
          <w:noProof/>
        </w:rPr>
      </w:pPr>
      <w:bookmarkStart w:id="1" w:name="_Toc497835095"/>
      <w:bookmarkStart w:id="2" w:name="_GoBack"/>
      <w:bookmarkEnd w:id="2"/>
      <w:r>
        <w:rPr>
          <w:noProof/>
        </w:rPr>
        <w:lastRenderedPageBreak/>
        <w:t>Upotrijebljene kratice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BPR</w:t>
      </w:r>
      <w:r>
        <w:rPr>
          <w:noProof/>
        </w:rPr>
        <w:tab/>
      </w:r>
      <w:r>
        <w:rPr>
          <w:noProof/>
        </w:rPr>
        <w:tab/>
        <w:t xml:space="preserve">Uredba o biocidnim proizvodima (engl. </w:t>
      </w:r>
      <w:r>
        <w:rPr>
          <w:i/>
          <w:noProof/>
        </w:rPr>
        <w:t>Biocidal Products Regulation</w:t>
      </w:r>
      <w:r>
        <w:rPr>
          <w:noProof/>
        </w:rPr>
        <w:t xml:space="preserve">) </w:t>
      </w:r>
    </w:p>
    <w:p>
      <w:pPr>
        <w:pStyle w:val="MBT"/>
        <w:ind w:left="1440" w:hanging="1440"/>
        <w:rPr>
          <w:noProof/>
        </w:rPr>
      </w:pPr>
      <w:r>
        <w:rPr>
          <w:noProof/>
        </w:rPr>
        <w:t>CLP</w:t>
      </w:r>
      <w:r>
        <w:rPr>
          <w:noProof/>
        </w:rPr>
        <w:tab/>
        <w:t xml:space="preserve">Uredba o razvrstavanju, označivanju i pakiranju (engl. </w:t>
      </w:r>
      <w:r>
        <w:rPr>
          <w:i/>
          <w:noProof/>
        </w:rPr>
        <w:t>Classification, Labelling and Packaging Regulation</w:t>
      </w:r>
      <w:r>
        <w:rPr>
          <w:noProof/>
        </w:rPr>
        <w:t xml:space="preserve">) </w:t>
      </w:r>
    </w:p>
    <w:p>
      <w:pPr>
        <w:pStyle w:val="MBT"/>
        <w:rPr>
          <w:noProof/>
        </w:rPr>
      </w:pPr>
      <w:r>
        <w:rPr>
          <w:noProof/>
        </w:rPr>
        <w:t>KN</w:t>
      </w:r>
      <w:r>
        <w:rPr>
          <w:noProof/>
        </w:rPr>
        <w:tab/>
      </w:r>
      <w:r>
        <w:rPr>
          <w:noProof/>
        </w:rPr>
        <w:tab/>
        <w:t>Kombinirana nomenklatura</w:t>
      </w:r>
    </w:p>
    <w:p>
      <w:pPr>
        <w:pStyle w:val="MBT"/>
        <w:rPr>
          <w:noProof/>
        </w:rPr>
      </w:pPr>
      <w:r>
        <w:rPr>
          <w:noProof/>
        </w:rPr>
        <w:t xml:space="preserve">CUS </w:t>
      </w:r>
      <w:r>
        <w:rPr>
          <w:noProof/>
        </w:rPr>
        <w:tab/>
      </w:r>
      <w:r>
        <w:rPr>
          <w:noProof/>
        </w:rPr>
        <w:tab/>
        <w:t xml:space="preserve">Carinska unija i statistika </w:t>
      </w:r>
    </w:p>
    <w:p>
      <w:pPr>
        <w:pStyle w:val="MBT"/>
        <w:rPr>
          <w:noProof/>
        </w:rPr>
      </w:pPr>
      <w:r>
        <w:rPr>
          <w:noProof/>
        </w:rPr>
        <w:t>DNA</w:t>
      </w:r>
      <w:r>
        <w:rPr>
          <w:noProof/>
        </w:rPr>
        <w:tab/>
      </w:r>
      <w:r>
        <w:rPr>
          <w:noProof/>
        </w:rPr>
        <w:tab/>
        <w:t xml:space="preserve">Imenovano nacionalno tijelo (engl. </w:t>
      </w:r>
      <w:r>
        <w:rPr>
          <w:i/>
          <w:noProof/>
        </w:rPr>
        <w:t>Designated National Authority</w:t>
      </w:r>
      <w:r>
        <w:rPr>
          <w:noProof/>
        </w:rPr>
        <w:t xml:space="preserve">) </w:t>
      </w:r>
    </w:p>
    <w:p>
      <w:pPr>
        <w:pStyle w:val="MBT"/>
        <w:rPr>
          <w:noProof/>
        </w:rPr>
      </w:pPr>
      <w:r>
        <w:rPr>
          <w:noProof/>
        </w:rPr>
        <w:t>ECHA</w:t>
      </w:r>
      <w:r>
        <w:rPr>
          <w:noProof/>
        </w:rPr>
        <w:tab/>
      </w:r>
      <w:r>
        <w:rPr>
          <w:noProof/>
        </w:rPr>
        <w:tab/>
        <w:t xml:space="preserve">Europska agencija za kemikalije (engl. </w:t>
      </w:r>
      <w:r>
        <w:rPr>
          <w:i/>
          <w:noProof/>
        </w:rPr>
        <w:t>European Chemicals Agency</w:t>
      </w:r>
      <w:r>
        <w:rPr>
          <w:noProof/>
        </w:rPr>
        <w:t xml:space="preserve">) </w:t>
      </w:r>
    </w:p>
    <w:p>
      <w:pPr>
        <w:pStyle w:val="MBT"/>
        <w:rPr>
          <w:noProof/>
        </w:rPr>
      </w:pPr>
      <w:r>
        <w:rPr>
          <w:noProof/>
        </w:rPr>
        <w:t>ePIC</w:t>
      </w:r>
      <w:r>
        <w:rPr>
          <w:noProof/>
        </w:rPr>
        <w:tab/>
      </w:r>
      <w:r>
        <w:rPr>
          <w:noProof/>
        </w:rPr>
        <w:tab/>
        <w:t>Softverska aplikacija za provedbu Uredbe (EU) br. 649/2012</w:t>
      </w:r>
    </w:p>
    <w:p>
      <w:pPr>
        <w:pStyle w:val="MBT"/>
        <w:rPr>
          <w:noProof/>
        </w:rPr>
      </w:pPr>
      <w:r>
        <w:rPr>
          <w:noProof/>
        </w:rPr>
        <w:t>EU</w:t>
      </w:r>
      <w:r>
        <w:rPr>
          <w:noProof/>
        </w:rPr>
        <w:tab/>
      </w:r>
      <w:r>
        <w:rPr>
          <w:noProof/>
        </w:rPr>
        <w:tab/>
        <w:t>Europska unija</w:t>
      </w:r>
    </w:p>
    <w:p>
      <w:pPr>
        <w:pStyle w:val="MBT"/>
        <w:rPr>
          <w:noProof/>
        </w:rPr>
      </w:pPr>
      <w:r>
        <w:rPr>
          <w:noProof/>
        </w:rPr>
        <w:t>FRA</w:t>
      </w:r>
      <w:r>
        <w:rPr>
          <w:noProof/>
        </w:rPr>
        <w:tab/>
      </w:r>
      <w:r>
        <w:rPr>
          <w:noProof/>
        </w:rPr>
        <w:tab/>
        <w:t xml:space="preserve">Konačna regulatorna mjera (engl. </w:t>
      </w:r>
      <w:r>
        <w:rPr>
          <w:i/>
          <w:noProof/>
        </w:rPr>
        <w:t>Final Regulatory Action</w:t>
      </w:r>
      <w:r>
        <w:rPr>
          <w:noProof/>
        </w:rPr>
        <w:t>)</w:t>
      </w:r>
    </w:p>
    <w:p>
      <w:pPr>
        <w:pStyle w:val="MBT"/>
        <w:rPr>
          <w:noProof/>
        </w:rPr>
      </w:pPr>
      <w:r>
        <w:rPr>
          <w:noProof/>
        </w:rPr>
        <w:t>NEA</w:t>
      </w:r>
      <w:r>
        <w:rPr>
          <w:noProof/>
        </w:rPr>
        <w:tab/>
      </w:r>
      <w:r>
        <w:rPr>
          <w:noProof/>
        </w:rPr>
        <w:tab/>
        <w:t xml:space="preserve">Nacionalno provedbeno tijelo (engl. </w:t>
      </w:r>
      <w:r>
        <w:rPr>
          <w:i/>
          <w:noProof/>
        </w:rPr>
        <w:t>National Enforcement Authority</w:t>
      </w:r>
      <w:r>
        <w:rPr>
          <w:noProof/>
        </w:rPr>
        <w:t xml:space="preserve">) </w:t>
      </w:r>
    </w:p>
    <w:p>
      <w:pPr>
        <w:pStyle w:val="MBT"/>
        <w:ind w:left="1440" w:hanging="1440"/>
        <w:rPr>
          <w:noProof/>
        </w:rPr>
      </w:pPr>
      <w:r>
        <w:rPr>
          <w:noProof/>
        </w:rPr>
        <w:t>OECD</w:t>
      </w:r>
      <w:r>
        <w:rPr>
          <w:noProof/>
        </w:rPr>
        <w:tab/>
        <w:t xml:space="preserve">Organizacija za ekonomsku suradnju i razvoj (engl. </w:t>
      </w:r>
      <w:r>
        <w:rPr>
          <w:i/>
          <w:noProof/>
        </w:rPr>
        <w:t>Organisation for Economic Cooperation and Development</w:t>
      </w:r>
      <w:r>
        <w:rPr>
          <w:noProof/>
        </w:rPr>
        <w:t>)</w:t>
      </w:r>
    </w:p>
    <w:p>
      <w:pPr>
        <w:pStyle w:val="MBT"/>
        <w:rPr>
          <w:noProof/>
        </w:rPr>
      </w:pPr>
      <w:r>
        <w:rPr>
          <w:noProof/>
        </w:rPr>
        <w:t xml:space="preserve">PIC </w:t>
      </w:r>
      <w:r>
        <w:rPr>
          <w:noProof/>
        </w:rPr>
        <w:tab/>
      </w:r>
      <w:r>
        <w:rPr>
          <w:noProof/>
        </w:rPr>
        <w:tab/>
        <w:t xml:space="preserve">Prethodni informirani pristanak (engl. </w:t>
      </w:r>
      <w:r>
        <w:rPr>
          <w:i/>
          <w:noProof/>
        </w:rPr>
        <w:t>Prior Informed Consent</w:t>
      </w:r>
      <w:r>
        <w:rPr>
          <w:noProof/>
        </w:rPr>
        <w:t xml:space="preserve">) </w:t>
      </w:r>
    </w:p>
    <w:p>
      <w:pPr>
        <w:pStyle w:val="MBT"/>
        <w:ind w:left="1440" w:hanging="1440"/>
        <w:rPr>
          <w:noProof/>
        </w:rPr>
      </w:pPr>
      <w:r>
        <w:rPr>
          <w:noProof/>
        </w:rPr>
        <w:t>PPPR</w:t>
      </w:r>
      <w:r>
        <w:rPr>
          <w:noProof/>
        </w:rPr>
        <w:tab/>
        <w:t xml:space="preserve">Uredba o sredstvima za zaštitu bilja (engl. </w:t>
      </w:r>
      <w:r>
        <w:rPr>
          <w:i/>
          <w:noProof/>
        </w:rPr>
        <w:t>Plant Protection Products Regulation</w:t>
      </w:r>
      <w:r>
        <w:rPr>
          <w:noProof/>
        </w:rPr>
        <w:t xml:space="preserve">) </w:t>
      </w:r>
    </w:p>
    <w:p>
      <w:pPr>
        <w:pStyle w:val="MBT"/>
        <w:rPr>
          <w:noProof/>
        </w:rPr>
      </w:pPr>
      <w:r>
        <w:rPr>
          <w:noProof/>
        </w:rPr>
        <w:t>RC</w:t>
      </w:r>
      <w:r>
        <w:rPr>
          <w:noProof/>
        </w:rPr>
        <w:tab/>
      </w:r>
      <w:r>
        <w:rPr>
          <w:noProof/>
        </w:rPr>
        <w:tab/>
        <w:t xml:space="preserve">Roterdamska konvencija (engl. </w:t>
      </w:r>
      <w:r>
        <w:rPr>
          <w:i/>
          <w:noProof/>
        </w:rPr>
        <w:t>Rotterdam Convention</w:t>
      </w:r>
      <w:r>
        <w:rPr>
          <w:noProof/>
        </w:rPr>
        <w:t>)</w:t>
      </w:r>
    </w:p>
    <w:p>
      <w:pPr>
        <w:pStyle w:val="MBT"/>
        <w:ind w:left="1440" w:hanging="1440"/>
        <w:rPr>
          <w:noProof/>
        </w:rPr>
      </w:pPr>
      <w:r>
        <w:rPr>
          <w:noProof/>
        </w:rPr>
        <w:t>REACH</w:t>
      </w:r>
      <w:r>
        <w:rPr>
          <w:noProof/>
        </w:rPr>
        <w:tab/>
        <w:t xml:space="preserve">Uredba o registraciji, evaluaciji, autorizaciji i ograničavanju kemikalija (engl. </w:t>
      </w:r>
      <w:r>
        <w:rPr>
          <w:i/>
          <w:noProof/>
        </w:rPr>
        <w:t>Registration, Evaluation, Authorisation and Restriction of Chemicals Regulation</w:t>
      </w:r>
      <w:r>
        <w:rPr>
          <w:noProof/>
        </w:rPr>
        <w:t xml:space="preserve">) </w:t>
      </w:r>
    </w:p>
    <w:p>
      <w:pPr>
        <w:pStyle w:val="MBT"/>
        <w:rPr>
          <w:noProof/>
        </w:rPr>
      </w:pPr>
      <w:r>
        <w:rPr>
          <w:noProof/>
        </w:rPr>
        <w:t>RIN</w:t>
      </w:r>
      <w:r>
        <w:rPr>
          <w:noProof/>
        </w:rPr>
        <w:tab/>
      </w:r>
      <w:r>
        <w:rPr>
          <w:noProof/>
        </w:rPr>
        <w:tab/>
        <w:t xml:space="preserve">Referentni identifikacijski broj (engl. </w:t>
      </w:r>
      <w:r>
        <w:rPr>
          <w:i/>
          <w:noProof/>
        </w:rPr>
        <w:t>Reference Identification Number</w:t>
      </w:r>
      <w:r>
        <w:rPr>
          <w:noProof/>
        </w:rPr>
        <w:t xml:space="preserve">) </w:t>
      </w:r>
    </w:p>
    <w:p>
      <w:pPr>
        <w:pStyle w:val="MBT"/>
        <w:rPr>
          <w:noProof/>
        </w:rPr>
      </w:pPr>
      <w:r>
        <w:rPr>
          <w:noProof/>
        </w:rPr>
        <w:t>SDS</w:t>
      </w:r>
      <w:r>
        <w:rPr>
          <w:noProof/>
        </w:rPr>
        <w:tab/>
      </w:r>
      <w:r>
        <w:rPr>
          <w:noProof/>
        </w:rPr>
        <w:tab/>
        <w:t xml:space="preserve">Sigurnosno-tehnički list (engl. </w:t>
      </w:r>
      <w:r>
        <w:rPr>
          <w:i/>
          <w:noProof/>
        </w:rPr>
        <w:t>Safety Data Sheet</w:t>
      </w:r>
      <w:r>
        <w:rPr>
          <w:noProof/>
        </w:rPr>
        <w:t xml:space="preserve">) </w:t>
      </w:r>
    </w:p>
    <w:p>
      <w:pPr>
        <w:pStyle w:val="Text1"/>
        <w:rPr>
          <w:noProof/>
        </w:rPr>
      </w:pPr>
      <w:r>
        <w:rPr>
          <w:noProof/>
        </w:rPr>
        <w:br w:type="page"/>
      </w:r>
    </w:p>
    <w:p>
      <w:pPr>
        <w:pStyle w:val="Heading1"/>
        <w:rPr>
          <w:noProof/>
        </w:rPr>
      </w:pPr>
      <w:r>
        <w:rPr>
          <w:noProof/>
        </w:rPr>
        <w:lastRenderedPageBreak/>
        <w:t>Uvod</w:t>
      </w:r>
      <w:bookmarkEnd w:id="1"/>
      <w:r>
        <w:rPr>
          <w:noProof/>
        </w:rPr>
        <w:t xml:space="preserve"> </w:t>
      </w:r>
    </w:p>
    <w:p>
      <w:pPr>
        <w:pStyle w:val="Heading2"/>
        <w:spacing w:after="240"/>
        <w:ind w:left="1202"/>
        <w:rPr>
          <w:noProof/>
        </w:rPr>
      </w:pPr>
      <w:bookmarkStart w:id="3" w:name="_Toc497750118"/>
      <w:r>
        <w:rPr>
          <w:noProof/>
        </w:rPr>
        <w:t>Uredba o prethodnom informiranom pristanku</w:t>
      </w:r>
      <w:bookmarkEnd w:id="3"/>
      <w:r>
        <w:rPr>
          <w:noProof/>
        </w:rPr>
        <w:t xml:space="preserve"> </w:t>
      </w:r>
    </w:p>
    <w:p>
      <w:pPr>
        <w:pStyle w:val="MBT"/>
        <w:rPr>
          <w:noProof/>
          <w:szCs w:val="20"/>
        </w:rPr>
      </w:pPr>
    </w:p>
    <w:p>
      <w:pPr>
        <w:pStyle w:val="MBT"/>
        <w:rPr>
          <w:noProof/>
        </w:rPr>
      </w:pPr>
      <w:r>
        <w:rPr>
          <w:noProof/>
        </w:rPr>
        <w:t>Uredbom (EU) br. 649/2012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(„Uredba o prethodnom informiranom pristanku”) provodi se Roterdamska konvencija o postupku prethodnog informiranog pristanka (PIC) za određene opasne kemikalije i pesticide u međunarodnoj trgovini, koja je donesena 1998. i koju je Unija ratificirala 2002. Cilj je Uredbe poticati zajedničku odgovornost i suradnju u međunarodnom kretanju opasnih kemikalija i štititi zdravlje ljudi i okoliš od moguće štete olakšavanjem razmjene informacija o svojstvima opasnih kemikalija, osiguravanjem postupka donošenja odluka unutar Unije u vezi s njihovim uvozom i izvozom i dostavljanjem odluka strankama i drugim zemljama (članak 1.). 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Uredba o prethodnom informiranom pristanku primjenjuje se na kemikalije koje ispunjavaju kriterije za postupak prethodnog informiranog pristanka iz Roterdamske konvencije i na industrijske kemikalije (koje upotrebljavaju stručnjaci i potrošači) i pesticide (uključujući biocide) koji su zabranjeni ili strogo ograničeni zakonodavstvom Unije iz zdravstvenih razloga ili razloga u pogledu okoliša. Uredbom se uvode obveze poduzećima koja namjeravaju izvoziti takve kemikalije u treće zemlje neovisno o tome jesu li one stranke Roterdamske konvencije ili nisu. Izvoz podliježe različitim zahtjevima, ovisno o uvrštenju tih kemikalija na popis u Prilogu I. Uredbi: kemikalije navedene u dijelu 1. Priloga I. podliježu dostavljanju obavijesti o izvozu tijelu zemlje uvoznice; kemikalije navedene u dijelovima 2. i 3. Priloga I. podliježu obavijesti o izvozu i izričitom pristanku tijela zemlje uvoznice, osim ako podliježu postupku prethodnog informiranog pristanka na temelju Konvencije i ako se izvoze stranci koja je dala pozitivan odgovor za uvoz, ili u zemlju koja se odrekla prava da bude obaviještena. Te se obveze primjenjuju i na smjese koje sadržavaju tvari navedene u Prilogu I. Uredbi u koncentracijama koje podliježu obvezama označivanja iz Uredbe (EZ) br. 1272/2008 o razvrstavanju, označivanju i pakiranju tvari i smjesa (CLP)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, te na određene proizvode. 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Uredbom o prethodnom informiranom pristanku uvode se i obveze za Komisiju da obavijesti Tajništvo Konvencije o konačnoj regulatornoj mjeri (FRA) kojom se zabranjuje ili strogo ograničuje uporaba kemikalije u Uniji u kategoriji uporabe iz Konvencije (industrijske kemikalije ili pesticidi). Kemikalije za koje se takva obavijest zahtijeva navedene su u dijelu 2. Priloga I. Uredbi o prethodnom informiranom pristanku. Obaviješću o konačnoj regulatornoj mjeri nastoji se informirati druge stranke o mogućim rizicima od uporabe tih kemikalija te ona predstavlja osnovu za uvrštenje kemikalija na popis u Prilogu III. Konvenciji.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Za kemikalije navedene u dijelu 3. Priloga I. (u kojem se odražava Prilog III. Konvenciji), Komisija u bliskoj suradnji s državama članicama i na temelju prava Unije donosi odluku o uvozu u kojoj se navodi može li se i pod kojim uvjetima kemikalija uvesti u Uniju. To se isto tako šalje Tajništvu Konvencije.</w:t>
      </w:r>
    </w:p>
    <w:p>
      <w:pPr>
        <w:pStyle w:val="MBT"/>
        <w:rPr>
          <w:noProof/>
          <w:szCs w:val="20"/>
        </w:rPr>
      </w:pPr>
    </w:p>
    <w:p>
      <w:pPr>
        <w:pStyle w:val="Heading2"/>
        <w:spacing w:after="240"/>
        <w:ind w:left="1202"/>
        <w:rPr>
          <w:noProof/>
        </w:rPr>
      </w:pPr>
      <w:r>
        <w:rPr>
          <w:noProof/>
        </w:rPr>
        <w:lastRenderedPageBreak/>
        <w:t xml:space="preserve">Postupak izvješćivanja </w:t>
      </w:r>
    </w:p>
    <w:p>
      <w:pPr>
        <w:pStyle w:val="MBT"/>
        <w:rPr>
          <w:noProof/>
          <w:szCs w:val="20"/>
        </w:rPr>
      </w:pPr>
    </w:p>
    <w:p>
      <w:pPr>
        <w:pStyle w:val="MBT"/>
        <w:rPr>
          <w:noProof/>
          <w:szCs w:val="20"/>
        </w:rPr>
      </w:pPr>
      <w:r>
        <w:rPr>
          <w:noProof/>
        </w:rPr>
        <w:t xml:space="preserve">Člankom 22. Uredbe o prethodnom informiranom pristanku zahtijeva se da Komisija svake tri godine izvješćuje o svojim aktivnostima u okviru Uredbe i da sastavi zbirno izvješće o uspješnosti Uredbe o prethodnom informiranom pristanku, koje objedinjuje: </w:t>
      </w:r>
    </w:p>
    <w:p>
      <w:pPr>
        <w:pStyle w:val="MBT"/>
        <w:numPr>
          <w:ilvl w:val="0"/>
          <w:numId w:val="30"/>
        </w:numPr>
        <w:rPr>
          <w:noProof/>
          <w:szCs w:val="20"/>
        </w:rPr>
      </w:pPr>
      <w:r>
        <w:rPr>
          <w:noProof/>
        </w:rPr>
        <w:t>informacije koje su države članice dostavile u skladu s člankom 22. stavkom 1. o provedbi postupaka predviđenih ovom Uredbom, uključujući carinsku kontrolu, povrede, sankcije i korektivne mjere;</w:t>
      </w:r>
    </w:p>
    <w:p>
      <w:pPr>
        <w:pStyle w:val="MBT"/>
        <w:numPr>
          <w:ilvl w:val="0"/>
          <w:numId w:val="30"/>
        </w:numPr>
        <w:rPr>
          <w:noProof/>
          <w:szCs w:val="20"/>
        </w:rPr>
      </w:pPr>
      <w:r>
        <w:rPr>
          <w:noProof/>
        </w:rPr>
        <w:t>informacije koje je dostavila Europska agencija za kemikalije (ECHA) u skladu s člankom 22. stavkom 1. o provedbi postupaka iz Uredbe o prethodnom informiranom pristanku.</w:t>
      </w:r>
    </w:p>
    <w:p>
      <w:pPr>
        <w:pStyle w:val="MBT"/>
        <w:rPr>
          <w:noProof/>
          <w:szCs w:val="20"/>
        </w:rPr>
      </w:pPr>
    </w:p>
    <w:p>
      <w:pPr>
        <w:pStyle w:val="MBT"/>
        <w:rPr>
          <w:noProof/>
        </w:rPr>
      </w:pPr>
      <w:r>
        <w:rPr>
          <w:noProof/>
        </w:rPr>
        <w:t xml:space="preserve">Ovaj postupak izvješćivanja prvi je u okviru Uredbe o prethodnom informiranom pristanku i </w:t>
      </w:r>
      <w:bookmarkStart w:id="4" w:name="_Hlk495932568"/>
      <w:r>
        <w:rPr>
          <w:noProof/>
        </w:rPr>
        <w:t>obuhvaća tri godine provedbe od kada je Uredba postala primjenjiva (2014.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–2016.). </w:t>
      </w:r>
      <w:bookmarkStart w:id="5" w:name="_Hlk495932502"/>
      <w:bookmarkEnd w:id="4"/>
      <w:r>
        <w:rPr>
          <w:noProof/>
        </w:rPr>
        <w:t>Zajednički obrazac za izvješćivanje za imenovana nacionalna tijela (DNA-i) uspostavljen je Provedbenom odlukom Komisije (EU) 2016/770 od 14. travnja 2016.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 kako bi se prikupile dosljedne informacije u državama članicama. </w:t>
      </w:r>
      <w:bookmarkEnd w:id="5"/>
      <w:r>
        <w:rPr>
          <w:noProof/>
        </w:rPr>
        <w:t>Obrazac za izvješćivanje za izvješće Agencije na sličan je način donesen Provedbenom odlukom Komisije (EU) 2016/1115 od 7. srpnja 2016.</w:t>
      </w:r>
      <w:r>
        <w:rPr>
          <w:rStyle w:val="FootnoteReference"/>
          <w:noProof/>
        </w:rPr>
        <w:t xml:space="preserve"> </w:t>
      </w:r>
      <w:r>
        <w:rPr>
          <w:rStyle w:val="FootnoteReference"/>
          <w:noProof/>
        </w:rPr>
        <w:footnoteReference w:id="5"/>
      </w:r>
      <w:r>
        <w:rPr>
          <w:noProof/>
        </w:rPr>
        <w:t>.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bookmarkStart w:id="6" w:name="_Hlk495932603"/>
      <w:r>
        <w:rPr>
          <w:noProof/>
        </w:rPr>
        <w:t xml:space="preserve">Države članice i Agencija morale su podnijeti izvješća do 31. svibnja 2017., ali u postupku izvješćivanja došlo je do određenih kašnjenja. </w:t>
      </w:r>
      <w:bookmarkEnd w:id="6"/>
      <w:r>
        <w:rPr>
          <w:noProof/>
        </w:rPr>
        <w:t xml:space="preserve">Izvješće Agencije zaprimljeno je 18. srpnja 2017., a izvješćivanje država članica </w:t>
      </w:r>
      <w:bookmarkStart w:id="7" w:name="_Hlk495932618"/>
      <w:r>
        <w:rPr>
          <w:noProof/>
        </w:rPr>
        <w:t xml:space="preserve">završeno je 5. listopada 2017., nakon podnošenja konačnog upitnika za izvješćivanje. </w:t>
      </w:r>
      <w:bookmarkEnd w:id="7"/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Ovo je izvješće sažetak zbirnog izvješća u skladu s člankom 22. Uredbe o prethodnom informiranom pristanku, u kojem su objedinjeni nalazi izvješća Komisije, Agencije i država članica. U njemu je pružen pregled provedbe Uredbe o prethodnom informiranom pristanku u razdoblju 2014.–2016. </w:t>
      </w:r>
    </w:p>
    <w:p>
      <w:pPr>
        <w:pStyle w:val="MBT"/>
        <w:rPr>
          <w:noProof/>
        </w:rPr>
      </w:pPr>
    </w:p>
    <w:p>
      <w:pPr>
        <w:pStyle w:val="Heading1"/>
        <w:rPr>
          <w:noProof/>
        </w:rPr>
      </w:pPr>
      <w:r>
        <w:rPr>
          <w:noProof/>
        </w:rPr>
        <w:t>Provedba Uredbe o prethodnom informiranom pristanku</w:t>
      </w:r>
    </w:p>
    <w:p>
      <w:pPr>
        <w:pStyle w:val="Heading2"/>
        <w:rPr>
          <w:noProof/>
        </w:rPr>
      </w:pPr>
      <w:r>
        <w:rPr>
          <w:noProof/>
        </w:rPr>
        <w:t xml:space="preserve">Sve države članice imenovale su svoje nacionalno nadležno tijelo 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U skladu s člankom 4. Uredbe o prethodnom informiranom pristanku, države članice moraju imenovati nadležno tijelo ili više njih (imenovana nacionalna tijela ili DNA-i) za izvršavanje upravnih funkcija propisanih Uredbom o prethodnom informiranom pristanku. DNA-i imaju važne uloge u postupku obavješćivanja o izvozu: provjeriti usklađenost obavijesti o izvozu i proslijediti ih Agenciji; rješavati zahtjeve za izričiti pristanak i odlučivati o odustajanju od zahtjeva; rješavati zahtjeve u pogledu posebnog referentnog identifikacijskog broja (RIN); i obavješćivati Komisiju o odlukama o zabrani ili strogom </w:t>
      </w:r>
      <w:r>
        <w:rPr>
          <w:noProof/>
        </w:rPr>
        <w:lastRenderedPageBreak/>
        <w:t xml:space="preserve">ograničenju kemikalije na nacionalnoj razini. U skladu s člankom 10. DNA-i imaju i obveze izvješćivanja kao što je informiranje Agencije o trgovini kemikalijama navedenima u Prilogu I. Oni su odgovorni i za pružanje informacija zemljama uvoznicama na zahtjev, olakšavanje razmjene informacija o kemikalijama i suradnju u promicanju tehničke pomoći. 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Države članice imenovale su trideset i pet takvih tijela. Većina država članica (njih 22) ima samo jedan DNA, dok ih šest ima dva ili tri. DNA-i su uglavnom ministarstva ili agencije odgovorne za okoliš, kemikalije i zdravlje ili zdravlje i sigurnost. Države članice s više od jednim DNA-om uglavnom dijele svoje odgovornosti, tako da jedan DNA nadzire industrijske kemikalije, a drugi je odgovoran za pesticide.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Resursi potrebni za provedbu Uredbe o prethodnom informiranom pristanku u državama članicama, osobito ljudski resursi, ovise o broju obavijesti o izvozu i zahtjeva za izričiti pristanak koji se obrađuju. Brojke koje su dostavile države članice za ljudske resurse koji rade na prethodnom informiranom pristanku u DNA-ima kreću se između 0,1 ekvivalenta punog radnog vremena za države članice s malo obavijesti o izvozu koje treba obraditi i 2 ekvivalenta punog radnog vremena za države članice s najvećim brojem obavijesti o izvozu.</w:t>
      </w:r>
    </w:p>
    <w:p>
      <w:pPr>
        <w:pStyle w:val="Body"/>
        <w:spacing w:after="360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>Radno opterećenje Agencije bilo je veće od očekivanog prije stupanja na snagu Uredbe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Agencija ima središnju ulogu u osiguravanju da postupak obavješćivanja o izvozu valjano funkcionira tako što: </w:t>
      </w:r>
    </w:p>
    <w:p>
      <w:pPr>
        <w:pStyle w:val="MBT"/>
        <w:numPr>
          <w:ilvl w:val="0"/>
          <w:numId w:val="36"/>
        </w:numPr>
        <w:rPr>
          <w:noProof/>
        </w:rPr>
      </w:pPr>
      <w:r>
        <w:rPr>
          <w:noProof/>
        </w:rPr>
        <w:t>evidentira obavijesti o izvozu, provjerava njihovu potpunost i prosljeđuje ih DNA-u zemlje uvoznice (članak 8. stavak 2.),</w:t>
      </w:r>
    </w:p>
    <w:p>
      <w:pPr>
        <w:pStyle w:val="MBT"/>
        <w:numPr>
          <w:ilvl w:val="0"/>
          <w:numId w:val="36"/>
        </w:numPr>
        <w:rPr>
          <w:noProof/>
        </w:rPr>
      </w:pPr>
      <w:r>
        <w:rPr>
          <w:noProof/>
        </w:rPr>
        <w:t>šalje drugu obavijest o izvozu ako u roku od 30 dana od prvog slanja ne primi potvrdu o primitku od nadležnog tijela u zemlji koja nije država članica EU-a (članak 8. stavak 3.),</w:t>
      </w:r>
    </w:p>
    <w:p>
      <w:pPr>
        <w:pStyle w:val="MBT"/>
        <w:numPr>
          <w:ilvl w:val="0"/>
          <w:numId w:val="36"/>
        </w:numPr>
        <w:rPr>
          <w:noProof/>
        </w:rPr>
      </w:pPr>
      <w:r>
        <w:rPr>
          <w:noProof/>
        </w:rPr>
        <w:t xml:space="preserve">osigurava da obavijesti o izvozu primljene od DNA-a iz treće zemlje budu dostupne svim DNA-ima u EU-u (članak 9. stavak 1.), </w:t>
      </w:r>
    </w:p>
    <w:p>
      <w:pPr>
        <w:pStyle w:val="MBT"/>
        <w:numPr>
          <w:ilvl w:val="0"/>
          <w:numId w:val="36"/>
        </w:numPr>
        <w:rPr>
          <w:noProof/>
        </w:rPr>
      </w:pPr>
      <w:r>
        <w:rPr>
          <w:noProof/>
        </w:rPr>
        <w:t>potvrđuje primitak obavijesti o izvozu primljenih od zemalja koje nisu države članice EU-a (članak 9. stavak 1.),</w:t>
      </w:r>
    </w:p>
    <w:p>
      <w:pPr>
        <w:pStyle w:val="MBT"/>
        <w:numPr>
          <w:ilvl w:val="0"/>
          <w:numId w:val="36"/>
        </w:numPr>
        <w:rPr>
          <w:noProof/>
        </w:rPr>
      </w:pPr>
      <w:r>
        <w:rPr>
          <w:noProof/>
        </w:rPr>
        <w:t>šalje podsjetnik za zahtjev za izričiti pristanak ako u roku od 30 dana od prvog zahtjeva ne primi odgovor od nadležnog tijela u zemlji koja nije država članica EU-a, šalje drugi podsjetnik nakon daljnjih 30 dana ako još uvijek nema odgovora (članak 14. stavak 6.),</w:t>
      </w:r>
    </w:p>
    <w:p>
      <w:pPr>
        <w:pStyle w:val="MBT"/>
        <w:numPr>
          <w:ilvl w:val="0"/>
          <w:numId w:val="36"/>
        </w:numPr>
        <w:rPr>
          <w:noProof/>
        </w:rPr>
      </w:pPr>
      <w:r>
        <w:rPr>
          <w:noProof/>
        </w:rPr>
        <w:t>podupire DNA-e u EU-u i Komisiju pri odlučivanju o odustajanju od izričitog pristanka u skladu s člankom 14. stavkom 6. i člankom 14. stavkom 7.,</w:t>
      </w:r>
    </w:p>
    <w:p>
      <w:pPr>
        <w:pStyle w:val="MBT"/>
        <w:numPr>
          <w:ilvl w:val="0"/>
          <w:numId w:val="36"/>
        </w:numPr>
        <w:rPr>
          <w:noProof/>
        </w:rPr>
      </w:pPr>
      <w:r>
        <w:rPr>
          <w:noProof/>
        </w:rPr>
        <w:t xml:space="preserve">prikuplja, rezimira i objavljuje podatke koje svake godine primi od DNA-a o količinama kemikalija koje se izvoze i uvoze (članak 10. stavak 3.). </w:t>
      </w:r>
    </w:p>
    <w:p>
      <w:pPr>
        <w:spacing w:after="0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Agencija je odgovorna za razvoj aplikacije za obradu obavijesti o izvozu i izričitih pristanaka koje dostavljaju zemlje uvoznice (ePIC) i za upravljanje njome. Osim toga, ona pruža pomoć i tehničke i znanstvene smjernice industriji, DNA-ima iz država članica EU-a i trećih zemalja te Europskoj komisiji (članak 6.).</w:t>
      </w:r>
    </w:p>
    <w:p>
      <w:pPr>
        <w:pStyle w:val="Body"/>
        <w:rPr>
          <w:noProof/>
        </w:rPr>
      </w:pPr>
    </w:p>
    <w:p>
      <w:pPr>
        <w:spacing w:after="120"/>
        <w:rPr>
          <w:rFonts w:ascii="Verdana" w:hAnsi="Verdana"/>
          <w:noProof/>
          <w:sz w:val="20"/>
        </w:rPr>
      </w:pPr>
      <w:r>
        <w:rPr>
          <w:rFonts w:ascii="Verdana" w:hAnsi="Verdana"/>
          <w:noProof/>
          <w:sz w:val="20"/>
        </w:rPr>
        <w:t xml:space="preserve">Kao što je istaknuto u izvješću Agencije, broj obavijesti o izvozu povećao se iznad predviđenog godišnjeg povećanja od 10 %, što je stvorilo dodatno radno opterećenje iznad očekivanog te povećalo vrijeme utrošeno na pružanje podrške DNA-ima (iz država članica EU-a i zemalja koje nisu države članice EU-a). Na potporu DNA-ima u EU-u i izvan EU-a zaposlenici troše između 30 % i 40 % radnog vremena. Porast broja obavijesti o izvozu zahtijevao je i poboljšanje aplikacije za prethodni informirani pristanak, npr. </w:t>
      </w:r>
      <w:r>
        <w:rPr>
          <w:rFonts w:ascii="Verdana" w:hAnsi="Verdana"/>
          <w:noProof/>
          <w:sz w:val="20"/>
        </w:rPr>
        <w:lastRenderedPageBreak/>
        <w:t xml:space="preserve">povećanu automatizaciju određenih procesa kako bi se smanjilo radno opterećenje za korisnike u industriji i nadležna tijela te im se tako pomoglo u ispunjavanju zakonskih rokova. </w:t>
      </w:r>
    </w:p>
    <w:p>
      <w:pPr>
        <w:pStyle w:val="Caption"/>
        <w:rPr>
          <w:noProof/>
        </w:rPr>
      </w:pPr>
      <w:r>
        <w:rPr>
          <w:noProof/>
        </w:rPr>
        <w:t>Tablica 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rPr>
          <w:noProof/>
        </w:rPr>
        <w:t xml:space="preserve">: Broj predviđenih obavijesti u odnosu na broj obavijesti koje je obradila Agencija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821"/>
        <w:gridCol w:w="1822"/>
        <w:gridCol w:w="1822"/>
        <w:gridCol w:w="1822"/>
      </w:tblGrid>
      <w:tr>
        <w:tc>
          <w:tcPr>
            <w:tcW w:w="2057" w:type="pct"/>
            <w:shd w:val="clear" w:color="auto" w:fill="000099"/>
          </w:tcPr>
          <w:p>
            <w:pPr>
              <w:pStyle w:val="MBT"/>
              <w:rPr>
                <w:noProof/>
                <w:color w:val="FFFFFF"/>
              </w:rPr>
            </w:pPr>
          </w:p>
        </w:tc>
        <w:tc>
          <w:tcPr>
            <w:tcW w:w="981" w:type="pct"/>
            <w:shd w:val="clear" w:color="auto" w:fill="000099"/>
          </w:tcPr>
          <w:p>
            <w:pPr>
              <w:pStyle w:val="MB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>2014.</w:t>
            </w:r>
          </w:p>
        </w:tc>
        <w:tc>
          <w:tcPr>
            <w:tcW w:w="981" w:type="pct"/>
            <w:shd w:val="clear" w:color="auto" w:fill="000099"/>
          </w:tcPr>
          <w:p>
            <w:pPr>
              <w:pStyle w:val="MB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>2015.</w:t>
            </w:r>
          </w:p>
        </w:tc>
        <w:tc>
          <w:tcPr>
            <w:tcW w:w="981" w:type="pct"/>
            <w:shd w:val="clear" w:color="auto" w:fill="000099"/>
          </w:tcPr>
          <w:p>
            <w:pPr>
              <w:pStyle w:val="MB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>2016.</w:t>
            </w:r>
          </w:p>
        </w:tc>
      </w:tr>
      <w:tr>
        <w:tc>
          <w:tcPr>
            <w:tcW w:w="2057" w:type="pct"/>
            <w:shd w:val="clear" w:color="auto" w:fill="F2F2F2"/>
          </w:tcPr>
          <w:p>
            <w:pPr>
              <w:pStyle w:val="MB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Procijenjeni br. obavijesti</w:t>
            </w:r>
          </w:p>
        </w:tc>
        <w:tc>
          <w:tcPr>
            <w:tcW w:w="981" w:type="pct"/>
            <w:shd w:val="clear" w:color="auto" w:fill="F2F2F2"/>
          </w:tcPr>
          <w:p>
            <w:pPr>
              <w:pStyle w:val="MB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4 000</w:t>
            </w:r>
          </w:p>
        </w:tc>
        <w:tc>
          <w:tcPr>
            <w:tcW w:w="981" w:type="pct"/>
            <w:shd w:val="clear" w:color="auto" w:fill="F2F2F2"/>
          </w:tcPr>
          <w:p>
            <w:pPr>
              <w:pStyle w:val="MB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4 300</w:t>
            </w:r>
          </w:p>
        </w:tc>
        <w:tc>
          <w:tcPr>
            <w:tcW w:w="981" w:type="pct"/>
            <w:shd w:val="clear" w:color="auto" w:fill="F2F2F2"/>
          </w:tcPr>
          <w:p>
            <w:pPr>
              <w:pStyle w:val="MB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6 300</w:t>
            </w:r>
          </w:p>
        </w:tc>
      </w:tr>
      <w:tr>
        <w:tc>
          <w:tcPr>
            <w:tcW w:w="2057" w:type="pct"/>
            <w:shd w:val="clear" w:color="auto" w:fill="F2F2F2"/>
          </w:tcPr>
          <w:p>
            <w:pPr>
              <w:pStyle w:val="MB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Stvaran br. obavijesti </w:t>
            </w:r>
          </w:p>
        </w:tc>
        <w:tc>
          <w:tcPr>
            <w:tcW w:w="981" w:type="pct"/>
            <w:shd w:val="clear" w:color="auto" w:fill="F2F2F2"/>
          </w:tcPr>
          <w:p>
            <w:pPr>
              <w:pStyle w:val="MB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4 575</w:t>
            </w:r>
          </w:p>
        </w:tc>
        <w:tc>
          <w:tcPr>
            <w:tcW w:w="981" w:type="pct"/>
            <w:shd w:val="clear" w:color="auto" w:fill="F2F2F2"/>
          </w:tcPr>
          <w:p>
            <w:pPr>
              <w:pStyle w:val="MB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5 460</w:t>
            </w:r>
          </w:p>
        </w:tc>
        <w:tc>
          <w:tcPr>
            <w:tcW w:w="981" w:type="pct"/>
            <w:shd w:val="clear" w:color="auto" w:fill="F2F2F2"/>
          </w:tcPr>
          <w:p>
            <w:pPr>
              <w:pStyle w:val="MB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7 967</w:t>
            </w:r>
          </w:p>
        </w:tc>
      </w:tr>
    </w:tbl>
    <w:p>
      <w:pPr>
        <w:pStyle w:val="MBT"/>
        <w:rPr>
          <w:noProof/>
        </w:rPr>
      </w:pPr>
    </w:p>
    <w:p>
      <w:pPr>
        <w:pStyle w:val="Body"/>
        <w:jc w:val="both"/>
        <w:rPr>
          <w:noProof/>
        </w:rPr>
      </w:pPr>
      <w:r>
        <w:rPr>
          <w:noProof/>
        </w:rPr>
        <w:t>Agencija je navela da trenutačno radno opterećenje potvrđuje taj trend i da će preuzimanje tog dodatnog posla zahtijevati dodatne ljudske i financijske resurse.</w:t>
      </w:r>
    </w:p>
    <w:p>
      <w:pPr>
        <w:pStyle w:val="Body"/>
        <w:rPr>
          <w:noProof/>
        </w:rPr>
      </w:pPr>
    </w:p>
    <w:p>
      <w:pPr>
        <w:pStyle w:val="Heading2"/>
        <w:rPr>
          <w:noProof/>
        </w:rPr>
      </w:pPr>
      <w:bookmarkStart w:id="8" w:name="_Toc495401093"/>
      <w:bookmarkStart w:id="9" w:name="_Toc497750130"/>
      <w:r>
        <w:rPr>
          <w:noProof/>
        </w:rPr>
        <w:t xml:space="preserve">Komisija, Agencija i DNA-i </w:t>
      </w:r>
      <w:bookmarkEnd w:id="8"/>
      <w:bookmarkEnd w:id="9"/>
      <w:r>
        <w:rPr>
          <w:noProof/>
        </w:rPr>
        <w:t xml:space="preserve">smatraju da je koordinacija između EU-a i nacionalnih institucija učinkovita </w:t>
      </w:r>
    </w:p>
    <w:p>
      <w:pPr>
        <w:pStyle w:val="MBT"/>
        <w:tabs>
          <w:tab w:val="right" w:pos="9070"/>
        </w:tabs>
        <w:rPr>
          <w:noProof/>
        </w:rPr>
      </w:pPr>
      <w:bookmarkStart w:id="10" w:name="_Toc497750138"/>
    </w:p>
    <w:p>
      <w:pPr>
        <w:pStyle w:val="MBT"/>
        <w:tabs>
          <w:tab w:val="right" w:pos="9070"/>
        </w:tabs>
        <w:rPr>
          <w:noProof/>
        </w:rPr>
      </w:pPr>
      <w:r>
        <w:rPr>
          <w:noProof/>
        </w:rPr>
        <w:t xml:space="preserve">Države članice općenito smatraju da je koordinacija između DNA-a i Komisije te između DNA-a i Agencije zadovoljavajuća. Nekoliko DNA-a navelo je da cijeni potporu Komisije i Agencije zbog njezine brzine i kvalitete. Agencija je suradnju s DNA-ima ocijenila kao slično učinkovitu, uključujući i u slučajevima rješavanja neslaganja. Komisija isto tako smatra da je suradnja s DNA-ima učinkovita, posebice u okviru rasprava na sastancima DNA-a o prethodnom informiranom pristanku koji se održavaju dvaput godišnje. </w:t>
      </w:r>
    </w:p>
    <w:p>
      <w:pPr>
        <w:pStyle w:val="Body"/>
        <w:jc w:val="both"/>
        <w:rPr>
          <w:noProof/>
        </w:rPr>
      </w:pPr>
    </w:p>
    <w:p>
      <w:pPr>
        <w:pStyle w:val="Body"/>
        <w:jc w:val="both"/>
        <w:rPr>
          <w:noProof/>
        </w:rPr>
      </w:pPr>
      <w:r>
        <w:rPr>
          <w:noProof/>
        </w:rPr>
        <w:t>Agencija smatra da je suradnja s Komisijom zadovoljavajuća, ukazujući na niz područja u kojima je potrebno poboljšanje kao što je priprema obavijesti o FRA-ima, priprema sastanaka, provedba članka 14. stavka 6. i članka 14. stavka 7. te postupka za ažuriranje priloga. I Komisija smatra da je suradnja s Agencijom zadovoljavajuća, naglašavajući redovitu razmjenu u pogledu znanstvenih, tehničkih i pravnih pitanja koja se pojavljuju u kontekstu provedbe, posebice pravnog tumačenja odredaba i njihove praktične primjene.</w:t>
      </w:r>
    </w:p>
    <w:p>
      <w:pPr>
        <w:pStyle w:val="Body"/>
        <w:jc w:val="both"/>
        <w:rPr>
          <w:noProof/>
        </w:rPr>
      </w:pPr>
    </w:p>
    <w:p>
      <w:pPr>
        <w:pStyle w:val="Heading1"/>
        <w:rPr>
          <w:noProof/>
        </w:rPr>
      </w:pPr>
      <w:r>
        <w:rPr>
          <w:noProof/>
        </w:rPr>
        <w:t>Ažuriranja Priloga I. Uredbi o prethodnom informiranom pristanku</w:t>
      </w:r>
      <w:bookmarkEnd w:id="10"/>
      <w:r>
        <w:rPr>
          <w:noProof/>
        </w:rPr>
        <w:t xml:space="preserve"> </w:t>
      </w:r>
    </w:p>
    <w:p>
      <w:pPr>
        <w:pStyle w:val="Body"/>
        <w:jc w:val="both"/>
        <w:rPr>
          <w:noProof/>
        </w:rPr>
      </w:pPr>
      <w:r>
        <w:rPr>
          <w:noProof/>
        </w:rPr>
        <w:t>U skladu s člankom 23., popis kemikalija iz Priloga I. Komisija bi trebala pregledati najmanje jednom godišnje, na temelju promjena u pravu EU-a – uglavnom u Uredbi REACH</w:t>
      </w:r>
      <w:r>
        <w:rPr>
          <w:rStyle w:val="FootnoteReference"/>
          <w:noProof/>
        </w:rPr>
        <w:footnoteReference w:id="6"/>
      </w:r>
      <w:r>
        <w:rPr>
          <w:noProof/>
        </w:rPr>
        <w:t>, Uredbi o biocidnim proizvodima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 i Uredbi o sredstvima za zaštitu bilja</w:t>
      </w:r>
      <w:r>
        <w:rPr>
          <w:rStyle w:val="FootnoteReference"/>
          <w:noProof/>
        </w:rPr>
        <w:footnoteReference w:id="8"/>
      </w:r>
      <w:r>
        <w:rPr>
          <w:noProof/>
        </w:rPr>
        <w:t xml:space="preserve"> te u okviru Konvencije. Prilozi Uredbi o prethodnom informiranom pristanku mijenjaju se delegiranim aktima koje donosi Komisija.</w:t>
      </w:r>
    </w:p>
    <w:p>
      <w:pPr>
        <w:pStyle w:val="Body"/>
        <w:jc w:val="both"/>
        <w:rPr>
          <w:noProof/>
        </w:rPr>
      </w:pPr>
    </w:p>
    <w:p>
      <w:pPr>
        <w:pStyle w:val="Body"/>
        <w:jc w:val="both"/>
        <w:rPr>
          <w:noProof/>
        </w:rPr>
      </w:pPr>
      <w:r>
        <w:rPr>
          <w:noProof/>
        </w:rPr>
        <w:t xml:space="preserve">Tijekom razdoblja izvješćivanja, 21 tvar uvrštena je u dio 1. te 10 tvari u dio 2 Priloga I. Dvanaest od tih tvari uvršteno je nakon zabrane njihove upotrebe kao pesticida na temelju Uredbe o sredstvima za zaštitu bilja, a devet nakon uvrštenja u Prilog XVII. Uredbi REACH. Sedam ih je uvršteno u dio 3. Priloga III. nakon njihova uvrštenja u Prilog III. Roterdamskoj konvenciji. </w:t>
      </w:r>
    </w:p>
    <w:p>
      <w:pPr>
        <w:pStyle w:val="Body"/>
        <w:spacing w:after="240"/>
        <w:jc w:val="both"/>
        <w:rPr>
          <w:noProof/>
        </w:rPr>
      </w:pPr>
    </w:p>
    <w:p>
      <w:pPr>
        <w:pStyle w:val="Caption"/>
        <w:rPr>
          <w:noProof/>
        </w:rPr>
      </w:pPr>
      <w:r>
        <w:rPr>
          <w:noProof/>
        </w:rPr>
        <w:t>Tablica 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rPr>
          <w:noProof/>
        </w:rPr>
        <w:t>: Tvari dodane u Prilog 1 tijekom razdoblja izvješćivanja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91"/>
        <w:gridCol w:w="3658"/>
        <w:gridCol w:w="1679"/>
        <w:gridCol w:w="1859"/>
      </w:tblGrid>
      <w:tr>
        <w:trPr>
          <w:tblHeader/>
        </w:trPr>
        <w:tc>
          <w:tcPr>
            <w:tcW w:w="112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99"/>
            <w:hideMark/>
          </w:tcPr>
          <w:p>
            <w:pPr>
              <w:pStyle w:val="MB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>Delegirani akt</w:t>
            </w: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99"/>
            <w:hideMark/>
          </w:tcPr>
          <w:p>
            <w:pPr>
              <w:pStyle w:val="MB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 xml:space="preserve">Kemikalija 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99"/>
            <w:hideMark/>
          </w:tcPr>
          <w:p>
            <w:pPr>
              <w:pStyle w:val="MBT"/>
              <w:jc w:val="lef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>Izmjena Priloga I.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99"/>
            <w:hideMark/>
          </w:tcPr>
          <w:p>
            <w:pPr>
              <w:pStyle w:val="MBT"/>
              <w:jc w:val="lef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>Osnova za uvrštenje</w:t>
            </w:r>
          </w:p>
        </w:tc>
      </w:tr>
      <w:tr>
        <w:tc>
          <w:tcPr>
            <w:tcW w:w="1125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Delegirana uredba Komisije (EU) br. 1078/2014 оd 7. kolovoza 2014. o izmjeni Priloga I. Uredbi (EU) br. 649/2012</w:t>
            </w: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Azociklotin 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Dijelovi 1 i 2.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PPPR 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Bitertanol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Dijelovi 1 i 2.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PPPR 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Cinidon-etil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Dijelovi 1 i 2.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PPPR 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Ciklanilid 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Dijelovi 1 i 2.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PPPR 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Ciflutrin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Dijelovi 1 i 2. 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PPPR 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Ciheksatin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Dijelovi 1 i 2.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PPPR 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Etoksisulfuron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Dijelovi 1 i 2.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PPPR 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Didecildimetilamonijev klorid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 1.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PPPR 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Oksadiargil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Dijelovi 1 i 2.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PPPR 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Rotenon 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Dijelovi 1 i 2.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PPPR 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Varfarin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 1.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PPPR 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Azinfos-metil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 3.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Prilog III. RC-u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Perfluoroktan-sulfonska kiselina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 3.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Prilog III. RC-u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Perfluoroktan-sulfonati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 3.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Prilog III. RC-u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Perfluoroktan-sulfonamidi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 3.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Prilog III. RC-u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Perfluoroktan-sulfonili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 3.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Prilog III. RC-u</w:t>
            </w:r>
          </w:p>
        </w:tc>
      </w:tr>
      <w:tr>
        <w:tc>
          <w:tcPr>
            <w:tcW w:w="1125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Delegirana uredba Komisije (EU) 2015/2229 оd 29. rujna 2015. o izmjeni Priloga I. Uredbi (EU) br. 649/2012</w:t>
            </w: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1,1-dikloreten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 1.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REACH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1,1,2-trikloretan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 1.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REACH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1,1,1,2-tetrakloretan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 1.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REACH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1,1,2,2-tetrakloretan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 1.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REACH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Dibutil-kositrovi spojevi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 1.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REACH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Dioktil-kositrovi spojevi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 1.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REACH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Fenbutatin oksid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Dijelovi 1 i 2.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PPPR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Spojevi olova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 1.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REACH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Pentakloretan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 1.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REACH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Triklorbenzen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 1.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REACH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Komercijalni pentabromdifenil-eter, uključujući: tetrabromdifenil-eter i pentabromdifenil-eter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 3.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Prilog III. RC-u</w:t>
            </w:r>
          </w:p>
        </w:tc>
      </w:tr>
      <w:tr>
        <w:tc>
          <w:tcPr>
            <w:tcW w:w="1125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>
            <w:pPr>
              <w:spacing w:after="0"/>
              <w:jc w:val="left"/>
              <w:rPr>
                <w:rFonts w:ascii="Verdana" w:hAnsi="Verdana"/>
                <w:bCs/>
                <w:noProof/>
                <w:sz w:val="20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Komercijalni oktabromdifenil-eter, uključujući heksabromdifenil-eter i heptabromdifenil-eter</w:t>
            </w:r>
          </w:p>
        </w:tc>
        <w:tc>
          <w:tcPr>
            <w:tcW w:w="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Dio 3.</w:t>
            </w:r>
          </w:p>
        </w:tc>
        <w:tc>
          <w:tcPr>
            <w:tcW w:w="10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Prilog III. RC-u</w:t>
            </w:r>
          </w:p>
        </w:tc>
      </w:tr>
    </w:tbl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U skladu s člankom 11. Uredbe o prethodnom informiranom pristanku, Komisija mora obavijestiti Tajništvo Roterdamske konvencije u pisanom obliku o kemikalijama navedenima u dijelu 2. Priloga I. koje ispunjavaju uvjete za obavješćivanje u skladu s postupkom prethodnog informiranog pristanka. Tijekom razdoblja izvješćivanja Tajništvu su podnesene tri obavijesti:  </w:t>
      </w:r>
    </w:p>
    <w:p>
      <w:pPr>
        <w:spacing w:after="0"/>
        <w:jc w:val="left"/>
        <w:rPr>
          <w:rFonts w:ascii="Verdana" w:hAnsi="Verdana"/>
          <w:bCs/>
          <w:noProof/>
          <w:sz w:val="20"/>
          <w:szCs w:val="22"/>
        </w:rPr>
      </w:pPr>
      <w:r>
        <w:rPr>
          <w:noProof/>
        </w:rPr>
        <w:br w:type="page"/>
      </w:r>
    </w:p>
    <w:p>
      <w:pPr>
        <w:pStyle w:val="Caption"/>
        <w:rPr>
          <w:noProof/>
        </w:rPr>
      </w:pPr>
      <w:r>
        <w:rPr>
          <w:noProof/>
        </w:rPr>
        <w:t>Tablica 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rPr>
          <w:noProof/>
        </w:rPr>
        <w:t xml:space="preserve">: obavijesti o prethodnom informiranom pristanku podnesene Tajništvu tijekom razdoblja izvješćivanja: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87"/>
        <w:gridCol w:w="2350"/>
        <w:gridCol w:w="2350"/>
      </w:tblGrid>
      <w:tr>
        <w:trPr>
          <w:tblHeader/>
        </w:trPr>
        <w:tc>
          <w:tcPr>
            <w:tcW w:w="2470" w:type="pct"/>
            <w:shd w:val="clear" w:color="auto" w:fill="000099"/>
          </w:tcPr>
          <w:p>
            <w:pPr>
              <w:pStyle w:val="MB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 xml:space="preserve">Osnova za obavijest </w:t>
            </w:r>
          </w:p>
        </w:tc>
        <w:tc>
          <w:tcPr>
            <w:tcW w:w="1265" w:type="pct"/>
            <w:shd w:val="clear" w:color="auto" w:fill="000099"/>
          </w:tcPr>
          <w:p>
            <w:pPr>
              <w:pStyle w:val="MB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 xml:space="preserve">Prijavljene kemikalije </w:t>
            </w:r>
          </w:p>
        </w:tc>
        <w:tc>
          <w:tcPr>
            <w:tcW w:w="1265" w:type="pct"/>
            <w:shd w:val="clear" w:color="auto" w:fill="000099"/>
          </w:tcPr>
          <w:p>
            <w:pPr>
              <w:pStyle w:val="MB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>Datum obavijesti</w:t>
            </w:r>
          </w:p>
        </w:tc>
      </w:tr>
      <w:tr>
        <w:tc>
          <w:tcPr>
            <w:tcW w:w="2470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Uredba Komisije (EZ) br. 73/2013 (2014.)</w:t>
            </w:r>
          </w:p>
        </w:tc>
        <w:tc>
          <w:tcPr>
            <w:tcW w:w="1265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Naled</w:t>
            </w:r>
          </w:p>
          <w:p>
            <w:pPr>
              <w:pStyle w:val="MBT"/>
              <w:rPr>
                <w:noProof/>
              </w:rPr>
            </w:pPr>
          </w:p>
        </w:tc>
        <w:tc>
          <w:tcPr>
            <w:tcW w:w="1265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Travanj 2014.</w:t>
            </w:r>
          </w:p>
        </w:tc>
      </w:tr>
      <w:tr>
        <w:tc>
          <w:tcPr>
            <w:tcW w:w="2470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Delegirana uredba Komisije (EU) br. 1078/2014</w:t>
            </w:r>
          </w:p>
        </w:tc>
        <w:tc>
          <w:tcPr>
            <w:tcW w:w="1265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Bitertanol</w:t>
            </w:r>
          </w:p>
        </w:tc>
        <w:tc>
          <w:tcPr>
            <w:tcW w:w="1265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Listopad 2016.</w:t>
            </w:r>
          </w:p>
        </w:tc>
      </w:tr>
      <w:tr>
        <w:tc>
          <w:tcPr>
            <w:tcW w:w="2470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Delegirana uredba Komisije (EU) br. 2015/2229 </w:t>
            </w:r>
          </w:p>
        </w:tc>
        <w:tc>
          <w:tcPr>
            <w:tcW w:w="1265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Fenbutatin oksid</w:t>
            </w:r>
          </w:p>
        </w:tc>
        <w:tc>
          <w:tcPr>
            <w:tcW w:w="1265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Listopad 2016.</w:t>
            </w:r>
          </w:p>
        </w:tc>
      </w:tr>
    </w:tbl>
    <w:p>
      <w:pPr>
        <w:pStyle w:val="MBT"/>
        <w:rPr>
          <w:noProof/>
        </w:rPr>
      </w:pPr>
    </w:p>
    <w:p>
      <w:pPr>
        <w:pStyle w:val="Heading1"/>
        <w:rPr>
          <w:noProof/>
        </w:rPr>
      </w:pPr>
      <w:r>
        <w:rPr>
          <w:noProof/>
        </w:rPr>
        <w:t xml:space="preserve">Primjena Uredbe o prethodnom informiranom pristanku </w:t>
      </w:r>
    </w:p>
    <w:p>
      <w:pPr>
        <w:pStyle w:val="Heading2"/>
        <w:rPr>
          <w:noProof/>
        </w:rPr>
      </w:pPr>
      <w:r>
        <w:rPr>
          <w:noProof/>
        </w:rPr>
        <w:t xml:space="preserve">Aktivnostima podizanja svijesti i potporom koju izvoznicima pružaju DNA-i i Agencija poboljšana je usklađenost s Uredbom o prethodnom informiranom pristanku </w:t>
      </w:r>
    </w:p>
    <w:p>
      <w:pPr>
        <w:pStyle w:val="Body"/>
        <w:jc w:val="both"/>
        <w:rPr>
          <w:noProof/>
        </w:rPr>
      </w:pPr>
    </w:p>
    <w:p>
      <w:pPr>
        <w:pStyle w:val="Body"/>
        <w:jc w:val="both"/>
        <w:rPr>
          <w:noProof/>
        </w:rPr>
      </w:pPr>
      <w:r>
        <w:rPr>
          <w:noProof/>
        </w:rPr>
        <w:t>Agencija treba izvoznicima i uvoznicima pružiti pomoć te tehničke i znanstvene smjernice i alate (članak 6. stavak 1.). Iako to nije zakonska obveza, većina DNA-a pružala je potporu i provodila aktivnosti podizanja svijesti usmjerene na nacionalne izvoznike i uvoznike tijekom razdoblja izvješćivanja.</w:t>
      </w:r>
    </w:p>
    <w:p>
      <w:pPr>
        <w:pStyle w:val="Body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Dvadeset i pet država članica provodilo je aktivnosti podizanja svijesti i informiranja usmjerene na izvoznike i uvoznike tijekom razdoblja izvješćivanja. Većina ih je izradila posebne internetske stranice na kojima se pružaju informacije o Uredbi o prethodnom informiranom pristanku i upućivanja na internetske stranice Agencije o Uredbi o prethodnom informiranom pristanku i ePIC-u. Deset država članica uspostavilo je i nacionalnu službu za pomoć. Gotovo sve države članice navele su da su te aktivnosti poboljšale usklađenost među izvoznicima i uvoznicima s Uredbom o prethodnom informiranom pristanku. Na primjer, neki su DNA-i primijetili povećanje broja obavijesti o izvozu koje je primio DNA, povećanje broja poduzeća registriranih u ePIC-u i bolju usklađenost s obvezom izvješćivanja iz članka 10. </w:t>
      </w:r>
    </w:p>
    <w:p>
      <w:pPr>
        <w:pStyle w:val="Body"/>
        <w:rPr>
          <w:noProof/>
        </w:rPr>
      </w:pPr>
    </w:p>
    <w:p>
      <w:pPr>
        <w:pStyle w:val="Body"/>
        <w:jc w:val="both"/>
        <w:rPr>
          <w:noProof/>
        </w:rPr>
      </w:pPr>
      <w:r>
        <w:rPr>
          <w:noProof/>
        </w:rPr>
        <w:t xml:space="preserve">Tijekom razdoblja izvješćivanja Agencija je objavila svoje „Smjernice za provedbu Uredbe (EU) br. 649/2012 o izvozu i uvozu opasnih kemikalija” te nekoliko korisničkih priručnika o ePIC-u (za različite skupine korisnika). Pružala je informacije izvoznicima i uvoznicima putem svojih internetskih stranica, tjednih e-novosti ili biltena i organizirala niz radionica o Uredbi o prethodnom informiranom pristanku, uglavnom u vezi s početnim razvojem ePIC-a. Prema Agenciji, povećanje broja obavijesti o izvozu koje su poslali izvoznici iz EU-a i broj poduzeća koji primjenjuje Uredbu o prethodnom informiranom pristanku ukazuje na to da je svijest o Uredbi i usklađenost s njom znatno poboljšana tijekom razdoblja izvješćivanja, djelomično zbog njezinih aktivnosti podizanja svijesti i aktivnosti DNA-a. </w:t>
      </w:r>
    </w:p>
    <w:p>
      <w:pPr>
        <w:pStyle w:val="Body"/>
        <w:jc w:val="both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 xml:space="preserve">Radno opterećenje koje se odnosi na provedbu Uredbe o prethodnom informiranom pristanku nejednako je raspoređeno između država članica 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Obavijest o izvozu je instrument Uredbe o prethodnom informiranom pristanku kojim zemlje razmjenjuju informacije o zabranjenim ili strogo ograničenim kemikalijama. Svi izvoznici sa sjedištem u EU-u moraju podnijeti obavijest o izvozu svojim DNA-ima ako namjeravaju izvoziti kemikalije navedene u dijelu 1. Priloga I. Uredbi o prethodnom informiranom pristanku u treću zemlju. Nakon što DNA provjeri i prihvati obavijest (nakon ponovnog podnošenja, ako je potrebno), ona se prosljeđuje Agenciji, koja isto tako provjerava usklađenost obavijesti i šalje je DNA-u zemlje uvoznice. Ako ne primi potvrdu o primitku, Agencija ponovno šalje obavijest. Cijeli postupak provodi se putem ePIC-a, a izvoznici moraju koristiti predložak obavijesti koji pruža sustav.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Tijekom razdoblja izvješćivanja države članice prihvatile su i proslijedile Agenciji 15 771 obavijest o izvozu, a odbile njih 1 214. Broj obrađenih obavijesti o izvozu znatno se razlikovao među državama članicama. Tri države članice nisu obradile nijednu obavijest o izvozu tijekom razdoblja izvješćivanja, a pet država članica imalo je manje od 10 obavijesti. </w:t>
      </w:r>
      <w:bookmarkStart w:id="11" w:name="_Hlk515292435"/>
      <w:r>
        <w:rPr>
          <w:noProof/>
        </w:rPr>
        <w:t xml:space="preserve">Najveći broj obavijesti o izvozu obradile su Njemačka (5 196 obavijesti), Francuska (3 358), Ujedinjena Kraljevina (1 829), Italija (1 321) i Španjolska (1 265). </w:t>
      </w:r>
      <w:bookmarkEnd w:id="11"/>
      <w:r>
        <w:rPr>
          <w:noProof/>
        </w:rPr>
        <w:t>Zemlje uvoznice koje su primile najveći broj obavijesti o izvozu iz Unije bile su Švicarska (1 044 obavijesti), Turska (984), Rusija (890), SAD (754) i Kina (601).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Za određene izvoze koji su izuzeti iz Uredbe o prethodnom informiranom pristanku ili iz obveze obavijesti o izvozu, izvoznici su dužni zatražiti poseban RIN od njihovog DNA-a i koristiti ga u carinskoj deklaraciji kako bi olakšali carinjenje.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Tijekom razdoblja izvješćivanja, 17 država članica prihvatilo je 7 072 zahtjeva za posebni RIN, koji se uglavnom koriste za izvoze izuzete iz Uredbe jer su za potrebe istraživanja ili analize. Jedanaest država članica nije rješavalo takve zahtjeve u protekle tri godine. Njemačka, Ujedinjena Kraljevina i Belgija prihvatile su najveći broj tih zahtjeva za posebni RIN (vidjeti sliku 1.). </w:t>
      </w:r>
    </w:p>
    <w:p>
      <w:pPr>
        <w:pStyle w:val="MBT"/>
        <w:rPr>
          <w:noProof/>
        </w:rPr>
      </w:pPr>
    </w:p>
    <w:p>
      <w:pPr>
        <w:pStyle w:val="Caption"/>
        <w:rPr>
          <w:noProof/>
        </w:rPr>
      </w:pPr>
      <w:r>
        <w:rPr>
          <w:noProof/>
        </w:rPr>
        <w:t>Slika </w:t>
      </w:r>
      <w:r>
        <w:rPr>
          <w:noProof/>
        </w:rPr>
        <w:fldChar w:fldCharType="begin"/>
      </w:r>
      <w:r>
        <w:rPr>
          <w:noProof/>
        </w:rPr>
        <w:instrText xml:space="preserve"> SEQ Figure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rPr>
          <w:noProof/>
        </w:rPr>
        <w:t xml:space="preserve">. Ukupan broj obavijesti o izvozu i zahtjeva za posebni RIN koje su DNA-i prihvatili tijekom razdoblja izvješćivanja </w:t>
      </w:r>
    </w:p>
    <w:p>
      <w:pPr>
        <w:pStyle w:val="MBT"/>
        <w:rPr>
          <w:noProof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5815012" cy="36045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559" cy="360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 xml:space="preserve">Izvoznici su nailazili na poteškoće u popunjavanju obrasca obavijesti o izvozu 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Prema Agenciji i DNA-ima, izvoznici su imali poteškoća s pružanjem informacija o izvozu (npr. podataka za kontakt uvoznika) i predviđenoj uporabi kemikalije u zemlji uvoznici. Konkretno, problem za izvoznike bila je predviđena uporaba i kategorija uporabe za izvoze biocida. Dvanaest DNA-a navelo je i da su izvoznici imali problema s dostupnošću oznaka kombinirane nomenklature (KN) ili carinske unije i statistike (CUS). Agencija je izvijestila i o problemima s odjeljkom 6.1. obrasca, sažetkom i razlozima za FRA-e i datumom stupanja na snagu, jer su neki izvoznici unijeli neodgovarajuće izjave. Osim toga, nekoliko DNA-a i Agencija istaknuli su probleme s dostavljanjem sigurnosno-tehničkog lista (SDS) na ispravnom jeziku, izvozom smjesa i unosima kemijskih skupina u ePIC, koji nisu nužno sveobuhvatni i koji su stvorili nejasnoće među izvoznicima o tome podliježe li kemikalija Uredbi o prethodnom informiranom pristanku ili ne. </w:t>
      </w:r>
    </w:p>
    <w:p>
      <w:pPr>
        <w:pStyle w:val="MBT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 xml:space="preserve">Broj zahtjeva za ponovno podnošenje bio je relativno visok u trogodišnjem razdoblju 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U relativno velikom broju slučajeva DNA-i ili Agencija zatražili su ponovno podnošenje obavijesti. U razdoblju 2015.–2016. zatražili su ponovno podnošenje 2 503 izvozne obavijesti, od čega je Agencija zatražila ponovno podnošenje 566 obavijesti (334 2015. i 232 2016.). Glavni razlozi ponovnog podnošenja odnosili su se na odjeljak 6. obrasca obavijesti (sažetak i razlozi za FRA-e i datum stupanja na snagu) i SDS (npr. jezik ili SDS koji ne odgovara obavijesti).</w:t>
      </w:r>
    </w:p>
    <w:p>
      <w:pPr>
        <w:pStyle w:val="Body"/>
        <w:jc w:val="both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 xml:space="preserve">U postupku obavješćivanja o izvozu nije došlo do znatnijih kašnjenja 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Iako su neki DNA-i i Agencija izvijestili o problemima s poštovanjem rokova postupka obavješćivanja, broj obavijesti obrađenih sa zakašnjenjem i dalje je bio nizak. Broj obavijesti koje je Agencija primila kasnije od 25 dana prije izvoza (što je rok naveden u Uredbi) činio je 4,9 % ukupnog broja obavijesti o izvozu. Osim toga, Agencija je sa zakašnjenjem poslala 171 obavijest zemljama uvoznicama, odnosno 1,2 % ukupnog broja obavijesti proslijeđenih zemljama uvoznicama tijekom razdoblja izvješćivanja. Razlozi kašnjenja obično su se odnosili na poteškoće u obradi obavijesti o izvozu tijekom glavne zimske sezone, poduzeća koja ne poštuju rokove za ponovno podnošenje, a na strani Agencije kašnjenja u primanju obavijesti od DNA-a. </w:t>
      </w:r>
    </w:p>
    <w:p>
      <w:pPr>
        <w:pStyle w:val="MBT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 xml:space="preserve">Broj obavijesti o izvozu primljenih od zemalja koje nisu države članice EU-a gotovo se udvostručio između 2014. i 2016. 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U skladu s člankom 9., Agencija mora obavijesti o izvozu koje je primila od trećih zemalja učiniti dostupnima u svojoj bazi podataka, potvrditi primitak obavijesti DNA-u zemlje izvoznice i dostaviti primjerak DNA-ima država članica koje primaju uvoz. 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Agencija je u razdoblju izvješćivanja primila 1 105 obavijesti o izvozu iz zemalja koje nisu države članice EU-a, uglavnom iz SAD-a i Švicarske. Broj obavijesti gotovo se udvostručio između 2014. i 2016.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</w:p>
    <w:p>
      <w:pPr>
        <w:pStyle w:val="Caption"/>
        <w:rPr>
          <w:noProof/>
        </w:rPr>
      </w:pPr>
      <w:r>
        <w:rPr>
          <w:noProof/>
        </w:rPr>
        <w:t>Tablica 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rPr>
          <w:noProof/>
        </w:rPr>
        <w:t xml:space="preserve">: Obavijesti o izvozu primljene od zemalja koje nisu države članice EU-a i potvrde o primitku koje je Agencija poslala tijekom razdoblja izvješćivanja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950"/>
        <w:gridCol w:w="1291"/>
        <w:gridCol w:w="1293"/>
        <w:gridCol w:w="1293"/>
        <w:gridCol w:w="1460"/>
      </w:tblGrid>
      <w:tr>
        <w:tc>
          <w:tcPr>
            <w:tcW w:w="2127" w:type="pct"/>
            <w:shd w:val="clear" w:color="auto" w:fill="000099"/>
          </w:tcPr>
          <w:p>
            <w:pPr>
              <w:pStyle w:val="MBT"/>
              <w:rPr>
                <w:noProof/>
                <w:color w:val="FFFFFF"/>
              </w:rPr>
            </w:pPr>
          </w:p>
        </w:tc>
        <w:tc>
          <w:tcPr>
            <w:tcW w:w="695" w:type="pct"/>
            <w:shd w:val="clear" w:color="auto" w:fill="000099"/>
          </w:tcPr>
          <w:p>
            <w:pPr>
              <w:pStyle w:val="MB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>2014.</w:t>
            </w:r>
          </w:p>
        </w:tc>
        <w:tc>
          <w:tcPr>
            <w:tcW w:w="696" w:type="pct"/>
            <w:shd w:val="clear" w:color="auto" w:fill="000099"/>
          </w:tcPr>
          <w:p>
            <w:pPr>
              <w:pStyle w:val="MB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>2015.</w:t>
            </w:r>
          </w:p>
        </w:tc>
        <w:tc>
          <w:tcPr>
            <w:tcW w:w="696" w:type="pct"/>
            <w:shd w:val="clear" w:color="auto" w:fill="000099"/>
          </w:tcPr>
          <w:p>
            <w:pPr>
              <w:pStyle w:val="MB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>2016.</w:t>
            </w:r>
          </w:p>
        </w:tc>
        <w:tc>
          <w:tcPr>
            <w:tcW w:w="786" w:type="pct"/>
            <w:shd w:val="clear" w:color="auto" w:fill="000099"/>
          </w:tcPr>
          <w:p>
            <w:pPr>
              <w:pStyle w:val="MB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 xml:space="preserve">Ukupno </w:t>
            </w:r>
          </w:p>
        </w:tc>
      </w:tr>
      <w:tr>
        <w:tc>
          <w:tcPr>
            <w:tcW w:w="2127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Primljene obavijesti o izvozu </w:t>
            </w:r>
          </w:p>
        </w:tc>
        <w:tc>
          <w:tcPr>
            <w:tcW w:w="695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209</w:t>
            </w:r>
          </w:p>
        </w:tc>
        <w:tc>
          <w:tcPr>
            <w:tcW w:w="696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486</w:t>
            </w:r>
          </w:p>
        </w:tc>
        <w:tc>
          <w:tcPr>
            <w:tcW w:w="696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410</w:t>
            </w:r>
          </w:p>
        </w:tc>
        <w:tc>
          <w:tcPr>
            <w:tcW w:w="786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1 105</w:t>
            </w:r>
          </w:p>
        </w:tc>
      </w:tr>
    </w:tbl>
    <w:p>
      <w:pPr>
        <w:pStyle w:val="Heading2"/>
        <w:rPr>
          <w:noProof/>
        </w:rPr>
      </w:pPr>
      <w:r>
        <w:rPr>
          <w:noProof/>
        </w:rPr>
        <w:t>Izvješćivanje u skladu s člankom 10. učinkovito je funkcioniralo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Člankom 10. uvedene su obveze izvoznicima i uvoznicima da u prvom tromjesečju svake godine obavijeste DNA o količini kemikalija navedenih u Prilogu I. Uredbi o prethodnom informiranom pristanku koje su tijekom prethodne godine izvezene u treće zemlje ili uvezene iz njih. Izvoznici moraju dostaviti DNA-u i nazive i adrese svakog uvoznika. S druge strane, DNA-i moraju svake godine dostaviti te informacije Agenciji, koja zatim objedinjuje podatke na razini EU-a i čini ih dostupnima javnosti u svojoj bazi podataka</w:t>
      </w:r>
      <w:r>
        <w:rPr>
          <w:rStyle w:val="FootnoteReference"/>
          <w:noProof/>
        </w:rPr>
        <w:footnoteReference w:id="9"/>
      </w:r>
      <w:r>
        <w:rPr>
          <w:noProof/>
        </w:rPr>
        <w:t>.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Iz informacija koje su dostavili Agencija i DNA-i može se zaključiti da se u postupku izvješćivanja iz članka 10 pojavilo nekoliko problema. Oko jedne trećine DNA-a navelo je da su izvoznici ili uvoznici kasnili s podnošenjem informacija, iako ta kašnjenja nisu utjecala na dovršetak izvješćivanja iz članka 10. Slično tome, Agencija je naišla na nekoliko komplikacija u kompilaciji informacija država članica, jer su DNA-i uključivali podatke o izvozu kemikalija navedenih u Prilogu I. koje su bile izvezene za potrebe istraživanja ili analize te su stoga bile izvan područja primjene Uredbe o prethodnom informiranom pristanku i posljedične obveze izvješćivanja.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Podatke prikupljene u svrhe izvješćivanja iz članka 10. koriste DNA-i, carinska ili druga provedbena tijela u 16 država članica. Osam DNA-a navelo je da se podaci koriste za provedbene aktivnosti, a šest ih je dalje navelo da se koriste za aktivnosti provedbe Uredbe REACH (npr. unakrsne provjere usklađenosti sa zahtjevima registracije ili provjere usklađenosti s ograničenjima). </w:t>
      </w:r>
    </w:p>
    <w:p>
      <w:pPr>
        <w:pStyle w:val="Body"/>
        <w:jc w:val="both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 xml:space="preserve">Odluke o uvozu EU-a donesene su za sedam tvari navedenih u Prilogu III. Roterdamskoj konvenciji </w:t>
      </w:r>
    </w:p>
    <w:p>
      <w:pPr>
        <w:pStyle w:val="Body"/>
        <w:jc w:val="both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U skladu s člankom 10. Konvencije od stranaka se traži da donesu odluku o uvozu za svaku novu kemikaliju navedenu u Prilogu III. i da je dostave Tajništvu. U skladu s člankom 13. Uredbe o prethodnom informiranom pristanku, odluka o uvozu Unije donosi se provedbenim aktom koji sastavlja Komisija i koji se dostavlja na mišljenje Odboru za Uredbu REACH u skladu sa savjetodavnim postupkom.</w:t>
      </w:r>
    </w:p>
    <w:p>
      <w:pPr>
        <w:pStyle w:val="Body"/>
        <w:jc w:val="both"/>
        <w:rPr>
          <w:noProof/>
        </w:rPr>
      </w:pPr>
    </w:p>
    <w:p>
      <w:pPr>
        <w:pStyle w:val="Body"/>
        <w:jc w:val="both"/>
        <w:rPr>
          <w:noProof/>
        </w:rPr>
      </w:pPr>
      <w:r>
        <w:rPr>
          <w:noProof/>
        </w:rPr>
        <w:t xml:space="preserve">Odluke o uvozu uspostavljene su dvjema provedbenim odlukama koje je Komisija donijela tijekom razdoblja izvješćivanja. </w:t>
      </w:r>
    </w:p>
    <w:p>
      <w:pPr>
        <w:pStyle w:val="Body"/>
        <w:spacing w:after="120"/>
        <w:jc w:val="both"/>
        <w:rPr>
          <w:noProof/>
        </w:rPr>
      </w:pPr>
    </w:p>
    <w:p>
      <w:pPr>
        <w:pStyle w:val="Caption"/>
        <w:rPr>
          <w:noProof/>
        </w:rPr>
      </w:pPr>
      <w:r>
        <w:rPr>
          <w:noProof/>
        </w:rPr>
        <w:t>Tablica 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rPr>
          <w:noProof/>
        </w:rPr>
        <w:t xml:space="preserve">: Odluke o uvozu Unije donesene tijekom razdoblja izvješćivanja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1953"/>
        <w:gridCol w:w="1211"/>
        <w:gridCol w:w="1326"/>
        <w:gridCol w:w="1176"/>
        <w:gridCol w:w="1694"/>
      </w:tblGrid>
      <w:tr>
        <w:trPr>
          <w:tblHeader/>
        </w:trPr>
        <w:tc>
          <w:tcPr>
            <w:tcW w:w="1037" w:type="pct"/>
            <w:shd w:val="clear" w:color="auto" w:fill="000099"/>
          </w:tcPr>
          <w:p>
            <w:pPr>
              <w:pStyle w:val="MB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>Provedbeni akt</w:t>
            </w:r>
          </w:p>
        </w:tc>
        <w:tc>
          <w:tcPr>
            <w:tcW w:w="1051" w:type="pct"/>
            <w:shd w:val="clear" w:color="auto" w:fill="000099"/>
          </w:tcPr>
          <w:p>
            <w:pPr>
              <w:pStyle w:val="MB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>Kemikalije</w:t>
            </w:r>
          </w:p>
        </w:tc>
        <w:tc>
          <w:tcPr>
            <w:tcW w:w="1366" w:type="pct"/>
            <w:gridSpan w:val="2"/>
            <w:shd w:val="clear" w:color="auto" w:fill="000099"/>
          </w:tcPr>
          <w:p>
            <w:pPr>
              <w:pStyle w:val="MBT"/>
              <w:jc w:val="lef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 xml:space="preserve">Priroda / status odluke </w:t>
            </w:r>
          </w:p>
        </w:tc>
        <w:tc>
          <w:tcPr>
            <w:tcW w:w="633" w:type="pct"/>
            <w:shd w:val="clear" w:color="auto" w:fill="000099"/>
          </w:tcPr>
          <w:p>
            <w:pPr>
              <w:pStyle w:val="MB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>Odluka o uvozu</w:t>
            </w:r>
          </w:p>
        </w:tc>
        <w:tc>
          <w:tcPr>
            <w:tcW w:w="912" w:type="pct"/>
            <w:shd w:val="clear" w:color="auto" w:fill="000099"/>
          </w:tcPr>
          <w:p>
            <w:pPr>
              <w:pStyle w:val="MBT"/>
              <w:jc w:val="lef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>Osnova za odluku</w:t>
            </w:r>
          </w:p>
        </w:tc>
      </w:tr>
      <w:tr>
        <w:tc>
          <w:tcPr>
            <w:tcW w:w="1037" w:type="pct"/>
            <w:vMerge w:val="restar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Provedbena odluka Komisije od 15. svibnja 2014.</w:t>
            </w:r>
          </w:p>
        </w:tc>
        <w:tc>
          <w:tcPr>
            <w:tcW w:w="1051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 xml:space="preserve">Azinfos-metil </w:t>
            </w:r>
          </w:p>
        </w:tc>
        <w:tc>
          <w:tcPr>
            <w:tcW w:w="65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Nova odluka</w:t>
            </w:r>
          </w:p>
        </w:tc>
        <w:tc>
          <w:tcPr>
            <w:tcW w:w="713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Konačna </w:t>
            </w:r>
          </w:p>
        </w:tc>
        <w:tc>
          <w:tcPr>
            <w:tcW w:w="633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Ne pristaje se na uvoz</w:t>
            </w:r>
          </w:p>
        </w:tc>
        <w:tc>
          <w:tcPr>
            <w:tcW w:w="912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Zabranjena upotreba u skladu s Uredbom o sredstvima za zaštitu bilja</w:t>
            </w:r>
          </w:p>
        </w:tc>
      </w:tr>
      <w:tr>
        <w:tc>
          <w:tcPr>
            <w:tcW w:w="1037" w:type="pct"/>
            <w:vMerge/>
            <w:shd w:val="clear" w:color="auto" w:fill="F2F2F2"/>
          </w:tcPr>
          <w:p>
            <w:pPr>
              <w:pStyle w:val="MBT"/>
              <w:rPr>
                <w:noProof/>
              </w:rPr>
            </w:pPr>
          </w:p>
        </w:tc>
        <w:tc>
          <w:tcPr>
            <w:tcW w:w="1051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 xml:space="preserve">Komercijalni pentabromdifenil-eter </w:t>
            </w:r>
          </w:p>
        </w:tc>
        <w:tc>
          <w:tcPr>
            <w:tcW w:w="65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Nova odluka</w:t>
            </w:r>
          </w:p>
        </w:tc>
        <w:tc>
          <w:tcPr>
            <w:tcW w:w="713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Konačna </w:t>
            </w:r>
          </w:p>
        </w:tc>
        <w:tc>
          <w:tcPr>
            <w:tcW w:w="633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Pristaje se na uvoz samo pod određenim uvjetima</w:t>
            </w:r>
          </w:p>
        </w:tc>
        <w:tc>
          <w:tcPr>
            <w:tcW w:w="912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 xml:space="preserve">Zabranjena upotreba, podložno posebnim izuzećima u skladu s Uredbom o postojanim organskim onečišćujućim tvarima </w:t>
            </w:r>
          </w:p>
        </w:tc>
      </w:tr>
      <w:tr>
        <w:tc>
          <w:tcPr>
            <w:tcW w:w="1037" w:type="pct"/>
            <w:vMerge/>
            <w:shd w:val="clear" w:color="auto" w:fill="F2F2F2"/>
          </w:tcPr>
          <w:p>
            <w:pPr>
              <w:pStyle w:val="MBT"/>
              <w:rPr>
                <w:noProof/>
              </w:rPr>
            </w:pPr>
          </w:p>
        </w:tc>
        <w:tc>
          <w:tcPr>
            <w:tcW w:w="1051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 xml:space="preserve">Komercijalni oktabromdifenil-eter </w:t>
            </w:r>
          </w:p>
        </w:tc>
        <w:tc>
          <w:tcPr>
            <w:tcW w:w="65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Nova odluka</w:t>
            </w:r>
          </w:p>
        </w:tc>
        <w:tc>
          <w:tcPr>
            <w:tcW w:w="713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Konačna </w:t>
            </w:r>
          </w:p>
        </w:tc>
        <w:tc>
          <w:tcPr>
            <w:tcW w:w="633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Pristaje se na uvoz samo pod određenim uvjetima</w:t>
            </w:r>
          </w:p>
        </w:tc>
        <w:tc>
          <w:tcPr>
            <w:tcW w:w="912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 xml:space="preserve">Zabranjena upotreba, podložno posebnim izuzećima u skladu s Uredbom o postojanim organskim onečišćujućim tvarima </w:t>
            </w:r>
          </w:p>
        </w:tc>
      </w:tr>
      <w:tr>
        <w:tc>
          <w:tcPr>
            <w:tcW w:w="1037" w:type="pct"/>
            <w:vMerge/>
            <w:shd w:val="clear" w:color="auto" w:fill="F2F2F2"/>
          </w:tcPr>
          <w:p>
            <w:pPr>
              <w:pStyle w:val="MBT"/>
              <w:rPr>
                <w:noProof/>
              </w:rPr>
            </w:pPr>
          </w:p>
        </w:tc>
        <w:tc>
          <w:tcPr>
            <w:tcW w:w="1051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 xml:space="preserve">perfluoroktan sulfonska kiselina, perfluoroktan sulfonati, perfluoroktan sulfonamidi i perfluoroktan sulfonili </w:t>
            </w:r>
          </w:p>
        </w:tc>
        <w:tc>
          <w:tcPr>
            <w:tcW w:w="65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Nova odluka</w:t>
            </w:r>
          </w:p>
        </w:tc>
        <w:tc>
          <w:tcPr>
            <w:tcW w:w="713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Konačna </w:t>
            </w:r>
          </w:p>
        </w:tc>
        <w:tc>
          <w:tcPr>
            <w:tcW w:w="633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Ne pristaje se na uvoz</w:t>
            </w:r>
          </w:p>
        </w:tc>
        <w:tc>
          <w:tcPr>
            <w:tcW w:w="912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 xml:space="preserve">Zabranjena upotreba, podložno posebnim izuzećima u skladu s Uredbom o postojanim organskim onečišćujućim tvarima </w:t>
            </w:r>
          </w:p>
        </w:tc>
      </w:tr>
      <w:tr>
        <w:tc>
          <w:tcPr>
            <w:tcW w:w="1037" w:type="pct"/>
            <w:vMerge w:val="restar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Provedbena odluka Komisije od 11. veljače 2016.</w:t>
            </w:r>
          </w:p>
        </w:tc>
        <w:tc>
          <w:tcPr>
            <w:tcW w:w="1051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 xml:space="preserve">Metamidofos </w:t>
            </w:r>
          </w:p>
        </w:tc>
        <w:tc>
          <w:tcPr>
            <w:tcW w:w="65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Nova odluka</w:t>
            </w:r>
          </w:p>
        </w:tc>
        <w:tc>
          <w:tcPr>
            <w:tcW w:w="713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Konačna </w:t>
            </w:r>
          </w:p>
        </w:tc>
        <w:tc>
          <w:tcPr>
            <w:tcW w:w="633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Ne pristaje se na uvoz</w:t>
            </w:r>
          </w:p>
        </w:tc>
        <w:tc>
          <w:tcPr>
            <w:tcW w:w="912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Zabranjena upotreba u skladu s Uredbom o sredstvima za zaštitu bilja</w:t>
            </w:r>
          </w:p>
        </w:tc>
      </w:tr>
      <w:tr>
        <w:tc>
          <w:tcPr>
            <w:tcW w:w="1037" w:type="pct"/>
            <w:vMerge/>
            <w:shd w:val="clear" w:color="auto" w:fill="F2F2F2"/>
          </w:tcPr>
          <w:p>
            <w:pPr>
              <w:pStyle w:val="MBT"/>
              <w:rPr>
                <w:noProof/>
              </w:rPr>
            </w:pPr>
          </w:p>
        </w:tc>
        <w:tc>
          <w:tcPr>
            <w:tcW w:w="1051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 xml:space="preserve">Etilen-oksid </w:t>
            </w:r>
          </w:p>
        </w:tc>
        <w:tc>
          <w:tcPr>
            <w:tcW w:w="65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Izmjena prethodne odluke</w:t>
            </w:r>
          </w:p>
        </w:tc>
        <w:tc>
          <w:tcPr>
            <w:tcW w:w="713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Privremena </w:t>
            </w:r>
          </w:p>
        </w:tc>
        <w:tc>
          <w:tcPr>
            <w:tcW w:w="633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 xml:space="preserve">Pristaje se na uvoz samo pod određenim uvjetima </w:t>
            </w:r>
          </w:p>
        </w:tc>
        <w:tc>
          <w:tcPr>
            <w:tcW w:w="912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 xml:space="preserve">Zabranjena upotreba u skladu s Uredbom o sredstvima za zaštitu bilja i ograničeno u skladu s Uredbom o biocidnim proizvodima </w:t>
            </w:r>
          </w:p>
        </w:tc>
      </w:tr>
      <w:tr>
        <w:tc>
          <w:tcPr>
            <w:tcW w:w="1037" w:type="pct"/>
            <w:vMerge/>
            <w:shd w:val="clear" w:color="auto" w:fill="F2F2F2"/>
          </w:tcPr>
          <w:p>
            <w:pPr>
              <w:pStyle w:val="MBT"/>
              <w:rPr>
                <w:noProof/>
              </w:rPr>
            </w:pPr>
          </w:p>
        </w:tc>
        <w:tc>
          <w:tcPr>
            <w:tcW w:w="1051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 xml:space="preserve">DDT </w:t>
            </w:r>
          </w:p>
        </w:tc>
        <w:tc>
          <w:tcPr>
            <w:tcW w:w="65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Izmjena prethodne odluke</w:t>
            </w:r>
          </w:p>
        </w:tc>
        <w:tc>
          <w:tcPr>
            <w:tcW w:w="713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Konačna </w:t>
            </w:r>
          </w:p>
        </w:tc>
        <w:tc>
          <w:tcPr>
            <w:tcW w:w="633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>Ne pristaje se na uvoz</w:t>
            </w:r>
          </w:p>
        </w:tc>
        <w:tc>
          <w:tcPr>
            <w:tcW w:w="912" w:type="pct"/>
            <w:shd w:val="clear" w:color="auto" w:fill="F2F2F2"/>
          </w:tcPr>
          <w:p>
            <w:pPr>
              <w:pStyle w:val="MBT"/>
              <w:jc w:val="left"/>
              <w:rPr>
                <w:noProof/>
              </w:rPr>
            </w:pPr>
            <w:r>
              <w:rPr>
                <w:noProof/>
              </w:rPr>
              <w:t xml:space="preserve">Zabranjena upotreba u skladu s Uredbom o postojanim organskim onečišćujućim tvarima </w:t>
            </w:r>
          </w:p>
        </w:tc>
      </w:tr>
    </w:tbl>
    <w:p>
      <w:pPr>
        <w:pStyle w:val="Body"/>
        <w:jc w:val="both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>Nekoliko DNA-a iz trećih zemalja susrelo se s poteškoćama u rješavanju zahtjeva za izričiti pristanak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Člankom 14. zahtijeva se pristanak zemlje uvoznice prije nego što se može nastaviti izvoz kemikalija navedenih u dijelovima 2. ili 3. Priloga I.</w:t>
      </w:r>
      <w:bookmarkStart w:id="12" w:name="_Hlk504126679"/>
      <w:r>
        <w:rPr>
          <w:noProof/>
        </w:rPr>
        <w:t xml:space="preserve"> Međutim, </w:t>
      </w:r>
      <w:bookmarkEnd w:id="12"/>
      <w:r>
        <w:rPr>
          <w:noProof/>
        </w:rPr>
        <w:t xml:space="preserve">DNA izvoznika može, od slučaja do slučaja i u savjetovanju s Komisijom, odustati od zahtjeva za izričiti pristanak ako se kemikalija koja ispunjava kriterije za obavješćivanje sukladno postupku prethodnog informiranog pristanka izvozi u zemlju OECD-a (članak 14. stavak 6.) ili kada nije dobiven odgovor zemlje uvoznice nakon 60 dana i pod uvjetom da su ispunjeni određeni uvjeti (članak 14. stavak 7.). </w:t>
      </w:r>
    </w:p>
    <w:p>
      <w:pPr>
        <w:pStyle w:val="Body"/>
        <w:jc w:val="both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Tijekom razdoblja izvješćivanja 19 država članica provelo je postupak izričitog pristanka u skladu s člankom 14. Istaknuli su da je glavni izazov bila poteškoća s kojom su se susrele neke zemlje uvoznice u postupanju sa zahtjevima za izričiti pristanak, zbog toga što su DNA-i dali odgovor nakon razdoblja čekanja od 60 dana ili nisu uopće reagirali. Od 3 362 zahtjeva za izričiti pristanak koje su obrađivali DNA-i, 56 % njih dobilo je odgovor. Taj se udio smanjio tijekom razdoblja izvješćivanja (61 % u 2014., 58 % u 2015. i 51 % u 2016.), a broj se povećao. To objašnjava zašto je Agencija morala poslati znatan broj podsjetnika. Prvi podsjetnik poslan je za 65 % zahtjeva, a drugi podsjetnik za 42 % zahtjeva. </w:t>
      </w:r>
    </w:p>
    <w:p>
      <w:pPr>
        <w:pStyle w:val="MBT"/>
        <w:rPr>
          <w:noProof/>
        </w:rPr>
      </w:pPr>
    </w:p>
    <w:p>
      <w:pPr>
        <w:pStyle w:val="Body"/>
        <w:jc w:val="both"/>
        <w:rPr>
          <w:noProof/>
        </w:rPr>
      </w:pPr>
      <w:r>
        <w:rPr>
          <w:noProof/>
        </w:rPr>
        <w:t>Nekoliko država članica moralo je odlučiti hoće li odustati od zahtjeva za izričiti pristanak (npr. šest za izvoz u zemlju OECD-a i 11 u nedostatku odgovora nadležnog tijela zemlje uvoznice), a iz informacija koje su dali DNA-i može se zaključiti da se pojavilo nekoliko problema u pogledu provedbe. Iako je Agencija navela da je tumačenje slučajeva na koje se primjenjuju odredbe članka 14. stavka 8. u početku bio izazov, broj problematičnih predmeta smanjen je na vrlo nisku razinu.</w:t>
      </w:r>
    </w:p>
    <w:p>
      <w:pPr>
        <w:pStyle w:val="Heading2"/>
        <w:rPr>
          <w:noProof/>
        </w:rPr>
      </w:pPr>
      <w:r>
        <w:rPr>
          <w:noProof/>
        </w:rPr>
        <w:t>Neusklađenost sa zahtjevima za podatke koji se dostavljaju uz kemikalije koje se izvoze prvenstveno je povezana s pakiranjem i SDS-om</w:t>
      </w:r>
    </w:p>
    <w:p>
      <w:pPr>
        <w:pStyle w:val="Body"/>
        <w:rPr>
          <w:noProof/>
        </w:rPr>
      </w:pPr>
    </w:p>
    <w:p>
      <w:pPr>
        <w:pStyle w:val="Body"/>
        <w:jc w:val="both"/>
        <w:rPr>
          <w:noProof/>
        </w:rPr>
      </w:pPr>
      <w:r>
        <w:rPr>
          <w:noProof/>
        </w:rPr>
        <w:t>U članku 17. navedeno je da kemikalije koje se izvoze moraju biti zapakirane i označene u skladu s odgovarajućim odredbama Unije, osim ako zemlja uvoznica ne zahtijeva drukčije. SDS koji je u skladu s Prilogom II. Uredbi REACH mora se poslati svakom uvozniku zajedno s kemikalijom.</w:t>
      </w:r>
    </w:p>
    <w:p>
      <w:pPr>
        <w:pStyle w:val="Body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Nacionalna provedbena tijela (NEA-i) u osam država članica doživjela su probleme u pogledu usklađenosti podataka koji se dostavljaju uz kemikalije koje se izvoze. Šest država članica navelo je da se ta pitanja usklađenosti odnose na zahtjeve u pogledu pakiranja iz Uredbe o razvrstavanju, označivanju i pakiranju, a drugih šest navelo je da su utvrdili probleme usklađenosti u pogledu primjene zahtjeva za SDS iz Uredbe REACH. </w:t>
      </w:r>
    </w:p>
    <w:p>
      <w:pPr>
        <w:pStyle w:val="Body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>Sve države članice uspostavile su sustav kontrole izvoza i uvoza kemikalija koje podliježu Uredbi o prethodnom informiranom pristanku</w:t>
      </w:r>
    </w:p>
    <w:p>
      <w:pPr>
        <w:pStyle w:val="Body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U skladu s člankom 18. Uredbe o prethodnom informiranom pristanku, države članice moraju imenovati tijela kao što su carinska tijela za kontrolu uvoza i izvoza kemikalija navedenih u Prilogu I. Sve države članice imenovale su ta tijela. Carina je uključena u provedbu Uredbe o prethodnom informiranom pristanku u svim državama članicama, osim Malte i Ujedinjene Kraljevine. U četiri zemlje jedino nacionalno provedbeno tijelo (NEA) je carinska uprava (Španjolska, Hrvatska, Italija i Slovačka). Ostala provedbena tijela obično su službe za okoliš, kemikalije i/ili zdravstvenu inspekciju. U devet država članica NEA je dio iste institucije kao i DNA.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U gotovo svim državama članicama, NEA-i uključeni u provedbu Uredbe o prethodnom informiranom pristanku također su uključeni u provedbu zakonodavstva o kemikalijama, kao što je Uredba o razvrstavanju, označivanju i pakiranju (27 država članica), Uredba REACH (25 država članica) i Uredba o biocidnim proizvodima (22 države članice). 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Većina država članica (18) navela je da NEA-i imaju dovoljno resursa za obavljanje svojih obveza iz Uredbe o prethodnom informiranom pristanku. Države članice koje su istaknule probleme s resursima unutar NEA-a obično su se odnosile na nedostatak ljudskih resursa.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16 država članica uspostavilo je neku vrstu strategije provođenja (uključujući pravila postupanja, pismene upute itd.), a 15 država članica uspostavilo je redovno osposobljavanje inspektora. Većina država članica opisala je i svoj sustav kazni koje primjenjuju za povrede Uredbe o prethodnom informiranom pristanku. DNA-i su obično opisali kombinaciju izvršnih mjera kao što su zapljena i zadržavanje robe, povlačenje s tržišta, obustavljanje aktivnosti itd. Deset država članica spomenulo je da bi NEA-i mogli izdavati službene obavijesti kojima se zahtijeva usklađivanje u određenom roku. Kad je riječ o kaznama za povrede, 23 države članice navele su da za određene povrede nameću novčane kazne, često prema ljestvici kazni, ovisno o težini povrede. U sedam se država članica za najteže povrede može izreći kazna zatvora. </w:t>
      </w:r>
    </w:p>
    <w:p>
      <w:pPr>
        <w:pStyle w:val="Body"/>
        <w:rPr>
          <w:noProof/>
        </w:rPr>
      </w:pPr>
    </w:p>
    <w:p>
      <w:pPr>
        <w:pStyle w:val="Body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>Gotovo su sve države članice izvršile provedbene aktivnosti i utvrdile visoku razinu usklađenosti</w:t>
      </w:r>
    </w:p>
    <w:p>
      <w:pPr>
        <w:pStyle w:val="Body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Tijekom razdoblja izvješćivanja 18 država članica provodilo je provjere usklađenosti, a 15 ih je obavilo provjere na licu mjesta koje su obuhvaćale Uredbu o prethodnom informiranom pristanku. </w:t>
      </w:r>
    </w:p>
    <w:p>
      <w:pPr>
        <w:pStyle w:val="MBT"/>
        <w:rPr>
          <w:noProof/>
        </w:rPr>
      </w:pPr>
    </w:p>
    <w:p>
      <w:pPr>
        <w:pStyle w:val="Caption"/>
        <w:rPr>
          <w:noProof/>
        </w:rPr>
      </w:pPr>
    </w:p>
    <w:p>
      <w:pPr>
        <w:pStyle w:val="Caption"/>
        <w:rPr>
          <w:noProof/>
        </w:rPr>
      </w:pPr>
    </w:p>
    <w:p>
      <w:pPr>
        <w:pStyle w:val="Caption"/>
        <w:rPr>
          <w:noProof/>
        </w:rPr>
      </w:pPr>
    </w:p>
    <w:p>
      <w:pPr>
        <w:pStyle w:val="Caption"/>
        <w:rPr>
          <w:noProof/>
        </w:rPr>
      </w:pPr>
    </w:p>
    <w:p>
      <w:pPr>
        <w:pStyle w:val="Caption"/>
        <w:rPr>
          <w:noProof/>
        </w:rPr>
      </w:pPr>
    </w:p>
    <w:p>
      <w:pPr>
        <w:pStyle w:val="Caption"/>
        <w:rPr>
          <w:noProof/>
        </w:rPr>
      </w:pPr>
    </w:p>
    <w:p>
      <w:pPr>
        <w:pStyle w:val="Caption"/>
        <w:rPr>
          <w:noProof/>
        </w:rPr>
      </w:pPr>
    </w:p>
    <w:p>
      <w:pPr>
        <w:pStyle w:val="Caption"/>
        <w:rPr>
          <w:noProof/>
        </w:rPr>
      </w:pPr>
    </w:p>
    <w:p>
      <w:pPr>
        <w:pStyle w:val="Caption"/>
        <w:rPr>
          <w:noProof/>
        </w:rPr>
      </w:pPr>
    </w:p>
    <w:p>
      <w:pPr>
        <w:pStyle w:val="Caption"/>
        <w:rPr>
          <w:noProof/>
        </w:rPr>
      </w:pPr>
    </w:p>
    <w:p>
      <w:pPr>
        <w:pStyle w:val="Caption"/>
        <w:rPr>
          <w:noProof/>
        </w:rPr>
      </w:pPr>
      <w:r>
        <w:rPr>
          <w:noProof/>
        </w:rPr>
        <w:t>Slika </w:t>
      </w:r>
      <w:r>
        <w:rPr>
          <w:noProof/>
        </w:rPr>
        <w:fldChar w:fldCharType="begin"/>
      </w:r>
      <w:r>
        <w:rPr>
          <w:noProof/>
        </w:rPr>
        <w:instrText xml:space="preserve"> SEQ Figure \* ARABIC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rPr>
          <w:noProof/>
        </w:rPr>
        <w:t>. Provedbene aktivnosti koje su provele države članice</w:t>
      </w:r>
    </w:p>
    <w:p>
      <w:pPr>
        <w:pStyle w:val="Body"/>
        <w:jc w:val="both"/>
        <w:rPr>
          <w:noProof/>
        </w:rPr>
      </w:pPr>
    </w:p>
    <w:p>
      <w:pPr>
        <w:pStyle w:val="Body"/>
        <w:jc w:val="both"/>
        <w:rPr>
          <w:noProof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5760085" cy="303342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03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Body"/>
        <w:jc w:val="both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Prema podacima koje su dostavili DNA-i, carina i drugi NEA-i izvršili su kontrolu izvoza kemikalija u 17 država članica, a uvoza kemikalija koje podliježu Uredbi o prethodnom informiranom pristanku u 11 država članica</w:t>
      </w:r>
      <w:r>
        <w:rPr>
          <w:rStyle w:val="FootnoteReference"/>
          <w:noProof/>
        </w:rPr>
        <w:footnoteReference w:id="10"/>
      </w:r>
      <w:r>
        <w:rPr>
          <w:noProof/>
        </w:rPr>
        <w:t>. Broj izvršenih kontrola uvelike se razlikovao između država članica, što može biti posljedica broja izvoza i uvoza kemikalija obuhvaćenih Uredbom o prethodnom informiranom pristanku u zemlju, strategije inspekcije ili vrsta izvršenih kontrola (npr. reaktivne kontrole u odnosu na redovito praćenje). Tri države članice prijavile su povrede utvrđene carinskim kontrolama, s vrlo malim brojem slučajeva povrede. Devet država članica izvijestilo je o slučajevima utvrđenima kontrolama koje su provodili inspektori, a razina povrede u tim državama članicama znatno se razlikovala. U nekim slučajevima to može biti povezano s vrstom izvršenih kontrola (npr. veća je vjerojatnost da će se povreda utvrditi reaktivnim kontrolama). Za trinaest slučajeva povrede izrečene su kazne u četiri države članice.</w:t>
      </w:r>
    </w:p>
    <w:p>
      <w:pPr>
        <w:pStyle w:val="MBT"/>
        <w:rPr>
          <w:noProof/>
        </w:rPr>
      </w:pPr>
    </w:p>
    <w:p>
      <w:pPr>
        <w:pStyle w:val="Caption"/>
        <w:rPr>
          <w:noProof/>
        </w:rPr>
      </w:pPr>
      <w:r>
        <w:rPr>
          <w:noProof/>
        </w:rPr>
        <w:t>Tablica 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r>
        <w:rPr>
          <w:noProof/>
        </w:rPr>
        <w:t>: Broj kontrola koje su obavili carinska tijela i inspektori te povrede koje su utvrdili tijekom razdoblja izvješćivanja</w:t>
      </w:r>
      <w:r>
        <w:rPr>
          <w:rStyle w:val="FootnoteReference"/>
          <w:noProof/>
        </w:rPr>
        <w:footnoteReference w:id="11"/>
      </w:r>
      <w:r>
        <w:rPr>
          <w:noProof/>
        </w:rPr>
        <w:t xml:space="preserve">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14"/>
        <w:gridCol w:w="1427"/>
        <w:gridCol w:w="1976"/>
        <w:gridCol w:w="1493"/>
        <w:gridCol w:w="1977"/>
      </w:tblGrid>
      <w:tr>
        <w:tc>
          <w:tcPr>
            <w:tcW w:w="1318" w:type="pct"/>
            <w:shd w:val="clear" w:color="auto" w:fill="000099"/>
          </w:tcPr>
          <w:p>
            <w:pPr>
              <w:pStyle w:val="MB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>Država članica</w:t>
            </w:r>
          </w:p>
        </w:tc>
        <w:tc>
          <w:tcPr>
            <w:tcW w:w="696" w:type="pct"/>
            <w:shd w:val="clear" w:color="auto" w:fill="000099"/>
          </w:tcPr>
          <w:p>
            <w:pPr>
              <w:pStyle w:val="MBT"/>
              <w:jc w:val="lef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>Kontrole izvoza i uvoza koje provode carinska tijela</w:t>
            </w:r>
          </w:p>
        </w:tc>
        <w:tc>
          <w:tcPr>
            <w:tcW w:w="1082" w:type="pct"/>
            <w:shd w:val="clear" w:color="auto" w:fill="000099"/>
          </w:tcPr>
          <w:p>
            <w:pPr>
              <w:pStyle w:val="MBT"/>
              <w:jc w:val="lef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 xml:space="preserve">Povrede koje su utvrdila carinska tijela </w:t>
            </w:r>
          </w:p>
        </w:tc>
        <w:tc>
          <w:tcPr>
            <w:tcW w:w="822" w:type="pct"/>
            <w:shd w:val="clear" w:color="auto" w:fill="000099"/>
          </w:tcPr>
          <w:p>
            <w:pPr>
              <w:pStyle w:val="MBT"/>
              <w:jc w:val="lef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>Kontrole izvoza i uvoza koje provode inspektori</w:t>
            </w:r>
          </w:p>
        </w:tc>
        <w:tc>
          <w:tcPr>
            <w:tcW w:w="1082" w:type="pct"/>
            <w:shd w:val="clear" w:color="auto" w:fill="000099"/>
          </w:tcPr>
          <w:p>
            <w:pPr>
              <w:pStyle w:val="MBT"/>
              <w:jc w:val="left"/>
              <w:rPr>
                <w:noProof/>
                <w:color w:val="FFFFFF"/>
              </w:rPr>
            </w:pPr>
            <w:r>
              <w:rPr>
                <w:noProof/>
                <w:color w:val="FFFFFF"/>
              </w:rPr>
              <w:t xml:space="preserve">Povrede koje su utvrdili inspektori </w:t>
            </w:r>
          </w:p>
        </w:tc>
      </w:tr>
      <w:tr>
        <w:tc>
          <w:tcPr>
            <w:tcW w:w="1318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Austrija</w:t>
            </w:r>
          </w:p>
        </w:tc>
        <w:tc>
          <w:tcPr>
            <w:tcW w:w="696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561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82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>
        <w:tc>
          <w:tcPr>
            <w:tcW w:w="1318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Belgija</w:t>
            </w:r>
          </w:p>
        </w:tc>
        <w:tc>
          <w:tcPr>
            <w:tcW w:w="696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Nije primjenjivo.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Nije primjenjivo.</w:t>
            </w:r>
          </w:p>
        </w:tc>
        <w:tc>
          <w:tcPr>
            <w:tcW w:w="82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29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>
        <w:tc>
          <w:tcPr>
            <w:tcW w:w="1318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Bugarska</w:t>
            </w:r>
          </w:p>
        </w:tc>
        <w:tc>
          <w:tcPr>
            <w:tcW w:w="696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463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82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>
        <w:tc>
          <w:tcPr>
            <w:tcW w:w="1318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Finska</w:t>
            </w:r>
          </w:p>
        </w:tc>
        <w:tc>
          <w:tcPr>
            <w:tcW w:w="696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3633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Nije primjenjivo.</w:t>
            </w:r>
          </w:p>
        </w:tc>
        <w:tc>
          <w:tcPr>
            <w:tcW w:w="82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>
        <w:tc>
          <w:tcPr>
            <w:tcW w:w="1318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 xml:space="preserve">Francuska </w:t>
            </w:r>
          </w:p>
        </w:tc>
        <w:tc>
          <w:tcPr>
            <w:tcW w:w="696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123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82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Nije primjenjivo.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Nije primjenjivo.</w:t>
            </w:r>
          </w:p>
        </w:tc>
      </w:tr>
      <w:tr>
        <w:tc>
          <w:tcPr>
            <w:tcW w:w="1318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Njemačka</w:t>
            </w:r>
          </w:p>
        </w:tc>
        <w:tc>
          <w:tcPr>
            <w:tcW w:w="696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rStyle w:val="FootnoteReference"/>
                <w:noProof/>
              </w:rPr>
              <w:footnoteReference w:id="12"/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82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49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21</w:t>
            </w:r>
          </w:p>
        </w:tc>
      </w:tr>
      <w:tr>
        <w:tc>
          <w:tcPr>
            <w:tcW w:w="1318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Mađarska</w:t>
            </w:r>
          </w:p>
        </w:tc>
        <w:tc>
          <w:tcPr>
            <w:tcW w:w="696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35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82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93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>
        <w:tc>
          <w:tcPr>
            <w:tcW w:w="1318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Italija</w:t>
            </w:r>
          </w:p>
        </w:tc>
        <w:tc>
          <w:tcPr>
            <w:tcW w:w="696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1205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82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Nije primjenjivo.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Nije primjenjivo.</w:t>
            </w:r>
          </w:p>
        </w:tc>
      </w:tr>
      <w:tr>
        <w:tc>
          <w:tcPr>
            <w:tcW w:w="1318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Litva</w:t>
            </w:r>
          </w:p>
        </w:tc>
        <w:tc>
          <w:tcPr>
            <w:tcW w:w="696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82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>
        <w:tc>
          <w:tcPr>
            <w:tcW w:w="1318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Nizozemska</w:t>
            </w:r>
          </w:p>
        </w:tc>
        <w:tc>
          <w:tcPr>
            <w:tcW w:w="696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275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82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661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>
        <w:tc>
          <w:tcPr>
            <w:tcW w:w="1318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Ujedinjena Kraljevina</w:t>
            </w:r>
          </w:p>
        </w:tc>
        <w:tc>
          <w:tcPr>
            <w:tcW w:w="696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82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82" w:type="pct"/>
            <w:shd w:val="clear" w:color="auto" w:fill="F2F2F2"/>
          </w:tcPr>
          <w:p>
            <w:pPr>
              <w:pStyle w:val="MB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</w:tbl>
    <w:p>
      <w:pPr>
        <w:pStyle w:val="Body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Glavna kategorija povrede utvrđene inspekcijama bila je neusklađenost kemikalije s obavijesti o izvozu. Pronađene su i povrede povezane s SDS-om i zahtjevima za označivanje. 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Koordinacija provedbenih aktivnosti odvija se putem Foruma za razmjenu informacija, za čije su aktivnosti Agencija i DNA-i dali pozitivne povratne informacije. Neki DNA-i pozdravili su pokretanje pilot projekta namijenjenog provedbi Uredbe o prethodnom informiranom pristanku. </w:t>
      </w:r>
    </w:p>
    <w:p>
      <w:pPr>
        <w:pStyle w:val="Body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>Objavljeno je prvo izvješće u skladu s člankom 20.</w:t>
      </w:r>
    </w:p>
    <w:p>
      <w:pPr>
        <w:pStyle w:val="Body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U skladu s člankom 20. Komisija uz pomoć Agencije i država članica mora olakšati pružanje znanstvenih, tehničkih, ekonomskih i pravnih informacija drugim zemljama o kemikalijama koje podliježu Uredbi o prethodnom informiranom pristanku. Agencija stoga mora svake dvije godine sastaviti izvješće o svim prenesenim podacima.</w:t>
      </w:r>
    </w:p>
    <w:p>
      <w:pPr>
        <w:pStyle w:val="Body"/>
        <w:jc w:val="both"/>
        <w:rPr>
          <w:noProof/>
        </w:rPr>
      </w:pPr>
    </w:p>
    <w:p>
      <w:pPr>
        <w:pStyle w:val="Body"/>
        <w:jc w:val="both"/>
        <w:rPr>
          <w:noProof/>
        </w:rPr>
      </w:pPr>
      <w:r>
        <w:rPr>
          <w:noProof/>
        </w:rPr>
        <w:t>Agencija je u studenome 2016.</w:t>
      </w:r>
      <w:r>
        <w:rPr>
          <w:noProof/>
          <w:vertAlign w:val="superscript"/>
        </w:rPr>
        <w:footnoteReference w:id="13"/>
      </w:r>
      <w:r>
        <w:rPr>
          <w:noProof/>
        </w:rPr>
        <w:t xml:space="preserve"> objavila prvu kompilaciju informacija dostavljenu trećim zemljama koja obuhvaća prve dvije godine provedbe Uredbe o prethodnom informiranom pristanku (2014.–2015.). Agencija nije imala poteškoća s prikupljanjem prenesenih informacija od Komisije i država članica. Jedini izazov bio je definiranje opsega izvješća s Komisijom i državama članicama, budući da je to bilo prvo takve vrste. Komisija je primila i odgovorila na dva zahtjeva za informacije u razdoblju 2014.–2015. i na četiri zahtjeva 2016.</w:t>
      </w:r>
    </w:p>
    <w:p>
      <w:pPr>
        <w:pStyle w:val="Body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 xml:space="preserve">Nekoliko DNA-a i Agencija sudjelovali su u aktivnostima tehničke pomoći </w:t>
      </w:r>
    </w:p>
    <w:p>
      <w:pPr>
        <w:pStyle w:val="Body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U skladu s člankom 21. Komisija, DNA-i i Agencija moraju surađivati u promicanju tehničke pomoći, posebice kako bi pomogle zemljama u razvoju i zemljama s gospodarstvom u tranziciji u provedbi Konvencije i razvoju infrastrukture, kapaciteta i stručnih znanja potrebnih za pravilnu kontrolu kemikalija tijekom njihova životnog ciklusa.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Pet zemalja članica sudjelovalo je u aktivnostima suradnje, a šest u projektima ili međunarodnim aktivnostima povezanima s izgradnjom kapaciteta u upravljanju kemikalijama. Aktivnosti DNA-a sastojale su se od pružanja tehničkog stručnog znanja ili tehničkih informacija s pomoću radionica za osposobljavanje, posjeta, projekata prijateljskog povezivanja itd. Agencija je organizirala ili sudjelovala u nekoliko aktivnosti izgradnje kapaciteta, pomažući zemljama kandidatkinjama za članstvo u EU-u ili objašnjavajući posebne odredbe Uredbe o prethodnom informiranom pristanku i razlike s odredbama Konvencije tijelima u zemljama koje nisu države članice EU-a.</w:t>
      </w:r>
    </w:p>
    <w:p>
      <w:pPr>
        <w:pStyle w:val="MBT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 xml:space="preserve">Korisnici ePIC-a općenito smatraju da je IT alat prilagođen korisniku i prikladan za podršku njihovu radu </w:t>
      </w:r>
    </w:p>
    <w:p>
      <w:pPr>
        <w:pStyle w:val="Body"/>
        <w:jc w:val="both"/>
        <w:rPr>
          <w:noProof/>
        </w:rPr>
      </w:pPr>
    </w:p>
    <w:p>
      <w:pPr>
        <w:pStyle w:val="Body"/>
        <w:jc w:val="both"/>
        <w:rPr>
          <w:noProof/>
        </w:rPr>
      </w:pPr>
      <w:r>
        <w:rPr>
          <w:noProof/>
        </w:rPr>
        <w:t xml:space="preserve">Kako se to zahtijeva Uredbom (EU) br. 649/2012, Agencija je razvila i nastavlja održavati IT alat (ePIC) kako bi pružala potporu provedbi Uredbe o prethodnom informiranom pristanku. ePIC je pokrenut u rujnu 2014., nedugo nakon stupanja na snagu Uredbe, i zamijenio je prethodnu bazu podataka EDEXIM. Komisija, DNA-i, provedbena tijela, Agencija, izvoznici i uvoznici te carinski službenici imaju pristup ePIC-u. </w:t>
      </w:r>
    </w:p>
    <w:p>
      <w:pPr>
        <w:pStyle w:val="Body"/>
        <w:jc w:val="both"/>
        <w:rPr>
          <w:noProof/>
        </w:rPr>
      </w:pPr>
    </w:p>
    <w:p>
      <w:pPr>
        <w:pStyle w:val="Body"/>
        <w:jc w:val="both"/>
        <w:rPr>
          <w:noProof/>
        </w:rPr>
      </w:pPr>
      <w:r>
        <w:rPr>
          <w:noProof/>
        </w:rPr>
        <w:t>Sveukupno, DNA-i smatraju da je ePIC prilagođen korisniku i da nisu naišli na veće poteškoće u njegovu korištenju. Povratne informacije od industrijskih korisnika Agenciji i DNA-ima bile su isto tako općenito pozitivne, kao i povratne informacije carinskih uprava i provedbenih tijela.</w:t>
      </w:r>
    </w:p>
    <w:p>
      <w:pPr>
        <w:pStyle w:val="Body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 xml:space="preserve">Relevantne informacije i podaci stavljeni su na raspolaganje javnosti </w:t>
      </w:r>
    </w:p>
    <w:p>
      <w:pPr>
        <w:pStyle w:val="Body"/>
        <w:rPr>
          <w:noProof/>
        </w:rPr>
      </w:pPr>
    </w:p>
    <w:p>
      <w:pPr>
        <w:pStyle w:val="Body"/>
        <w:jc w:val="both"/>
        <w:rPr>
          <w:noProof/>
        </w:rPr>
      </w:pPr>
      <w:r>
        <w:rPr>
          <w:noProof/>
        </w:rPr>
        <w:t>Uredba o prethodnom informiranom pristanku sadržava niz zahtjeva za stavljanje informacija i podataka na raspolaganje javnosti, a Agencija ih je na odgovarajući način ispunila.</w:t>
      </w:r>
    </w:p>
    <w:p>
      <w:pPr>
        <w:pStyle w:val="Body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Agencija ima posebnu internetsku stranicu posvećenu Uredbi o prethodnom informiranom pristanku, na kojoj su objašnjeni sadržaj zakonodavstva i različiti postupci. Internetska stranica sadržava i sljedeće:</w:t>
      </w:r>
    </w:p>
    <w:p>
      <w:pPr>
        <w:pStyle w:val="MBT"/>
        <w:numPr>
          <w:ilvl w:val="0"/>
          <w:numId w:val="32"/>
        </w:numPr>
        <w:rPr>
          <w:noProof/>
        </w:rPr>
      </w:pPr>
      <w:r>
        <w:rPr>
          <w:noProof/>
        </w:rPr>
        <w:t>poveznicu na pravni tekst i njegove izmjene</w:t>
      </w:r>
      <w:r>
        <w:rPr>
          <w:rStyle w:val="FootnoteReference"/>
          <w:noProof/>
        </w:rPr>
        <w:footnoteReference w:id="14"/>
      </w:r>
      <w:r>
        <w:rPr>
          <w:noProof/>
        </w:rPr>
        <w:t xml:space="preserve">, </w:t>
      </w:r>
    </w:p>
    <w:p>
      <w:pPr>
        <w:pStyle w:val="MBT"/>
        <w:numPr>
          <w:ilvl w:val="0"/>
          <w:numId w:val="32"/>
        </w:numPr>
        <w:rPr>
          <w:noProof/>
        </w:rPr>
      </w:pPr>
      <w:r>
        <w:rPr>
          <w:noProof/>
        </w:rPr>
        <w:t>u članku 10. navedene su stvarne količine kemikalija obuhvaćenih Uredbom o prethodnom informiranom pristanku koje se izvoze i uvoze</w:t>
      </w:r>
      <w:r>
        <w:rPr>
          <w:rStyle w:val="FootnoteReference"/>
          <w:noProof/>
        </w:rPr>
        <w:footnoteReference w:id="15"/>
      </w:r>
      <w:r>
        <w:rPr>
          <w:noProof/>
        </w:rPr>
        <w:t>,</w:t>
      </w:r>
    </w:p>
    <w:p>
      <w:pPr>
        <w:pStyle w:val="MBT"/>
        <w:numPr>
          <w:ilvl w:val="0"/>
          <w:numId w:val="32"/>
        </w:numPr>
        <w:rPr>
          <w:noProof/>
        </w:rPr>
      </w:pPr>
      <w:r>
        <w:rPr>
          <w:noProof/>
        </w:rPr>
        <w:t>u članku 20. navedena je razmjena informacija</w:t>
      </w:r>
      <w:r>
        <w:rPr>
          <w:rStyle w:val="FootnoteReference"/>
          <w:noProof/>
        </w:rPr>
        <w:footnoteReference w:id="16"/>
      </w:r>
      <w:r>
        <w:rPr>
          <w:noProof/>
        </w:rPr>
        <w:t>.</w:t>
      </w:r>
    </w:p>
    <w:p>
      <w:pPr>
        <w:pStyle w:val="Body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Kako je propisano Uredbom o prethodnom informiranom pristanku, Agencija je također uspostavila bazu podataka koja sadržava: </w:t>
      </w:r>
    </w:p>
    <w:p>
      <w:pPr>
        <w:pStyle w:val="MBT"/>
        <w:numPr>
          <w:ilvl w:val="0"/>
          <w:numId w:val="33"/>
        </w:numPr>
        <w:rPr>
          <w:noProof/>
        </w:rPr>
      </w:pPr>
      <w:r>
        <w:rPr>
          <w:noProof/>
        </w:rPr>
        <w:t>popis kemikalija koje podliježu Uredbi o prethodnom informiranom pristanku</w:t>
      </w:r>
      <w:r>
        <w:rPr>
          <w:rStyle w:val="FootnoteReference"/>
          <w:noProof/>
        </w:rPr>
        <w:footnoteReference w:id="17"/>
      </w:r>
      <w:r>
        <w:rPr>
          <w:noProof/>
        </w:rPr>
        <w:t>,</w:t>
      </w:r>
    </w:p>
    <w:p>
      <w:pPr>
        <w:pStyle w:val="MBT"/>
        <w:numPr>
          <w:ilvl w:val="0"/>
          <w:numId w:val="33"/>
        </w:numPr>
        <w:rPr>
          <w:noProof/>
        </w:rPr>
      </w:pPr>
      <w:r>
        <w:rPr>
          <w:noProof/>
        </w:rPr>
        <w:t>podatke i statistike na visokoj razini o obavijestima o izvozu</w:t>
      </w:r>
      <w:r>
        <w:rPr>
          <w:rStyle w:val="FootnoteReference"/>
          <w:noProof/>
        </w:rPr>
        <w:footnoteReference w:id="18"/>
      </w:r>
      <w:r>
        <w:rPr>
          <w:noProof/>
        </w:rPr>
        <w:t xml:space="preserve">, </w:t>
      </w:r>
    </w:p>
    <w:p>
      <w:pPr>
        <w:pStyle w:val="MBT"/>
        <w:numPr>
          <w:ilvl w:val="0"/>
          <w:numId w:val="33"/>
        </w:numPr>
        <w:rPr>
          <w:noProof/>
        </w:rPr>
      </w:pPr>
      <w:r>
        <w:rPr>
          <w:noProof/>
        </w:rPr>
        <w:t>podatke i statistike na visokoj razini o obavijestima o uvozu</w:t>
      </w:r>
      <w:r>
        <w:rPr>
          <w:rStyle w:val="FootnoteReference"/>
          <w:noProof/>
        </w:rPr>
        <w:footnoteReference w:id="19"/>
      </w:r>
      <w:r>
        <w:rPr>
          <w:noProof/>
        </w:rPr>
        <w:t xml:space="preserve">, </w:t>
      </w:r>
    </w:p>
    <w:p>
      <w:pPr>
        <w:pStyle w:val="MBT"/>
        <w:numPr>
          <w:ilvl w:val="0"/>
          <w:numId w:val="33"/>
        </w:numPr>
        <w:rPr>
          <w:noProof/>
        </w:rPr>
      </w:pPr>
      <w:r>
        <w:rPr>
          <w:noProof/>
        </w:rPr>
        <w:t>podatke koji nisu povjerljivi o izričitim pristancima primljenima od zemalja koje nisu države članice EU-a</w:t>
      </w:r>
      <w:r>
        <w:rPr>
          <w:rStyle w:val="FootnoteReference"/>
          <w:noProof/>
        </w:rPr>
        <w:footnoteReference w:id="20"/>
      </w:r>
      <w:r>
        <w:rPr>
          <w:noProof/>
        </w:rPr>
        <w:t xml:space="preserve">, </w:t>
      </w:r>
    </w:p>
    <w:p>
      <w:pPr>
        <w:pStyle w:val="MBT"/>
        <w:numPr>
          <w:ilvl w:val="0"/>
          <w:numId w:val="33"/>
        </w:numPr>
        <w:rPr>
          <w:noProof/>
        </w:rPr>
      </w:pPr>
      <w:r>
        <w:rPr>
          <w:noProof/>
        </w:rPr>
        <w:t>podatke za kontakt DNA-a u EU-u i izvan EU-a</w:t>
      </w:r>
      <w:r>
        <w:rPr>
          <w:rStyle w:val="FootnoteReference"/>
          <w:noProof/>
        </w:rPr>
        <w:footnoteReference w:id="21"/>
      </w:r>
      <w:r>
        <w:rPr>
          <w:noProof/>
        </w:rPr>
        <w:t xml:space="preserve">. 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Osim toga, informacije o tvarima koje podliježu Uredbi o prethodnom informiranom pristanku isto su tako dostupne putem internetskih stranica Agencije „Informacije o kemikalijama”, koje pružaju kartice s informacijama za svaku tvar i iscrpniji profil za neke tvari. </w:t>
      </w:r>
    </w:p>
    <w:p>
      <w:pPr>
        <w:pStyle w:val="MBT"/>
        <w:rPr>
          <w:noProof/>
        </w:rPr>
      </w:pPr>
    </w:p>
    <w:p>
      <w:pPr>
        <w:pStyle w:val="Heading1"/>
        <w:rPr>
          <w:noProof/>
        </w:rPr>
      </w:pPr>
      <w:r>
        <w:rPr>
          <w:noProof/>
        </w:rPr>
        <w:t>Zaključci</w:t>
      </w:r>
    </w:p>
    <w:p>
      <w:pPr>
        <w:pStyle w:val="MBT"/>
        <w:rPr>
          <w:noProof/>
        </w:rPr>
      </w:pPr>
      <w:r>
        <w:rPr>
          <w:noProof/>
        </w:rPr>
        <w:t>Uredbom (EU) br. 649/2012 u EU-u se provodi Roterdamska konvencija s kojom dijeli zajedničke ciljeve, tj. poticanje zajedničke odgovornosti i suradnje u međunarodnom kretanju opasnih kemikalija te zaštitu zdravlja ljudi i okoliša od moguće štete omogućavanjem razmjene informacija o opasnim kemikalijama i trgovini njima. Uredbom (EU) br. 649/2012 nadilaze se zahtjevi Konvencije kako bi se ponudila veća razina zaštite, posebice zemljama u razvoju i zemljama s gospodarstvom u tranziciji.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Ovim se izvješćem pokazuje da su postupci utvrđeni Uredbom (EU) br. 649/2012 dobro djelovali i pridonijeli postizanju njezinih ciljeva. Dobrom suradnjom među svim dionicima stvorena je osnova za uspješnu provedbu. Postupak obavješćivanja o izvozu dobro je funkcionirao i pružio je zemljama uvoznicama važne informacije o mnogim kemikalijama i njihovu izvozu. Uz gotovo 8 000 obavijesti o izvozu 2016.</w:t>
      </w:r>
      <w:bookmarkStart w:id="13" w:name="_Hlk515297225"/>
      <w:r>
        <w:rPr>
          <w:noProof/>
        </w:rPr>
        <w:t xml:space="preserve"> i daljnjim trendom rasta tog broja </w:t>
      </w:r>
      <w:bookmarkEnd w:id="13"/>
      <w:r>
        <w:rPr>
          <w:noProof/>
        </w:rPr>
        <w:t xml:space="preserve">jasno je vidljiv razmjer razmjene informacija i </w:t>
      </w:r>
      <w:bookmarkStart w:id="14" w:name="_Hlk515297244"/>
      <w:r>
        <w:rPr>
          <w:noProof/>
        </w:rPr>
        <w:t xml:space="preserve">potencijal daljnjeg rasta. Povezano radno opterećenje </w:t>
      </w:r>
      <w:bookmarkEnd w:id="14"/>
      <w:r>
        <w:rPr>
          <w:noProof/>
        </w:rPr>
        <w:t>može se riješiti samo s razumnim kadrovskim resursima radi potrebe održavanja kapaciteta za obradu i podršku, uz istovremeno osiguravanje učinkovitosti aplikacije „ePIC”, koju je razvila i koju održava Agencija.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Postupak izričitog pristanka, koji nadilazi Konvenciju kao standardni postupak za izvoz određenih kemikalija, doveo je do velikog broja od 3 362 zahtjeva za izričiti pristanak koji su poslani zemljama uvoznicama u razdoblju izvješćivanja. Na temelju iskustva može se zaključiti da su ti zahtjevi predstavljali izazov za mnoge zemlje uvoznice, uglavnom zbog toga što se postupak rijetko koristio u okviru Konvencije, a mnoge stranke možda nisu svjesne njegova postojanja. To je možda dovelo do velikog broja slučajeva izvoza za koje nije dopušten nastavak postupka zbog neodgovorenih zahtjeva za pristanak. S mogućnošću podnošenja zahtjeva za odustajanje pod određenim uvjetima osiguralo se da se broj slučajeva izvoza blokiranih iz tog razloga svede na najmanju moguću mjeru. 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 xml:space="preserve">Izvoznici kemikalija koje podliježu Uredbi općenito su bili svjesni svojih obveza i mogli su ih ispuniti. U slučajevima u kojima su se pojavili problemi, DNA-i i Agencija pružili su potrebnu pomoć, i to je možda doprinijelo niskom broju povreda. Glavna kategorija povrede utvrđene inspekcijama bila je neusklađenost kemikalije s obavijesti o izvozu. Utvrđene su i povrede povezane s SDS-om i zahtjevima za označivanje. </w:t>
      </w:r>
    </w:p>
    <w:p>
      <w:pPr>
        <w:pStyle w:val="MBT"/>
        <w:rPr>
          <w:noProof/>
        </w:rPr>
      </w:pPr>
    </w:p>
    <w:p>
      <w:pPr>
        <w:pStyle w:val="MBT"/>
        <w:rPr>
          <w:noProof/>
        </w:rPr>
      </w:pPr>
      <w:r>
        <w:rPr>
          <w:noProof/>
        </w:rPr>
        <w:t>Općenito, države članice ispunile su svoje obveze, iako je veliko radno opterećenje na kraju svake godine – uzrokovano velikim brojem obavijesti o izvozu – predstavljalo izazov za neke države članice i ponekad dovelo do problema s rokovima. Doprinos Agencije u provedbi bio je u potpunosti u skladu sa zahtjevima Uredbe, a njezina uspješnost bila je osnova za učinkovito funkcioniranje relevantnih postupaka. Komisija je ispunila svoje obveze u okviru Uredbe. U razdoblju izvješćivanja donesene su dvije delegirane uredbe o izmjeni Priloga I. i dvije provedbene odluke Komisije o donošenju odluka o uvozu Unije. Osim toga, Komisija je koordinirala doprinos Unije međunarodnom radu i predstavljala Uniju u okviru Konvencije.</w:t>
      </w:r>
    </w:p>
    <w:p>
      <w:pPr>
        <w:pStyle w:val="MBT"/>
        <w:rPr>
          <w:noProof/>
        </w:rPr>
      </w:pPr>
    </w:p>
    <w:sectPr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136" w:right="1418" w:bottom="737" w:left="1418" w:header="240" w:footer="2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HR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ootnoteText"/>
        <w:spacing w:after="120"/>
        <w:rPr>
          <w:lang w:val="en-US"/>
        </w:rPr>
      </w:pPr>
      <w:r>
        <w:rPr>
          <w:rStyle w:val="FootnoteReference"/>
        </w:rPr>
        <w:footnoteRef/>
      </w:r>
      <w:r>
        <w:t xml:space="preserve"> Uredba (EU) br. 649/2012 Europskog parlamenta i Vijeća od 4. srpnja 2012. o izvozu i uvozu opasnih kemikalija (SL L 201, 27.7.2012., str. 60.–106.). </w:t>
      </w:r>
    </w:p>
  </w:footnote>
  <w:footnote w:id="2">
    <w:p>
      <w:pPr>
        <w:pStyle w:val="FootnoteText"/>
        <w:spacing w:after="120"/>
        <w:rPr>
          <w:lang w:val="en-US"/>
        </w:rPr>
      </w:pPr>
      <w:r>
        <w:rPr>
          <w:rStyle w:val="FootnoteReference"/>
        </w:rPr>
        <w:footnoteRef/>
      </w:r>
      <w:r>
        <w:t xml:space="preserve"> Uredba (EZ) br. 1272/2008 Europskog parlamenta i Vijeća od 16. prosinca 2008. o razvrstavanju, označivanju i pakiranju tvari i smjesa, o izmjeni i stavljanju izvan snage Direktive 67/548/EEZ i Direktive 1999/45/EZ te o izmjeni Uredbe (EZ) br. 1907/2006, SL L 353, 31.12.2008, str. 1.–1355. </w:t>
      </w:r>
    </w:p>
  </w:footnote>
  <w:footnote w:id="3">
    <w:p>
      <w:pPr>
        <w:pStyle w:val="FootnoteText"/>
        <w:spacing w:after="120"/>
        <w:rPr>
          <w:lang w:val="pl-PL"/>
        </w:rPr>
      </w:pPr>
      <w:r>
        <w:rPr>
          <w:rStyle w:val="FootnoteReference"/>
        </w:rPr>
        <w:footnoteRef/>
      </w:r>
      <w:r>
        <w:t xml:space="preserve"> Uredba 649/2012 primjenjuje se od 1. ožujka 2014. </w:t>
      </w:r>
    </w:p>
  </w:footnote>
  <w:footnote w:id="4">
    <w:p>
      <w:pPr>
        <w:pStyle w:val="FootnoteText"/>
        <w:spacing w:after="120"/>
        <w:rPr>
          <w:lang w:val="pl-PL"/>
        </w:rPr>
      </w:pPr>
      <w:r>
        <w:rPr>
          <w:rStyle w:val="FootnoteReference"/>
        </w:rPr>
        <w:footnoteRef/>
      </w:r>
      <w:r>
        <w:t xml:space="preserve"> Provedbena odluka Komisije (EU) 2016/770 оd 14. travnja 2016. o utvrđivanju zajedničkog obrasca za dostavu informacija o provedbi postupaka u skladu s Uredbom (EU) br. 649/2012 Europskog parlamenta i Vijeća o izvozu i uvozu opasnih kemikalija C/2016/2068, SL L 127, 18.5.2016., str. 32.–51. </w:t>
      </w:r>
    </w:p>
  </w:footnote>
  <w:footnote w:id="5">
    <w:p>
      <w:pPr>
        <w:pStyle w:val="FootnoteText"/>
        <w:spacing w:after="120"/>
        <w:rPr>
          <w:lang w:val="pl-PL"/>
        </w:rPr>
      </w:pPr>
      <w:r>
        <w:rPr>
          <w:rStyle w:val="FootnoteReference"/>
        </w:rPr>
        <w:footnoteRef/>
      </w:r>
      <w:r>
        <w:t xml:space="preserve"> Provedbena odluka Komisije (EU) 2016/1115 оd 7. srpnja 2016. o utvrđivanju obrasca za izvješća Europske agencije za kemikalije o provedbi postupaka u skladu s Uredbom (EU) br. 649/2012 Europskog parlamenta i Vijeća o izvozu i uvozu opasnih kemikalija, C/2016/4141, SL L 186, 9.7.2016., str. 13.–23. </w:t>
      </w:r>
    </w:p>
  </w:footnote>
  <w:footnote w:id="6">
    <w:p>
      <w:pPr>
        <w:pStyle w:val="FootnoteText"/>
        <w:spacing w:after="120"/>
        <w:rPr>
          <w:lang w:val="pl-PL"/>
        </w:rPr>
      </w:pPr>
      <w:r>
        <w:rPr>
          <w:rStyle w:val="FootnoteReference"/>
        </w:rPr>
        <w:footnoteRef/>
      </w:r>
      <w:r>
        <w:t xml:space="preserve"> Uredba (EZ) br. 1907/2006 Europskog parlamenta i Vijeća od 18. prosinca 2006. o registraciji, evaluaciji, autorizaciji i ograničavanju kemikalija (REACH) i osnivanju Europske agencije za kemikalije te o izmjeni Direktive 1999/45/EZ i stavljanju izvan snage Uredbe Vijeća (EEZ) br. 793/93 i Uredbe Komisije (EZ) br. 1488/94 kao i Direktive Vijeća 76/769/EEZ i direktiva Komisije 91/155/EEZ, 93/67/EEZ, 93/105/EZ i 2000/21/EZ, SL L 396, 30.12.2006., str. 1.–854. </w:t>
      </w:r>
    </w:p>
  </w:footnote>
  <w:footnote w:id="7">
    <w:p>
      <w:pPr>
        <w:pStyle w:val="FootnoteText"/>
        <w:spacing w:after="120"/>
        <w:rPr>
          <w:lang w:val="pl-PL"/>
        </w:rPr>
      </w:pPr>
      <w:r>
        <w:rPr>
          <w:rStyle w:val="FootnoteReference"/>
        </w:rPr>
        <w:footnoteRef/>
      </w:r>
      <w:r>
        <w:t xml:space="preserve"> Uredba (EU) br. 528/2012 Europskog parlamenta i Vijeća od 22. svibnja 2012. o stavljanju na raspolaganje na tržištu i uporabi biocidnih proizvoda, SL L 167, 27.6.2012., str. 1.–123. </w:t>
      </w:r>
    </w:p>
  </w:footnote>
  <w:footnote w:id="8">
    <w:p>
      <w:pPr>
        <w:pStyle w:val="FootnoteText"/>
        <w:spacing w:after="120"/>
        <w:rPr>
          <w:lang w:val="pl-PL"/>
        </w:rPr>
      </w:pPr>
      <w:r>
        <w:rPr>
          <w:rStyle w:val="FootnoteReference"/>
        </w:rPr>
        <w:footnoteRef/>
      </w:r>
      <w:r>
        <w:t xml:space="preserve"> </w:t>
      </w:r>
      <w:r>
        <w:tab/>
        <w:t xml:space="preserve">Uredba (EZ) br. 1107/2009 Europskog parlamenta i Vijeća od 21. listopada 2009. o stavljanju na tržište sredstava za zaštitu bilja i stavljanju izvan snage direktiva Vijeća 79/117/EEZ i 91/414/EEZ, SL L 309, 24.11.2009., str. 1. – 50. </w:t>
      </w:r>
    </w:p>
  </w:footnote>
  <w:footnote w:id="9">
    <w:p>
      <w:pPr>
        <w:pStyle w:val="FootnoteText"/>
        <w:spacing w:after="120"/>
        <w:rPr>
          <w:lang w:val="pl-PL"/>
        </w:rPr>
      </w:pPr>
      <w:r>
        <w:rPr>
          <w:rStyle w:val="FootnoteReference"/>
        </w:rPr>
        <w:footnoteRef/>
      </w:r>
      <w:r>
        <w:t xml:space="preserve"> ECHA, godišnje izvješćivanje o izvozu i uvozu s prethodnim informiranim pristankom: </w:t>
      </w:r>
      <w:hyperlink r:id="rId1">
        <w:r>
          <w:rPr>
            <w:rStyle w:val="Hyperlink"/>
          </w:rPr>
          <w:t>https://echa.europa.eu/regulations/prior-informed-consent/annual-reporting-on-pic-exports-and-imports</w:t>
        </w:r>
      </w:hyperlink>
      <w:r>
        <w:t xml:space="preserve"> 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Jedan DNA nije pružio informacije o izvozu, šest DNA-a nije pružilo informacije o carinskim kontrolama izvoza. Pet DNA-a nije pružilo informacije o uvozu; osam DNA-a nije pružilo informacije o carinskoj kontroli uvoza. Potreban je oprez pri uspoređivanju podataka između država članica jer mogu postojati nedosljednosti u pogledu njihovih parametara evidentiranja za provedbene aktivnosti. </w:t>
      </w:r>
    </w:p>
  </w:footnote>
  <w:footnote w:id="11">
    <w:p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Tablica obuhvaća samo one države članice u kojima su utvrđene povrede. </w:t>
      </w:r>
    </w:p>
  </w:footnote>
  <w:footnote w:id="12">
    <w:p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Njemačka je prijavila jednu povredu za jednu kontrolu, ali je navela da se podaci o carinskim kontrolama nisu čuvali. </w:t>
      </w:r>
    </w:p>
  </w:footnote>
  <w:footnote w:id="13">
    <w:p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ECHA, </w:t>
      </w:r>
      <w:r>
        <w:rPr>
          <w:i/>
        </w:rPr>
        <w:t>Overview on the exchange of information under Article 20 of the PIC Regulation -Compilation of the information collected by the European Commission, assisted by the Member States and the European Chemicals Agency (ECHA),</w:t>
      </w:r>
      <w:r>
        <w:t xml:space="preserve"> 2016. (Pregled razmjene informacija iz članka 20. Uredbe o prethodnom informiranom pristanku – Kompilacija podataka koje je prikupila Europska komisija uz pomoć država članica i Europske agencije za kemikalije (ECHA)), dostupno na: </w:t>
      </w:r>
      <w:hyperlink r:id="rId2">
        <w:r>
          <w:rPr>
            <w:rStyle w:val="Hyperlink"/>
          </w:rPr>
          <w:t>https://echa.europa.eu/regulations/prior-informed-consent-regulation/reporting-on-information-exchange</w:t>
        </w:r>
      </w:hyperlink>
      <w:r>
        <w:t xml:space="preserve"> </w:t>
      </w:r>
    </w:p>
  </w:footnote>
  <w:footnote w:id="14">
    <w:p>
      <w:pPr>
        <w:pStyle w:val="FootnoteText"/>
        <w:spacing w:after="120"/>
        <w:rPr>
          <w:lang w:val="pl-PL"/>
        </w:rPr>
      </w:pPr>
      <w:r>
        <w:rPr>
          <w:rStyle w:val="FootnoteReference"/>
        </w:rPr>
        <w:footnoteRef/>
      </w:r>
      <w:r>
        <w:t xml:space="preserve"> Uredba o prethodnom informiranom pristanku: </w:t>
      </w:r>
      <w:hyperlink r:id="rId3">
        <w:r>
          <w:rPr>
            <w:rStyle w:val="Hyperlink"/>
          </w:rPr>
          <w:t>https://echa.europa.eu/regulations/prior-informed-consent/legislation</w:t>
        </w:r>
      </w:hyperlink>
      <w:r>
        <w:t xml:space="preserve"> </w:t>
      </w:r>
    </w:p>
  </w:footnote>
  <w:footnote w:id="15">
    <w:p>
      <w:pPr>
        <w:pStyle w:val="FootnoteText"/>
        <w:spacing w:after="120"/>
        <w:rPr>
          <w:lang w:val="pl-PL"/>
        </w:rPr>
      </w:pPr>
      <w:r>
        <w:rPr>
          <w:rStyle w:val="FootnoteReference"/>
        </w:rPr>
        <w:footnoteRef/>
      </w:r>
      <w:r>
        <w:t xml:space="preserve"> Godišnje izvješćivanje o izvozu i uvozu s prethodnim informiranim pristankom: </w:t>
      </w:r>
      <w:hyperlink r:id="rId4">
        <w:r>
          <w:rPr>
            <w:rStyle w:val="Hyperlink"/>
          </w:rPr>
          <w:t>https://echa.europa.eu/regulations/prior-informed-consent/annual-reporting-on-pic-exports-and-imports</w:t>
        </w:r>
      </w:hyperlink>
      <w:r>
        <w:t xml:space="preserve"> </w:t>
      </w:r>
    </w:p>
  </w:footnote>
  <w:footnote w:id="16">
    <w:p>
      <w:pPr>
        <w:pStyle w:val="FootnoteText"/>
        <w:spacing w:after="120"/>
        <w:jc w:val="left"/>
        <w:rPr>
          <w:lang w:val="pl-PL"/>
        </w:rPr>
      </w:pPr>
      <w:r>
        <w:rPr>
          <w:rStyle w:val="FootnoteReference"/>
        </w:rPr>
        <w:footnoteRef/>
      </w:r>
      <w:r>
        <w:t xml:space="preserve"> Izvješćivanje o razmjeni informacija: </w:t>
      </w:r>
      <w:hyperlink r:id="rId5">
        <w:r>
          <w:rPr>
            <w:rStyle w:val="Hyperlink"/>
          </w:rPr>
          <w:t>https://echa.europa.eu/regulations/prior-informed-consent-regulation/reporting-on-information-exchange</w:t>
        </w:r>
      </w:hyperlink>
      <w:r>
        <w:t xml:space="preserve"> </w:t>
      </w:r>
    </w:p>
  </w:footnote>
  <w:footnote w:id="17">
    <w:p>
      <w:pPr>
        <w:pStyle w:val="FootnoteText"/>
        <w:spacing w:after="120"/>
        <w:rPr>
          <w:lang w:val="pl-PL"/>
        </w:rPr>
      </w:pPr>
      <w:r>
        <w:rPr>
          <w:rStyle w:val="FootnoteReference"/>
        </w:rPr>
        <w:footnoteRef/>
      </w:r>
      <w:r>
        <w:t xml:space="preserve"> Kemikalije koje podliježu Uredbi o prethodnom informiranom pristanku: </w:t>
      </w:r>
      <w:hyperlink r:id="rId6">
        <w:r>
          <w:rPr>
            <w:rStyle w:val="Hyperlink"/>
          </w:rPr>
          <w:t>https://echa.europa.eu/information-on-chemicals/pic/chemicals</w:t>
        </w:r>
      </w:hyperlink>
      <w:r>
        <w:t xml:space="preserve"> </w:t>
      </w:r>
    </w:p>
  </w:footnote>
  <w:footnote w:id="18">
    <w:p>
      <w:pPr>
        <w:pStyle w:val="FootnoteText"/>
        <w:spacing w:after="120"/>
        <w:rPr>
          <w:lang w:val="pl-PL"/>
        </w:rPr>
      </w:pPr>
      <w:r>
        <w:rPr>
          <w:rStyle w:val="FootnoteReference"/>
        </w:rPr>
        <w:footnoteRef/>
      </w:r>
      <w:r>
        <w:t xml:space="preserve"> Obavijesti o izvozu: </w:t>
      </w:r>
      <w:hyperlink r:id="rId7">
        <w:r>
          <w:rPr>
            <w:rStyle w:val="Hyperlink"/>
          </w:rPr>
          <w:t>https://echa.europa.eu/information-on-chemicals/pic/export-notifications</w:t>
        </w:r>
      </w:hyperlink>
      <w:r>
        <w:t xml:space="preserve"> </w:t>
      </w:r>
    </w:p>
  </w:footnote>
  <w:footnote w:id="19">
    <w:p>
      <w:pPr>
        <w:pStyle w:val="FootnoteText"/>
        <w:spacing w:after="120"/>
        <w:rPr>
          <w:lang w:val="pl-PL"/>
        </w:rPr>
      </w:pPr>
      <w:r>
        <w:rPr>
          <w:rStyle w:val="FootnoteReference"/>
        </w:rPr>
        <w:footnoteRef/>
      </w:r>
      <w:r>
        <w:t xml:space="preserve"> Obavijesti o uvozu: </w:t>
      </w:r>
      <w:hyperlink r:id="rId8">
        <w:r>
          <w:t>https://echa.europa.eu/information-on-chemicals/pic/import-notifications</w:t>
        </w:r>
      </w:hyperlink>
      <w:r>
        <w:t xml:space="preserve">  </w:t>
      </w:r>
    </w:p>
  </w:footnote>
  <w:footnote w:id="20">
    <w:p>
      <w:pPr>
        <w:pStyle w:val="FootnoteText"/>
        <w:spacing w:after="120"/>
        <w:rPr>
          <w:lang w:val="it-IT"/>
        </w:rPr>
      </w:pPr>
      <w:r>
        <w:rPr>
          <w:rStyle w:val="FootnoteReference"/>
        </w:rPr>
        <w:footnoteRef/>
      </w:r>
      <w:r>
        <w:t xml:space="preserve"> Izričiti pristanci: </w:t>
      </w:r>
      <w:hyperlink r:id="rId9">
        <w:r>
          <w:t>https://echa.europa.eu/information-on-chemicals/pic/explicit-consents</w:t>
        </w:r>
      </w:hyperlink>
      <w:r>
        <w:t xml:space="preserve"> </w:t>
      </w:r>
    </w:p>
  </w:footnote>
  <w:footnote w:id="21">
    <w:p>
      <w:pPr>
        <w:pStyle w:val="FootnoteText"/>
        <w:spacing w:after="120"/>
        <w:rPr>
          <w:lang w:val="nn-NO"/>
        </w:rPr>
      </w:pPr>
      <w:r>
        <w:rPr>
          <w:rStyle w:val="FootnoteReference"/>
        </w:rPr>
        <w:footnoteRef/>
      </w:r>
      <w:r>
        <w:t xml:space="preserve"> DNA-i: </w:t>
      </w:r>
      <w:hyperlink r:id="rId10">
        <w:r>
          <w:rPr>
            <w:rStyle w:val="Hyperlink"/>
          </w:rPr>
          <w:t>https://echa.europa.eu/information-on-chemicals/pic/designated-national-authority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tabs>
        <w:tab w:val="left" w:pos="7513"/>
      </w:tabs>
      <w:spacing w:after="0"/>
      <w:ind w:left="4153" w:hanging="4153"/>
      <w:jc w:val="center"/>
    </w:pPr>
    <w:r>
      <w:rPr>
        <w:rFonts w:ascii="Verdana" w:hAnsi="Verdana"/>
        <w:color w:val="808080"/>
        <w:sz w:val="20"/>
      </w:rPr>
      <w:t xml:space="preserve">Sažetak zbirnog izvješća o primjeni Uredbe o prethodnom informiranom pristanku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tabs>
        <w:tab w:val="left" w:pos="7513"/>
      </w:tabs>
      <w:spacing w:after="0"/>
      <w:jc w:val="center"/>
      <w:rPr>
        <w:noProof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5830570</wp:posOffset>
              </wp:positionH>
              <wp:positionV relativeFrom="page">
                <wp:posOffset>138430</wp:posOffset>
              </wp:positionV>
              <wp:extent cx="622300" cy="1229360"/>
              <wp:effectExtent l="0" t="0" r="0" b="0"/>
              <wp:wrapNone/>
              <wp:docPr id="9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1229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rPr>
                              <w:rFonts w:ascii="Verdana" w:hAnsi="Verdana"/>
                              <w:color w:val="FFFFFF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6"/>
                            </w:rPr>
                            <w:t>[Kataloški broj]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left:0;text-align:left;margin-left:459.1pt;margin-top:10.9pt;width:49pt;height:96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EqqAIAAKoFAAAOAAAAZHJzL2Uyb0RvYy54bWysVNuOmzAQfa/Uf7D8znJZQgIKWWVDqCpt&#10;L9JuP8ABE6yCTW0nsKr67x2bkGS3L6u2PFiDxz5zOcezvBvaBh2pVEzwFPs3HkaUF6JkfJ/ib0+5&#10;s8BIacJL0ghOU/xMFb5bvX+37LuEBqIWTUklAhCukr5Lca11l7iuKmraEnUjOsrBWQnZEg2/cu+W&#10;kvSA3jZu4HmR2wtZdlIUVCnYzUYnXln8qqKF/lJVimrUpBhy03aVdt2Z1V0tSbKXpKtZcUqD/EUW&#10;LWEcgp6hMqIJOkj2B1TLCimUqPRNIVpXVBUrqK0BqvG9V9U81qSjthZojurObVL/D7b4fPwqEStT&#10;HGPESQsUPdFBo3sxoHlg2tN3KoFTjx2c0wPsA822VNU9iOK7QlxsasL3dC2l6GtKSkjPNzfdq6sj&#10;jjIgu/6TKCEOOWhhgYZKtqZ30A0E6EDT85kak0sBm1EQ3HrgKcDlB0F8G1nuXJJMtzup9AcqWmSM&#10;FEug3qKT44PSJhuSTEdMMC5y1jSW/oa/2ICD4w7EhqvGZ7KwbP6MvXi72C5CJwyirRN6Weas803o&#10;RLk/n2W32WaT+b9MXD9MalaWlJswk7L88G3MnTQ+auKsLSUaVho4k5KS+92mkehIjLLtZ3sOnssx&#10;92UatglQy6uS/CD07oPYyaPF3AnzcObEc2/heH58H0deGIdZ/rKkB8bpv5eEehDdLJiNYrok/cba&#10;SNIyDbOjYW2KF+cGkMRIcMtLS60mrBntq1aY9C+tALonoq1gjUZHtephNwCKUfFOlM8gXSlAWaBC&#10;GHhgmBWjHoZHitWPA5EUo+YjB/mbSTMZcjJ2k0F4UQuYQXB5NDd6nEiHTrJ9DcjjA+NiDU+kYla9&#10;lyxODwsGgi3iNLzMxLn+t6cuI3b1GwAA//8DAFBLAwQUAAYACAAAACEAfyC9fN0AAAALAQAADwAA&#10;AGRycy9kb3ducmV2LnhtbEyPwU7DMBBE70j8g7VIXBB14kKVhjgVQlRwbcoHuPGSRMTrKHba9O/Z&#10;nOC4s29nZ4rd7HpxxjF0njSkqwQEUu1tR42Gr+P+MQMRoiFrek+o4YoBduXtTWFy6y90wHMVG8Em&#10;FHKjoY1xyKUMdYvOhJUfkHj37UdnIo9jI+1oLmzueqmSZCOd6Yg/tGbAtxbrn2pyHOOqjuv1R7//&#10;3KqID7ZS2fTutL6/m19fQESc4x8MS3y+gZIznfxENohewzbNFKMaVMoVFiBJN6ycFuX5CWRZyP8d&#10;yl8AAAD//wMAUEsBAi0AFAAGAAgAAAAhALaDOJL+AAAA4QEAABMAAAAAAAAAAAAAAAAAAAAAAFtD&#10;b250ZW50X1R5cGVzXS54bWxQSwECLQAUAAYACAAAACEAOP0h/9YAAACUAQAACwAAAAAAAAAAAAAA&#10;AAAvAQAAX3JlbHMvLnJlbHNQSwECLQAUAAYACAAAACEAZHDRKqgCAACqBQAADgAAAAAAAAAAAAAA&#10;AAAuAgAAZHJzL2Uyb0RvYy54bWxQSwECLQAUAAYACAAAACEAfyC9fN0AAAALAQAADwAAAAAAAAAA&#10;AAAAAAACBQAAZHJzL2Rvd25yZXYueG1sUEsFBgAAAAAEAAQA8wAAAAwGAAAAAA==&#10;" filled="f" fillcolor="black" stroked="f">
              <v:textbox style="layout-flow:vertical" inset="0,0,0,0">
                <w:txbxContent>
                  <w:p>
                    <w:pPr>
                      <w:rPr>
                        <w:rFonts w:ascii="Verdana" w:hAnsi="Verdana"/>
                        <w:color w:val="FFFFFF"/>
                        <w:sz w:val="16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6"/>
                      </w:rPr>
                      <w:t>[Kataloški broj]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41A77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1048426E"/>
    <w:multiLevelType w:val="hybridMultilevel"/>
    <w:tmpl w:val="F76EC6AC"/>
    <w:lvl w:ilvl="0" w:tplc="1DBAE22A">
      <w:start w:val="1"/>
      <w:numFmt w:val="bullet"/>
      <w:pStyle w:val="Bulletpoint1"/>
      <w:lvlText w:val=""/>
      <w:lvlJc w:val="left"/>
      <w:pPr>
        <w:ind w:left="717" w:hanging="360"/>
      </w:pPr>
      <w:rPr>
        <w:rFonts w:ascii="Symbol" w:hAnsi="Symbol" w:hint="default"/>
        <w:color w:val="00AE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003C2"/>
    <w:multiLevelType w:val="hybridMultilevel"/>
    <w:tmpl w:val="8EF604EE"/>
    <w:lvl w:ilvl="0" w:tplc="B9B620D2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922" w:hanging="360"/>
      </w:pPr>
    </w:lvl>
    <w:lvl w:ilvl="2" w:tplc="0813001B" w:tentative="1">
      <w:start w:val="1"/>
      <w:numFmt w:val="lowerRoman"/>
      <w:lvlText w:val="%3."/>
      <w:lvlJc w:val="right"/>
      <w:pPr>
        <w:ind w:left="2642" w:hanging="180"/>
      </w:pPr>
    </w:lvl>
    <w:lvl w:ilvl="3" w:tplc="0813000F" w:tentative="1">
      <w:start w:val="1"/>
      <w:numFmt w:val="decimal"/>
      <w:lvlText w:val="%4."/>
      <w:lvlJc w:val="left"/>
      <w:pPr>
        <w:ind w:left="3362" w:hanging="360"/>
      </w:pPr>
    </w:lvl>
    <w:lvl w:ilvl="4" w:tplc="08130019" w:tentative="1">
      <w:start w:val="1"/>
      <w:numFmt w:val="lowerLetter"/>
      <w:lvlText w:val="%5."/>
      <w:lvlJc w:val="left"/>
      <w:pPr>
        <w:ind w:left="4082" w:hanging="360"/>
      </w:pPr>
    </w:lvl>
    <w:lvl w:ilvl="5" w:tplc="0813001B" w:tentative="1">
      <w:start w:val="1"/>
      <w:numFmt w:val="lowerRoman"/>
      <w:lvlText w:val="%6."/>
      <w:lvlJc w:val="right"/>
      <w:pPr>
        <w:ind w:left="4802" w:hanging="180"/>
      </w:pPr>
    </w:lvl>
    <w:lvl w:ilvl="6" w:tplc="0813000F" w:tentative="1">
      <w:start w:val="1"/>
      <w:numFmt w:val="decimal"/>
      <w:lvlText w:val="%7."/>
      <w:lvlJc w:val="left"/>
      <w:pPr>
        <w:ind w:left="5522" w:hanging="360"/>
      </w:pPr>
    </w:lvl>
    <w:lvl w:ilvl="7" w:tplc="08130019" w:tentative="1">
      <w:start w:val="1"/>
      <w:numFmt w:val="lowerLetter"/>
      <w:lvlText w:val="%8."/>
      <w:lvlJc w:val="left"/>
      <w:pPr>
        <w:ind w:left="6242" w:hanging="360"/>
      </w:pPr>
    </w:lvl>
    <w:lvl w:ilvl="8" w:tplc="0813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D573EC6"/>
    <w:multiLevelType w:val="hybridMultilevel"/>
    <w:tmpl w:val="9814C59E"/>
    <w:lvl w:ilvl="0" w:tplc="D5B053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7829D4"/>
    <w:multiLevelType w:val="hybridMultilevel"/>
    <w:tmpl w:val="E0D62A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DFF3D39"/>
    <w:multiLevelType w:val="hybridMultilevel"/>
    <w:tmpl w:val="3F5C0CC6"/>
    <w:lvl w:ilvl="0" w:tplc="0A36323A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4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6144BD4"/>
    <w:multiLevelType w:val="hybridMultilevel"/>
    <w:tmpl w:val="1D38769C"/>
    <w:lvl w:ilvl="0" w:tplc="D5B05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395"/>
      </w:rPr>
    </w:lvl>
    <w:lvl w:ilvl="1" w:tplc="E5CA32C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8">
    <w:nsid w:val="3D802212"/>
    <w:multiLevelType w:val="hybridMultilevel"/>
    <w:tmpl w:val="90F0B8C8"/>
    <w:lvl w:ilvl="0" w:tplc="3CE0A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u w:color="1F497D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0">
    <w:nsid w:val="4B4A1CE1"/>
    <w:multiLevelType w:val="hybridMultilevel"/>
    <w:tmpl w:val="2EEA4DF0"/>
    <w:lvl w:ilvl="0" w:tplc="508EE518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E8D3084"/>
    <w:multiLevelType w:val="hybridMultilevel"/>
    <w:tmpl w:val="D8B4EFBA"/>
    <w:lvl w:ilvl="0" w:tplc="E83E1136">
      <w:start w:val="1"/>
      <w:numFmt w:val="decimal"/>
      <w:pStyle w:val="Title2"/>
      <w:lvlText w:val="%1.1"/>
      <w:lvlJc w:val="left"/>
      <w:pPr>
        <w:ind w:left="120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922" w:hanging="360"/>
      </w:pPr>
    </w:lvl>
    <w:lvl w:ilvl="2" w:tplc="0813001B" w:tentative="1">
      <w:start w:val="1"/>
      <w:numFmt w:val="lowerRoman"/>
      <w:lvlText w:val="%3."/>
      <w:lvlJc w:val="right"/>
      <w:pPr>
        <w:ind w:left="2642" w:hanging="180"/>
      </w:pPr>
    </w:lvl>
    <w:lvl w:ilvl="3" w:tplc="0813000F" w:tentative="1">
      <w:start w:val="1"/>
      <w:numFmt w:val="decimal"/>
      <w:lvlText w:val="%4."/>
      <w:lvlJc w:val="left"/>
      <w:pPr>
        <w:ind w:left="3362" w:hanging="360"/>
      </w:pPr>
    </w:lvl>
    <w:lvl w:ilvl="4" w:tplc="08130019" w:tentative="1">
      <w:start w:val="1"/>
      <w:numFmt w:val="lowerLetter"/>
      <w:lvlText w:val="%5."/>
      <w:lvlJc w:val="left"/>
      <w:pPr>
        <w:ind w:left="4082" w:hanging="360"/>
      </w:pPr>
    </w:lvl>
    <w:lvl w:ilvl="5" w:tplc="0813001B" w:tentative="1">
      <w:start w:val="1"/>
      <w:numFmt w:val="lowerRoman"/>
      <w:lvlText w:val="%6."/>
      <w:lvlJc w:val="right"/>
      <w:pPr>
        <w:ind w:left="4802" w:hanging="180"/>
      </w:pPr>
    </w:lvl>
    <w:lvl w:ilvl="6" w:tplc="0813000F" w:tentative="1">
      <w:start w:val="1"/>
      <w:numFmt w:val="decimal"/>
      <w:lvlText w:val="%7."/>
      <w:lvlJc w:val="left"/>
      <w:pPr>
        <w:ind w:left="5522" w:hanging="360"/>
      </w:pPr>
    </w:lvl>
    <w:lvl w:ilvl="7" w:tplc="08130019" w:tentative="1">
      <w:start w:val="1"/>
      <w:numFmt w:val="lowerLetter"/>
      <w:lvlText w:val="%8."/>
      <w:lvlJc w:val="left"/>
      <w:pPr>
        <w:ind w:left="6242" w:hanging="360"/>
      </w:pPr>
    </w:lvl>
    <w:lvl w:ilvl="8" w:tplc="0813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2">
    <w:nsid w:val="4FE66402"/>
    <w:multiLevelType w:val="hybridMultilevel"/>
    <w:tmpl w:val="FC001F1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>
    <w:nsid w:val="574663E3"/>
    <w:multiLevelType w:val="hybridMultilevel"/>
    <w:tmpl w:val="6BDC7006"/>
    <w:lvl w:ilvl="0" w:tplc="0813000F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922" w:hanging="360"/>
      </w:pPr>
    </w:lvl>
    <w:lvl w:ilvl="2" w:tplc="0813001B" w:tentative="1">
      <w:start w:val="1"/>
      <w:numFmt w:val="lowerRoman"/>
      <w:lvlText w:val="%3."/>
      <w:lvlJc w:val="right"/>
      <w:pPr>
        <w:ind w:left="2642" w:hanging="180"/>
      </w:pPr>
    </w:lvl>
    <w:lvl w:ilvl="3" w:tplc="0813000F" w:tentative="1">
      <w:start w:val="1"/>
      <w:numFmt w:val="decimal"/>
      <w:lvlText w:val="%4."/>
      <w:lvlJc w:val="left"/>
      <w:pPr>
        <w:ind w:left="3362" w:hanging="360"/>
      </w:pPr>
    </w:lvl>
    <w:lvl w:ilvl="4" w:tplc="08130019" w:tentative="1">
      <w:start w:val="1"/>
      <w:numFmt w:val="lowerLetter"/>
      <w:lvlText w:val="%5."/>
      <w:lvlJc w:val="left"/>
      <w:pPr>
        <w:ind w:left="4082" w:hanging="360"/>
      </w:pPr>
    </w:lvl>
    <w:lvl w:ilvl="5" w:tplc="0813001B" w:tentative="1">
      <w:start w:val="1"/>
      <w:numFmt w:val="lowerRoman"/>
      <w:lvlText w:val="%6."/>
      <w:lvlJc w:val="right"/>
      <w:pPr>
        <w:ind w:left="4802" w:hanging="180"/>
      </w:pPr>
    </w:lvl>
    <w:lvl w:ilvl="6" w:tplc="0813000F" w:tentative="1">
      <w:start w:val="1"/>
      <w:numFmt w:val="decimal"/>
      <w:lvlText w:val="%7."/>
      <w:lvlJc w:val="left"/>
      <w:pPr>
        <w:ind w:left="5522" w:hanging="360"/>
      </w:pPr>
    </w:lvl>
    <w:lvl w:ilvl="7" w:tplc="08130019" w:tentative="1">
      <w:start w:val="1"/>
      <w:numFmt w:val="lowerLetter"/>
      <w:lvlText w:val="%8."/>
      <w:lvlJc w:val="left"/>
      <w:pPr>
        <w:ind w:left="6242" w:hanging="360"/>
      </w:pPr>
    </w:lvl>
    <w:lvl w:ilvl="8" w:tplc="0813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5">
    <w:nsid w:val="5C741BEE"/>
    <w:multiLevelType w:val="hybridMultilevel"/>
    <w:tmpl w:val="59EC30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7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8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740A63F0"/>
    <w:multiLevelType w:val="hybridMultilevel"/>
    <w:tmpl w:val="FFB0B7A8"/>
    <w:lvl w:ilvl="0" w:tplc="1E88AA48">
      <w:start w:val="1"/>
      <w:numFmt w:val="decimal"/>
      <w:lvlText w:val="1.%1"/>
      <w:lvlJc w:val="left"/>
      <w:pPr>
        <w:ind w:left="120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922" w:hanging="360"/>
      </w:pPr>
    </w:lvl>
    <w:lvl w:ilvl="2" w:tplc="0813001B" w:tentative="1">
      <w:start w:val="1"/>
      <w:numFmt w:val="lowerRoman"/>
      <w:lvlText w:val="%3."/>
      <w:lvlJc w:val="right"/>
      <w:pPr>
        <w:ind w:left="2642" w:hanging="180"/>
      </w:pPr>
    </w:lvl>
    <w:lvl w:ilvl="3" w:tplc="0813000F" w:tentative="1">
      <w:start w:val="1"/>
      <w:numFmt w:val="decimal"/>
      <w:lvlText w:val="%4."/>
      <w:lvlJc w:val="left"/>
      <w:pPr>
        <w:ind w:left="3362" w:hanging="360"/>
      </w:pPr>
    </w:lvl>
    <w:lvl w:ilvl="4" w:tplc="08130019" w:tentative="1">
      <w:start w:val="1"/>
      <w:numFmt w:val="lowerLetter"/>
      <w:lvlText w:val="%5."/>
      <w:lvlJc w:val="left"/>
      <w:pPr>
        <w:ind w:left="4082" w:hanging="360"/>
      </w:pPr>
    </w:lvl>
    <w:lvl w:ilvl="5" w:tplc="0813001B" w:tentative="1">
      <w:start w:val="1"/>
      <w:numFmt w:val="lowerRoman"/>
      <w:lvlText w:val="%6."/>
      <w:lvlJc w:val="right"/>
      <w:pPr>
        <w:ind w:left="4802" w:hanging="180"/>
      </w:pPr>
    </w:lvl>
    <w:lvl w:ilvl="6" w:tplc="0813000F" w:tentative="1">
      <w:start w:val="1"/>
      <w:numFmt w:val="decimal"/>
      <w:lvlText w:val="%7."/>
      <w:lvlJc w:val="left"/>
      <w:pPr>
        <w:ind w:left="5522" w:hanging="360"/>
      </w:pPr>
    </w:lvl>
    <w:lvl w:ilvl="7" w:tplc="08130019" w:tentative="1">
      <w:start w:val="1"/>
      <w:numFmt w:val="lowerLetter"/>
      <w:lvlText w:val="%8."/>
      <w:lvlJc w:val="left"/>
      <w:pPr>
        <w:ind w:left="6242" w:hanging="360"/>
      </w:pPr>
    </w:lvl>
    <w:lvl w:ilvl="8" w:tplc="0813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2">
    <w:nsid w:val="75E81AD8"/>
    <w:multiLevelType w:val="hybridMultilevel"/>
    <w:tmpl w:val="95E4CFDC"/>
    <w:lvl w:ilvl="0" w:tplc="3CE0A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u w:color="1F497D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8A6EBF"/>
    <w:multiLevelType w:val="multilevel"/>
    <w:tmpl w:val="15BE5A1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38D4D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7"/>
  </w:num>
  <w:num w:numId="5">
    <w:abstractNumId w:val="10"/>
  </w:num>
  <w:num w:numId="6">
    <w:abstractNumId w:val="16"/>
  </w:num>
  <w:num w:numId="7">
    <w:abstractNumId w:val="28"/>
  </w:num>
  <w:num w:numId="8">
    <w:abstractNumId w:val="29"/>
  </w:num>
  <w:num w:numId="9">
    <w:abstractNumId w:val="13"/>
  </w:num>
  <w:num w:numId="10">
    <w:abstractNumId w:val="27"/>
  </w:num>
  <w:num w:numId="11">
    <w:abstractNumId w:val="26"/>
  </w:num>
  <w:num w:numId="12">
    <w:abstractNumId w:val="19"/>
  </w:num>
  <w:num w:numId="13">
    <w:abstractNumId w:val="23"/>
  </w:num>
  <w:num w:numId="14">
    <w:abstractNumId w:val="9"/>
  </w:num>
  <w:num w:numId="15">
    <w:abstractNumId w:val="14"/>
  </w:num>
  <w:num w:numId="16">
    <w:abstractNumId w:val="5"/>
  </w:num>
  <w:num w:numId="17">
    <w:abstractNumId w:val="11"/>
  </w:num>
  <w:num w:numId="18">
    <w:abstractNumId w:val="30"/>
  </w:num>
  <w:num w:numId="19">
    <w:abstractNumId w:val="20"/>
  </w:num>
  <w:num w:numId="20">
    <w:abstractNumId w:val="3"/>
  </w:num>
  <w:num w:numId="21">
    <w:abstractNumId w:val="33"/>
  </w:num>
  <w:num w:numId="22">
    <w:abstractNumId w:val="0"/>
  </w:num>
  <w:num w:numId="23">
    <w:abstractNumId w:val="12"/>
  </w:num>
  <w:num w:numId="24">
    <w:abstractNumId w:val="4"/>
  </w:num>
  <w:num w:numId="25">
    <w:abstractNumId w:val="21"/>
  </w:num>
  <w:num w:numId="26">
    <w:abstractNumId w:val="24"/>
  </w:num>
  <w:num w:numId="27">
    <w:abstractNumId w:val="31"/>
  </w:num>
  <w:num w:numId="28">
    <w:abstractNumId w:val="6"/>
  </w:num>
  <w:num w:numId="29">
    <w:abstractNumId w:val="15"/>
  </w:num>
  <w:num w:numId="30">
    <w:abstractNumId w:val="1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5"/>
  </w:num>
  <w:num w:numId="34">
    <w:abstractNumId w:val="8"/>
  </w:num>
  <w:num w:numId="35">
    <w:abstractNumId w:val="32"/>
  </w:num>
  <w:num w:numId="3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 style="mso-position-vertical-relative:margin" fillcolor="#002395" stroke="f">
      <v:fill color="#00239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214B521E-F7D7-4E42-84BF-17AE5A27CFF1"/>
    <w:docVar w:name="LW_COVERPAGE_TYPE" w:val="1"/>
    <w:docVar w:name="LW_CROSSREFERENCE" w:val="{SWD(2018) 438 final}"/>
    <w:docVar w:name="LW_DocType" w:val="REP"/>
    <w:docVar w:name="LW_EMISSION" w:val="17.10.2018."/>
    <w:docVar w:name="LW_EMISSION_ISODATE" w:val="2018-10-17"/>
    <w:docVar w:name="LW_EMISSION_LOCATION" w:val="BRX"/>
    <w:docVar w:name="LW_EMISSION_PREFIX" w:val="Bruxelles, "/>
    <w:docVar w:name="LW_EMISSION_SUFFIX" w:val="&lt;EMPTY&gt;"/>
    <w:docVar w:name="LW_ID_DOCTYPE_NONLW" w:val="CP-008"/>
    <w:docVar w:name="LW_LANGUE" w:val="HR"/>
    <w:docVar w:name="LW_LEVEL_OF_SENSITIVITY" w:val="Standard treatment"/>
    <w:docVar w:name="LW_NOM.INST" w:val="EUROPSKA KOMISIJ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8) 697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ITRE.OBJ.CP" w:val="Sa\u382?etak zbirnog izvje\u353?\u263?a o primjeni Uredbe (EU) br. 649/2012 o izvozu i uvozu opasnih kemikalija "/>
    <w:docVar w:name="LW_TYPE.DOC.CP" w:val="IZVJE\u352?\u262?E KOMISIJE EUROPSKOM PARLAMENTU, VIJE\u262?U, EUROPSKOM GOSPODARSKOM I SOCIJALNOM ODBORU I ODBORU REGIJA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vertical-relative:margin" fillcolor="#002395" stroke="f">
      <v:fill color="#002395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hr-H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 w:qFormat="1"/>
    <w:lsdException w:name="footnote text" w:uiPriority="99" w:qFormat="1"/>
    <w:lsdException w:name="annotation text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"/>
      </w:numPr>
      <w:spacing w:before="240"/>
      <w:outlineLvl w:val="0"/>
    </w:pPr>
    <w:rPr>
      <w:rFonts w:ascii="Verdana" w:hAnsi="Verdana"/>
      <w:b/>
      <w:smallCaps/>
      <w:sz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spacing w:before="240" w:after="60"/>
      <w:outlineLvl w:val="1"/>
    </w:pPr>
    <w:rPr>
      <w:rFonts w:ascii="Verdana" w:hAnsi="Verdana"/>
      <w:b/>
      <w:sz w:val="22"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aliases w:val="M Caption"/>
    <w:basedOn w:val="Normal"/>
    <w:next w:val="Normal"/>
    <w:qFormat/>
    <w:pPr>
      <w:spacing w:before="120" w:after="120"/>
    </w:pPr>
    <w:rPr>
      <w:rFonts w:ascii="Verdana" w:hAnsi="Verdana"/>
      <w:b/>
      <w:sz w:val="16"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qFormat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uiPriority w:val="99"/>
    <w:qFormat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pPr>
      <w:tabs>
        <w:tab w:val="right" w:leader="dot" w:pos="8640"/>
      </w:tabs>
      <w:spacing w:before="120" w:after="120"/>
      <w:ind w:left="482" w:right="720" w:hanging="482"/>
    </w:pPr>
    <w:rPr>
      <w:rFonts w:ascii="Verdana" w:hAnsi="Verdana"/>
      <w:caps/>
      <w:sz w:val="18"/>
    </w:rPr>
  </w:style>
  <w:style w:type="paragraph" w:styleId="TOC2">
    <w:name w:val="toc 2"/>
    <w:basedOn w:val="Normal"/>
    <w:next w:val="Normal"/>
    <w:uiPriority w:val="39"/>
    <w:pPr>
      <w:tabs>
        <w:tab w:val="right" w:leader="dot" w:pos="8640"/>
      </w:tabs>
      <w:spacing w:before="60" w:after="60"/>
      <w:ind w:left="1077" w:right="720" w:hanging="595"/>
    </w:pPr>
    <w:rPr>
      <w:rFonts w:ascii="Verdana" w:hAnsi="Verdana"/>
      <w:sz w:val="18"/>
    </w:rPr>
  </w:style>
  <w:style w:type="paragraph" w:styleId="TOC3">
    <w:name w:val="toc 3"/>
    <w:basedOn w:val="Normal"/>
    <w:next w:val="Normal"/>
    <w:uiPriority w:val="39"/>
    <w:semiHidden/>
    <w:qFormat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customStyle="1" w:styleId="TOCHeading1">
    <w:name w:val="TOC Heading1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</w:rPr>
  </w:style>
  <w:style w:type="paragraph" w:customStyle="1" w:styleId="ZDGName">
    <w:name w:val="Z_DGName"/>
    <w:basedOn w:val="Normal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otnoteReference">
    <w:name w:val="footnote reference"/>
    <w:rPr>
      <w:vertAlign w:val="superscript"/>
    </w:rPr>
  </w:style>
  <w:style w:type="table" w:styleId="ColorfulGrid-Accent3">
    <w:name w:val="Colorful Grid Accent 3"/>
    <w:basedOn w:val="TableNormal"/>
    <w:uiPriority w:val="69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Tms Rmn" w:hAnsi="Tms Rmn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pPr>
      <w:jc w:val="center"/>
    </w:pPr>
    <w:rPr>
      <w:rFonts w:ascii="Verdana" w:hAnsi="Verdana"/>
      <w:b/>
      <w:sz w:val="52"/>
    </w:rPr>
  </w:style>
  <w:style w:type="paragraph" w:customStyle="1" w:styleId="Footerapproval">
    <w:name w:val="Footer approval"/>
    <w:basedOn w:val="Footer"/>
    <w:qFormat/>
    <w:pPr>
      <w:tabs>
        <w:tab w:val="left" w:pos="6804"/>
      </w:tabs>
    </w:pPr>
    <w:rPr>
      <w:rFonts w:ascii="Verdana" w:hAnsi="Verdana"/>
      <w:sz w:val="13"/>
    </w:rPr>
  </w:style>
  <w:style w:type="character" w:customStyle="1" w:styleId="DocumentTitleChar">
    <w:name w:val="Document Title Char"/>
    <w:link w:val="DocumentTitle"/>
    <w:rPr>
      <w:rFonts w:ascii="Verdana" w:hAnsi="Verdana"/>
      <w:b/>
      <w:sz w:val="52"/>
      <w:lang w:val="hr-HR" w:eastAsia="hr-HR"/>
    </w:rPr>
  </w:style>
  <w:style w:type="paragraph" w:customStyle="1" w:styleId="FooterDate">
    <w:name w:val="Footer Date"/>
    <w:basedOn w:val="Footer"/>
    <w:link w:val="FooterDateChar"/>
    <w:pPr>
      <w:tabs>
        <w:tab w:val="right" w:pos="9240"/>
      </w:tabs>
    </w:pPr>
    <w:rPr>
      <w:rFonts w:ascii="Verdana" w:hAnsi="Verdana"/>
    </w:rPr>
  </w:style>
  <w:style w:type="character" w:customStyle="1" w:styleId="FooterChar">
    <w:name w:val="Footer Char"/>
    <w:link w:val="Footer"/>
    <w:uiPriority w:val="99"/>
    <w:rPr>
      <w:rFonts w:ascii="Arial" w:hAnsi="Arial"/>
      <w:sz w:val="16"/>
      <w:lang w:val="hr-HR"/>
    </w:rPr>
  </w:style>
  <w:style w:type="character" w:customStyle="1" w:styleId="ApprovalfooterChar">
    <w:name w:val="Approval_footer Char"/>
    <w:rPr>
      <w:rFonts w:ascii="Arial" w:hAnsi="Arial"/>
      <w:sz w:val="16"/>
      <w:lang w:val="hr-HR"/>
    </w:rPr>
  </w:style>
  <w:style w:type="paragraph" w:customStyle="1" w:styleId="PageNumber1">
    <w:name w:val="Page Number1"/>
    <w:basedOn w:val="Footer"/>
    <w:pPr>
      <w:tabs>
        <w:tab w:val="right" w:pos="9240"/>
      </w:tabs>
      <w:ind w:right="-622"/>
    </w:pPr>
    <w:rPr>
      <w:rFonts w:ascii="Verdana" w:hAnsi="Verdana"/>
    </w:rPr>
  </w:style>
  <w:style w:type="character" w:customStyle="1" w:styleId="FooterDateChar">
    <w:name w:val="Footer Date Char"/>
    <w:link w:val="FooterDate"/>
    <w:rPr>
      <w:rFonts w:ascii="Verdana" w:hAnsi="Verdana"/>
      <w:sz w:val="16"/>
      <w:lang w:val="hr-HR"/>
    </w:rPr>
  </w:style>
  <w:style w:type="character" w:customStyle="1" w:styleId="HeaderChar">
    <w:name w:val="Header Char"/>
    <w:link w:val="Header"/>
    <w:uiPriority w:val="99"/>
    <w:rPr>
      <w:sz w:val="24"/>
      <w:lang w:val="hr-HR"/>
    </w:rPr>
  </w:style>
  <w:style w:type="character" w:customStyle="1" w:styleId="PagenumberChar">
    <w:name w:val="Page number Char"/>
    <w:rPr>
      <w:rFonts w:ascii="Verdana" w:hAnsi="Verdana"/>
      <w:sz w:val="16"/>
      <w:lang w:val="hr-HR"/>
    </w:rPr>
  </w:style>
  <w:style w:type="paragraph" w:customStyle="1" w:styleId="DocumentSubtitle">
    <w:name w:val="Document Subtitle"/>
    <w:basedOn w:val="DocumentTitle"/>
    <w:link w:val="DocumentSubtitleChar"/>
    <w:qFormat/>
    <w:rPr>
      <w:b w:val="0"/>
      <w:sz w:val="32"/>
      <w:szCs w:val="36"/>
    </w:rPr>
  </w:style>
  <w:style w:type="paragraph" w:customStyle="1" w:styleId="HeaderTitle">
    <w:name w:val="Header Title"/>
    <w:basedOn w:val="Normal"/>
    <w:link w:val="HeaderTitleChar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Pr>
      <w:rFonts w:ascii="Verdana" w:hAnsi="Verdana"/>
      <w:sz w:val="32"/>
      <w:szCs w:val="36"/>
      <w:lang w:val="hr-HR" w:eastAsia="hr-HR"/>
    </w:rPr>
  </w:style>
  <w:style w:type="paragraph" w:customStyle="1" w:styleId="Bulletpoint1">
    <w:name w:val="Bullet point1"/>
    <w:basedOn w:val="NormalIndent"/>
    <w:link w:val="Bulletpoint1Char"/>
    <w:qFormat/>
    <w:pPr>
      <w:numPr>
        <w:numId w:val="20"/>
      </w:numPr>
      <w:spacing w:after="120"/>
      <w:jc w:val="left"/>
    </w:pPr>
    <w:rPr>
      <w:rFonts w:ascii="Verdana" w:hAnsi="Verdana"/>
      <w:sz w:val="18"/>
    </w:rPr>
  </w:style>
  <w:style w:type="character" w:customStyle="1" w:styleId="HeaderTitleChar">
    <w:name w:val="Header Title Char"/>
    <w:link w:val="HeaderTitle"/>
    <w:rPr>
      <w:rFonts w:ascii="Verdana" w:hAnsi="Verdana"/>
      <w:b/>
      <w:color w:val="808080"/>
      <w:sz w:val="18"/>
      <w:szCs w:val="18"/>
      <w:lang w:val="hr-HR"/>
    </w:rPr>
  </w:style>
  <w:style w:type="paragraph" w:customStyle="1" w:styleId="Heading">
    <w:name w:val="Heading"/>
    <w:basedOn w:val="TOC1"/>
    <w:link w:val="HeadingChar"/>
    <w:qFormat/>
    <w:pPr>
      <w:widowControl w:val="0"/>
      <w:autoSpaceDE w:val="0"/>
      <w:autoSpaceDN w:val="0"/>
      <w:adjustRightInd w:val="0"/>
      <w:spacing w:after="0"/>
      <w:ind w:left="0" w:firstLine="0"/>
      <w:jc w:val="left"/>
    </w:pPr>
    <w:rPr>
      <w:b/>
      <w:sz w:val="20"/>
      <w:u w:val="single"/>
    </w:rPr>
  </w:style>
  <w:style w:type="character" w:customStyle="1" w:styleId="NormalIndentChar">
    <w:name w:val="Normal Indent Char"/>
    <w:link w:val="NormalIndent"/>
    <w:rPr>
      <w:sz w:val="24"/>
      <w:lang w:val="hr-HR"/>
    </w:rPr>
  </w:style>
  <w:style w:type="character" w:customStyle="1" w:styleId="Bulletpoint1Char">
    <w:name w:val="Bullet point1 Char"/>
    <w:link w:val="Bulletpoint1"/>
    <w:rPr>
      <w:rFonts w:ascii="Verdana" w:hAnsi="Verdana"/>
      <w:sz w:val="18"/>
      <w:lang w:val="hr-HR" w:eastAsia="hr-HR"/>
    </w:rPr>
  </w:style>
  <w:style w:type="paragraph" w:customStyle="1" w:styleId="BulletPoint2">
    <w:name w:val="Bullet Point 2"/>
    <w:basedOn w:val="NormalIndent"/>
    <w:link w:val="BulletPoint2Char"/>
    <w:qFormat/>
    <w:pPr>
      <w:numPr>
        <w:numId w:val="19"/>
      </w:numPr>
      <w:spacing w:after="120"/>
      <w:ind w:left="1077" w:hanging="357"/>
      <w:jc w:val="left"/>
    </w:pPr>
    <w:rPr>
      <w:rFonts w:ascii="Verdana" w:hAnsi="Verdana"/>
      <w:sz w:val="18"/>
    </w:rPr>
  </w:style>
  <w:style w:type="character" w:customStyle="1" w:styleId="HeadingChar">
    <w:name w:val="Heading Char"/>
    <w:link w:val="Heading"/>
    <w:rPr>
      <w:rFonts w:ascii="Verdana" w:hAnsi="Verdana"/>
      <w:b/>
      <w:caps/>
      <w:u w:val="single"/>
      <w:lang w:val="hr-HR"/>
    </w:rPr>
  </w:style>
  <w:style w:type="paragraph" w:customStyle="1" w:styleId="Body">
    <w:name w:val="Body"/>
    <w:basedOn w:val="Normal"/>
    <w:link w:val="BodyChar"/>
    <w:qFormat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Pr>
      <w:rFonts w:ascii="Verdana" w:hAnsi="Verdana"/>
      <w:sz w:val="18"/>
      <w:lang w:val="hr-HR"/>
    </w:rPr>
  </w:style>
  <w:style w:type="paragraph" w:customStyle="1" w:styleId="Heading20">
    <w:name w:val="Heading2"/>
    <w:basedOn w:val="Title2"/>
    <w:link w:val="Heading2Char"/>
    <w:qFormat/>
    <w:pPr>
      <w:numPr>
        <w:numId w:val="0"/>
      </w:numPr>
    </w:pPr>
    <w:rPr>
      <w:rFonts w:ascii="Verdana" w:hAnsi="Verdana"/>
      <w:b/>
      <w:i/>
    </w:rPr>
  </w:style>
  <w:style w:type="character" w:customStyle="1" w:styleId="BodyChar">
    <w:name w:val="Body Char"/>
    <w:link w:val="Body"/>
    <w:rPr>
      <w:rFonts w:ascii="Verdana" w:hAnsi="Verdana"/>
      <w:lang w:val="hr-HR" w:eastAsia="hr-HR"/>
    </w:rPr>
  </w:style>
  <w:style w:type="table" w:styleId="TableGrid">
    <w:name w:val="Table Grid"/>
    <w:aliases w:val="Document Table"/>
    <w:basedOn w:val="TableNormal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color w:val="FFFFFF"/>
      </w:rPr>
      <w:tblPr/>
      <w:tcPr>
        <w:shd w:val="clear" w:color="auto" w:fill="00AEF0"/>
      </w:tcPr>
    </w:tblStylePr>
  </w:style>
  <w:style w:type="character" w:customStyle="1" w:styleId="Heading2Char">
    <w:name w:val="Heading2 Char"/>
    <w:link w:val="Heading20"/>
    <w:rPr>
      <w:rFonts w:ascii="Verdana" w:hAnsi="Verdana"/>
      <w:b/>
      <w:i/>
      <w:sz w:val="24"/>
      <w:lang w:val="hr-HR" w:eastAsia="hr-HR"/>
    </w:rPr>
  </w:style>
  <w:style w:type="table" w:customStyle="1" w:styleId="Style1">
    <w:name w:val="Style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oterDocument">
    <w:name w:val="Footer Document"/>
    <w:basedOn w:val="Body"/>
    <w:link w:val="FooterDocumentChar"/>
    <w:pPr>
      <w:spacing w:after="0"/>
    </w:pPr>
    <w:rPr>
      <w:i/>
      <w:noProof/>
      <w:sz w:val="13"/>
    </w:rPr>
  </w:style>
  <w:style w:type="character" w:customStyle="1" w:styleId="FooterDocumentChar">
    <w:name w:val="Footer Document Char"/>
    <w:link w:val="FooterDocument"/>
    <w:rPr>
      <w:rFonts w:ascii="Verdana" w:hAnsi="Verdana"/>
      <w:i/>
      <w:noProof/>
      <w:sz w:val="13"/>
      <w:lang w:val="hr-HR" w:eastAsia="hr-HR"/>
    </w:r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MS Gothic" w:hAnsi="Cambria"/>
      <w:bCs/>
      <w:smallCaps w:val="0"/>
      <w:szCs w:val="28"/>
    </w:rPr>
  </w:style>
  <w:style w:type="paragraph" w:customStyle="1" w:styleId="Title2">
    <w:name w:val="Title 2"/>
    <w:basedOn w:val="Normal"/>
    <w:pPr>
      <w:numPr>
        <w:numId w:val="25"/>
      </w:numPr>
    </w:pPr>
  </w:style>
  <w:style w:type="paragraph" w:customStyle="1" w:styleId="Subtitle0">
    <w:name w:val="Subtitle_"/>
    <w:basedOn w:val="TOC2"/>
    <w:link w:val="SubtitleChar"/>
    <w:qFormat/>
    <w:pPr>
      <w:ind w:left="0" w:firstLine="0"/>
    </w:pPr>
    <w:rPr>
      <w:b/>
      <w:i/>
      <w:sz w:val="20"/>
    </w:rPr>
  </w:style>
  <w:style w:type="character" w:customStyle="1" w:styleId="SubtitleChar">
    <w:name w:val="Subtitle_ Char"/>
    <w:link w:val="Subtitle0"/>
    <w:rPr>
      <w:rFonts w:ascii="Verdana" w:hAnsi="Verdana"/>
      <w:b/>
      <w:i/>
      <w:sz w:val="24"/>
      <w:lang w:val="hr-HR" w:eastAsia="hr-HR"/>
    </w:rPr>
  </w:style>
  <w:style w:type="paragraph" w:customStyle="1" w:styleId="HeadingBody">
    <w:name w:val="Heading Body"/>
    <w:basedOn w:val="Normal"/>
    <w:link w:val="HeadingBodyChar"/>
    <w:qFormat/>
    <w:pPr>
      <w:spacing w:after="120"/>
    </w:pPr>
    <w:rPr>
      <w:rFonts w:ascii="Verdana" w:hAnsi="Verdana"/>
      <w:b/>
      <w:sz w:val="20"/>
      <w:szCs w:val="18"/>
    </w:rPr>
  </w:style>
  <w:style w:type="paragraph" w:customStyle="1" w:styleId="Titlepublication">
    <w:name w:val="Title publication"/>
    <w:basedOn w:val="Normal"/>
    <w:link w:val="TitlepublicationChar"/>
    <w:qFormat/>
    <w:pPr>
      <w:jc w:val="center"/>
    </w:pPr>
    <w:rPr>
      <w:rFonts w:ascii="Verdana" w:hAnsi="Verdana"/>
      <w:b/>
      <w:color w:val="FF0000"/>
      <w:sz w:val="52"/>
      <w:szCs w:val="52"/>
    </w:rPr>
  </w:style>
  <w:style w:type="character" w:customStyle="1" w:styleId="HeadingBodyChar">
    <w:name w:val="Heading Body Char"/>
    <w:link w:val="HeadingBody"/>
    <w:rPr>
      <w:rFonts w:ascii="Verdana" w:hAnsi="Verdana"/>
      <w:b/>
      <w:szCs w:val="18"/>
      <w:lang w:val="hr-HR" w:eastAsia="hr-HR"/>
    </w:rPr>
  </w:style>
  <w:style w:type="paragraph" w:customStyle="1" w:styleId="Subtitlepublication">
    <w:name w:val="Subtitle publication"/>
    <w:basedOn w:val="Normal"/>
    <w:link w:val="SubtitlepublicationChar"/>
    <w:qFormat/>
    <w:pPr>
      <w:jc w:val="center"/>
    </w:pPr>
    <w:rPr>
      <w:rFonts w:ascii="Verdana" w:hAnsi="Verdana"/>
      <w:b/>
      <w:i/>
      <w:color w:val="FF0000"/>
      <w:sz w:val="32"/>
    </w:rPr>
  </w:style>
  <w:style w:type="character" w:customStyle="1" w:styleId="TitlepublicationChar">
    <w:name w:val="Title publication Char"/>
    <w:link w:val="Titlepublication"/>
    <w:rPr>
      <w:rFonts w:ascii="Verdana" w:hAnsi="Verdana"/>
      <w:b/>
      <w:color w:val="FF0000"/>
      <w:sz w:val="52"/>
      <w:szCs w:val="52"/>
      <w:lang w:val="hr-HR" w:eastAsia="hr-HR"/>
    </w:rPr>
  </w:style>
  <w:style w:type="paragraph" w:customStyle="1" w:styleId="Editorname">
    <w:name w:val="Editor name"/>
    <w:basedOn w:val="Normal"/>
    <w:link w:val="EditornameChar"/>
    <w:qFormat/>
    <w:pPr>
      <w:jc w:val="center"/>
    </w:pPr>
    <w:rPr>
      <w:rFonts w:ascii="Verdana" w:hAnsi="Verdana"/>
      <w:color w:val="FF0000"/>
    </w:rPr>
  </w:style>
  <w:style w:type="character" w:customStyle="1" w:styleId="SubtitlepublicationChar">
    <w:name w:val="Subtitle publication Char"/>
    <w:link w:val="Subtitlepublication"/>
    <w:rPr>
      <w:rFonts w:ascii="Verdana" w:hAnsi="Verdana"/>
      <w:b/>
      <w:i/>
      <w:color w:val="FF0000"/>
      <w:sz w:val="32"/>
      <w:lang w:val="hr-HR" w:eastAsia="hr-HR"/>
    </w:rPr>
  </w:style>
  <w:style w:type="paragraph" w:customStyle="1" w:styleId="Backcoversummary">
    <w:name w:val="Backcover_summary"/>
    <w:basedOn w:val="Normal"/>
    <w:link w:val="BackcoversummaryChar"/>
    <w:qFormat/>
    <w:rPr>
      <w:rFonts w:ascii="Verdana" w:hAnsi="Verdana"/>
      <w:color w:val="FF0000"/>
    </w:rPr>
  </w:style>
  <w:style w:type="character" w:customStyle="1" w:styleId="EditornameChar">
    <w:name w:val="Editor name Char"/>
    <w:link w:val="Editorname"/>
    <w:rPr>
      <w:rFonts w:ascii="Verdana" w:hAnsi="Verdana"/>
      <w:color w:val="FF0000"/>
      <w:sz w:val="24"/>
      <w:lang w:val="hr-HR" w:eastAsia="hr-HR"/>
    </w:rPr>
  </w:style>
  <w:style w:type="paragraph" w:customStyle="1" w:styleId="Backcovercategory">
    <w:name w:val="Backcover_category"/>
    <w:basedOn w:val="Normal"/>
    <w:link w:val="BackcovercategoryChar"/>
    <w:qFormat/>
    <w:pPr>
      <w:ind w:right="28"/>
    </w:pPr>
    <w:rPr>
      <w:rFonts w:ascii="Verdana" w:hAnsi="Verdana"/>
      <w:i/>
      <w:color w:val="FF0000"/>
      <w:sz w:val="18"/>
    </w:rPr>
  </w:style>
  <w:style w:type="character" w:customStyle="1" w:styleId="BackcoversummaryChar">
    <w:name w:val="Backcover_summary Char"/>
    <w:link w:val="Backcoversummary"/>
    <w:rPr>
      <w:rFonts w:ascii="Verdana" w:hAnsi="Verdana"/>
      <w:color w:val="FF0000"/>
      <w:sz w:val="24"/>
      <w:lang w:val="hr-HR" w:eastAsia="hr-HR"/>
    </w:rPr>
  </w:style>
  <w:style w:type="character" w:customStyle="1" w:styleId="BackcovercategoryChar">
    <w:name w:val="Backcover_category Char"/>
    <w:link w:val="Backcovercategory"/>
    <w:rPr>
      <w:rFonts w:ascii="Verdana" w:hAnsi="Verdana"/>
      <w:i/>
      <w:color w:val="FF0000"/>
      <w:sz w:val="18"/>
      <w:lang w:val="hr-HR" w:eastAsia="hr-HR"/>
    </w:rPr>
  </w:style>
  <w:style w:type="paragraph" w:customStyle="1" w:styleId="MBT">
    <w:name w:val="M BT"/>
    <w:basedOn w:val="Normal"/>
    <w:link w:val="MBTChar"/>
    <w:qFormat/>
    <w:pPr>
      <w:widowControl w:val="0"/>
      <w:spacing w:after="0"/>
    </w:pPr>
    <w:rPr>
      <w:rFonts w:ascii="Verdana" w:hAnsi="Verdana"/>
      <w:bCs/>
      <w:sz w:val="20"/>
      <w:szCs w:val="22"/>
    </w:rPr>
  </w:style>
  <w:style w:type="character" w:customStyle="1" w:styleId="MBTChar">
    <w:name w:val="M BT Char"/>
    <w:link w:val="MBT"/>
    <w:rPr>
      <w:rFonts w:ascii="Verdana" w:hAnsi="Verdana"/>
      <w:bCs/>
      <w:szCs w:val="22"/>
      <w:lang w:val="hr-HR" w:eastAsia="hr-HR"/>
    </w:rPr>
  </w:style>
  <w:style w:type="character" w:styleId="CommentReference">
    <w:name w:val="annotation reference"/>
    <w:unhideWhenUsed/>
    <w:rPr>
      <w:sz w:val="16"/>
      <w:szCs w:val="16"/>
    </w:rPr>
  </w:style>
  <w:style w:type="character" w:customStyle="1" w:styleId="CommentTextChar">
    <w:name w:val="Comment Text Char"/>
    <w:link w:val="CommentText"/>
    <w:rPr>
      <w:lang w:val="hr-HR" w:eastAsia="hr-HR"/>
    </w:rPr>
  </w:style>
  <w:style w:type="character" w:customStyle="1" w:styleId="FootnoteTextChar">
    <w:name w:val="Footnote Text Char"/>
    <w:link w:val="FootnoteText"/>
    <w:uiPriority w:val="99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semiHidden/>
    <w:rPr>
      <w:b/>
      <w:bCs/>
      <w:lang w:val="hr-HR" w:eastAsia="hr-HR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/>
    </w:pPr>
    <w:rPr>
      <w:rFonts w:eastAsia="Calibri"/>
      <w:szCs w:val="22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overPageChar">
    <w:name w:val="Footer Cover Page Char"/>
    <w:link w:val="FooterCoverPage"/>
    <w:rPr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link w:val="FooterSensitivity"/>
    <w:rPr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</w:pPr>
  </w:style>
  <w:style w:type="character" w:customStyle="1" w:styleId="HeaderCoverPageChar">
    <w:name w:val="Header Cover Page Char"/>
    <w:link w:val="HeaderCoverPage"/>
    <w:rPr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link w:val="HeaderSensitivity"/>
    <w:rPr>
      <w:b/>
      <w:sz w:val="32"/>
    </w:r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  <w:spacing w:before="120" w:after="120"/>
    </w:pPr>
    <w:rPr>
      <w:rFonts w:eastAsia="Calibri"/>
      <w:szCs w:val="22"/>
    </w:rPr>
  </w:style>
  <w:style w:type="character" w:customStyle="1" w:styleId="Heading1Char">
    <w:name w:val="Heading 1 Char"/>
    <w:link w:val="Heading1"/>
    <w:uiPriority w:val="9"/>
    <w:rPr>
      <w:rFonts w:ascii="Verdana" w:hAnsi="Verdana"/>
      <w:b/>
      <w:smallCaps/>
      <w:sz w:val="28"/>
      <w:lang w:val="hr-HR" w:eastAsia="hr-HR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hr-H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 w:qFormat="1"/>
    <w:lsdException w:name="footnote text" w:uiPriority="99" w:qFormat="1"/>
    <w:lsdException w:name="annotation text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"/>
      </w:numPr>
      <w:spacing w:before="240"/>
      <w:outlineLvl w:val="0"/>
    </w:pPr>
    <w:rPr>
      <w:rFonts w:ascii="Verdana" w:hAnsi="Verdana"/>
      <w:b/>
      <w:smallCaps/>
      <w:sz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spacing w:before="240" w:after="60"/>
      <w:outlineLvl w:val="1"/>
    </w:pPr>
    <w:rPr>
      <w:rFonts w:ascii="Verdana" w:hAnsi="Verdana"/>
      <w:b/>
      <w:sz w:val="22"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aliases w:val="M Caption"/>
    <w:basedOn w:val="Normal"/>
    <w:next w:val="Normal"/>
    <w:qFormat/>
    <w:pPr>
      <w:spacing w:before="120" w:after="120"/>
    </w:pPr>
    <w:rPr>
      <w:rFonts w:ascii="Verdana" w:hAnsi="Verdana"/>
      <w:b/>
      <w:sz w:val="16"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qFormat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uiPriority w:val="99"/>
    <w:qFormat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pPr>
      <w:tabs>
        <w:tab w:val="right" w:leader="dot" w:pos="8640"/>
      </w:tabs>
      <w:spacing w:before="120" w:after="120"/>
      <w:ind w:left="482" w:right="720" w:hanging="482"/>
    </w:pPr>
    <w:rPr>
      <w:rFonts w:ascii="Verdana" w:hAnsi="Verdana"/>
      <w:caps/>
      <w:sz w:val="18"/>
    </w:rPr>
  </w:style>
  <w:style w:type="paragraph" w:styleId="TOC2">
    <w:name w:val="toc 2"/>
    <w:basedOn w:val="Normal"/>
    <w:next w:val="Normal"/>
    <w:uiPriority w:val="39"/>
    <w:pPr>
      <w:tabs>
        <w:tab w:val="right" w:leader="dot" w:pos="8640"/>
      </w:tabs>
      <w:spacing w:before="60" w:after="60"/>
      <w:ind w:left="1077" w:right="720" w:hanging="595"/>
    </w:pPr>
    <w:rPr>
      <w:rFonts w:ascii="Verdana" w:hAnsi="Verdana"/>
      <w:sz w:val="18"/>
    </w:rPr>
  </w:style>
  <w:style w:type="paragraph" w:styleId="TOC3">
    <w:name w:val="toc 3"/>
    <w:basedOn w:val="Normal"/>
    <w:next w:val="Normal"/>
    <w:uiPriority w:val="39"/>
    <w:semiHidden/>
    <w:qFormat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customStyle="1" w:styleId="TOCHeading1">
    <w:name w:val="TOC Heading1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</w:rPr>
  </w:style>
  <w:style w:type="paragraph" w:customStyle="1" w:styleId="ZDGName">
    <w:name w:val="Z_DGName"/>
    <w:basedOn w:val="Normal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otnoteReference">
    <w:name w:val="footnote reference"/>
    <w:rPr>
      <w:vertAlign w:val="superscript"/>
    </w:rPr>
  </w:style>
  <w:style w:type="table" w:styleId="ColorfulGrid-Accent3">
    <w:name w:val="Colorful Grid Accent 3"/>
    <w:basedOn w:val="TableNormal"/>
    <w:uiPriority w:val="69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Tms Rmn" w:hAnsi="Tms Rmn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pPr>
      <w:jc w:val="center"/>
    </w:pPr>
    <w:rPr>
      <w:rFonts w:ascii="Verdana" w:hAnsi="Verdana"/>
      <w:b/>
      <w:sz w:val="52"/>
    </w:rPr>
  </w:style>
  <w:style w:type="paragraph" w:customStyle="1" w:styleId="Footerapproval">
    <w:name w:val="Footer approval"/>
    <w:basedOn w:val="Footer"/>
    <w:qFormat/>
    <w:pPr>
      <w:tabs>
        <w:tab w:val="left" w:pos="6804"/>
      </w:tabs>
    </w:pPr>
    <w:rPr>
      <w:rFonts w:ascii="Verdana" w:hAnsi="Verdana"/>
      <w:sz w:val="13"/>
    </w:rPr>
  </w:style>
  <w:style w:type="character" w:customStyle="1" w:styleId="DocumentTitleChar">
    <w:name w:val="Document Title Char"/>
    <w:link w:val="DocumentTitle"/>
    <w:rPr>
      <w:rFonts w:ascii="Verdana" w:hAnsi="Verdana"/>
      <w:b/>
      <w:sz w:val="52"/>
      <w:lang w:val="hr-HR" w:eastAsia="hr-HR"/>
    </w:rPr>
  </w:style>
  <w:style w:type="paragraph" w:customStyle="1" w:styleId="FooterDate">
    <w:name w:val="Footer Date"/>
    <w:basedOn w:val="Footer"/>
    <w:link w:val="FooterDateChar"/>
    <w:pPr>
      <w:tabs>
        <w:tab w:val="right" w:pos="9240"/>
      </w:tabs>
    </w:pPr>
    <w:rPr>
      <w:rFonts w:ascii="Verdana" w:hAnsi="Verdana"/>
    </w:rPr>
  </w:style>
  <w:style w:type="character" w:customStyle="1" w:styleId="FooterChar">
    <w:name w:val="Footer Char"/>
    <w:link w:val="Footer"/>
    <w:uiPriority w:val="99"/>
    <w:rPr>
      <w:rFonts w:ascii="Arial" w:hAnsi="Arial"/>
      <w:sz w:val="16"/>
      <w:lang w:val="hr-HR"/>
    </w:rPr>
  </w:style>
  <w:style w:type="character" w:customStyle="1" w:styleId="ApprovalfooterChar">
    <w:name w:val="Approval_footer Char"/>
    <w:rPr>
      <w:rFonts w:ascii="Arial" w:hAnsi="Arial"/>
      <w:sz w:val="16"/>
      <w:lang w:val="hr-HR"/>
    </w:rPr>
  </w:style>
  <w:style w:type="paragraph" w:customStyle="1" w:styleId="PageNumber1">
    <w:name w:val="Page Number1"/>
    <w:basedOn w:val="Footer"/>
    <w:pPr>
      <w:tabs>
        <w:tab w:val="right" w:pos="9240"/>
      </w:tabs>
      <w:ind w:right="-622"/>
    </w:pPr>
    <w:rPr>
      <w:rFonts w:ascii="Verdana" w:hAnsi="Verdana"/>
    </w:rPr>
  </w:style>
  <w:style w:type="character" w:customStyle="1" w:styleId="FooterDateChar">
    <w:name w:val="Footer Date Char"/>
    <w:link w:val="FooterDate"/>
    <w:rPr>
      <w:rFonts w:ascii="Verdana" w:hAnsi="Verdana"/>
      <w:sz w:val="16"/>
      <w:lang w:val="hr-HR"/>
    </w:rPr>
  </w:style>
  <w:style w:type="character" w:customStyle="1" w:styleId="HeaderChar">
    <w:name w:val="Header Char"/>
    <w:link w:val="Header"/>
    <w:uiPriority w:val="99"/>
    <w:rPr>
      <w:sz w:val="24"/>
      <w:lang w:val="hr-HR"/>
    </w:rPr>
  </w:style>
  <w:style w:type="character" w:customStyle="1" w:styleId="PagenumberChar">
    <w:name w:val="Page number Char"/>
    <w:rPr>
      <w:rFonts w:ascii="Verdana" w:hAnsi="Verdana"/>
      <w:sz w:val="16"/>
      <w:lang w:val="hr-HR"/>
    </w:rPr>
  </w:style>
  <w:style w:type="paragraph" w:customStyle="1" w:styleId="DocumentSubtitle">
    <w:name w:val="Document Subtitle"/>
    <w:basedOn w:val="DocumentTitle"/>
    <w:link w:val="DocumentSubtitleChar"/>
    <w:qFormat/>
    <w:rPr>
      <w:b w:val="0"/>
      <w:sz w:val="32"/>
      <w:szCs w:val="36"/>
    </w:rPr>
  </w:style>
  <w:style w:type="paragraph" w:customStyle="1" w:styleId="HeaderTitle">
    <w:name w:val="Header Title"/>
    <w:basedOn w:val="Normal"/>
    <w:link w:val="HeaderTitleChar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Pr>
      <w:rFonts w:ascii="Verdana" w:hAnsi="Verdana"/>
      <w:sz w:val="32"/>
      <w:szCs w:val="36"/>
      <w:lang w:val="hr-HR" w:eastAsia="hr-HR"/>
    </w:rPr>
  </w:style>
  <w:style w:type="paragraph" w:customStyle="1" w:styleId="Bulletpoint1">
    <w:name w:val="Bullet point1"/>
    <w:basedOn w:val="NormalIndent"/>
    <w:link w:val="Bulletpoint1Char"/>
    <w:qFormat/>
    <w:pPr>
      <w:numPr>
        <w:numId w:val="20"/>
      </w:numPr>
      <w:spacing w:after="120"/>
      <w:jc w:val="left"/>
    </w:pPr>
    <w:rPr>
      <w:rFonts w:ascii="Verdana" w:hAnsi="Verdana"/>
      <w:sz w:val="18"/>
    </w:rPr>
  </w:style>
  <w:style w:type="character" w:customStyle="1" w:styleId="HeaderTitleChar">
    <w:name w:val="Header Title Char"/>
    <w:link w:val="HeaderTitle"/>
    <w:rPr>
      <w:rFonts w:ascii="Verdana" w:hAnsi="Verdana"/>
      <w:b/>
      <w:color w:val="808080"/>
      <w:sz w:val="18"/>
      <w:szCs w:val="18"/>
      <w:lang w:val="hr-HR"/>
    </w:rPr>
  </w:style>
  <w:style w:type="paragraph" w:customStyle="1" w:styleId="Heading">
    <w:name w:val="Heading"/>
    <w:basedOn w:val="TOC1"/>
    <w:link w:val="HeadingChar"/>
    <w:qFormat/>
    <w:pPr>
      <w:widowControl w:val="0"/>
      <w:autoSpaceDE w:val="0"/>
      <w:autoSpaceDN w:val="0"/>
      <w:adjustRightInd w:val="0"/>
      <w:spacing w:after="0"/>
      <w:ind w:left="0" w:firstLine="0"/>
      <w:jc w:val="left"/>
    </w:pPr>
    <w:rPr>
      <w:b/>
      <w:sz w:val="20"/>
      <w:u w:val="single"/>
    </w:rPr>
  </w:style>
  <w:style w:type="character" w:customStyle="1" w:styleId="NormalIndentChar">
    <w:name w:val="Normal Indent Char"/>
    <w:link w:val="NormalIndent"/>
    <w:rPr>
      <w:sz w:val="24"/>
      <w:lang w:val="hr-HR"/>
    </w:rPr>
  </w:style>
  <w:style w:type="character" w:customStyle="1" w:styleId="Bulletpoint1Char">
    <w:name w:val="Bullet point1 Char"/>
    <w:link w:val="Bulletpoint1"/>
    <w:rPr>
      <w:rFonts w:ascii="Verdana" w:hAnsi="Verdana"/>
      <w:sz w:val="18"/>
      <w:lang w:val="hr-HR" w:eastAsia="hr-HR"/>
    </w:rPr>
  </w:style>
  <w:style w:type="paragraph" w:customStyle="1" w:styleId="BulletPoint2">
    <w:name w:val="Bullet Point 2"/>
    <w:basedOn w:val="NormalIndent"/>
    <w:link w:val="BulletPoint2Char"/>
    <w:qFormat/>
    <w:pPr>
      <w:numPr>
        <w:numId w:val="19"/>
      </w:numPr>
      <w:spacing w:after="120"/>
      <w:ind w:left="1077" w:hanging="357"/>
      <w:jc w:val="left"/>
    </w:pPr>
    <w:rPr>
      <w:rFonts w:ascii="Verdana" w:hAnsi="Verdana"/>
      <w:sz w:val="18"/>
    </w:rPr>
  </w:style>
  <w:style w:type="character" w:customStyle="1" w:styleId="HeadingChar">
    <w:name w:val="Heading Char"/>
    <w:link w:val="Heading"/>
    <w:rPr>
      <w:rFonts w:ascii="Verdana" w:hAnsi="Verdana"/>
      <w:b/>
      <w:caps/>
      <w:u w:val="single"/>
      <w:lang w:val="hr-HR"/>
    </w:rPr>
  </w:style>
  <w:style w:type="paragraph" w:customStyle="1" w:styleId="Body">
    <w:name w:val="Body"/>
    <w:basedOn w:val="Normal"/>
    <w:link w:val="BodyChar"/>
    <w:qFormat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Pr>
      <w:rFonts w:ascii="Verdana" w:hAnsi="Verdana"/>
      <w:sz w:val="18"/>
      <w:lang w:val="hr-HR"/>
    </w:rPr>
  </w:style>
  <w:style w:type="paragraph" w:customStyle="1" w:styleId="Heading20">
    <w:name w:val="Heading2"/>
    <w:basedOn w:val="Title2"/>
    <w:link w:val="Heading2Char"/>
    <w:qFormat/>
    <w:pPr>
      <w:numPr>
        <w:numId w:val="0"/>
      </w:numPr>
    </w:pPr>
    <w:rPr>
      <w:rFonts w:ascii="Verdana" w:hAnsi="Verdana"/>
      <w:b/>
      <w:i/>
    </w:rPr>
  </w:style>
  <w:style w:type="character" w:customStyle="1" w:styleId="BodyChar">
    <w:name w:val="Body Char"/>
    <w:link w:val="Body"/>
    <w:rPr>
      <w:rFonts w:ascii="Verdana" w:hAnsi="Verdana"/>
      <w:lang w:val="hr-HR" w:eastAsia="hr-HR"/>
    </w:rPr>
  </w:style>
  <w:style w:type="table" w:styleId="TableGrid">
    <w:name w:val="Table Grid"/>
    <w:aliases w:val="Document Table"/>
    <w:basedOn w:val="TableNormal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color w:val="FFFFFF"/>
      </w:rPr>
      <w:tblPr/>
      <w:tcPr>
        <w:shd w:val="clear" w:color="auto" w:fill="00AEF0"/>
      </w:tcPr>
    </w:tblStylePr>
  </w:style>
  <w:style w:type="character" w:customStyle="1" w:styleId="Heading2Char">
    <w:name w:val="Heading2 Char"/>
    <w:link w:val="Heading20"/>
    <w:rPr>
      <w:rFonts w:ascii="Verdana" w:hAnsi="Verdana"/>
      <w:b/>
      <w:i/>
      <w:sz w:val="24"/>
      <w:lang w:val="hr-HR" w:eastAsia="hr-HR"/>
    </w:rPr>
  </w:style>
  <w:style w:type="table" w:customStyle="1" w:styleId="Style1">
    <w:name w:val="Style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oterDocument">
    <w:name w:val="Footer Document"/>
    <w:basedOn w:val="Body"/>
    <w:link w:val="FooterDocumentChar"/>
    <w:pPr>
      <w:spacing w:after="0"/>
    </w:pPr>
    <w:rPr>
      <w:i/>
      <w:noProof/>
      <w:sz w:val="13"/>
    </w:rPr>
  </w:style>
  <w:style w:type="character" w:customStyle="1" w:styleId="FooterDocumentChar">
    <w:name w:val="Footer Document Char"/>
    <w:link w:val="FooterDocument"/>
    <w:rPr>
      <w:rFonts w:ascii="Verdana" w:hAnsi="Verdana"/>
      <w:i/>
      <w:noProof/>
      <w:sz w:val="13"/>
      <w:lang w:val="hr-HR" w:eastAsia="hr-HR"/>
    </w:r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MS Gothic" w:hAnsi="Cambria"/>
      <w:bCs/>
      <w:smallCaps w:val="0"/>
      <w:szCs w:val="28"/>
    </w:rPr>
  </w:style>
  <w:style w:type="paragraph" w:customStyle="1" w:styleId="Title2">
    <w:name w:val="Title 2"/>
    <w:basedOn w:val="Normal"/>
    <w:pPr>
      <w:numPr>
        <w:numId w:val="25"/>
      </w:numPr>
    </w:pPr>
  </w:style>
  <w:style w:type="paragraph" w:customStyle="1" w:styleId="Subtitle0">
    <w:name w:val="Subtitle_"/>
    <w:basedOn w:val="TOC2"/>
    <w:link w:val="SubtitleChar"/>
    <w:qFormat/>
    <w:pPr>
      <w:ind w:left="0" w:firstLine="0"/>
    </w:pPr>
    <w:rPr>
      <w:b/>
      <w:i/>
      <w:sz w:val="20"/>
    </w:rPr>
  </w:style>
  <w:style w:type="character" w:customStyle="1" w:styleId="SubtitleChar">
    <w:name w:val="Subtitle_ Char"/>
    <w:link w:val="Subtitle0"/>
    <w:rPr>
      <w:rFonts w:ascii="Verdana" w:hAnsi="Verdana"/>
      <w:b/>
      <w:i/>
      <w:sz w:val="24"/>
      <w:lang w:val="hr-HR" w:eastAsia="hr-HR"/>
    </w:rPr>
  </w:style>
  <w:style w:type="paragraph" w:customStyle="1" w:styleId="HeadingBody">
    <w:name w:val="Heading Body"/>
    <w:basedOn w:val="Normal"/>
    <w:link w:val="HeadingBodyChar"/>
    <w:qFormat/>
    <w:pPr>
      <w:spacing w:after="120"/>
    </w:pPr>
    <w:rPr>
      <w:rFonts w:ascii="Verdana" w:hAnsi="Verdana"/>
      <w:b/>
      <w:sz w:val="20"/>
      <w:szCs w:val="18"/>
    </w:rPr>
  </w:style>
  <w:style w:type="paragraph" w:customStyle="1" w:styleId="Titlepublication">
    <w:name w:val="Title publication"/>
    <w:basedOn w:val="Normal"/>
    <w:link w:val="TitlepublicationChar"/>
    <w:qFormat/>
    <w:pPr>
      <w:jc w:val="center"/>
    </w:pPr>
    <w:rPr>
      <w:rFonts w:ascii="Verdana" w:hAnsi="Verdana"/>
      <w:b/>
      <w:color w:val="FF0000"/>
      <w:sz w:val="52"/>
      <w:szCs w:val="52"/>
    </w:rPr>
  </w:style>
  <w:style w:type="character" w:customStyle="1" w:styleId="HeadingBodyChar">
    <w:name w:val="Heading Body Char"/>
    <w:link w:val="HeadingBody"/>
    <w:rPr>
      <w:rFonts w:ascii="Verdana" w:hAnsi="Verdana"/>
      <w:b/>
      <w:szCs w:val="18"/>
      <w:lang w:val="hr-HR" w:eastAsia="hr-HR"/>
    </w:rPr>
  </w:style>
  <w:style w:type="paragraph" w:customStyle="1" w:styleId="Subtitlepublication">
    <w:name w:val="Subtitle publication"/>
    <w:basedOn w:val="Normal"/>
    <w:link w:val="SubtitlepublicationChar"/>
    <w:qFormat/>
    <w:pPr>
      <w:jc w:val="center"/>
    </w:pPr>
    <w:rPr>
      <w:rFonts w:ascii="Verdana" w:hAnsi="Verdana"/>
      <w:b/>
      <w:i/>
      <w:color w:val="FF0000"/>
      <w:sz w:val="32"/>
    </w:rPr>
  </w:style>
  <w:style w:type="character" w:customStyle="1" w:styleId="TitlepublicationChar">
    <w:name w:val="Title publication Char"/>
    <w:link w:val="Titlepublication"/>
    <w:rPr>
      <w:rFonts w:ascii="Verdana" w:hAnsi="Verdana"/>
      <w:b/>
      <w:color w:val="FF0000"/>
      <w:sz w:val="52"/>
      <w:szCs w:val="52"/>
      <w:lang w:val="hr-HR" w:eastAsia="hr-HR"/>
    </w:rPr>
  </w:style>
  <w:style w:type="paragraph" w:customStyle="1" w:styleId="Editorname">
    <w:name w:val="Editor name"/>
    <w:basedOn w:val="Normal"/>
    <w:link w:val="EditornameChar"/>
    <w:qFormat/>
    <w:pPr>
      <w:jc w:val="center"/>
    </w:pPr>
    <w:rPr>
      <w:rFonts w:ascii="Verdana" w:hAnsi="Verdana"/>
      <w:color w:val="FF0000"/>
    </w:rPr>
  </w:style>
  <w:style w:type="character" w:customStyle="1" w:styleId="SubtitlepublicationChar">
    <w:name w:val="Subtitle publication Char"/>
    <w:link w:val="Subtitlepublication"/>
    <w:rPr>
      <w:rFonts w:ascii="Verdana" w:hAnsi="Verdana"/>
      <w:b/>
      <w:i/>
      <w:color w:val="FF0000"/>
      <w:sz w:val="32"/>
      <w:lang w:val="hr-HR" w:eastAsia="hr-HR"/>
    </w:rPr>
  </w:style>
  <w:style w:type="paragraph" w:customStyle="1" w:styleId="Backcoversummary">
    <w:name w:val="Backcover_summary"/>
    <w:basedOn w:val="Normal"/>
    <w:link w:val="BackcoversummaryChar"/>
    <w:qFormat/>
    <w:rPr>
      <w:rFonts w:ascii="Verdana" w:hAnsi="Verdana"/>
      <w:color w:val="FF0000"/>
    </w:rPr>
  </w:style>
  <w:style w:type="character" w:customStyle="1" w:styleId="EditornameChar">
    <w:name w:val="Editor name Char"/>
    <w:link w:val="Editorname"/>
    <w:rPr>
      <w:rFonts w:ascii="Verdana" w:hAnsi="Verdana"/>
      <w:color w:val="FF0000"/>
      <w:sz w:val="24"/>
      <w:lang w:val="hr-HR" w:eastAsia="hr-HR"/>
    </w:rPr>
  </w:style>
  <w:style w:type="paragraph" w:customStyle="1" w:styleId="Backcovercategory">
    <w:name w:val="Backcover_category"/>
    <w:basedOn w:val="Normal"/>
    <w:link w:val="BackcovercategoryChar"/>
    <w:qFormat/>
    <w:pPr>
      <w:ind w:right="28"/>
    </w:pPr>
    <w:rPr>
      <w:rFonts w:ascii="Verdana" w:hAnsi="Verdana"/>
      <w:i/>
      <w:color w:val="FF0000"/>
      <w:sz w:val="18"/>
    </w:rPr>
  </w:style>
  <w:style w:type="character" w:customStyle="1" w:styleId="BackcoversummaryChar">
    <w:name w:val="Backcover_summary Char"/>
    <w:link w:val="Backcoversummary"/>
    <w:rPr>
      <w:rFonts w:ascii="Verdana" w:hAnsi="Verdana"/>
      <w:color w:val="FF0000"/>
      <w:sz w:val="24"/>
      <w:lang w:val="hr-HR" w:eastAsia="hr-HR"/>
    </w:rPr>
  </w:style>
  <w:style w:type="character" w:customStyle="1" w:styleId="BackcovercategoryChar">
    <w:name w:val="Backcover_category Char"/>
    <w:link w:val="Backcovercategory"/>
    <w:rPr>
      <w:rFonts w:ascii="Verdana" w:hAnsi="Verdana"/>
      <w:i/>
      <w:color w:val="FF0000"/>
      <w:sz w:val="18"/>
      <w:lang w:val="hr-HR" w:eastAsia="hr-HR"/>
    </w:rPr>
  </w:style>
  <w:style w:type="paragraph" w:customStyle="1" w:styleId="MBT">
    <w:name w:val="M BT"/>
    <w:basedOn w:val="Normal"/>
    <w:link w:val="MBTChar"/>
    <w:qFormat/>
    <w:pPr>
      <w:widowControl w:val="0"/>
      <w:spacing w:after="0"/>
    </w:pPr>
    <w:rPr>
      <w:rFonts w:ascii="Verdana" w:hAnsi="Verdana"/>
      <w:bCs/>
      <w:sz w:val="20"/>
      <w:szCs w:val="22"/>
    </w:rPr>
  </w:style>
  <w:style w:type="character" w:customStyle="1" w:styleId="MBTChar">
    <w:name w:val="M BT Char"/>
    <w:link w:val="MBT"/>
    <w:rPr>
      <w:rFonts w:ascii="Verdana" w:hAnsi="Verdana"/>
      <w:bCs/>
      <w:szCs w:val="22"/>
      <w:lang w:val="hr-HR" w:eastAsia="hr-HR"/>
    </w:rPr>
  </w:style>
  <w:style w:type="character" w:styleId="CommentReference">
    <w:name w:val="annotation reference"/>
    <w:unhideWhenUsed/>
    <w:rPr>
      <w:sz w:val="16"/>
      <w:szCs w:val="16"/>
    </w:rPr>
  </w:style>
  <w:style w:type="character" w:customStyle="1" w:styleId="CommentTextChar">
    <w:name w:val="Comment Text Char"/>
    <w:link w:val="CommentText"/>
    <w:rPr>
      <w:lang w:val="hr-HR" w:eastAsia="hr-HR"/>
    </w:rPr>
  </w:style>
  <w:style w:type="character" w:customStyle="1" w:styleId="FootnoteTextChar">
    <w:name w:val="Footnote Text Char"/>
    <w:link w:val="FootnoteText"/>
    <w:uiPriority w:val="99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semiHidden/>
    <w:rPr>
      <w:b/>
      <w:bCs/>
      <w:lang w:val="hr-HR" w:eastAsia="hr-HR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/>
    </w:pPr>
    <w:rPr>
      <w:rFonts w:eastAsia="Calibri"/>
      <w:szCs w:val="22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overPageChar">
    <w:name w:val="Footer Cover Page Char"/>
    <w:link w:val="FooterCoverPage"/>
    <w:rPr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link w:val="FooterSensitivity"/>
    <w:rPr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</w:pPr>
  </w:style>
  <w:style w:type="character" w:customStyle="1" w:styleId="HeaderCoverPageChar">
    <w:name w:val="Header Cover Page Char"/>
    <w:link w:val="HeaderCoverPage"/>
    <w:rPr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link w:val="HeaderSensitivity"/>
    <w:rPr>
      <w:b/>
      <w:sz w:val="32"/>
    </w:r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  <w:spacing w:before="120" w:after="120"/>
    </w:pPr>
    <w:rPr>
      <w:rFonts w:eastAsia="Calibri"/>
      <w:szCs w:val="22"/>
    </w:rPr>
  </w:style>
  <w:style w:type="character" w:customStyle="1" w:styleId="Heading1Char">
    <w:name w:val="Heading 1 Char"/>
    <w:link w:val="Heading1"/>
    <w:uiPriority w:val="9"/>
    <w:rPr>
      <w:rFonts w:ascii="Verdana" w:hAnsi="Verdana"/>
      <w:b/>
      <w:smallCaps/>
      <w:sz w:val="28"/>
      <w:lang w:val="hr-HR" w:eastAsia="hr-HR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cha.europa.eu/information-on-chemicals/pic/import-notifications" TargetMode="External"/><Relationship Id="rId3" Type="http://schemas.openxmlformats.org/officeDocument/2006/relationships/hyperlink" Target="https://echa.europa.eu/regulations/prior-informed-consent/legislation" TargetMode="External"/><Relationship Id="rId7" Type="http://schemas.openxmlformats.org/officeDocument/2006/relationships/hyperlink" Target="https://echa.europa.eu/information-on-chemicals/pic/export-notifications" TargetMode="External"/><Relationship Id="rId2" Type="http://schemas.openxmlformats.org/officeDocument/2006/relationships/hyperlink" Target="https://echa.europa.eu/regulations/prior-informed-consent-regulation/reporting-on-information-exchange" TargetMode="External"/><Relationship Id="rId1" Type="http://schemas.openxmlformats.org/officeDocument/2006/relationships/hyperlink" Target="https://echa.europa.eu/regulations/prior-informed-consent/annual-reporting-on-pic-exports-and-imports" TargetMode="External"/><Relationship Id="rId6" Type="http://schemas.openxmlformats.org/officeDocument/2006/relationships/hyperlink" Target="https://echa.europa.eu/information-on-chemicals/pic/chemicals" TargetMode="External"/><Relationship Id="rId5" Type="http://schemas.openxmlformats.org/officeDocument/2006/relationships/hyperlink" Target="https://echa.europa.eu/regulations/prior-informed-consent-regulation/reporting-on-information-exchange" TargetMode="External"/><Relationship Id="rId10" Type="http://schemas.openxmlformats.org/officeDocument/2006/relationships/hyperlink" Target="https://echa.europa.eu/information-on-chemicals/pic/designated-national-authority" TargetMode="External"/><Relationship Id="rId4" Type="http://schemas.openxmlformats.org/officeDocument/2006/relationships/hyperlink" Target="https://echa.europa.eu/regulations/prior-informed-consent/annual-reporting-on-pic-exports-and-imports" TargetMode="External"/><Relationship Id="rId9" Type="http://schemas.openxmlformats.org/officeDocument/2006/relationships/hyperlink" Target="https://echa.europa.eu/information-on-chemicals/pic/explicit-cons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Category xmlns="c02e182b-7e46-4567-89e5-b76ccbd06361">Procedure/management</Category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EA25F43B16034A890773D71A710A1D" ma:contentTypeVersion="2" ma:contentTypeDescription="Create a new document." ma:contentTypeScope="" ma:versionID="0216380164d4a5c90bb181d25966bafe">
  <xsd:schema xmlns:xsd="http://www.w3.org/2001/XMLSchema" xmlns:xs="http://www.w3.org/2001/XMLSchema" xmlns:p="http://schemas.microsoft.com/office/2006/metadata/properties" xmlns:ns1="http://schemas.microsoft.com/sharepoint/v3" xmlns:ns2="c02e182b-7e46-4567-89e5-b76ccbd06361" targetNamespace="http://schemas.microsoft.com/office/2006/metadata/properties" ma:root="true" ma:fieldsID="b47582b5d33aa99fb90b9d1ed3a8ad67" ns1:_="" ns2:_="">
    <xsd:import namespace="http://schemas.microsoft.com/sharepoint/v3"/>
    <xsd:import namespace="c02e182b-7e46-4567-89e5-b76ccbd0636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e182b-7e46-4567-89e5-b76ccbd06361" elementFormDefault="qualified">
    <xsd:import namespace="http://schemas.microsoft.com/office/2006/documentManagement/types"/>
    <xsd:import namespace="http://schemas.microsoft.com/office/infopath/2007/PartnerControls"/>
    <xsd:element name="Category" ma:index="10" ma:displayName="Category" ma:default="Guidance" ma:description="Enter the type of document" ma:format="RadioButtons" ma:internalName="Category">
      <xsd:simpleType>
        <xsd:restriction base="dms:Choice">
          <xsd:enumeration value="Guidance"/>
          <xsd:enumeration value="Order forms/purchase orders"/>
          <xsd:enumeration value="Contract"/>
          <xsd:enumeration value="Letter/declaration"/>
          <xsd:enumeration value="Procedure/management"/>
          <xsd:enumeration value="Vademecum/workshops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CE74-0E47-469C-AB29-A312EADD2D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2e182b-7e46-4567-89e5-b76ccbd06361"/>
  </ds:schemaRefs>
</ds:datastoreItem>
</file>

<file path=customXml/itemProps2.xml><?xml version="1.0" encoding="utf-8"?>
<ds:datastoreItem xmlns:ds="http://schemas.openxmlformats.org/officeDocument/2006/customXml" ds:itemID="{D535CDC4-13F9-4318-8328-1A8BB0A81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A10B2-8F97-4246-916A-0F08FDFBB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2e182b-7e46-4567-89e5-b76ccbd06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4E3B91-2C20-4F27-BD87-0646555D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18</Pages>
  <Words>6050</Words>
  <Characters>35578</Characters>
  <Application>Microsoft Office Word</Application>
  <DocSecurity>0</DocSecurity>
  <PresentationFormat>Microsoft Word 11.0</PresentationFormat>
  <Lines>1046</Lines>
  <Paragraphs>420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41208</CharactersWithSpaces>
  <SharedDoc>false</SharedDoc>
  <HyperlinkBase/>
  <HLinks>
    <vt:vector size="60" baseType="variant">
      <vt:variant>
        <vt:i4>4522056</vt:i4>
      </vt:variant>
      <vt:variant>
        <vt:i4>27</vt:i4>
      </vt:variant>
      <vt:variant>
        <vt:i4>0</vt:i4>
      </vt:variant>
      <vt:variant>
        <vt:i4>5</vt:i4>
      </vt:variant>
      <vt:variant>
        <vt:lpwstr>https://echa.europa.eu/information-on-chemicals/pic/designated-national-authority</vt:lpwstr>
      </vt:variant>
      <vt:variant>
        <vt:lpwstr/>
      </vt:variant>
      <vt:variant>
        <vt:i4>655426</vt:i4>
      </vt:variant>
      <vt:variant>
        <vt:i4>24</vt:i4>
      </vt:variant>
      <vt:variant>
        <vt:i4>0</vt:i4>
      </vt:variant>
      <vt:variant>
        <vt:i4>5</vt:i4>
      </vt:variant>
      <vt:variant>
        <vt:lpwstr>https://echa.europa.eu/information-on-chemicals/pic/explicit-consents</vt:lpwstr>
      </vt:variant>
      <vt:variant>
        <vt:lpwstr/>
      </vt:variant>
      <vt:variant>
        <vt:i4>1310791</vt:i4>
      </vt:variant>
      <vt:variant>
        <vt:i4>21</vt:i4>
      </vt:variant>
      <vt:variant>
        <vt:i4>0</vt:i4>
      </vt:variant>
      <vt:variant>
        <vt:i4>5</vt:i4>
      </vt:variant>
      <vt:variant>
        <vt:lpwstr>https://echa.europa.eu/information-on-chemicals/pic/import-notifications</vt:lpwstr>
      </vt:variant>
      <vt:variant>
        <vt:lpwstr/>
      </vt:variant>
      <vt:variant>
        <vt:i4>65611</vt:i4>
      </vt:variant>
      <vt:variant>
        <vt:i4>18</vt:i4>
      </vt:variant>
      <vt:variant>
        <vt:i4>0</vt:i4>
      </vt:variant>
      <vt:variant>
        <vt:i4>5</vt:i4>
      </vt:variant>
      <vt:variant>
        <vt:lpwstr>https://echa.europa.eu/information-on-chemicals/pic/export-notifications</vt:lpwstr>
      </vt:variant>
      <vt:variant>
        <vt:lpwstr/>
      </vt:variant>
      <vt:variant>
        <vt:i4>2031622</vt:i4>
      </vt:variant>
      <vt:variant>
        <vt:i4>15</vt:i4>
      </vt:variant>
      <vt:variant>
        <vt:i4>0</vt:i4>
      </vt:variant>
      <vt:variant>
        <vt:i4>5</vt:i4>
      </vt:variant>
      <vt:variant>
        <vt:lpwstr>https://echa.europa.eu/information-on-chemicals/pic/chemicals</vt:lpwstr>
      </vt:variant>
      <vt:variant>
        <vt:lpwstr/>
      </vt:variant>
      <vt:variant>
        <vt:i4>3407914</vt:i4>
      </vt:variant>
      <vt:variant>
        <vt:i4>12</vt:i4>
      </vt:variant>
      <vt:variant>
        <vt:i4>0</vt:i4>
      </vt:variant>
      <vt:variant>
        <vt:i4>5</vt:i4>
      </vt:variant>
      <vt:variant>
        <vt:lpwstr>https://echa.europa.eu/regulations/prior-informed-consent-regulation/reporting-on-information-exchange</vt:lpwstr>
      </vt:variant>
      <vt:variant>
        <vt:lpwstr/>
      </vt:variant>
      <vt:variant>
        <vt:i4>4784214</vt:i4>
      </vt:variant>
      <vt:variant>
        <vt:i4>9</vt:i4>
      </vt:variant>
      <vt:variant>
        <vt:i4>0</vt:i4>
      </vt:variant>
      <vt:variant>
        <vt:i4>5</vt:i4>
      </vt:variant>
      <vt:variant>
        <vt:lpwstr>https://echa.europa.eu/regulations/prior-informed-consent/annual-reporting-on-pic-exports-and-imports</vt:lpwstr>
      </vt:variant>
      <vt:variant>
        <vt:lpwstr/>
      </vt:variant>
      <vt:variant>
        <vt:i4>4587615</vt:i4>
      </vt:variant>
      <vt:variant>
        <vt:i4>6</vt:i4>
      </vt:variant>
      <vt:variant>
        <vt:i4>0</vt:i4>
      </vt:variant>
      <vt:variant>
        <vt:i4>5</vt:i4>
      </vt:variant>
      <vt:variant>
        <vt:lpwstr>https://echa.europa.eu/regulations/prior-informed-consent/legislation</vt:lpwstr>
      </vt:variant>
      <vt:variant>
        <vt:lpwstr/>
      </vt:variant>
      <vt:variant>
        <vt:i4>3407914</vt:i4>
      </vt:variant>
      <vt:variant>
        <vt:i4>3</vt:i4>
      </vt:variant>
      <vt:variant>
        <vt:i4>0</vt:i4>
      </vt:variant>
      <vt:variant>
        <vt:i4>5</vt:i4>
      </vt:variant>
      <vt:variant>
        <vt:lpwstr>https://echa.europa.eu/regulations/prior-informed-consent-regulation/reporting-on-information-exchange</vt:lpwstr>
      </vt:variant>
      <vt:variant>
        <vt:lpwstr/>
      </vt:variant>
      <vt:variant>
        <vt:i4>4784214</vt:i4>
      </vt:variant>
      <vt:variant>
        <vt:i4>0</vt:i4>
      </vt:variant>
      <vt:variant>
        <vt:i4>0</vt:i4>
      </vt:variant>
      <vt:variant>
        <vt:i4>5</vt:i4>
      </vt:variant>
      <vt:variant>
        <vt:lpwstr>https://echa.europa.eu/regulations/prior-informed-consent/annual-reporting-on-pic-exports-and-imports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DIGIT/A3</cp:lastModifiedBy>
  <cp:revision>75</cp:revision>
  <cp:lastPrinted>2012-07-25T11:39:00Z</cp:lastPrinted>
  <dcterms:created xsi:type="dcterms:W3CDTF">2018-08-27T13:45:00Z</dcterms:created>
  <dcterms:modified xsi:type="dcterms:W3CDTF">2018-10-08T12:32:00Z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LW 6.0.1, Build 20180503</vt:lpwstr>
  </property>
  <property fmtid="{D5CDD505-2E9C-101B-9397-08002B2CF9AE}" pid="6" name="Formatting">
    <vt:lpwstr>4.1</vt:lpwstr>
  </property>
  <property fmtid="{D5CDD505-2E9C-101B-9397-08002B2CF9AE}" pid="7" name="Last edited using">
    <vt:lpwstr>LW 6.0.1, Build 20180503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ContentTypeId">
    <vt:lpwstr>0x0101007DEA25F43B16034A890773D71A710A1D</vt:lpwstr>
  </property>
  <property fmtid="{D5CDD505-2E9C-101B-9397-08002B2CF9AE}" pid="14" name="Level of sensitivity">
    <vt:lpwstr>Standard treatment</vt:lpwstr>
  </property>
  <property fmtid="{D5CDD505-2E9C-101B-9397-08002B2CF9AE}" pid="15" name="Part">
    <vt:lpwstr>1</vt:lpwstr>
  </property>
  <property fmtid="{D5CDD505-2E9C-101B-9397-08002B2CF9AE}" pid="16" name="Total parts">
    <vt:lpwstr>1</vt:lpwstr>
  </property>
  <property fmtid="{D5CDD505-2E9C-101B-9397-08002B2CF9AE}" pid="17" name="DocStatus">
    <vt:lpwstr>Green</vt:lpwstr>
  </property>
</Properties>
</file>