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13FD5F-96AD-4AC5-A741-CF4E13986ACD" style="width:450.35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Bdr>
          <w:top w:val="nil"/>
          <w:left w:val="nil"/>
          <w:bottom w:val="nil"/>
          <w:right w:val="nil"/>
          <w:between w:val="nil"/>
          <w:bar w:val="nil"/>
        </w:pBdr>
        <w:spacing w:before="0" w:after="240"/>
        <w:rPr>
          <w:rFonts w:eastAsia="Arial Unicode MS"/>
          <w:noProof/>
        </w:rPr>
      </w:pPr>
      <w:r>
        <w:rPr>
          <w:noProof/>
        </w:rPr>
        <w:t xml:space="preserve">Gemäß Artikel 395 Absatz 1 der Richtlinie 2006/112/EG vom 28. November 2006 über das gemeinsame Mehrwertsteuersystem (im Folgenden die „MwSt-Richtlinie“) kann der Rat auf Vorschlag der Kommission einstimmig jeden Mitgliedstaat ermächtigen, von dieser Richtlinie abweichende Sondermaßnahmen einzuführen, um die Steuererhebung zu vereinfachen oder Steuerhinterziehungen oder -umgehungen zu verhindern. </w:t>
      </w:r>
    </w:p>
    <w:p>
      <w:pPr>
        <w:pBdr>
          <w:top w:val="nil"/>
          <w:left w:val="nil"/>
          <w:bottom w:val="nil"/>
          <w:right w:val="nil"/>
          <w:between w:val="nil"/>
          <w:bar w:val="nil"/>
        </w:pBdr>
        <w:spacing w:before="0" w:after="240"/>
        <w:rPr>
          <w:rFonts w:eastAsia="Arial Unicode MS"/>
          <w:noProof/>
        </w:rPr>
      </w:pPr>
      <w:r>
        <w:rPr>
          <w:noProof/>
        </w:rPr>
        <w:t xml:space="preserve">Mit einem bei der Kommission am 20. Juni 2018 registrierten Schreiben beantragte Lettland die Ermächtigung, weiterhin eine Regelung anzuwenden, die von den Grundprinzipien des Rechts auf Vorsteuerabzug bei bestimmten Personenkraftwagen abweicht. Zusammen mit dem Antrag auf Verlängerung übermittelte Lettland einen Bericht, der eine Überprüfung des Prozentsatzes für die Begrenzung des Vorsteuerabzugsrechts enthält. </w:t>
      </w:r>
    </w:p>
    <w:p>
      <w:pPr>
        <w:pBdr>
          <w:top w:val="nil"/>
          <w:left w:val="nil"/>
          <w:bottom w:val="nil"/>
          <w:right w:val="nil"/>
          <w:between w:val="nil"/>
          <w:bar w:val="nil"/>
        </w:pBdr>
        <w:spacing w:before="0" w:after="240"/>
        <w:rPr>
          <w:rFonts w:eastAsia="Arial Unicode MS"/>
          <w:noProof/>
        </w:rPr>
      </w:pPr>
      <w:r>
        <w:rPr>
          <w:noProof/>
        </w:rPr>
        <w:t>Mit Schreiben vom 7. September 2018 setzte die Kommission gemäß Artikel 395 Absatz 2 der MwSt-Richtlinie die anderen Mitgliedstaaten über den Antrag Lettlands in Kenntnis. Mit Schreiben vom 10. September 2018 teilte die Kommission Lettland mit, dass sie über alle für die Beurteilung des Antrags erforderlichen Angaben verfügt.</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rFonts w:eastAsia="Arial Unicode MS"/>
          <w:noProof/>
        </w:rPr>
      </w:pPr>
      <w:r>
        <w:rPr>
          <w:noProof/>
        </w:rPr>
        <w:t xml:space="preserve">Gemäß Artikel 168 der MwSt-Richtlinie ist ein Steuerpflichtiger berechtigt, die Mehrwertsteuer auf Käufe, die für die Zwecke seiner besteuerten Umsätze getätigt wurden, abzuziehen. Nach Artikel 26 Absatz 1 Buchstabe a der genannten Richtlinie ist die Verwendung eines dem Unternehmen zugeordneten Gegenstands für den privaten Bedarf des Steuerpflichtigen einer Dienstleistung gegen Entgelt gleichgestellt, wenn dieser Gegenstand zum Vorsteuerabzug berechtigt hat. Durch diese Regelung kann die ursprünglich abgezogene Vorsteuer in Bezug auf die Nutzung für den privaten Bedarf zurückerlangt werden. </w:t>
      </w:r>
    </w:p>
    <w:p>
      <w:pPr>
        <w:pBdr>
          <w:top w:val="nil"/>
          <w:left w:val="nil"/>
          <w:bottom w:val="nil"/>
          <w:right w:val="nil"/>
          <w:between w:val="nil"/>
          <w:bar w:val="nil"/>
        </w:pBdr>
        <w:spacing w:before="0" w:after="240"/>
        <w:rPr>
          <w:rFonts w:eastAsia="Arial Unicode MS"/>
          <w:noProof/>
        </w:rPr>
      </w:pPr>
      <w:r>
        <w:rPr>
          <w:noProof/>
        </w:rPr>
        <w:t xml:space="preserve">Bei Personenkraftwagen bereitet die Anwendung dieser Regelung vor allem deshalb Schwierigkeiten, weil nicht ohne Weiteres zwischen privater und geschäftlicher Nutzung unterschieden werden kann. Werden Aufzeichnungen geführt, so stellen das entsprechende Verfahren und die zugehörigen Überprüfungen eine zusätzliche Belastung für Unternehmen und Verwaltung dar. </w:t>
      </w:r>
    </w:p>
    <w:p>
      <w:pPr>
        <w:pBdr>
          <w:top w:val="nil"/>
          <w:left w:val="nil"/>
          <w:bottom w:val="nil"/>
          <w:right w:val="nil"/>
          <w:between w:val="nil"/>
          <w:bar w:val="nil"/>
        </w:pBdr>
        <w:spacing w:before="0" w:after="240"/>
        <w:rPr>
          <w:rFonts w:eastAsia="Arial Unicode MS"/>
          <w:noProof/>
        </w:rPr>
      </w:pPr>
      <w:r>
        <w:rPr>
          <w:noProof/>
        </w:rPr>
        <w:t>Mit dem Durchführungsbeschluss 2013/191/EU des Rates</w:t>
      </w:r>
      <w:r>
        <w:rPr>
          <w:rStyle w:val="FootnoteReference"/>
          <w:noProof/>
        </w:rPr>
        <w:footnoteReference w:id="1"/>
      </w:r>
      <w:r>
        <w:rPr>
          <w:noProof/>
        </w:rPr>
        <w:t xml:space="preserve"> wurde Lettland ermächtigt, das Recht auf Abzug der Mehrwertsteuer bei bestimmten Personenkraftwagen auf 80 % zu begrenzen. Lettland war der Auffassung, dass dieser Prozentsatz nicht den tatsächlichen Gegebenheiten entspreche, und mit dem Durchführungsbeschluss (EU) 2015/2429 des Rates</w:t>
      </w:r>
      <w:r>
        <w:rPr>
          <w:rStyle w:val="FootnoteReference"/>
          <w:noProof/>
        </w:rPr>
        <w:footnoteReference w:id="2"/>
      </w:r>
      <w:r>
        <w:rPr>
          <w:noProof/>
        </w:rPr>
        <w:t xml:space="preserve"> wurde Lettland ermächtigt, das Recht auf Abzug der Mehrwertsteuer auf 50 % zu begrenzen. Letzterer Beschluss läuft am 31. Dezember 2018 aus, und Lettland hat seine Verlängerung um einen weiteren befristeten Zeitraum beantragt. </w:t>
      </w:r>
    </w:p>
    <w:p>
      <w:pPr>
        <w:pBdr>
          <w:top w:val="nil"/>
          <w:left w:val="nil"/>
          <w:bottom w:val="nil"/>
          <w:right w:val="nil"/>
          <w:between w:val="nil"/>
          <w:bar w:val="nil"/>
        </w:pBdr>
        <w:spacing w:before="0" w:after="240"/>
        <w:rPr>
          <w:rFonts w:eastAsia="Arial Unicode MS"/>
          <w:noProof/>
        </w:rPr>
      </w:pPr>
      <w:r>
        <w:rPr>
          <w:noProof/>
        </w:rPr>
        <w:t xml:space="preserve">Wie in Artikel 6 Absatz 2 des Durchführungsbeschlusses (EU) 2015/2429 vorgeschrieben, hat Lettland einen Bericht vorgelegt, in dem der Prozentsatz für die Begrenzung des Vorsteuerabzugsrechts überprüft wird. </w:t>
      </w:r>
    </w:p>
    <w:p>
      <w:pPr>
        <w:pBdr>
          <w:top w:val="nil"/>
          <w:left w:val="nil"/>
          <w:bottom w:val="nil"/>
          <w:right w:val="nil"/>
          <w:between w:val="nil"/>
          <w:bar w:val="nil"/>
        </w:pBdr>
        <w:spacing w:before="0" w:after="240"/>
        <w:rPr>
          <w:rFonts w:eastAsia="Arial Unicode MS"/>
          <w:noProof/>
        </w:rPr>
      </w:pPr>
      <w:r>
        <w:rPr>
          <w:noProof/>
        </w:rPr>
        <w:t xml:space="preserve">Nach Ansicht Lettlands ist der angewandte Prozentsatz für die Begrenzung nach wie vor angemessen. Während der Geltungsdauer der Sonderregelung hat Lettland von der Begrenzung des Vorsteuerabzugsrechts in vollem Umfang Gebrauch gemacht, und es stellt fest, dass der Verwaltungsaufwand für die Mehrwertsteuerpflichtigen und für die Steuerverwaltung durch diese Regelung verringert werden kann, wenn ein Personenkraftwagen nicht ausschließlich für geschäftliche Zwecke genutzt wird. </w:t>
      </w:r>
    </w:p>
    <w:p>
      <w:pPr>
        <w:pBdr>
          <w:top w:val="nil"/>
          <w:left w:val="nil"/>
          <w:bottom w:val="nil"/>
          <w:right w:val="nil"/>
          <w:between w:val="nil"/>
          <w:bar w:val="nil"/>
        </w:pBdr>
        <w:spacing w:before="0" w:after="240"/>
        <w:rPr>
          <w:rFonts w:eastAsia="Arial Unicode MS"/>
          <w:noProof/>
        </w:rPr>
      </w:pPr>
      <w:r>
        <w:rPr>
          <w:noProof/>
        </w:rPr>
        <w:t>Die Bedingungen für die Anwendung der Ausnahmeregelung gelten weiterhin. Die Sonderregelung gilt folglich für alle nicht ausschließlich für geschäftliche Zwecke genutzten Personenkraftwagen mit höchsten acht Sitzplätzen zusätzlich zum Fahrersitz und einem bestimmten Höchstgewicht. Für bestimmte Tätigkeiten genutzte Personenkraftwagen werden jedoch von der Begrenzung des Vorsteuerabzugsrechts ausgenommen und fallen daher unter die normale Regelung: Fahrzeuge, die zwecks Weiterverkauf, Vermieten oder Verleasen erworben wurden; Fahrzeuge, die für die Beförderung von Fahrgästen (z. B. Taxis) oder Gegenständen genutzt werden; Fahrzeuge, die für Fahrunterricht genutzt werden; Fahrzeuge, die für die Erbringung von Wach- oder Notdiensten genutzt werden; Fahrzeuge, die als Ausstellungs- und Vorführwagen genutzt werden.</w:t>
      </w:r>
    </w:p>
    <w:p>
      <w:pPr>
        <w:pBdr>
          <w:top w:val="nil"/>
          <w:left w:val="nil"/>
          <w:bottom w:val="nil"/>
          <w:right w:val="nil"/>
          <w:between w:val="nil"/>
          <w:bar w:val="nil"/>
        </w:pBdr>
        <w:spacing w:before="0" w:after="240"/>
        <w:rPr>
          <w:rFonts w:eastAsia="Arial Unicode MS"/>
          <w:noProof/>
        </w:rPr>
      </w:pPr>
      <w:r>
        <w:rPr>
          <w:noProof/>
        </w:rPr>
        <w:t>Da sich durch die Sonderregelung der Verwaltungsaufwand für Steuerzahler und Steuerbehörden verringert, wird vorgeschlagen, die Ausnahmeregelung um einen weiteren befristeten Zeitraum bis zum 31. Dezember 2021 zu verlängern. Ein etwaiger Verlängerungsantrag sollte der Kommission zusammen mit einem Bericht, in dem der angewandte Prozentsatz überprüft wird, bis zum 31. März 2021 übermittelt werden.</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rPr>
          <w:noProof/>
        </w:rPr>
      </w:pPr>
      <w:r>
        <w:rPr>
          <w:noProof/>
        </w:rPr>
        <w:t xml:space="preserve">Ähnliche Ausnahmeregelungen für den Vorsteuerabzug wurden auch anderen Mitgliedstaaten gewährt. </w:t>
      </w:r>
    </w:p>
    <w:p>
      <w:pPr>
        <w:rPr>
          <w:noProof/>
        </w:rPr>
      </w:pPr>
      <w:r>
        <w:rPr>
          <w:noProof/>
        </w:rPr>
        <w:t xml:space="preserve">Nach Artikel 176 der MwSt-Richtlinie legt der Rat fest, welche Ausgaben kein Recht auf Vorsteuerabzug eröffnen. Bis dahin können die Mitgliedstaaten die Ausnahmeregelungen beibehalten, die am 1. Januar 1979 galten. Daher gibt es eine Reihe von „Stillstandsklauseln“, die den Vorsteuerabzug bei Personenkraftwagen einschränken. </w:t>
      </w:r>
    </w:p>
    <w:p>
      <w:pPr>
        <w:pBdr>
          <w:top w:val="nil"/>
          <w:left w:val="nil"/>
          <w:bottom w:val="nil"/>
          <w:right w:val="nil"/>
          <w:between w:val="nil"/>
          <w:bar w:val="nil"/>
        </w:pBdr>
        <w:spacing w:before="0" w:after="240"/>
        <w:rPr>
          <w:noProof/>
        </w:rPr>
      </w:pPr>
      <w:r>
        <w:rPr>
          <w:noProof/>
        </w:rPr>
        <w:t>Ungeachtet früherer Initiativen mit dem Ziel, Vorschriften zur Beschränkung des Rechts auf Vorsteuerabzug festzulegen</w:t>
      </w:r>
      <w:r>
        <w:rPr>
          <w:rStyle w:val="FootnoteReference"/>
          <w:noProof/>
        </w:rPr>
        <w:footnoteReference w:id="3"/>
      </w:r>
      <w:r>
        <w:rPr>
          <w:noProof/>
        </w:rPr>
        <w:t xml:space="preserve">, ist eine solche abweichende Regelung bis zur Harmonisierung der Regelungen auf EU-Ebene angemessen. </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rFonts w:eastAsia="Arial Unicode MS"/>
          <w:noProof/>
        </w:rPr>
      </w:pPr>
      <w:r>
        <w:rPr>
          <w:noProof/>
        </w:rPr>
        <w:t xml:space="preserve">Artikel 395 der MwSt-Richtlinie </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In Anbetracht der Bestimmung der MwSt-Richtlinie, auf die sich der Vorschlag stützt, findet das Subsidiaritätsprinzip keine Anwendung.</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rFonts w:eastAsia="Arial Unicode MS"/>
          <w:noProof/>
        </w:rPr>
      </w:pPr>
      <w:r>
        <w:rPr>
          <w:noProof/>
        </w:rPr>
        <w:t xml:space="preserve">Der Vorschlag entspricht aus folgenden Gründen dem Grundsatz der Verhältnismäßigkeit: </w:t>
      </w:r>
    </w:p>
    <w:p>
      <w:pPr>
        <w:pBdr>
          <w:top w:val="nil"/>
          <w:left w:val="nil"/>
          <w:bottom w:val="nil"/>
          <w:right w:val="nil"/>
          <w:between w:val="nil"/>
          <w:bar w:val="nil"/>
        </w:pBdr>
        <w:spacing w:before="0" w:after="240"/>
        <w:rPr>
          <w:rFonts w:eastAsia="Arial Unicode MS"/>
          <w:noProof/>
        </w:rPr>
      </w:pPr>
      <w:r>
        <w:rPr>
          <w:noProof/>
        </w:rPr>
        <w:t xml:space="preserve">Der Beschluss ermächtigt einen Mitgliedstaat auf eigenen Antrag und stellt keine Verpflichtung dar. </w:t>
      </w:r>
    </w:p>
    <w:p>
      <w:pPr>
        <w:pBdr>
          <w:top w:val="nil"/>
          <w:left w:val="nil"/>
          <w:bottom w:val="nil"/>
          <w:right w:val="nil"/>
          <w:between w:val="nil"/>
          <w:bar w:val="nil"/>
        </w:pBdr>
        <w:spacing w:before="0" w:after="240"/>
        <w:rPr>
          <w:rFonts w:eastAsia="Arial Unicode MS"/>
          <w:noProof/>
        </w:rPr>
      </w:pPr>
      <w:r>
        <w:rPr>
          <w:noProof/>
        </w:rPr>
        <w:t>Angesichts des begrenzten Anwendungsbereichs der Ausnahmeregelung ist die Sondermaßnahme dem angestrebten Ziel – Bekämpfung der Steuerhinterziehung und Vereinfachung der Mehrwertsteuererhebung – angemessen.</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Gemäß Artikel 395 der MwSt-Richtlinie dürfen die Mitgliedstaaten nur dann von den gemeinsamen Mehrwertsteuervorschriften abweichen, wenn der Rat sie hierzu auf Vorschlag der Kommission einstimmig ermächtigt. Des Weiteren ist ein Beschluss des Rates das am besten geeignete Rechtsinstrument, da er an einzelne Mitgliedstaaten gerichtet werden kann.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eastAsia="Arial Unicode MS"/>
          <w:noProof/>
        </w:rPr>
      </w:pPr>
      <w:r>
        <w:rPr>
          <w:noProof/>
        </w:rPr>
        <w:t xml:space="preserve">Der Vorschlag stützt sich auf einen Antrag Lettlands und betrifft nur diesen Mitgliedstaat. </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before="0" w:after="240"/>
        <w:rPr>
          <w:noProof/>
        </w:rPr>
      </w:pPr>
      <w:r>
        <w:rPr>
          <w:noProof/>
        </w:rPr>
        <w:t xml:space="preserve">Externes Expertenwissen war nicht erforderlich. </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rFonts w:eastAsia="Arial Unicode MS"/>
          <w:noProof/>
        </w:rPr>
      </w:pPr>
      <w:r>
        <w:rPr>
          <w:noProof/>
        </w:rPr>
        <w:t>Da der Vorschlag das Verfahren zur Mehrwertsteuererhebung vereinfachen und der Mehrwertsteuerhinterziehung entgegenwirken soll, dürfte er sich sowohl für die Unternehmen als auch für die Verwaltung positiv auswirken. Die Lösung wird von Lettland als geeignete Maßnahme betrachtet und ist mit früheren und noch geltenden Ausnahmeregelungen vergleichbar.</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Der Vorschlag hat keine negativen Auswirkungen auf den EU-Haushalt.</w:t>
      </w:r>
    </w:p>
    <w:p>
      <w:pPr>
        <w:pStyle w:val="ManualHeading1"/>
        <w:rPr>
          <w:noProof/>
        </w:rPr>
      </w:pPr>
      <w:r>
        <w:rPr>
          <w:noProof/>
        </w:rPr>
        <w:t>5.</w:t>
      </w:r>
      <w:r>
        <w:rPr>
          <w:noProof/>
        </w:rPr>
        <w:tab/>
        <w:t>WEITERE ANGABEN</w:t>
      </w:r>
    </w:p>
    <w:p>
      <w:pPr>
        <w:pBdr>
          <w:top w:val="nil"/>
          <w:left w:val="nil"/>
          <w:bottom w:val="nil"/>
          <w:right w:val="nil"/>
          <w:between w:val="nil"/>
          <w:bar w:val="nil"/>
        </w:pBdr>
        <w:spacing w:before="0" w:after="240"/>
        <w:rPr>
          <w:noProof/>
        </w:rPr>
      </w:pPr>
      <w:r>
        <w:rPr>
          <w:noProof/>
        </w:rPr>
        <w:t>Der Vorschlag enthält eine Verfallsklausel. Die Ausnahmeregelung endet automatisch am 31. Dezember 2021.</w:t>
      </w:r>
    </w:p>
    <w:p>
      <w:pPr>
        <w:pBdr>
          <w:top w:val="nil"/>
          <w:left w:val="nil"/>
          <w:bottom w:val="nil"/>
          <w:right w:val="nil"/>
          <w:between w:val="nil"/>
          <w:bar w:val="nil"/>
        </w:pBdr>
        <w:spacing w:before="0" w:after="240"/>
        <w:rPr>
          <w:noProof/>
        </w:rPr>
      </w:pPr>
      <w:r>
        <w:rPr>
          <w:noProof/>
        </w:rPr>
        <w:t>Falls Lettland eine weitere Verlängerung der Ausnahmeregelung nach 2021 in Erwägung zieht, sollte der Kommission bis spätestens 31. März 2021 zusammen mit dem Verlängerungsantrag ein Bericht mit einer Überprüfung des Prozentsatzes vorgelegt werden.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2018/0373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Änderung des Durchführungsbeschlusses (EU) 2015/2429 zur Ermächtigung Lettlands, eine von Artikel 26 Absatz 1 Buchstabe a, Artikel 168 und Artikel 168a der Richtlinie 2006/112/EG über das gemeinsame Mehrwertsteuersystem abweichende Regelung anzuwenden</w:t>
      </w:r>
    </w:p>
    <w:p>
      <w:pPr>
        <w:pStyle w:val="Institutionquiagit"/>
        <w:rPr>
          <w:noProof/>
        </w:rPr>
      </w:pPr>
      <w:r>
        <w:rPr>
          <w:noProof/>
        </w:rPr>
        <w:t>DER RAT DER EUROPÄISCHEN UNION –</w:t>
      </w:r>
    </w:p>
    <w:p>
      <w:pPr>
        <w:rPr>
          <w:noProof/>
        </w:rPr>
      </w:pPr>
      <w:r>
        <w:rPr>
          <w:noProof/>
        </w:rPr>
        <w:t xml:space="preserve">gestützt auf den Vertrag über die Arbeitsweise der Europäischen Union, </w:t>
      </w:r>
    </w:p>
    <w:p>
      <w:pPr>
        <w:rPr>
          <w:noProof/>
        </w:rPr>
      </w:pPr>
      <w:r>
        <w:rPr>
          <w:noProof/>
        </w:rPr>
        <w:t>gestützt auf die Richtlinie 2006/112/EG des Rates vom 28. November 2006 über das gemeinsame Mehrwertsteuersystem</w:t>
      </w:r>
      <w:r>
        <w:rPr>
          <w:rStyle w:val="FootnoteReference"/>
          <w:noProof/>
        </w:rPr>
        <w:footnoteReference w:id="4"/>
      </w:r>
      <w:r>
        <w:rPr>
          <w:noProof/>
        </w:rPr>
        <w:t>, insbesondere auf Artikel 395 Absatz 1,</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Mit dem Durchführungsbeschluss (EU) 2015/2429 des Rates</w:t>
      </w:r>
      <w:r>
        <w:rPr>
          <w:rStyle w:val="FootnoteReference"/>
          <w:noProof/>
        </w:rPr>
        <w:footnoteReference w:id="5"/>
      </w:r>
      <w:r>
        <w:rPr>
          <w:noProof/>
        </w:rPr>
        <w:t xml:space="preserve"> wurde Lettland ermächtigt, das Recht auf den Abzug der Mehrwertsteuer bei Ausgaben für den Kauf, das Leasing, den innergemeinschaftlichen Erwerb und die Einfuhr von Personenkraftwagen mit einem zulässigen Höchstgewicht von 3500 kg und höchstens acht Sitzplätzen zusätzlich zum Fahrersitz sowie bei Ausgaben für Wartung und Reparaturen dieser Fahrzeuge und Kraftstoff für diese Fahrzeuge bis zum 31. Dezember 2018 auf 50 % zu begrenzen.  </w:t>
      </w:r>
    </w:p>
    <w:p>
      <w:pPr>
        <w:pStyle w:val="ManualConsidrant"/>
        <w:rPr>
          <w:noProof/>
        </w:rPr>
      </w:pPr>
      <w:r>
        <w:t>(2)</w:t>
      </w:r>
      <w:r>
        <w:tab/>
      </w:r>
      <w:r>
        <w:rPr>
          <w:noProof/>
        </w:rPr>
        <w:t xml:space="preserve">Mit einem am 20. Juni 2018 bei der Kommission registrierten Schreiben hat Lettland die Ermächtigung beantragt, die von Artikel 26 Absatz 1 Buchstabe a und den Artikeln 168 und 168a der Richtlinie 2006/112/EG abweichende Regelung zur Begrenzung des Vorsteuerabzugsrechts bei Ausgaben für bestimmte Personenkraftwagen, die nicht ausschließlich für geschäftliche Zwecke genutzt werden, weiterhin anzuwenden. </w:t>
      </w:r>
    </w:p>
    <w:p>
      <w:pPr>
        <w:pStyle w:val="ManualConsidrant"/>
        <w:rPr>
          <w:noProof/>
        </w:rPr>
      </w:pPr>
      <w:r>
        <w:t>(3)</w:t>
      </w:r>
      <w:r>
        <w:tab/>
      </w:r>
      <w:r>
        <w:rPr>
          <w:noProof/>
        </w:rPr>
        <w:t>Mit Schreiben vom 7. September 2018 leitete die Kommission den Antrag Lettlands an die anderen Mitgliedstaaten weiter. Mit Schreiben vom 10. September 2018 teilte die Kommission Lettland mit, dass sie über alle für die Beurteilung des Antrags erforderlichen Angaben verfügt.</w:t>
      </w:r>
    </w:p>
    <w:p>
      <w:pPr>
        <w:pStyle w:val="ManualConsidrant"/>
        <w:rPr>
          <w:noProof/>
        </w:rPr>
      </w:pPr>
      <w:r>
        <w:t>(4)</w:t>
      </w:r>
      <w:r>
        <w:tab/>
      </w:r>
      <w:r>
        <w:rPr>
          <w:noProof/>
        </w:rPr>
        <w:t>Wie in Artikel 6 Absatz 2 des Durchführungsbeschlusses (EU) 2015/2429 vorgeschrieben, hat Lettland einen Bericht vorgelegt, in dem der Prozentsatz für die Begrenzung des Vorsteuerabzugsrechts überprüft wird. Auf der Grundlage der derzeit verfügbaren Informationen hält Lettland eine Begrenzung auf 50 % nach wie vor für gerechtfertigt und angemessen.</w:t>
      </w:r>
    </w:p>
    <w:p>
      <w:pPr>
        <w:pStyle w:val="ManualConsidrant"/>
        <w:rPr>
          <w:noProof/>
        </w:rPr>
      </w:pPr>
      <w:r>
        <w:t>(5)</w:t>
      </w:r>
      <w:r>
        <w:tab/>
      </w:r>
      <w:r>
        <w:rPr>
          <w:noProof/>
        </w:rPr>
        <w:t>Die Verlängerung der Ausnahmeregelung sollte befristet sein, damit überprüft werden kann, ob sie wirksam und der Prozentsatz angemessen ist. Da sich durch die Ausnahmeregelung der Verwaltungsaufwand für Steuerzahler und Steuerbehörden verringert, sollte Lettland ermächtigt werden, die Regelung während eines befristeten Zeitraums bis zum 31. Dezember 2021 weiter anzuwenden.</w:t>
      </w:r>
    </w:p>
    <w:p>
      <w:pPr>
        <w:pStyle w:val="ManualConsidrant"/>
        <w:rPr>
          <w:noProof/>
        </w:rPr>
      </w:pPr>
      <w:r>
        <w:t>(6)</w:t>
      </w:r>
      <w:r>
        <w:tab/>
      </w:r>
      <w:r>
        <w:rPr>
          <w:noProof/>
        </w:rPr>
        <w:t>Falls Lettland eine weitere Verlängerung der Ausnahmeregelung über das Jahr 2021 hinaus für erforderlich hält, sollte es der Kommission bis zum 31. März 2021 zusammen mit dem Antrag auf Verlängerung einen Bericht vorlegen, der eine Überprüfung des angewandten Prozentsatzes enthält.</w:t>
      </w:r>
    </w:p>
    <w:p>
      <w:pPr>
        <w:pStyle w:val="ManualConsidrant"/>
        <w:rPr>
          <w:noProof/>
        </w:rPr>
      </w:pPr>
      <w:r>
        <w:t>(7)</w:t>
      </w:r>
      <w:r>
        <w:tab/>
      </w:r>
      <w:r>
        <w:rPr>
          <w:noProof/>
        </w:rPr>
        <w:t>Die Ausnahmeregelung wird nur geringfügige Auswirkungen auf den Gesamtbetrag der auf der Stufe des Endverbrauchs erhobenen Steuer und keine nachteiligen Auswirkungen auf die Mehrwertsteuer-Eigenmittel der Union haben.</w:t>
      </w:r>
    </w:p>
    <w:p>
      <w:pPr>
        <w:pStyle w:val="ManualConsidrant"/>
        <w:rPr>
          <w:noProof/>
        </w:rPr>
      </w:pPr>
      <w:r>
        <w:t>(8)</w:t>
      </w:r>
      <w:r>
        <w:tab/>
      </w:r>
      <w:r>
        <w:rPr>
          <w:noProof/>
        </w:rPr>
        <w:t>Der Durchführungsbeschluss (EU) 2015/2429 des Rates sollte daher entsprechend geändert werden –</w:t>
      </w: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Artikel 6 des Durchführungsbeschlusses (EU) 2015/2429 des Rates erhält folgende Fassung:</w:t>
      </w:r>
    </w:p>
    <w:p>
      <w:pPr>
        <w:jc w:val="center"/>
        <w:rPr>
          <w:i/>
          <w:noProof/>
        </w:rPr>
      </w:pPr>
      <w:r>
        <w:rPr>
          <w:noProof/>
        </w:rPr>
        <w:t>„</w:t>
      </w:r>
      <w:r>
        <w:rPr>
          <w:i/>
          <w:noProof/>
        </w:rPr>
        <w:t>Artikel 6</w:t>
      </w:r>
    </w:p>
    <w:p>
      <w:pPr>
        <w:rPr>
          <w:noProof/>
        </w:rPr>
      </w:pPr>
      <w:r>
        <w:rPr>
          <w:noProof/>
        </w:rPr>
        <w:t>1. Dieser Beschluss gilt vom 1. Januar 2016 bis zum 31. Dezember 2021.</w:t>
      </w:r>
    </w:p>
    <w:p>
      <w:pPr>
        <w:rPr>
          <w:noProof/>
        </w:rPr>
      </w:pPr>
      <w:r>
        <w:rPr>
          <w:noProof/>
        </w:rPr>
        <w:t>2. Ein etwaiger Antrag auf Verlängerung der mit diesem Beschluss erteilten Ermächtigung ist der Kommission zusammen mit einem Bericht, der eine Überprüfung des in Artikel 1 genannten Prozentsatzes enthält, bis zum 31. März 2021 vorzulegen.“</w:t>
      </w:r>
    </w:p>
    <w:p>
      <w:pPr>
        <w:pStyle w:val="Titrearticle"/>
        <w:rPr>
          <w:noProof/>
        </w:rPr>
      </w:pPr>
      <w:r>
        <w:rPr>
          <w:noProof/>
          <w:color w:val="000000" w:themeColor="text1"/>
        </w:rPr>
        <w:t xml:space="preserve">Artikel </w:t>
      </w:r>
      <w:r>
        <w:rPr>
          <w:noProof/>
        </w:rPr>
        <w:t>2</w:t>
      </w:r>
    </w:p>
    <w:p>
      <w:pPr>
        <w:rPr>
          <w:noProof/>
        </w:rPr>
      </w:pPr>
      <w:r>
        <w:rPr>
          <w:noProof/>
        </w:rPr>
        <w:t xml:space="preserve">Dieser Beschluss gilt ab dem 1. Januar 2019. </w:t>
      </w:r>
    </w:p>
    <w:p>
      <w:pPr>
        <w:pStyle w:val="Titrearticle"/>
        <w:rPr>
          <w:noProof/>
        </w:rPr>
      </w:pPr>
      <w:r>
        <w:rPr>
          <w:noProof/>
        </w:rPr>
        <w:t>Artikel 3</w:t>
      </w:r>
    </w:p>
    <w:p>
      <w:pPr>
        <w:keepNext/>
        <w:keepLines/>
        <w:rPr>
          <w:noProof/>
        </w:rPr>
      </w:pPr>
      <w:r>
        <w:rPr>
          <w:noProof/>
          <w:color w:val="000000"/>
        </w:rPr>
        <w:t xml:space="preserve">Dieser Beschluss ist an die Republik Lettland gerichtet. </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Durchführungsbeschluss 2013/191/EU des Rates vom 22. April 2013 zur Ermächtigung Lettlands, eine von Artikel 26 Absatz 1 Buchstabe a, Artikel 168 und Artikel 168a der Richtlinie 2006/112/EG über das gemeinsame Mehrwertsteuersystem abweichende Regelung anzuwenden (ABl. L 113 vom 25.4.2013, S. 11). </w:t>
      </w:r>
    </w:p>
  </w:footnote>
  <w:footnote w:id="2">
    <w:p>
      <w:pPr>
        <w:pStyle w:val="FootnoteText"/>
      </w:pPr>
      <w:r>
        <w:rPr>
          <w:rStyle w:val="FootnoteReference"/>
        </w:rPr>
        <w:footnoteRef/>
      </w:r>
      <w:r>
        <w:tab/>
        <w:t xml:space="preserve">Durchführungsbeschluss (EU) 2015/2429 des Rates vom 10. Dezember 2015 zur Ermächtigung Lettlands, eine von Artikel 26 Absatz 1 Buchstabe a, Artikel 168 und Artikel 168a der Richtlinie 2006/112/EG über das gemeinsame Mehrwertsteuersystem abweichende Regelung anzuwenden (ABl. L 334 vom 22.12.2015, S. 15). </w:t>
      </w:r>
    </w:p>
  </w:footnote>
  <w:footnote w:id="3">
    <w:p>
      <w:pPr>
        <w:pStyle w:val="FootnoteText"/>
      </w:pPr>
      <w:r>
        <w:rPr>
          <w:rStyle w:val="FootnoteReference"/>
        </w:rPr>
        <w:footnoteRef/>
      </w:r>
      <w:r>
        <w:tab/>
        <w:t>KOM(2004) 728 endg. – Vorschlag für eine Richtlinie des Rates zur Änderung der Richtlinie 77/388/EWG hinsichtlich der Vereinfachung der mehrwertsteuerlichen Pflichten (ABl. C 24 vom 29.1.2005, S. 10), zurückgezogen am 21. Mai 2014</w:t>
      </w:r>
      <w:r>
        <w:rPr>
          <w:rStyle w:val="Hyperlink"/>
        </w:rPr>
        <w:t xml:space="preserve"> </w:t>
      </w:r>
      <w:r>
        <w:t xml:space="preserve">(ABl. C 153 vom 21.5.2014, S. 3). </w:t>
      </w:r>
    </w:p>
  </w:footnote>
  <w:footnote w:id="4">
    <w:p>
      <w:pPr>
        <w:pStyle w:val="FootnoteText"/>
      </w:pPr>
      <w:r>
        <w:rPr>
          <w:rStyle w:val="FootnoteReference"/>
        </w:rPr>
        <w:footnoteRef/>
      </w:r>
      <w:r>
        <w:tab/>
        <w:t xml:space="preserve">ABl. L 347 vom 11.12.2006, S. 1. </w:t>
      </w:r>
    </w:p>
  </w:footnote>
  <w:footnote w:id="5">
    <w:p>
      <w:pPr>
        <w:pStyle w:val="FootnoteText"/>
      </w:pPr>
      <w:r>
        <w:rPr>
          <w:rStyle w:val="FootnoteReference"/>
        </w:rPr>
        <w:footnoteRef/>
      </w:r>
      <w:r>
        <w:tab/>
        <w:t>Durchführungsbeschluss (EU) 2015/2429 des Rates vom 10. Dezember 2015 zur Ermächtigung Lettlands, eine von Artikel 26 Absatz 1 Buchstabe a, Artikel 168 und Artikel 168a der Richtlinie 2006/112/EG über das gemeinsame Mehrwertsteuersystem abweichende Regelung anzuwenden (ABl. L 334 vom 22.12.2015, S.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BE98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A2BB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98C6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1220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D0D4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6CC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F079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D23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9 16:03: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D13FD5F-96AD-4AC5-A741-CF4E13986ACD"/>
    <w:docVar w:name="LW_COVERPAGE_TYPE" w:val="1"/>
    <w:docVar w:name="LW_CROSSREFERENCE" w:val="&lt;UNUSED&gt;"/>
    <w:docVar w:name="LW_DocType" w:val="COM"/>
    <w:docVar w:name="LW_EMISSION" w:val="31.10.2018"/>
    <w:docVar w:name="LW_EMISSION_ISODATE" w:val="2018-10-31"/>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73"/>
    <w:docVar w:name="LW_REF.II.NEW.CP_YEAR" w:val="2018"/>
    <w:docVar w:name="LW_REF.INST.NEW" w:val="COM"/>
    <w:docVar w:name="LW_REF.INST.NEW_ADOPTED" w:val="final"/>
    <w:docVar w:name="LW_REF.INST.NEW_TEXT" w:val="(2018) 7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n"/>
    <w:docVar w:name="LW_SUPERTITRE" w:val="&lt;UNUSED&gt;"/>
    <w:docVar w:name="LW_TITRE.OBJ.CP" w:val="zur Änderung des Durchführungsbeschlusses (EU) 2015/2429 zur Ermächtigung Lettlands, eine von Artikel 26 Absatz 1 Buchstabe a, Artikel 168 und Artikel 168a der Richtlinie 2006/112/EG über das gemeinsame Mehrwertsteuersystem abweichende Regelung anzuwenden"/>
    <w:docVar w:name="LW_TYPE.DOC.CP" w:val="DURCHFÜHRUNGS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4D5B-6717-48AB-BDDE-0B392202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1491</Words>
  <Characters>9981</Characters>
  <Application>Microsoft Office Word</Application>
  <DocSecurity>0</DocSecurity>
  <Lines>178</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2018-10-16T15:38:00Z</dcterms:created>
  <dcterms:modified xsi:type="dcterms:W3CDTF">2018-10-29T15:03:00Z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