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D658DBE-4500-4944-A897-96A517839C63" style="width:450.75pt;height:32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after="120" w:line="240" w:lineRule="auto"/>
        <w:rPr>
          <w:rFonts w:cs="Times New Roman"/>
          <w:noProof/>
          <w:sz w:val="24"/>
          <w:szCs w:val="24"/>
        </w:rPr>
      </w:pPr>
      <w:bookmarkStart w:id="1" w:name="_GoBack"/>
      <w:bookmarkEnd w:id="1"/>
      <w:r>
        <w:rPr>
          <w:noProof/>
          <w:sz w:val="24"/>
        </w:rPr>
        <w:lastRenderedPageBreak/>
        <w:t>INDLEDNING</w:t>
      </w:r>
    </w:p>
    <w:p>
      <w:pPr>
        <w:spacing w:after="120" w:line="240" w:lineRule="auto"/>
        <w:jc w:val="both"/>
        <w:rPr>
          <w:rFonts w:ascii="Times New Roman" w:hAnsi="Times New Roman" w:cs="Times New Roman"/>
          <w:noProof/>
          <w:sz w:val="24"/>
          <w:szCs w:val="24"/>
        </w:rPr>
      </w:pPr>
      <w:r>
        <w:rPr>
          <w:rFonts w:ascii="Times New Roman" w:hAnsi="Times New Roman"/>
          <w:noProof/>
          <w:sz w:val="24"/>
        </w:rPr>
        <w:t>Hormonforstyrrende stoffer er kemiske stoffer, der ændrer hormonsystemets funktion og har en negativ indvirkning på menneskers og dyrs sundhed. De kan enten være af syntetisk eller naturlig oprindelse. Vi kan blive eksponeret for hormonforstyrrende stoffer fra forskellige kilder såsom rester af pesticider eller forbrugerprodukter, som vi anvender, eller som er til stede i vores dagligdag.</w:t>
      </w:r>
    </w:p>
    <w:p>
      <w:pPr>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hAnsi="Times New Roman" w:cs="Times New Roman"/>
          <w:b/>
          <w:i/>
          <w:noProof/>
          <w:sz w:val="24"/>
          <w:szCs w:val="24"/>
        </w:rPr>
      </w:pPr>
      <w:r>
        <w:rPr>
          <w:rFonts w:ascii="Times New Roman" w:hAnsi="Times New Roman"/>
          <w:b/>
          <w:i/>
          <w:noProof/>
          <w:sz w:val="24"/>
        </w:rPr>
        <w:t>Hvad er hormonsystemet?</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i/>
          <w:noProof/>
          <w:sz w:val="24"/>
        </w:rPr>
        <w:t>Hormonsystemet er kroppens kommunikationssystem. Det anvender hormoner — signalmolekyler, der bevæger sig gennem blodbanen — som et kommunikationsværktøj og til at påvirke fjerntliggende celler, væv og organer. Hormoner er afgørende for at kontrollere en lang række processer i kroppen, lige fra tidlige processer som fosterudvikling og organdannelse til vævs- og organfunktioner i voksenalderen.</w:t>
      </w:r>
    </w:p>
    <w:p>
      <w:pPr>
        <w:spacing w:after="120" w:line="240" w:lineRule="auto"/>
        <w:jc w:val="both"/>
        <w:rPr>
          <w:rFonts w:ascii="Times New Roman" w:hAnsi="Times New Roman" w:cs="Times New Roman"/>
          <w:noProof/>
          <w:sz w:val="24"/>
          <w:szCs w:val="24"/>
        </w:rPr>
      </w:pPr>
      <w:r>
        <w:rPr>
          <w:rFonts w:ascii="Times New Roman" w:hAnsi="Times New Roman"/>
          <w:noProof/>
          <w:sz w:val="24"/>
        </w:rPr>
        <w:t>Bekymringen over hormonforstyrrende stoffer har været tiltagende siden 1990'erne</w:t>
      </w:r>
      <w:r>
        <w:rPr>
          <w:rStyle w:val="FootnoteReference"/>
          <w:rFonts w:ascii="Times New Roman" w:hAnsi="Times New Roman"/>
          <w:noProof/>
          <w:sz w:val="24"/>
        </w:rPr>
        <w:footnoteReference w:id="2"/>
      </w:r>
      <w:r>
        <w:rPr>
          <w:rFonts w:ascii="Times New Roman" w:hAnsi="Times New Roman"/>
          <w:noProof/>
          <w:sz w:val="24"/>
        </w:rPr>
        <w:t>. Efter Europa-Parlamentets vedtagelse af en beslutning om hormonforstyrrende stoffer i 1998</w:t>
      </w:r>
      <w:r>
        <w:rPr>
          <w:rStyle w:val="FootnoteReference"/>
          <w:rFonts w:ascii="Times New Roman" w:hAnsi="Times New Roman"/>
          <w:noProof/>
          <w:sz w:val="24"/>
        </w:rPr>
        <w:footnoteReference w:id="3"/>
      </w:r>
      <w:r>
        <w:rPr>
          <w:rFonts w:ascii="Times New Roman" w:hAnsi="Times New Roman"/>
          <w:noProof/>
          <w:sz w:val="24"/>
        </w:rPr>
        <w:t xml:space="preserve"> vedtog Kommissionen i december 1999 EF-strategien for hormonsystemforstyrrende stoffer</w:t>
      </w:r>
      <w:r>
        <w:rPr>
          <w:rStyle w:val="FootnoteReference"/>
          <w:rFonts w:ascii="Times New Roman" w:hAnsi="Times New Roman"/>
          <w:noProof/>
          <w:sz w:val="24"/>
        </w:rPr>
        <w:footnoteReference w:id="4"/>
      </w:r>
      <w:r>
        <w:rPr>
          <w:rFonts w:ascii="Times New Roman" w:hAnsi="Times New Roman"/>
          <w:noProof/>
          <w:sz w:val="24"/>
        </w:rPr>
        <w:t>, som siden da er blevet videreført gennem foranstaltninger inden for forskning, regulering og internationalt samarbejde.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Der er sket betydelige fremskridt med hensyn til at forstå og regulere hormonforstyrrende stoffer, og EU anerkendes i dag som en af de globale ledere for så vidt angår håndteringen af disse kemikalier. Der er dog fortsat stor samfundsmæssig bekymring.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Kommissionens har altid og vil fortsat arbejde for at beskytte EU-borgerne og miljøet mod alle farlige kemikalier. I denne forbindelse er der næsten tyve år efter vedtagelsen af EF-strategien fra 1999 behov for at ajourføre EU's tilgang til hormonforstyrrende stoffer, så den forbliver tidssvarende og fortsat håndterer disse stoffer på sammenhængende vis på tværs af forskellige områder, idet der bygges videre på den øgede viden, de opnåede resultater og de indhøstede erfaringer. Med dette mål for øje gør Kommissionen i dag rede for sin strategiske tilgang til hormonforstyrrende stoffer i de kommende år, idet det endelige overordnede mål er at sikre et højt beskyttelsesniveau for EU-borgerne og miljøet og samtidig at bevare et indre marked, der skaber resultater for forbrugerne, og hvor alle EU's virksomheder kan trives.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Denne meddelelse behandler Europa-Parlamentets og Rådets anmodninger</w:t>
      </w:r>
      <w:r>
        <w:rPr>
          <w:rStyle w:val="FootnoteReference"/>
          <w:rFonts w:ascii="Times New Roman" w:hAnsi="Times New Roman"/>
          <w:noProof/>
          <w:sz w:val="24"/>
        </w:rPr>
        <w:footnoteReference w:id="5"/>
      </w:r>
      <w:r>
        <w:rPr>
          <w:rFonts w:ascii="Times New Roman" w:hAnsi="Times New Roman"/>
          <w:noProof/>
          <w:sz w:val="24"/>
        </w:rPr>
        <w:t>, følger op på det syvende miljøhandlingsprogram</w:t>
      </w:r>
      <w:r>
        <w:rPr>
          <w:rStyle w:val="FootnoteReference"/>
          <w:rFonts w:ascii="Times New Roman" w:hAnsi="Times New Roman"/>
          <w:noProof/>
          <w:sz w:val="24"/>
        </w:rPr>
        <w:footnoteReference w:id="6"/>
      </w:r>
      <w:r>
        <w:rPr>
          <w:rFonts w:ascii="Times New Roman" w:hAnsi="Times New Roman"/>
          <w:noProof/>
          <w:sz w:val="24"/>
        </w:rPr>
        <w:t xml:space="preserve"> og er omfattet af de internationale forpligtelser til at gribe ind over for farlige kemikalier</w:t>
      </w:r>
      <w:r>
        <w:rPr>
          <w:rStyle w:val="FootnoteReference"/>
          <w:rFonts w:ascii="Times New Roman" w:hAnsi="Times New Roman"/>
          <w:noProof/>
          <w:sz w:val="24"/>
        </w:rPr>
        <w:footnoteReference w:id="7"/>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I afsnit 1 beskrives de videnskabelige fremskridt, der er gjort inden for hormonforstyrrende stoffer i de seneste tyve år. I afsnit 2 opsummeres de foranstaltninger, som EU hidtil har truffet, og i afsnit 3 skitseres Kommissionens foreslåede tilgang til effektivt at fremme EU's politik for hormonforstyrrende stoffer i fremtiden.</w:t>
      </w:r>
    </w:p>
    <w:p>
      <w:pPr>
        <w:pStyle w:val="Heading1"/>
        <w:spacing w:before="360" w:after="120" w:line="240" w:lineRule="auto"/>
        <w:rPr>
          <w:rFonts w:cs="Times New Roman"/>
          <w:noProof/>
          <w:sz w:val="24"/>
          <w:szCs w:val="24"/>
        </w:rPr>
      </w:pPr>
      <w:r>
        <w:rPr>
          <w:noProof/>
          <w:sz w:val="24"/>
        </w:rPr>
        <w:t>1. VIDENSKABEN OM HORMONFORSTYRRENDE STOFFER</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 de seneste årtier er der gjort store fremskridt inden for videnskaben om hormonforstyrrende virkninger. Mange tusinde fagfællebedømte videnskabelige publikationer, der undersøger arten af hormonforstyrrende virkninger, årsagerne til dem og deres konsekvenser for menneskers sundhed og for bestande af vilde dyr, er blevet tilgængelige siden vedtagelsen af EF-strategien fra 1999. Der er også meldt om fremskridt i publikationer fra Europa-Kommissionen og EU-agenturerne samt i forbindelse med aktiviteter, som Kommissionen har koordineret.</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Siden 1999 </w:t>
      </w:r>
      <w:r>
        <w:rPr>
          <w:rFonts w:ascii="Times New Roman" w:hAnsi="Times New Roman"/>
          <w:b/>
          <w:noProof/>
          <w:sz w:val="24"/>
        </w:rPr>
        <w:t>er den videnskabelige dokumentation, der sammenkæder eksponering for hormonforstyrrende stoffer med sygdomme hos mennesker eller negative virkninger for vilde dyr, blevet stærkere</w:t>
      </w:r>
      <w:r>
        <w:rPr>
          <w:rFonts w:ascii="Times New Roman" w:hAnsi="Times New Roman"/>
          <w:noProof/>
          <w:sz w:val="24"/>
        </w:rPr>
        <w:t xml:space="preserve">. Desuden har de videnskabelige fremskridt ført til enighed om en række forhold, der er relevante for at forstå hormonforstyrrende virkninger. Der er nu bred enighed om den </w:t>
      </w:r>
      <w:r>
        <w:rPr>
          <w:rFonts w:ascii="Times New Roman" w:hAnsi="Times New Roman"/>
          <w:b/>
          <w:noProof/>
          <w:sz w:val="24"/>
        </w:rPr>
        <w:t>definition</w:t>
      </w:r>
      <w:r>
        <w:rPr>
          <w:rFonts w:ascii="Times New Roman" w:hAnsi="Times New Roman"/>
          <w:noProof/>
          <w:sz w:val="24"/>
        </w:rPr>
        <w:t>, der blev givet i 2002 af det internationale program for sikkerhed i forbindelse med kemikalier — et fælles program for flere FN-agenturer, herunder Verdenssundhedsorganisationen — hvor et hormonforstyrrende stof defineres som "et/en udefra kommende stof eller blanding, der ændrer hormonsystemets funktion eller funktioner og som følge heraf har sundhedsskadelige virkninger hos en intakt organisme eller dens afkom eller i (under)populationer"</w:t>
      </w:r>
      <w:r>
        <w:rPr>
          <w:rStyle w:val="FootnoteReference"/>
          <w:rFonts w:ascii="Times New Roman" w:hAnsi="Times New Roman"/>
          <w:noProof/>
          <w:sz w:val="24"/>
        </w:rPr>
        <w:footnoteReference w:id="8"/>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Der er også enighed om, at det </w:t>
      </w:r>
      <w:r>
        <w:rPr>
          <w:rFonts w:ascii="Times New Roman" w:hAnsi="Times New Roman"/>
          <w:b/>
          <w:noProof/>
          <w:sz w:val="24"/>
        </w:rPr>
        <w:t>mest følsomme tidspunkt for eksponering</w:t>
      </w:r>
      <w:r>
        <w:rPr>
          <w:rFonts w:ascii="Times New Roman" w:hAnsi="Times New Roman"/>
          <w:noProof/>
          <w:sz w:val="24"/>
        </w:rPr>
        <w:t xml:space="preserve"> for hormonforstyrrende stoffer er i vigtige udviklingsperioder såsom fosterudvikling og pubertet</w:t>
      </w:r>
      <w:r>
        <w:rPr>
          <w:rStyle w:val="FootnoteReference"/>
          <w:rFonts w:ascii="Times New Roman" w:hAnsi="Times New Roman"/>
          <w:noProof/>
          <w:sz w:val="24"/>
        </w:rPr>
        <w:footnoteReference w:id="9"/>
      </w:r>
      <w:r>
        <w:rPr>
          <w:rFonts w:ascii="Times New Roman" w:hAnsi="Times New Roman"/>
          <w:noProof/>
          <w:sz w:val="24"/>
        </w:rPr>
        <w:t xml:space="preserve">. Eksponering for hormonforstyrrende stoffer i disse perioder kan have varige virkninger og resultere i øget modtagelighed over for sygdomme senere i livet. Det er også almindeligt anerkendt, at </w:t>
      </w:r>
      <w:r>
        <w:rPr>
          <w:rFonts w:ascii="Times New Roman" w:hAnsi="Times New Roman"/>
          <w:b/>
          <w:noProof/>
          <w:sz w:val="24"/>
        </w:rPr>
        <w:t>hormonforstyrrende stoffer kan påvirke hormonsystemet på forskellige måder</w:t>
      </w:r>
      <w:r>
        <w:rPr>
          <w:rFonts w:ascii="Times New Roman" w:hAnsi="Times New Roman"/>
          <w:noProof/>
          <w:sz w:val="24"/>
        </w:rPr>
        <w:t>. Hidtil har videnskaben hovedsagelig fokuseret på et begrænset antal endokrine modaliteter</w:t>
      </w:r>
      <w:r>
        <w:rPr>
          <w:rStyle w:val="FootnoteReference"/>
          <w:rFonts w:ascii="Times New Roman" w:hAnsi="Times New Roman"/>
          <w:noProof/>
          <w:sz w:val="24"/>
        </w:rPr>
        <w:footnoteReference w:id="10"/>
      </w:r>
      <w:r>
        <w:rPr>
          <w:rFonts w:ascii="Times New Roman" w:hAnsi="Times New Roman"/>
          <w:noProof/>
          <w:sz w:val="24"/>
        </w:rPr>
        <w:t>. I de senere år har det dog vist sig, at andre aspekter af hormonsystemet også kan være følsomme over for hormonforstyrrende stoffer. Der er også stadig flere beviser for, at hormonforstyrrende stoffer sammen kan have en additiv virkning (en "</w:t>
      </w:r>
      <w:r>
        <w:rPr>
          <w:rFonts w:ascii="Times New Roman" w:hAnsi="Times New Roman"/>
          <w:b/>
          <w:noProof/>
          <w:sz w:val="24"/>
        </w:rPr>
        <w:t>blandingseffekt</w:t>
      </w:r>
      <w:r>
        <w:rPr>
          <w:rFonts w:ascii="Times New Roman" w:hAnsi="Times New Roman"/>
          <w:noProof/>
          <w:sz w:val="24"/>
        </w:rPr>
        <w:t>" eller "</w:t>
      </w:r>
      <w:r>
        <w:rPr>
          <w:rFonts w:ascii="Times New Roman" w:hAnsi="Times New Roman"/>
          <w:b/>
          <w:noProof/>
          <w:sz w:val="24"/>
        </w:rPr>
        <w:t>cocktaileffekt</w:t>
      </w:r>
      <w:r>
        <w:rPr>
          <w:rFonts w:ascii="Times New Roman" w:hAnsi="Times New Roman"/>
          <w:noProof/>
          <w:sz w:val="24"/>
        </w:rPr>
        <w:t>"), således at eksponering for en kombination af hormonforstyrrende stoffer kan have en skadelig virkning ved koncentrationer, hvor der ikke er observeret nogen individuel virkning</w:t>
      </w:r>
      <w:r>
        <w:rPr>
          <w:rStyle w:val="FootnoteReference"/>
          <w:rFonts w:ascii="Times New Roman" w:hAnsi="Times New Roman"/>
          <w:noProof/>
          <w:sz w:val="24"/>
        </w:rPr>
        <w:footnoteReference w:id="11"/>
      </w:r>
      <w:r>
        <w:rPr>
          <w:rFonts w:ascii="Times New Roman" w:hAnsi="Times New Roman"/>
          <w:noProof/>
          <w:sz w:val="24"/>
        </w:rPr>
        <w:t xml:space="preserve"> (selv om denne virkning ikke er specifik for hormonforstyrrende stoffer)</w:t>
      </w:r>
      <w:r>
        <w:rPr>
          <w:rStyle w:val="FootnoteReference"/>
          <w:rFonts w:ascii="Times New Roman" w:hAnsi="Times New Roman"/>
          <w:noProof/>
          <w:sz w:val="24"/>
        </w:rPr>
        <w:footnoteReference w:id="12"/>
      </w:r>
      <w:r>
        <w:rPr>
          <w:rFonts w:ascii="Times New Roman" w:hAnsi="Times New Roman"/>
          <w:noProof/>
          <w:sz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Der er dog </w:t>
      </w:r>
      <w:r>
        <w:rPr>
          <w:rFonts w:ascii="Times New Roman" w:hAnsi="Times New Roman"/>
          <w:b/>
          <w:noProof/>
          <w:sz w:val="24"/>
        </w:rPr>
        <w:t>stadig manglende viden</w:t>
      </w:r>
      <w:r>
        <w:rPr>
          <w:rFonts w:ascii="Times New Roman" w:hAnsi="Times New Roman"/>
          <w:noProof/>
          <w:sz w:val="24"/>
        </w:rPr>
        <w:t>, navnlig for så vidt angår:</w:t>
      </w:r>
    </w:p>
    <w:p>
      <w:pPr>
        <w:pStyle w:val="ListParagraph"/>
        <w:numPr>
          <w:ilvl w:val="0"/>
          <w:numId w:val="3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den virkning, som </w:t>
      </w:r>
      <w:r>
        <w:rPr>
          <w:rFonts w:ascii="Times New Roman" w:hAnsi="Times New Roman"/>
          <w:b/>
          <w:noProof/>
          <w:sz w:val="24"/>
        </w:rPr>
        <w:t>eksponering</w:t>
      </w:r>
      <w:r>
        <w:rPr>
          <w:rFonts w:ascii="Times New Roman" w:hAnsi="Times New Roman"/>
          <w:noProof/>
          <w:sz w:val="24"/>
        </w:rPr>
        <w:t xml:space="preserve"> </w:t>
      </w:r>
      <w:r>
        <w:rPr>
          <w:rFonts w:ascii="Times New Roman" w:hAnsi="Times New Roman"/>
          <w:b/>
          <w:noProof/>
          <w:sz w:val="24"/>
        </w:rPr>
        <w:t>for</w:t>
      </w:r>
      <w:r>
        <w:rPr>
          <w:rFonts w:ascii="Times New Roman" w:hAnsi="Times New Roman"/>
          <w:noProof/>
          <w:sz w:val="24"/>
        </w:rPr>
        <w:t xml:space="preserve"> </w:t>
      </w:r>
      <w:r>
        <w:rPr>
          <w:rFonts w:ascii="Times New Roman" w:hAnsi="Times New Roman"/>
          <w:b/>
          <w:noProof/>
          <w:sz w:val="24"/>
        </w:rPr>
        <w:t>hormonforstyrrende stoffer har for udviklingen af sygdomme og for vilde dyr</w:t>
      </w:r>
      <w:r>
        <w:rPr>
          <w:rFonts w:ascii="Times New Roman" w:hAnsi="Times New Roman"/>
          <w:noProof/>
          <w:sz w:val="24"/>
        </w:rPr>
        <w:t>. I denne forbindelse er der en begrænset forståelse af, hvad kemisk eksponering specifikt bidrager med, og hvordan det adskilles fra andre mulige årsager til de negative virkninger, der undersøges. Andre faktorer spiller nemlig også en rolle i udviklingen af sådanne hormonrelaterede lidelser (f.eks. genetik, ernæring, livsstil og andre miljøfaktorer) eller virkninger for vilde dyr (f.eks. overudnyttelse og klimaændringer)</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 xml:space="preserve">den eksisterende kontrovers om, hvorvidt og hvordan visse toksikologiske principper, f.eks. princippet om en "sikker tærskelværdi" — </w:t>
      </w:r>
      <w:r>
        <w:rPr>
          <w:rFonts w:ascii="Times New Roman" w:hAnsi="Times New Roman"/>
          <w:noProof/>
          <w:sz w:val="24"/>
        </w:rPr>
        <w:t>dvs. den dosis, hvorunder der ikke forventes nogen skadelig virkning</w:t>
      </w:r>
      <w:r>
        <w:rPr>
          <w:rFonts w:ascii="Times New Roman" w:hAnsi="Times New Roman"/>
          <w:b/>
          <w:noProof/>
          <w:sz w:val="24"/>
        </w:rPr>
        <w:t xml:space="preserve"> — kan anvendes til at vurdere sikkerheden ved hormonforstyrrende stoffer</w:t>
      </w:r>
      <w:r>
        <w:rPr>
          <w:rStyle w:val="FootnoteReference"/>
          <w:rFonts w:ascii="Times New Roman" w:hAnsi="Times New Roman"/>
          <w:noProof/>
          <w:sz w:val="24"/>
        </w:rPr>
        <w:footnoteReference w:id="13"/>
      </w:r>
      <w:r>
        <w:rPr>
          <w:rFonts w:ascii="Times New Roman" w:hAnsi="Times New Roman"/>
          <w:noProof/>
          <w:sz w:val="24"/>
        </w:rPr>
        <w:t xml:space="preserve">. En del videnskabsfolk er af den opfattelse, at der ikke kan fastsættes en sikker tærskelværdi for hormonforstyrrende stoffer </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den fulde forståelse af kombineret eksponering</w:t>
      </w:r>
      <w:r>
        <w:rPr>
          <w:rFonts w:ascii="Times New Roman" w:hAnsi="Times New Roman"/>
          <w:noProof/>
          <w:sz w:val="24"/>
        </w:rPr>
        <w:t xml:space="preserve"> ("blandings-/cocktaileffekten")</w:t>
      </w:r>
    </w:p>
    <w:p>
      <w:pPr>
        <w:pStyle w:val="ListParagraph"/>
        <w:numPr>
          <w:ilvl w:val="0"/>
          <w:numId w:val="35"/>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udviklingen af sikrere alternativer</w:t>
      </w:r>
      <w:r>
        <w:rPr>
          <w:rFonts w:ascii="Times New Roman" w:hAnsi="Times New Roman"/>
          <w:noProof/>
          <w:sz w:val="24"/>
        </w:rPr>
        <w:t xml:space="preserve"> (herunder ikkekemiske fremgangsmåder) til erstatning af hormonforstyrrende stoffer</w:t>
      </w:r>
    </w:p>
    <w:p>
      <w:pPr>
        <w:pStyle w:val="ListParagraph"/>
        <w:numPr>
          <w:ilvl w:val="0"/>
          <w:numId w:val="35"/>
        </w:numPr>
        <w:spacing w:before="120" w:after="120" w:line="240" w:lineRule="auto"/>
        <w:ind w:left="714" w:hanging="357"/>
        <w:jc w:val="both"/>
        <w:rPr>
          <w:rFonts w:ascii="Times New Roman" w:hAnsi="Times New Roman" w:cs="Times New Roman"/>
          <w:noProof/>
          <w:sz w:val="24"/>
          <w:szCs w:val="24"/>
        </w:rPr>
      </w:pPr>
      <w:r>
        <w:rPr>
          <w:rFonts w:ascii="Times New Roman" w:hAnsi="Times New Roman"/>
          <w:b/>
          <w:noProof/>
          <w:sz w:val="24"/>
        </w:rPr>
        <w:t>mekanismen</w:t>
      </w:r>
      <w:r>
        <w:rPr>
          <w:rFonts w:ascii="Times New Roman" w:hAnsi="Times New Roman"/>
          <w:noProof/>
          <w:sz w:val="24"/>
        </w:rPr>
        <w:t xml:space="preserve"> for hormonforstyrrende virkninger.</w:t>
      </w:r>
    </w:p>
    <w:p>
      <w:pPr>
        <w:pStyle w:val="Heading2"/>
        <w:spacing w:before="0" w:line="240" w:lineRule="auto"/>
        <w:rPr>
          <w:rFonts w:cs="Times New Roman"/>
          <w:noProof/>
          <w:szCs w:val="24"/>
        </w:rPr>
      </w:pPr>
      <w:r>
        <w:rPr>
          <w:noProof/>
        </w:rPr>
        <w:t xml:space="preserve">Testning, og i hvor høj grad videnskaben er i stand til at informere de regulerende myndigheder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Et andet område, hvor videnskaben har gjort store fremskridt, men hvor der er behov for yderligere fremskridt, er i forbindelse med </w:t>
      </w:r>
      <w:r>
        <w:rPr>
          <w:rFonts w:ascii="Times New Roman" w:hAnsi="Times New Roman"/>
          <w:b/>
          <w:noProof/>
          <w:sz w:val="24"/>
        </w:rPr>
        <w:t>udvikling og validering af testmetoder</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Det er nødvendigt at udføre pålidelige forsøg for at identificere hormonforstyrrende stoffer, under hensyntagen til de forskellige måder, hvorpå disse stoffer kan påvirke hormonsystemet, og håndtere dem hensigtsmæssigt. Organisationen for Økonomisk Samarbejde og Udvikling (OECD) er det førende anerkendte organ for udarbejdelse af internationalt anerkendte forsøgsretningslinjer</w:t>
      </w:r>
      <w:r>
        <w:rPr>
          <w:rStyle w:val="FootnoteReference"/>
          <w:rFonts w:ascii="Times New Roman" w:hAnsi="Times New Roman"/>
          <w:noProof/>
          <w:sz w:val="24"/>
        </w:rPr>
        <w:footnoteReference w:id="14"/>
      </w:r>
      <w:r>
        <w:rPr>
          <w:rFonts w:ascii="Times New Roman" w:hAnsi="Times New Roman"/>
          <w:noProof/>
          <w:sz w:val="24"/>
        </w:rPr>
        <w:t>, der gennemføres i relevant EU-lovgivning efter behov. Den Europæiske Fødevaresikkerhedsautoritet undersøgte i 2013 de eksisterende forsøgsretningslinjer for hormonforstyrrende stoffer. Den konkluderede</w:t>
      </w:r>
      <w:r>
        <w:rPr>
          <w:rStyle w:val="FootnoteReference"/>
          <w:rFonts w:ascii="Times New Roman" w:hAnsi="Times New Roman"/>
          <w:noProof/>
          <w:sz w:val="24"/>
        </w:rPr>
        <w:footnoteReference w:id="15"/>
      </w:r>
      <w:r>
        <w:rPr>
          <w:rFonts w:ascii="Times New Roman" w:hAnsi="Times New Roman"/>
          <w:noProof/>
          <w:sz w:val="24"/>
        </w:rPr>
        <w:t>, at der for pattedyr og fisk var (eller snart ville være) diverse forsøg til rådighed for visse endokrine modaliteter, der kan påvirkes af hormonforstyrrende stoffer</w:t>
      </w:r>
      <w:r>
        <w:rPr>
          <w:rStyle w:val="FootnoteReference"/>
          <w:rFonts w:ascii="Times New Roman" w:hAnsi="Times New Roman"/>
          <w:noProof/>
          <w:sz w:val="24"/>
        </w:rPr>
        <w:footnoteReference w:id="16"/>
      </w:r>
      <w:r>
        <w:rPr>
          <w:rFonts w:ascii="Times New Roman" w:hAnsi="Times New Roman"/>
          <w:noProof/>
          <w:sz w:val="24"/>
        </w:rPr>
        <w:t>, mens der for fugle og padder var færre forsøg til rådighed. EFSA fandt også følgende: at forsøg, der omfattede andre aspekter af hormonsystemet eller andre dyregrupper, stadig skulle udvikles og/eller valideres, at der for nogle endokrine sygdomme såsom visse hormonale kræftsygdomme eller stofskifteforstyrrelser/fedme ikke findes nogen egnede prognosemodeller, og at der ikke fandtes nogen enkelt undersøgelse, hvori virkningerne af pattedyrs eksponering vurderes gennem hele livscyklussen</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Ligesom på andre videnskabelige forskningsområder er der desuden også for hormonforstyrrende stoffer behov for at gøre fremskridt med hensyn til udviklingen af alternativer til dyreforsøg: Det ville indebære en bedre udnyttelse af eksisterende data (og yderligere anvendelse af ekstrapoleringsmetoder</w:t>
      </w:r>
      <w:r>
        <w:rPr>
          <w:rStyle w:val="FootnoteReference"/>
          <w:rFonts w:ascii="Times New Roman" w:hAnsi="Times New Roman"/>
          <w:noProof/>
          <w:sz w:val="24"/>
        </w:rPr>
        <w:footnoteReference w:id="18"/>
      </w:r>
      <w:r>
        <w:rPr>
          <w:rFonts w:ascii="Times New Roman" w:hAnsi="Times New Roman"/>
          <w:noProof/>
          <w:sz w:val="24"/>
        </w:rPr>
        <w:t>), og at der lægges mere vægt på matematiske modeller og nye in vitro-metoder.</w:t>
      </w:r>
    </w:p>
    <w:p>
      <w:pPr>
        <w:pStyle w:val="Heading1"/>
        <w:spacing w:before="360" w:after="120" w:line="240" w:lineRule="auto"/>
        <w:rPr>
          <w:rFonts w:cs="Times New Roman"/>
          <w:caps/>
          <w:noProof/>
          <w:sz w:val="24"/>
          <w:szCs w:val="24"/>
        </w:rPr>
      </w:pPr>
      <w:r>
        <w:rPr>
          <w:caps/>
          <w:noProof/>
          <w:sz w:val="24"/>
        </w:rPr>
        <w:t>2. EU-POLITIK OG REGULERING AF HORMONFORSTYRRENDE STOFFER INDTIL NU</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 tråd med EF-strategien fra 1999 har EU udviklet en politisk reaktion på hormonforstyrrende stoffer, der fokuserer på at </w:t>
      </w:r>
      <w:r>
        <w:rPr>
          <w:rFonts w:ascii="Times New Roman" w:hAnsi="Times New Roman"/>
          <w:b/>
          <w:noProof/>
          <w:sz w:val="24"/>
        </w:rPr>
        <w:t>fremme videnskabelig forskning</w:t>
      </w:r>
      <w:r>
        <w:rPr>
          <w:rFonts w:ascii="Times New Roman" w:hAnsi="Times New Roman"/>
          <w:noProof/>
          <w:sz w:val="24"/>
        </w:rPr>
        <w:t xml:space="preserve">, effektivt at </w:t>
      </w:r>
      <w:r>
        <w:rPr>
          <w:rFonts w:ascii="Times New Roman" w:hAnsi="Times New Roman"/>
          <w:b/>
          <w:noProof/>
          <w:sz w:val="24"/>
        </w:rPr>
        <w:t>regulere hormonforstyrrende stoffer</w:t>
      </w:r>
      <w:r>
        <w:rPr>
          <w:rFonts w:ascii="Times New Roman" w:hAnsi="Times New Roman"/>
          <w:noProof/>
          <w:sz w:val="24"/>
        </w:rPr>
        <w:t xml:space="preserve"> og at udvikle </w:t>
      </w:r>
      <w:r>
        <w:rPr>
          <w:rFonts w:ascii="Times New Roman" w:hAnsi="Times New Roman"/>
          <w:b/>
          <w:noProof/>
          <w:sz w:val="24"/>
        </w:rPr>
        <w:t>det internationale samarbejde</w:t>
      </w:r>
      <w:r>
        <w:rPr>
          <w:rFonts w:ascii="Times New Roman" w:hAnsi="Times New Roman"/>
          <w:noProof/>
          <w:sz w:val="24"/>
        </w:rPr>
        <w:t xml:space="preserve"> på området.</w:t>
      </w:r>
    </w:p>
    <w:p>
      <w:pPr>
        <w:pStyle w:val="Heading2"/>
        <w:spacing w:before="0" w:after="120" w:line="240" w:lineRule="auto"/>
        <w:rPr>
          <w:rFonts w:cs="Times New Roman"/>
          <w:noProof/>
          <w:szCs w:val="24"/>
        </w:rPr>
      </w:pPr>
      <w:r>
        <w:rPr>
          <w:noProof/>
        </w:rPr>
        <w:t>EU's forskning i og udvikling af forsøgsretningslinjer for hormonforstyrrende stoffer</w:t>
      </w:r>
    </w:p>
    <w:p>
      <w:pPr>
        <w:spacing w:after="120" w:line="240" w:lineRule="auto"/>
        <w:jc w:val="both"/>
        <w:rPr>
          <w:rFonts w:ascii="Times New Roman" w:hAnsi="Times New Roman" w:cs="Times New Roman"/>
          <w:noProof/>
          <w:sz w:val="24"/>
          <w:szCs w:val="24"/>
        </w:rPr>
      </w:pPr>
      <w:r>
        <w:rPr>
          <w:rFonts w:ascii="Times New Roman" w:hAnsi="Times New Roman"/>
          <w:noProof/>
          <w:sz w:val="24"/>
        </w:rPr>
        <w:t>Siden 1999 har Den Europæiske Unions rammeprogrammer for forskning og teknologisk udvikling været vigtige instrumenter til at støtte videnskabelige fremskridt inden for hormonforstyrrende stoffer. Der er ydet støtte til over 50 multinationale samarbejdsprojekter, der har modtaget over 150 mio. EUR fra EU. Disse projekter har til formål at forbedre forståelsen af den endokrine virkningsmekanisme, at identificere skadelige virkninger for menneskers sundhed og for vilde dyr som følge af eksponering for hormonforstyrrende stoffer og at udvikle redskaber til identificering af hormonforstyrrende stoffer og eksponeringsvurdering. Der er afsat yderligere 52 mio. EUR under Horisont 2020 til projekter vedrørende nye forsøgsmetoder for hormonforstyrrende stoffer, som skal tildeles inden årets udgang.</w:t>
      </w:r>
    </w:p>
    <w:p>
      <w:pPr>
        <w:spacing w:after="120" w:line="240" w:lineRule="auto"/>
        <w:jc w:val="both"/>
        <w:rPr>
          <w:rFonts w:ascii="Times New Roman" w:hAnsi="Times New Roman" w:cs="Times New Roman"/>
          <w:noProof/>
          <w:sz w:val="24"/>
          <w:szCs w:val="24"/>
        </w:rPr>
      </w:pPr>
      <w:r>
        <w:rPr>
          <w:rFonts w:ascii="Times New Roman" w:hAnsi="Times New Roman"/>
          <w:noProof/>
          <w:sz w:val="24"/>
        </w:rPr>
        <w:t>Ud over den forskning, der er finansieret under Horisont 2020, har man i de seneste år gjort en særlig indsats for yderligere at forbedre tilgængeligheden af forsøgsretningslinjer for identifikation af hormonforstyrrende stoffer og afhjælpe de svagheder i forbindelse med testning, der er konstateret på EU-plan og internationalt plan, inden for rammerne af Organisationen for Økonomisk Samarbejde og Udvikling. Mere autoritativ testning er en vigtig måde, hvorpå effektiviteten af kontrol kan forbedres. Europa-Kommissionen har finansieret adskillige aktiviteter med fokus på at identificere mangler i forsøgsretningslinjerne, at identificere måder, hvorpå disse mangler kan afhjælpes, at fastlægge prioriteter for videreudvikling af forsøgsretningslinjerne og at forbedre de eksisterende forsøgsretningslinjer eller udarbejde nye</w:t>
      </w:r>
      <w:r>
        <w:rPr>
          <w:rStyle w:val="FootnoteReference"/>
          <w:rFonts w:ascii="Times New Roman" w:hAnsi="Times New Roman"/>
          <w:noProof/>
          <w:sz w:val="24"/>
        </w:rPr>
        <w:footnoteReference w:id="19"/>
      </w:r>
      <w:r>
        <w:rPr>
          <w:rFonts w:ascii="Times New Roman" w:hAnsi="Times New Roman"/>
          <w:noProof/>
          <w:sz w:val="24"/>
        </w:rPr>
        <w:t>.</w:t>
      </w:r>
    </w:p>
    <w:p>
      <w:pPr>
        <w:pStyle w:val="Heading2"/>
        <w:spacing w:before="0" w:after="120" w:line="240" w:lineRule="auto"/>
        <w:rPr>
          <w:rFonts w:cs="Times New Roman"/>
          <w:noProof/>
          <w:szCs w:val="24"/>
        </w:rPr>
      </w:pPr>
      <w:r>
        <w:rPr>
          <w:noProof/>
        </w:rPr>
        <w:t xml:space="preserve">Sådan er hormonforstyrrende stoffer omfattet af EU-lovgivningen </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Sideløbende med de videnskabelige fremskridt har EU i de seneste årtier løbende ajourført sin lovgivning om regulering af kemikalier med henblik på at sikre et højt beskyttelsesniveau for menneskers og dyrs sundhed og miljøet og samtidig sikre et velfungerende indre marked. EU-lovgivningen anerkendes i dag som en af de mest beskyttende i verden og gælder for alle kemiske stoffer, herunder dem med hormonforstyrrende egenskaber.</w:t>
      </w:r>
    </w:p>
    <w:p>
      <w:pPr>
        <w:spacing w:after="120" w:line="240" w:lineRule="auto"/>
        <w:jc w:val="both"/>
        <w:rPr>
          <w:rFonts w:ascii="Times New Roman" w:hAnsi="Times New Roman" w:cs="Times New Roman"/>
          <w:noProof/>
          <w:sz w:val="24"/>
          <w:szCs w:val="24"/>
        </w:rPr>
      </w:pPr>
      <w:r>
        <w:rPr>
          <w:rFonts w:ascii="Times New Roman" w:hAnsi="Times New Roman"/>
          <w:noProof/>
          <w:sz w:val="24"/>
        </w:rPr>
        <w:t>EU's tilgang er baseret på videnskabelig rådgivning på højt plan fra de relevante EU-organer med ansvar for risikovurdering, f.eks. Det Europæiske Kemikalieagentur, Den Europæiske Fødevaresikkerhedsautoritet eller Den Videnskabelige Komité for Forbrugersikkerhed, og de risikostyringsbeslutninger, der træffes af Kommissionen efter aftale med medlemsstaterne. Hvis en videnskabelig evaluering ikke giver tilstrækkelig sikkerhed, lader Kommissionen sig lede af det såkaldte forsigtighedsprincip ved indførelsen af beskyttelsesforanstaltninger for EU-borgerne og miljøet. Medlemsstaterne håndhæver lovgivningen, og Kommissionen letter udvekslingen af oplysninger mellem de nationale kompetente myndigheder for at forbedre håndhævelsen</w:t>
      </w:r>
      <w:r>
        <w:rPr>
          <w:rStyle w:val="FootnoteReference"/>
          <w:rFonts w:ascii="Times New Roman" w:hAnsi="Times New Roman"/>
          <w:noProof/>
          <w:sz w:val="24"/>
        </w:rPr>
        <w:footnoteReference w:id="20"/>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59776" behindDoc="1" locked="0" layoutInCell="1" allowOverlap="1">
                <wp:simplePos x="0" y="0"/>
                <wp:positionH relativeFrom="column">
                  <wp:posOffset>-147320</wp:posOffset>
                </wp:positionH>
                <wp:positionV relativeFrom="paragraph">
                  <wp:posOffset>1776730</wp:posOffset>
                </wp:positionV>
                <wp:extent cx="6029325" cy="781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29325" cy="781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6pt;margin-top:139.9pt;width:474.7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" fillcolor="white [3212]" strokecolor="black [3213]" strokeweight="1pt"/>
            </w:pict>
          </mc:Fallback>
        </mc:AlternateContent>
      </w:r>
      <w:r>
        <w:rPr>
          <w:rFonts w:ascii="Times New Roman" w:hAnsi="Times New Roman"/>
          <w:noProof/>
          <w:sz w:val="24"/>
        </w:rPr>
        <w:t>I de senere år har Kommissionen truffet foranstaltninger til bekæmpelse af hormonforstyrrende stoffer i overensstemmelse med de forskellige krav i den relevante lovgivning. Der er nu medtaget specifikke bestemmelser om håndtering af hormonforstyrrende stoffer i lovgivningen om pesticider</w:t>
      </w:r>
      <w:r>
        <w:rPr>
          <w:rStyle w:val="FootnoteReference"/>
          <w:rFonts w:ascii="Times New Roman" w:hAnsi="Times New Roman"/>
          <w:noProof/>
          <w:sz w:val="24"/>
        </w:rPr>
        <w:footnoteReference w:id="21"/>
      </w:r>
      <w:r>
        <w:rPr>
          <w:rFonts w:ascii="Times New Roman" w:hAnsi="Times New Roman"/>
          <w:noProof/>
          <w:sz w:val="24"/>
        </w:rPr>
        <w:t xml:space="preserve"> og biocider</w:t>
      </w:r>
      <w:r>
        <w:rPr>
          <w:rStyle w:val="FootnoteReference"/>
          <w:rFonts w:ascii="Times New Roman" w:hAnsi="Times New Roman"/>
          <w:noProof/>
          <w:sz w:val="24"/>
        </w:rPr>
        <w:footnoteReference w:id="22"/>
      </w:r>
      <w:r>
        <w:rPr>
          <w:rFonts w:ascii="Times New Roman" w:hAnsi="Times New Roman"/>
          <w:noProof/>
          <w:sz w:val="24"/>
        </w:rPr>
        <w:t>, kemikalier generelt ("REACH-forordningen")</w:t>
      </w:r>
      <w:r>
        <w:rPr>
          <w:rStyle w:val="FootnoteReference"/>
          <w:rFonts w:ascii="Times New Roman" w:hAnsi="Times New Roman"/>
          <w:noProof/>
          <w:sz w:val="24"/>
        </w:rPr>
        <w:footnoteReference w:id="23"/>
      </w:r>
      <w:r>
        <w:rPr>
          <w:rFonts w:ascii="Times New Roman" w:hAnsi="Times New Roman"/>
          <w:noProof/>
          <w:sz w:val="24"/>
        </w:rPr>
        <w:t>, medicinsk udstyr</w:t>
      </w:r>
      <w:r>
        <w:rPr>
          <w:rStyle w:val="FootnoteReference"/>
          <w:rFonts w:ascii="Times New Roman" w:hAnsi="Times New Roman"/>
          <w:noProof/>
          <w:sz w:val="24"/>
        </w:rPr>
        <w:footnoteReference w:id="24"/>
      </w:r>
      <w:r>
        <w:rPr>
          <w:rFonts w:ascii="Times New Roman" w:hAnsi="Times New Roman"/>
          <w:noProof/>
          <w:sz w:val="24"/>
        </w:rPr>
        <w:t xml:space="preserve"> og vand</w:t>
      </w:r>
      <w:r>
        <w:rPr>
          <w:rStyle w:val="FootnoteReference"/>
          <w:rFonts w:ascii="Times New Roman" w:hAnsi="Times New Roman"/>
          <w:noProof/>
          <w:sz w:val="24"/>
        </w:rPr>
        <w:footnoteReference w:id="25"/>
      </w:r>
      <w:r>
        <w:rPr>
          <w:rFonts w:ascii="Times New Roman" w:hAnsi="Times New Roman"/>
          <w:noProof/>
          <w:sz w:val="24"/>
        </w:rPr>
        <w:t>. Disse krav varierer afhængigt af den specifikke lovgivning. Anden lovgivning, f.eks. om materialer i kontakt med fødevarer</w:t>
      </w:r>
      <w:r>
        <w:rPr>
          <w:rStyle w:val="FootnoteReference"/>
          <w:rFonts w:ascii="Times New Roman" w:hAnsi="Times New Roman"/>
          <w:noProof/>
          <w:sz w:val="24"/>
        </w:rPr>
        <w:footnoteReference w:id="26"/>
      </w:r>
      <w:r>
        <w:rPr>
          <w:rFonts w:ascii="Times New Roman" w:hAnsi="Times New Roman"/>
          <w:noProof/>
          <w:sz w:val="24"/>
        </w:rPr>
        <w:t>, kosmetik</w:t>
      </w:r>
      <w:r>
        <w:rPr>
          <w:rStyle w:val="FootnoteReference"/>
          <w:rFonts w:ascii="Times New Roman" w:hAnsi="Times New Roman"/>
          <w:noProof/>
          <w:sz w:val="24"/>
        </w:rPr>
        <w:footnoteReference w:id="27"/>
      </w:r>
      <w:r>
        <w:rPr>
          <w:rFonts w:ascii="Times New Roman" w:hAnsi="Times New Roman"/>
          <w:noProof/>
          <w:sz w:val="24"/>
        </w:rPr>
        <w:t>, legetøj</w:t>
      </w:r>
      <w:r>
        <w:rPr>
          <w:rStyle w:val="FootnoteReference"/>
          <w:rFonts w:ascii="Times New Roman" w:hAnsi="Times New Roman"/>
          <w:noProof/>
          <w:sz w:val="24"/>
        </w:rPr>
        <w:footnoteReference w:id="28"/>
      </w:r>
      <w:r>
        <w:rPr>
          <w:rFonts w:ascii="Times New Roman" w:hAnsi="Times New Roman"/>
          <w:noProof/>
          <w:sz w:val="24"/>
        </w:rPr>
        <w:t xml:space="preserve"> og beskyttelse af arbejdstagere på arbejdspladsen</w:t>
      </w:r>
      <w:r>
        <w:rPr>
          <w:rStyle w:val="FootnoteReference"/>
          <w:rFonts w:ascii="Times New Roman" w:hAnsi="Times New Roman"/>
          <w:noProof/>
          <w:sz w:val="24"/>
        </w:rPr>
        <w:footnoteReference w:id="29"/>
      </w:r>
      <w:r>
        <w:rPr>
          <w:rFonts w:ascii="Times New Roman" w:hAnsi="Times New Roman"/>
          <w:noProof/>
          <w:sz w:val="24"/>
        </w:rPr>
        <w:t xml:space="preserve">, indeholder ikke specifikke bestemmelser om hormonforstyrrende stoffer. Stoffer med hormonforstyrrende egenskaber er dog underlagt konkrete reguleringsmæssige tiltag på grundlag af de generelle krav i lovgivningen.   </w:t>
      </w:r>
    </w:p>
    <w:p>
      <w:pPr>
        <w:spacing w:before="120" w:after="120" w:line="240" w:lineRule="auto"/>
        <w:jc w:val="center"/>
        <w:rPr>
          <w:rFonts w:ascii="Times New Roman" w:hAnsi="Times New Roman" w:cs="Times New Roman"/>
          <w:b/>
          <w:i/>
          <w:noProof/>
          <w:sz w:val="24"/>
          <w:szCs w:val="24"/>
        </w:rPr>
      </w:pPr>
      <w:r>
        <w:rPr>
          <w:rFonts w:ascii="Times New Roman" w:hAnsi="Times New Roman"/>
          <w:b/>
          <w:i/>
          <w:noProof/>
          <w:sz w:val="24"/>
        </w:rPr>
        <w:t>Regulering af hormonforstyrrende stoffer: et par eksempler</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Kommissionen har for nylig opstillet </w:t>
      </w:r>
      <w:r>
        <w:rPr>
          <w:rFonts w:ascii="Times New Roman" w:hAnsi="Times New Roman"/>
          <w:b/>
          <w:noProof/>
          <w:sz w:val="24"/>
        </w:rPr>
        <w:t>kriterier for identificering af hormonforstyrrende stoffer i henhold til lovgivningen om pesticider og biocider</w:t>
      </w:r>
      <w:r>
        <w:rPr>
          <w:rFonts w:ascii="Times New Roman" w:hAnsi="Times New Roman"/>
          <w:noProof/>
          <w:sz w:val="24"/>
        </w:rPr>
        <w:t>, der er baseret på Verdenssundhedsorganisationens definition</w:t>
      </w:r>
      <w:r>
        <w:rPr>
          <w:rStyle w:val="FootnoteReference"/>
          <w:rFonts w:ascii="Times New Roman" w:hAnsi="Times New Roman"/>
          <w:noProof/>
          <w:sz w:val="24"/>
        </w:rPr>
        <w:footnoteReference w:id="30"/>
      </w:r>
      <w:r>
        <w:rPr>
          <w:rFonts w:ascii="Times New Roman" w:hAnsi="Times New Roman"/>
          <w:noProof/>
          <w:sz w:val="24"/>
        </w:rPr>
        <w:t>. Denne udvikling udgør en milepæl, da kriterier for identificering af hormonforstyrrende stoffer aldrig før var blevet fastlagt i en lovgivningsmæssig kontekst. I princippet må ingen identificerede hormonforstyrrende stoffer anvendes i disse produktkategorier i fremtiden, undtagen når meget begrænsede undtagelsesmuligheder anvendes.</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55680" behindDoc="1" locked="0" layoutInCell="1" allowOverlap="1">
                <wp:simplePos x="0" y="0"/>
                <wp:positionH relativeFrom="column">
                  <wp:posOffset>-118745</wp:posOffset>
                </wp:positionH>
                <wp:positionV relativeFrom="paragraph">
                  <wp:posOffset>-937896</wp:posOffset>
                </wp:positionV>
                <wp:extent cx="6076950" cy="5229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076950" cy="52292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35pt;margin-top:-73.85pt;width:478.5pt;height:41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" fillcolor="white [3212]" strokecolor="black [3213]" strokeweight="1pt"/>
            </w:pict>
          </mc:Fallback>
        </mc:AlternateContent>
      </w:r>
      <w:r>
        <w:rPr>
          <w:rFonts w:ascii="Times New Roman" w:hAnsi="Times New Roman"/>
          <w:noProof/>
          <w:sz w:val="24"/>
        </w:rPr>
        <w:t xml:space="preserve">I henhold til </w:t>
      </w:r>
      <w:r>
        <w:rPr>
          <w:rFonts w:ascii="Times New Roman" w:hAnsi="Times New Roman"/>
          <w:b/>
          <w:noProof/>
          <w:sz w:val="24"/>
        </w:rPr>
        <w:t>REACH</w:t>
      </w:r>
      <w:r>
        <w:rPr>
          <w:rFonts w:ascii="Times New Roman" w:hAnsi="Times New Roman"/>
          <w:noProof/>
          <w:sz w:val="24"/>
        </w:rPr>
        <w:t xml:space="preserve"> </w:t>
      </w:r>
      <w:r>
        <w:rPr>
          <w:rFonts w:ascii="Times New Roman" w:hAnsi="Times New Roman"/>
          <w:noProof/>
          <w:color w:val="000000" w:themeColor="text1"/>
          <w:sz w:val="24"/>
        </w:rPr>
        <w:t>er to hormonforstyrrende stoffer blevet optaget på listen over stoffer, der kræver en særlig godkendelse med henblik på markedsføring</w:t>
      </w:r>
      <w:r>
        <w:rPr>
          <w:rStyle w:val="FootnoteReference"/>
          <w:rFonts w:ascii="Times New Roman" w:hAnsi="Times New Roman"/>
          <w:noProof/>
          <w:sz w:val="24"/>
        </w:rPr>
        <w:footnoteReference w:id="31"/>
      </w:r>
      <w:r>
        <w:rPr>
          <w:rFonts w:ascii="Times New Roman" w:hAnsi="Times New Roman"/>
          <w:noProof/>
          <w:color w:val="000000" w:themeColor="text1"/>
          <w:sz w:val="24"/>
        </w:rPr>
        <w:t>. Yderligere 13 stoffer er blevet identificeret som hormonforstyrrende stoffer og er optaget på kandidatlisten over stoffer med henblik på eventuel optagelse på godkendelseslisten i fremtiden</w:t>
      </w:r>
      <w:r>
        <w:rPr>
          <w:rStyle w:val="FootnoteReference"/>
          <w:rFonts w:ascii="Times New Roman" w:hAnsi="Times New Roman"/>
          <w:noProof/>
          <w:color w:val="000000" w:themeColor="text1"/>
          <w:sz w:val="24"/>
        </w:rPr>
        <w:footnoteReference w:id="32"/>
      </w:r>
      <w:r>
        <w:rPr>
          <w:rFonts w:ascii="Times New Roman" w:hAnsi="Times New Roman"/>
          <w:noProof/>
          <w:color w:val="000000" w:themeColor="text1"/>
          <w:sz w:val="24"/>
        </w:rPr>
        <w:t xml:space="preserve">. Stoffer med </w:t>
      </w:r>
      <w:r>
        <w:rPr>
          <w:rFonts w:ascii="Times New Roman" w:hAnsi="Times New Roman"/>
          <w:noProof/>
          <w:sz w:val="24"/>
        </w:rPr>
        <w:t>hormonforstyrrende egenskaber er også omfattet af begrænsninger</w:t>
      </w:r>
      <w:r>
        <w:rPr>
          <w:rStyle w:val="FootnoteReference"/>
          <w:rFonts w:ascii="Times New Roman" w:hAnsi="Times New Roman"/>
          <w:noProof/>
          <w:color w:val="000000" w:themeColor="text1"/>
          <w:sz w:val="24"/>
        </w:rPr>
        <w:footnoteReference w:id="33"/>
      </w:r>
      <w:r>
        <w:rPr>
          <w:rFonts w:ascii="Times New Roman" w:hAnsi="Times New Roman"/>
          <w:noProof/>
          <w:color w:val="000000" w:themeColor="text1"/>
          <w:sz w:val="24"/>
        </w:rPr>
        <w:t xml:space="preserve">. For eksempel </w:t>
      </w:r>
      <w:r>
        <w:rPr>
          <w:rFonts w:ascii="Times New Roman" w:hAnsi="Times New Roman"/>
          <w:noProof/>
          <w:sz w:val="24"/>
        </w:rPr>
        <w:t>har Kommissionen for nylig fået medlemsstaternes støtte</w:t>
      </w:r>
      <w:r>
        <w:rPr>
          <w:rStyle w:val="FootnoteReference"/>
          <w:rFonts w:ascii="Times New Roman" w:hAnsi="Times New Roman"/>
          <w:noProof/>
          <w:sz w:val="24"/>
        </w:rPr>
        <w:footnoteReference w:id="34"/>
      </w:r>
      <w:r>
        <w:rPr>
          <w:rFonts w:ascii="Times New Roman" w:hAnsi="Times New Roman"/>
          <w:noProof/>
          <w:sz w:val="24"/>
        </w:rPr>
        <w:t xml:space="preserve"> til et forslag om at </w:t>
      </w:r>
      <w:r>
        <w:rPr>
          <w:rFonts w:ascii="Times New Roman" w:hAnsi="Times New Roman"/>
          <w:b/>
          <w:noProof/>
          <w:sz w:val="24"/>
        </w:rPr>
        <w:t>forbyde tilstedeværelsen af fire phthalater</w:t>
      </w:r>
      <w:r>
        <w:rPr>
          <w:rFonts w:ascii="Times New Roman" w:hAnsi="Times New Roman"/>
          <w:noProof/>
          <w:sz w:val="24"/>
        </w:rPr>
        <w:t xml:space="preserve"> — </w:t>
      </w:r>
      <w:r>
        <w:rPr>
          <w:rFonts w:ascii="Times New Roman" w:hAnsi="Times New Roman"/>
          <w:noProof/>
          <w:color w:val="000000" w:themeColor="text1"/>
          <w:sz w:val="24"/>
        </w:rPr>
        <w:t>kemikalier, der generelt anvendes til blødgøring af plast</w:t>
      </w:r>
      <w:r>
        <w:rPr>
          <w:rStyle w:val="FootnoteReference"/>
          <w:rFonts w:ascii="Times New Roman" w:hAnsi="Times New Roman"/>
          <w:noProof/>
          <w:color w:val="000000" w:themeColor="text1"/>
          <w:sz w:val="24"/>
        </w:rPr>
        <w:footnoteReference w:id="35"/>
      </w:r>
      <w:r>
        <w:rPr>
          <w:rFonts w:ascii="Times New Roman" w:hAnsi="Times New Roman"/>
          <w:noProof/>
          <w:sz w:val="24"/>
        </w:rPr>
        <w:t xml:space="preserve"> — </w:t>
      </w:r>
      <w:r>
        <w:rPr>
          <w:rFonts w:ascii="Times New Roman" w:hAnsi="Times New Roman"/>
          <w:noProof/>
          <w:color w:val="000000" w:themeColor="text1"/>
          <w:sz w:val="24"/>
        </w:rPr>
        <w:t xml:space="preserve">i en række forskellige hverdagsprodukter i koncentrationer på 0,1 % eller derover. Desuden </w:t>
      </w:r>
      <w:r>
        <w:rPr>
          <w:rFonts w:ascii="Times New Roman" w:hAnsi="Times New Roman"/>
          <w:noProof/>
          <w:sz w:val="24"/>
        </w:rPr>
        <w:t>er man i øjeblikket ved at vurdere mere end 80 kemiske stoffer på grund af bekymring over deres potentielle hormonforstyrrende egenskaber.</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 henhold til lovgivningen om </w:t>
      </w:r>
      <w:r>
        <w:rPr>
          <w:rFonts w:ascii="Times New Roman" w:hAnsi="Times New Roman"/>
          <w:b/>
          <w:noProof/>
          <w:sz w:val="24"/>
        </w:rPr>
        <w:t>vand</w:t>
      </w:r>
      <w:r>
        <w:rPr>
          <w:rFonts w:ascii="Times New Roman" w:hAnsi="Times New Roman"/>
          <w:noProof/>
          <w:sz w:val="24"/>
        </w:rPr>
        <w:t xml:space="preserve"> har Kommissionen </w:t>
      </w:r>
      <w:r>
        <w:rPr>
          <w:rFonts w:ascii="Times New Roman" w:hAnsi="Times New Roman"/>
          <w:b/>
          <w:noProof/>
          <w:sz w:val="24"/>
        </w:rPr>
        <w:t>optaget adskillige hormonforstyrrende stoffer</w:t>
      </w:r>
      <w:r>
        <w:rPr>
          <w:rStyle w:val="FootnoteReference"/>
          <w:rFonts w:ascii="Times New Roman" w:hAnsi="Times New Roman"/>
          <w:b/>
          <w:noProof/>
          <w:sz w:val="24"/>
        </w:rPr>
        <w:footnoteReference w:id="36"/>
      </w:r>
      <w:r>
        <w:rPr>
          <w:rFonts w:ascii="Times New Roman" w:hAnsi="Times New Roman"/>
          <w:b/>
          <w:noProof/>
          <w:sz w:val="24"/>
        </w:rPr>
        <w:t xml:space="preserve"> på listen over særligt problematiske "prioriterede stoffer"</w:t>
      </w:r>
      <w:r>
        <w:rPr>
          <w:rStyle w:val="FootnoteReference"/>
          <w:rFonts w:ascii="Times New Roman" w:hAnsi="Times New Roman"/>
          <w:noProof/>
          <w:sz w:val="24"/>
        </w:rPr>
        <w:footnoteReference w:id="37"/>
      </w:r>
      <w:r>
        <w:rPr>
          <w:rFonts w:ascii="Times New Roman" w:hAnsi="Times New Roman"/>
          <w:noProof/>
          <w:sz w:val="24"/>
        </w:rPr>
        <w:t>, der er underlagt miljøkvalitetskrav og emissionskontrol. Endvidere har Kommissionen medtaget tre hormonforstyrrende stoffer på "observationslisten" over stoffer, for hvilke der bør indsamles EU-dækkende overvågningsdata</w:t>
      </w:r>
      <w:r>
        <w:rPr>
          <w:rStyle w:val="FootnoteReference"/>
          <w:rFonts w:ascii="Times New Roman" w:hAnsi="Times New Roman"/>
          <w:noProof/>
          <w:sz w:val="24"/>
        </w:rPr>
        <w:footnoteReference w:id="38"/>
      </w:r>
      <w:r>
        <w:rPr>
          <w:rFonts w:ascii="Times New Roman" w:hAnsi="Times New Roman"/>
          <w:noProof/>
          <w:sz w:val="24"/>
        </w:rPr>
        <w:t>.</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På grund af bekymring over hormonforstyrrende virkninger </w:t>
      </w:r>
      <w:r>
        <w:rPr>
          <w:rFonts w:ascii="Times New Roman" w:hAnsi="Times New Roman"/>
          <w:b/>
          <w:noProof/>
          <w:sz w:val="24"/>
        </w:rPr>
        <w:t>er det forbudt at anvende bisphenol A i sutteflasker og andre beholdere til fødevarer til spædbørn og småbørn</w:t>
      </w:r>
      <w:r>
        <w:rPr>
          <w:rFonts w:ascii="Times New Roman" w:hAnsi="Times New Roman"/>
          <w:noProof/>
          <w:sz w:val="24"/>
        </w:rPr>
        <w:t>, og der er fastsat meget lave migrationsgrænser for andre materialer i kontakt med fødevarer</w:t>
      </w:r>
      <w:r>
        <w:rPr>
          <w:rStyle w:val="FootnoteReference"/>
          <w:rFonts w:ascii="Times New Roman" w:hAnsi="Times New Roman"/>
          <w:noProof/>
          <w:sz w:val="24"/>
        </w:rPr>
        <w:footnoteReference w:id="39"/>
      </w:r>
      <w:r>
        <w:rPr>
          <w:rFonts w:ascii="Times New Roman" w:hAnsi="Times New Roman"/>
          <w:noProof/>
          <w:sz w:val="24"/>
        </w:rPr>
        <w:t xml:space="preserve">. Bisphenol A er også </w:t>
      </w:r>
      <w:r>
        <w:rPr>
          <w:rFonts w:ascii="Times New Roman" w:hAnsi="Times New Roman"/>
          <w:b/>
          <w:noProof/>
          <w:sz w:val="24"/>
        </w:rPr>
        <w:t>omfattet af grænseværdier i legetøj</w:t>
      </w:r>
      <w:r>
        <w:rPr>
          <w:rFonts w:ascii="Times New Roman" w:hAnsi="Times New Roman"/>
          <w:noProof/>
          <w:sz w:val="24"/>
        </w:rPr>
        <w:t xml:space="preserve"> til småbørn under 36 måneder, i legetøj, der er beregnet til at blive puttet i munden</w:t>
      </w:r>
      <w:r>
        <w:rPr>
          <w:rStyle w:val="FootnoteReference"/>
          <w:rFonts w:ascii="Times New Roman" w:hAnsi="Times New Roman"/>
          <w:noProof/>
          <w:sz w:val="24"/>
        </w:rPr>
        <w:footnoteReference w:id="40"/>
      </w:r>
      <w:r>
        <w:rPr>
          <w:rFonts w:ascii="Times New Roman" w:hAnsi="Times New Roman"/>
          <w:noProof/>
          <w:sz w:val="24"/>
        </w:rPr>
        <w:t xml:space="preserve">, og i </w:t>
      </w:r>
      <w:r>
        <w:rPr>
          <w:rFonts w:ascii="Times New Roman" w:hAnsi="Times New Roman"/>
          <w:b/>
          <w:noProof/>
          <w:sz w:val="24"/>
        </w:rPr>
        <w:t>papir</w:t>
      </w:r>
      <w:r>
        <w:rPr>
          <w:rFonts w:ascii="Times New Roman" w:hAnsi="Times New Roman"/>
          <w:noProof/>
          <w:sz w:val="24"/>
        </w:rPr>
        <w:t>, der anvendes i kasseboner</w:t>
      </w:r>
      <w:r>
        <w:rPr>
          <w:rStyle w:val="FootnoteReference"/>
          <w:rFonts w:ascii="Times New Roman" w:hAnsi="Times New Roman"/>
          <w:noProof/>
          <w:sz w:val="24"/>
        </w:rPr>
        <w:footnoteReference w:id="41"/>
      </w:r>
      <w:r>
        <w:rPr>
          <w:rFonts w:ascii="Times New Roman" w:hAnsi="Times New Roman"/>
          <w:noProof/>
          <w:sz w:val="24"/>
        </w:rPr>
        <w:t>.</w:t>
      </w:r>
      <w:r>
        <w:rPr>
          <w:rFonts w:ascii="Times New Roman" w:hAnsi="Times New Roman"/>
          <w:noProof/>
          <w:color w:val="000000"/>
          <w:sz w:val="24"/>
        </w:rPr>
        <w:t xml:space="preserve"> </w:t>
      </w:r>
      <w:r>
        <w:rPr>
          <w:rFonts w:ascii="Times New Roman" w:hAnsi="Times New Roman"/>
          <w:noProof/>
          <w:sz w:val="24"/>
        </w:rPr>
        <w:t xml:space="preserve">Der er også fastsat meget lave grænseværdier for bisphenol A for at </w:t>
      </w:r>
      <w:r>
        <w:rPr>
          <w:rFonts w:ascii="Times New Roman" w:hAnsi="Times New Roman"/>
          <w:b/>
          <w:noProof/>
          <w:sz w:val="24"/>
        </w:rPr>
        <w:t>beskytte arbejdstagere mod eksponering</w:t>
      </w:r>
      <w:r>
        <w:rPr>
          <w:rFonts w:ascii="Times New Roman" w:hAnsi="Times New Roman"/>
          <w:noProof/>
          <w:sz w:val="24"/>
        </w:rPr>
        <w:t xml:space="preserve"> gennem inhalerbart støv</w:t>
      </w:r>
      <w:r>
        <w:rPr>
          <w:rStyle w:val="FootnoteReference"/>
          <w:rFonts w:ascii="Times New Roman" w:hAnsi="Times New Roman"/>
          <w:noProof/>
          <w:sz w:val="24"/>
        </w:rPr>
        <w:footnoteReference w:id="42"/>
      </w:r>
      <w:r>
        <w:rPr>
          <w:rFonts w:ascii="Times New Roman" w:hAnsi="Times New Roman"/>
          <w:noProof/>
          <w:sz w:val="24"/>
        </w:rPr>
        <w:t xml:space="preserve">. </w:t>
      </w:r>
    </w:p>
    <w:p>
      <w:pPr>
        <w:pStyle w:val="ListParagraph"/>
        <w:numPr>
          <w:ilvl w:val="0"/>
          <w:numId w:val="49"/>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1824" behindDoc="1" locked="0" layoutInCell="1" allowOverlap="1">
                <wp:simplePos x="0" y="0"/>
                <wp:positionH relativeFrom="column">
                  <wp:posOffset>-194945</wp:posOffset>
                </wp:positionH>
                <wp:positionV relativeFrom="paragraph">
                  <wp:posOffset>-71120</wp:posOffset>
                </wp:positionV>
                <wp:extent cx="6076950" cy="971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076950" cy="9715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5.35pt;margin-top:-5.6pt;width:478.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" fillcolor="white [3212]" strokecolor="black [3213]" strokeweight="1pt"/>
            </w:pict>
          </mc:Fallback>
        </mc:AlternateContent>
      </w:r>
      <w:r>
        <w:rPr>
          <w:rFonts w:ascii="Times New Roman" w:hAnsi="Times New Roman"/>
          <w:noProof/>
          <w:sz w:val="24"/>
        </w:rPr>
        <w:t xml:space="preserve">I henhold til lovgivningen om </w:t>
      </w:r>
      <w:r>
        <w:rPr>
          <w:rFonts w:ascii="Times New Roman" w:hAnsi="Times New Roman"/>
          <w:b/>
          <w:noProof/>
          <w:sz w:val="24"/>
        </w:rPr>
        <w:t>kosmetik</w:t>
      </w:r>
      <w:r>
        <w:rPr>
          <w:rFonts w:ascii="Times New Roman" w:hAnsi="Times New Roman"/>
          <w:noProof/>
          <w:sz w:val="24"/>
        </w:rPr>
        <w:t xml:space="preserve"> er der fastsat specifikke begrænsninger eller forbud for en række konserveringsmidler med hormonforstyrrende egenskaber, navnlig for at beskytte spædbørn og småbørn</w:t>
      </w:r>
      <w:r>
        <w:rPr>
          <w:rStyle w:val="FootnoteReference"/>
          <w:rFonts w:ascii="Times New Roman" w:hAnsi="Times New Roman"/>
          <w:noProof/>
          <w:sz w:val="24"/>
        </w:rPr>
        <w:footnoteReference w:id="43"/>
      </w:r>
      <w:r>
        <w:rPr>
          <w:rFonts w:ascii="Times New Roman" w:hAnsi="Times New Roman"/>
          <w:noProof/>
          <w:sz w:val="24"/>
        </w:rPr>
        <w:t xml:space="preserve">. Desuden er et stof, der anvendes i solcreme som </w:t>
      </w:r>
      <w:r>
        <w:rPr>
          <w:rFonts w:ascii="Times New Roman" w:hAnsi="Times New Roman"/>
          <w:b/>
          <w:noProof/>
          <w:sz w:val="24"/>
        </w:rPr>
        <w:t>filter mod ultraviolet stråling</w:t>
      </w:r>
      <w:r>
        <w:rPr>
          <w:rFonts w:ascii="Times New Roman" w:hAnsi="Times New Roman"/>
          <w:noProof/>
          <w:sz w:val="24"/>
        </w:rPr>
        <w:t xml:space="preserve">, </w:t>
      </w:r>
      <w:r>
        <w:rPr>
          <w:rFonts w:ascii="Times New Roman" w:hAnsi="Times New Roman"/>
          <w:b/>
          <w:noProof/>
          <w:sz w:val="24"/>
        </w:rPr>
        <w:t>også blevet forbudt</w:t>
      </w:r>
      <w:r>
        <w:rPr>
          <w:rStyle w:val="FootnoteReference"/>
          <w:rFonts w:ascii="Times New Roman" w:hAnsi="Times New Roman"/>
          <w:noProof/>
          <w:sz w:val="24"/>
        </w:rPr>
        <w:footnoteReference w:id="44"/>
      </w:r>
      <w:r>
        <w:rPr>
          <w:rFonts w:ascii="Times New Roman" w:hAnsi="Times New Roman"/>
          <w:noProof/>
          <w:sz w:val="24"/>
        </w:rPr>
        <w:t xml:space="preserve">, idet der navnlig er taget hensyn til dets potentielle hormonforstyrrende egenskaber. </w:t>
      </w:r>
    </w:p>
    <w:p>
      <w:pPr>
        <w:spacing w:after="120" w:line="240" w:lineRule="auto"/>
        <w:jc w:val="both"/>
        <w:rPr>
          <w:rFonts w:ascii="Times New Roman" w:hAnsi="Times New Roman" w:cs="Times New Roman"/>
          <w:noProof/>
          <w:sz w:val="24"/>
          <w:szCs w:val="24"/>
        </w:rPr>
      </w:pPr>
      <w:r>
        <w:rPr>
          <w:rFonts w:ascii="Times New Roman" w:hAnsi="Times New Roman"/>
          <w:noProof/>
          <w:sz w:val="24"/>
        </w:rPr>
        <w:t>For at kunne udnytte det fulde potentiale af EU-lovgivningen i henseende til hormonforstyrrende stoffer arbejder Kommissionen i øjeblikket på tiltag på en række områder. Disse omfatter:</w:t>
      </w:r>
    </w:p>
    <w:p>
      <w:pPr>
        <w:pStyle w:val="ListParagraph"/>
        <w:numPr>
          <w:ilvl w:val="0"/>
          <w:numId w:val="47"/>
        </w:numPr>
        <w:spacing w:after="120" w:line="240" w:lineRule="auto"/>
        <w:ind w:left="714" w:hanging="357"/>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udvikling af en horisontal tilgang til identifikation af hormonforstyrrende stoffer i hele EU-lovgivningen på grundlag af de kriterier, der blev udviklet for pesticider og biocider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ajourføring af datakravene i de forskellige lovgivningsmæssige rammer for at forbedre identifikationen af hormonforstyrrende stoffer  </w:t>
      </w:r>
    </w:p>
    <w:p>
      <w:pPr>
        <w:pStyle w:val="ListParagraph"/>
        <w:numPr>
          <w:ilvl w:val="0"/>
          <w:numId w:val="47"/>
        </w:numPr>
        <w:spacing w:after="120" w:line="240" w:lineRule="auto"/>
        <w:jc w:val="both"/>
        <w:rPr>
          <w:rFonts w:ascii="Times New Roman" w:eastAsiaTheme="majorEastAsia" w:hAnsi="Times New Roman" w:cs="Times New Roman"/>
          <w:bCs/>
          <w:noProof/>
          <w:sz w:val="24"/>
          <w:szCs w:val="24"/>
        </w:rPr>
      </w:pPr>
      <w:r>
        <w:rPr>
          <w:rFonts w:ascii="Times New Roman" w:eastAsiaTheme="majorEastAsia" w:hAnsi="Times New Roman"/>
          <w:noProof/>
          <w:sz w:val="24"/>
        </w:rPr>
        <w:t>vurdering af, hvordan kommunikationen kan forbedres gennem forsyningskæden for hormonforstyrrende stoffer under REACH i forbindelse med arbejdet med sikkerhedsdatablade</w:t>
      </w:r>
      <w:r>
        <w:rPr>
          <w:rStyle w:val="FootnoteReference"/>
          <w:rFonts w:ascii="Times New Roman" w:eastAsiaTheme="majorEastAsia" w:hAnsi="Times New Roman"/>
          <w:noProof/>
          <w:sz w:val="24"/>
        </w:rPr>
        <w:footnoteReference w:id="45"/>
      </w:r>
      <w:r>
        <w:rPr>
          <w:rFonts w:ascii="Times New Roman" w:eastAsiaTheme="majorEastAsia" w:hAnsi="Times New Roman"/>
          <w:noProof/>
          <w:sz w:val="24"/>
        </w:rPr>
        <w:t xml:space="preserve">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videreudvikling af den videnskabelige vurdering af hormonforstyrrende stoffer med henblik på yderligere reguleringsmæssige tiltag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understøtning af dataudveksling og overvågningsaktiviteter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udarbejdelse af vejledninger og rapporter </w:t>
      </w:r>
    </w:p>
    <w:p>
      <w:pPr>
        <w:pStyle w:val="ListParagraph"/>
        <w:numPr>
          <w:ilvl w:val="0"/>
          <w:numId w:val="47"/>
        </w:numPr>
        <w:spacing w:after="120" w:line="240" w:lineRule="auto"/>
        <w:jc w:val="both"/>
        <w:rPr>
          <w:rFonts w:ascii="Times New Roman" w:eastAsiaTheme="majorEastAsia" w:hAnsi="Times New Roman" w:cs="Times New Roman"/>
          <w:b/>
          <w:bCs/>
          <w:noProof/>
          <w:sz w:val="24"/>
          <w:szCs w:val="24"/>
          <w:u w:val="single"/>
        </w:rPr>
      </w:pPr>
      <w:r>
        <w:rPr>
          <w:rFonts w:ascii="Times New Roman" w:hAnsi="Times New Roman"/>
          <w:noProof/>
          <w:sz w:val="24"/>
        </w:rPr>
        <w:t xml:space="preserve">og tilrettelæggelse af uddannelse for risikoanalytikere og anvarlige for risikostyring. </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Herudover vil en række igangværende initiativer fra Kommissionen, som i øjeblikket er til behandling i Europa-Parlamentet og Rådet, eller som er ved at blive gennemført, tilvejebringe yderligere redskaber til at håndtere hormonforstyrrende stoffer, når de er fuldt ud på plads. Disse omfatter: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forslaget til en forordning om </w:t>
      </w:r>
      <w:r>
        <w:rPr>
          <w:rFonts w:ascii="Times New Roman" w:hAnsi="Times New Roman"/>
          <w:b/>
          <w:noProof/>
          <w:sz w:val="24"/>
        </w:rPr>
        <w:t>åbenhed og bæredygtighed i risikovurdering</w:t>
      </w:r>
      <w:r>
        <w:rPr>
          <w:rFonts w:ascii="Times New Roman" w:hAnsi="Times New Roman"/>
          <w:noProof/>
          <w:sz w:val="24"/>
        </w:rPr>
        <w:t xml:space="preserve"> i henhold til EU's fødevarelovgivning</w:t>
      </w:r>
      <w:r>
        <w:rPr>
          <w:rStyle w:val="FootnoteReference"/>
          <w:rFonts w:ascii="Times New Roman" w:hAnsi="Times New Roman"/>
          <w:noProof/>
          <w:sz w:val="24"/>
        </w:rPr>
        <w:footnoteReference w:id="46"/>
      </w:r>
      <w:r>
        <w:rPr>
          <w:rFonts w:ascii="Times New Roman" w:hAnsi="Times New Roman"/>
          <w:noProof/>
          <w:sz w:val="24"/>
        </w:rPr>
        <w:t xml:space="preserve">, der sigter mod at øge tilliden til lovgivningsprocessen, herunder for så vidt angår vurderingen af stoffer, der mistænkes for at være hormonforstyrrende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Den </w:t>
      </w:r>
      <w:r>
        <w:rPr>
          <w:rFonts w:ascii="Times New Roman" w:hAnsi="Times New Roman"/>
          <w:b/>
          <w:noProof/>
          <w:sz w:val="24"/>
        </w:rPr>
        <w:t>Europæiske plaststrategi</w:t>
      </w:r>
      <w:r>
        <w:rPr>
          <w:rStyle w:val="FootnoteReference"/>
          <w:rFonts w:ascii="Times New Roman" w:hAnsi="Times New Roman"/>
          <w:noProof/>
          <w:sz w:val="24"/>
        </w:rPr>
        <w:footnoteReference w:id="47"/>
      </w:r>
      <w:r>
        <w:rPr>
          <w:rFonts w:ascii="Times New Roman" w:hAnsi="Times New Roman"/>
          <w:noProof/>
          <w:sz w:val="24"/>
        </w:rPr>
        <w:t>, som har til formål at fremskynde erstatningen af problematiske stoffer, herunder hormonforstyrrende stoffer, med henblik på fremme af genanvendelse</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forslaget om revision af </w:t>
      </w:r>
      <w:r>
        <w:rPr>
          <w:rFonts w:ascii="Times New Roman" w:hAnsi="Times New Roman" w:cs="Times New Roman"/>
          <w:b/>
          <w:noProof/>
          <w:sz w:val="24"/>
          <w:szCs w:val="24"/>
        </w:rPr>
        <w:t>drikkevandsdirektivet</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der tilføjer tre hormonforstyrrende stoffer</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til listen over parametre til bestemmelse af sikkerheden ved drikkevand</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Den nye aftale for forbrugerne</w:t>
      </w:r>
      <w:r>
        <w:rPr>
          <w:rStyle w:val="FootnoteReference"/>
          <w:rFonts w:ascii="Times New Roman" w:hAnsi="Times New Roman" w:cs="Times New Roman"/>
          <w:b/>
          <w:noProof/>
          <w:sz w:val="24"/>
          <w:szCs w:val="24"/>
        </w:rPr>
        <w:footnoteReference w:id="50"/>
      </w:r>
      <w:r>
        <w:rPr>
          <w:rFonts w:ascii="Times New Roman" w:hAnsi="Times New Roman" w:cs="Times New Roman"/>
          <w:noProof/>
          <w:sz w:val="24"/>
          <w:szCs w:val="24"/>
        </w:rPr>
        <w:t xml:space="preserve"> og </w:t>
      </w:r>
      <w:r>
        <w:rPr>
          <w:rFonts w:ascii="Times New Roman" w:hAnsi="Times New Roman" w:cs="Times New Roman"/>
          <w:b/>
          <w:noProof/>
          <w:sz w:val="24"/>
          <w:szCs w:val="24"/>
        </w:rPr>
        <w:t>Varepakken</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som vil forbedre håndhævelsen af kravene til produktsikkerhed og håndtere den ulovlige tilstedeværelse af hormonforstyrrende stoffer i en række forskellige produkter</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pStyle w:val="ListParagraph"/>
        <w:numPr>
          <w:ilvl w:val="0"/>
          <w:numId w:val="46"/>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og ajourføringen af de eksisterende retlige rammer for </w:t>
      </w:r>
      <w:r>
        <w:rPr>
          <w:rFonts w:ascii="Times New Roman" w:hAnsi="Times New Roman"/>
          <w:b/>
          <w:noProof/>
          <w:sz w:val="24"/>
        </w:rPr>
        <w:t>sundhed og sikkerhed på arbejdspladsen</w:t>
      </w:r>
      <w:r>
        <w:rPr>
          <w:rFonts w:ascii="Times New Roman" w:hAnsi="Times New Roman"/>
          <w:noProof/>
          <w:sz w:val="24"/>
        </w:rPr>
        <w:t xml:space="preserve"> på basis af grundig videnskabelig rådgivning med henblik på beskyttelse af arbejdstagere, der er eksponeret for farlige kemikalier, heraf nogle med hormonforstyrrende egenskaber.</w:t>
      </w:r>
    </w:p>
    <w:p>
      <w:pPr>
        <w:keepNext/>
        <w:autoSpaceDE w:val="0"/>
        <w:autoSpaceDN w:val="0"/>
        <w:adjustRightInd w:val="0"/>
        <w:spacing w:after="120" w:line="240" w:lineRule="auto"/>
        <w:jc w:val="both"/>
        <w:rPr>
          <w:rFonts w:ascii="Times New Roman" w:eastAsiaTheme="majorEastAsia" w:hAnsi="Times New Roman" w:cs="Times New Roman"/>
          <w:b/>
          <w:bCs/>
          <w:noProof/>
          <w:sz w:val="24"/>
          <w:szCs w:val="24"/>
          <w:u w:val="single"/>
        </w:rPr>
      </w:pPr>
      <w:r>
        <w:rPr>
          <w:rFonts w:ascii="Times New Roman" w:eastAsiaTheme="majorEastAsia" w:hAnsi="Times New Roman"/>
          <w:b/>
          <w:noProof/>
          <w:sz w:val="24"/>
          <w:u w:val="single"/>
        </w:rPr>
        <w:t>Internationalt samarbejde om hormonforstyrrende stoffer</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Kommissionen og medlemsstaterne deltager aktivt i arbejdet i Organisationen for Økonomisk Samarbejde og Udvikling og bidrager således til organisationens bestræbelser på at udarbejde internationalt anerkendte forsøgsretningslinjer for hormonforstyrrende stoffer og forbedre koordineringen på den internationale scene.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Kommissionen og medlemsstaterne støtter det arbejde, der udføres af Verdenssundhedsorganisationen</w:t>
      </w:r>
      <w:r>
        <w:rPr>
          <w:rStyle w:val="FootnoteReference"/>
          <w:rFonts w:ascii="Times New Roman" w:hAnsi="Times New Roman"/>
          <w:noProof/>
          <w:sz w:val="24"/>
        </w:rPr>
        <w:footnoteReference w:id="53"/>
      </w:r>
      <w:r>
        <w:rPr>
          <w:rFonts w:ascii="Times New Roman" w:hAnsi="Times New Roman"/>
          <w:noProof/>
          <w:sz w:val="24"/>
        </w:rPr>
        <w:t xml:space="preserve"> og gennem den strategiske tilgang til international kemikalieforvaltning og De Forenede Nationers Miljøprogram. Kommissionen og medlemsstaterne samarbejder og udveksler også oplysninger med internationale partnere inden for rammerne af Verdenshandelsorganisationen, hvad angår lovgivningsmæssige udviklinger på EU-plan, der kan påvirke samhandelen</w:t>
      </w:r>
      <w:r>
        <w:rPr>
          <w:rStyle w:val="FootnoteReference"/>
          <w:rFonts w:ascii="Times New Roman" w:hAnsi="Times New Roman"/>
          <w:noProof/>
          <w:sz w:val="24"/>
        </w:rPr>
        <w:footnoteReference w:id="54"/>
      </w:r>
      <w:r>
        <w:rPr>
          <w:rFonts w:ascii="Times New Roman" w:hAnsi="Times New Roman"/>
          <w:noProof/>
          <w:sz w:val="24"/>
        </w:rPr>
        <w:t>. Desuden har der på bilateralt plan fundet informationsudveksling sted med internationale partnere, navnlig De Forenede Stater, Canada, Japan og for nylig også Kina. På trods af de forskellige tilgange til håndteringen af hormonforstyrrende stoffer er der enighed blandt alle partnerne om vigtigheden af at behandle spørgsmålet som en prioritet</w:t>
      </w:r>
      <w:r>
        <w:rPr>
          <w:rStyle w:val="FootnoteReference"/>
          <w:rFonts w:ascii="Times New Roman" w:hAnsi="Times New Roman"/>
          <w:noProof/>
          <w:sz w:val="24"/>
        </w:rPr>
        <w:footnoteReference w:id="55"/>
      </w:r>
      <w:r>
        <w:rPr>
          <w:rFonts w:ascii="Times New Roman" w:hAnsi="Times New Roman"/>
          <w:noProof/>
          <w:sz w:val="24"/>
        </w:rPr>
        <w:t xml:space="preserve">. Bilaterale samarbejdsaftaler med handelspartnere har også omfattet drøftelser om spørgsmål vedrørende hormonforstyrrende stoffer. </w:t>
      </w:r>
    </w:p>
    <w:p>
      <w:pPr>
        <w:pStyle w:val="Heading1"/>
        <w:spacing w:before="360" w:after="120" w:line="240" w:lineRule="auto"/>
        <w:rPr>
          <w:rFonts w:cs="Times New Roman"/>
          <w:caps/>
          <w:noProof/>
          <w:sz w:val="24"/>
          <w:szCs w:val="24"/>
        </w:rPr>
      </w:pPr>
      <w:r>
        <w:rPr>
          <w:caps/>
          <w:noProof/>
          <w:sz w:val="24"/>
        </w:rPr>
        <w:t>3. Vejen frem for EU's politik for hormonforstyrrende stoffer</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Kommissionen har altid arbejdet for og vil fortsat arbejde for at sikre et højt beskyttelsesniveau for EU-borgerne og miljøet, når det gælder hormonforstyrrende stoffer, og på samtidig at bevare et indre marked, der skaber resultater for forbrugerne, og hvor alle EU's virksomheder kan trives.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Gennemførelsen af EF-strategien fra 1999 har givet EU en førerposition med hensyn til forståelsen og reguleringen af disse farlige kemikalier. For at gøre yderligere fremskridt og opretholde det forventede høje beskyttelsesniveau er det imidlertid vigtigt at sikre, at hormonforstyrrende stoffer fortsat håndteres på en sammenhængende måde og på forskellige områder inden for EU-rammen.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EU's strategiske tilgang til hormonforstyrrende stoffer i de kommende år bør være baseret på anvendelsen af forsigtighedsprincippet og have til formål:</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at minimere den samlede eksponering</w:t>
      </w:r>
      <w:r>
        <w:rPr>
          <w:rFonts w:ascii="Times New Roman" w:hAnsi="Times New Roman"/>
          <w:noProof/>
          <w:sz w:val="24"/>
        </w:rPr>
        <w:t xml:space="preserve"> af mennesker og miljøet for hormonforstyrrende stoffer med særlig fokus på eksponering på kritiske tidspunkter i en organismes udvikling såsom fostrets udvikling og puberteten</w:t>
      </w:r>
      <w:r>
        <w:rPr>
          <w:noProof/>
        </w:rPr>
        <w:t xml:space="preserve">  </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b/>
          <w:noProof/>
          <w:sz w:val="24"/>
        </w:rPr>
        <w:t>at fremskynde udviklingen af et solidt forskningsgrundlag</w:t>
      </w:r>
      <w:r>
        <w:rPr>
          <w:rFonts w:ascii="Times New Roman" w:hAnsi="Times New Roman"/>
          <w:noProof/>
          <w:sz w:val="24"/>
        </w:rPr>
        <w:t xml:space="preserve"> med henblik på en effektiv og fremadskuende beslutningstagning</w:t>
      </w:r>
    </w:p>
    <w:p>
      <w:pPr>
        <w:pStyle w:val="ListParagraph"/>
        <w:numPr>
          <w:ilvl w:val="0"/>
          <w:numId w:val="39"/>
        </w:numPr>
        <w:spacing w:before="120" w:after="120" w:line="240" w:lineRule="auto"/>
        <w:jc w:val="both"/>
        <w:rPr>
          <w:rFonts w:ascii="Times New Roman" w:hAnsi="Times New Roman" w:cs="Times New Roman"/>
          <w:noProof/>
          <w:sz w:val="24"/>
          <w:szCs w:val="24"/>
        </w:rPr>
      </w:pPr>
      <w:r>
        <w:rPr>
          <w:rFonts w:ascii="Times New Roman" w:hAnsi="Times New Roman"/>
          <w:noProof/>
          <w:sz w:val="24"/>
        </w:rPr>
        <w:t>og</w:t>
      </w:r>
      <w:r>
        <w:rPr>
          <w:rFonts w:ascii="Times New Roman" w:hAnsi="Times New Roman"/>
          <w:b/>
          <w:noProof/>
          <w:sz w:val="24"/>
        </w:rPr>
        <w:t xml:space="preserve"> at fremme en aktiv dialog</w:t>
      </w:r>
      <w:r>
        <w:rPr>
          <w:rFonts w:ascii="Times New Roman" w:hAnsi="Times New Roman"/>
          <w:noProof/>
          <w:sz w:val="24"/>
        </w:rPr>
        <w:t>, hvor alle interessenter bliver hørt og samarbejder.</w:t>
      </w:r>
    </w:p>
    <w:p>
      <w:pPr>
        <w:pStyle w:val="Heading2"/>
        <w:spacing w:before="0" w:after="120" w:line="240" w:lineRule="auto"/>
        <w:rPr>
          <w:rFonts w:cs="Times New Roman"/>
          <w:noProof/>
          <w:szCs w:val="24"/>
        </w:rPr>
      </w:pPr>
      <w:r>
        <w:rPr>
          <w:noProof/>
        </w:rPr>
        <w:t>En tilgang, der regulerer hormonforstyrrende stoffer på sammenhængende vis</w:t>
      </w:r>
    </w:p>
    <w:p>
      <w:pPr>
        <w:pStyle w:val="NormalWeb"/>
        <w:spacing w:before="0" w:beforeAutospacing="0" w:after="120" w:afterAutospacing="0"/>
        <w:jc w:val="both"/>
        <w:rPr>
          <w:noProof/>
        </w:rPr>
      </w:pPr>
      <w:r>
        <w:rPr>
          <w:noProof/>
        </w:rPr>
        <w:t>De lovgivningsmæssige foranstaltninger, der udgør EU's retlige rammer for regulering af kemikalier, er udviklet på forskellige tidspunkter og har i visse tilfælde forskellige mål. Dette har medført forskellige tilgange til hormonforstyrrende stoffer, afhængigt af hvilken sektor der reguleres, og har sat spørgsmålstegn ved, om EU's retlige rammer for regulering af hormonforstyrrende stoffer er tilstrækkeligt sammenhængende. Der er navnlig to punkter, som kræver særlig opmærksomhed:</w:t>
      </w:r>
    </w:p>
    <w:p>
      <w:pPr>
        <w:pStyle w:val="NormalWeb"/>
        <w:spacing w:before="120" w:beforeAutospacing="0" w:after="120" w:afterAutospacing="0"/>
        <w:jc w:val="both"/>
        <w:rPr>
          <w:noProof/>
        </w:rPr>
      </w:pPr>
      <w:r>
        <w:rPr>
          <w:b/>
          <w:noProof/>
        </w:rPr>
        <w:t>Horisontal tilgang til identifikation af hormonforstyrrende stoffer</w:t>
      </w:r>
      <w:r>
        <w:rPr>
          <w:noProof/>
        </w:rPr>
        <w:t>:</w:t>
      </w:r>
      <w:r>
        <w:rPr>
          <w:b/>
          <w:noProof/>
        </w:rPr>
        <w:t xml:space="preserve"> </w:t>
      </w:r>
      <w:r>
        <w:rPr>
          <w:noProof/>
        </w:rPr>
        <w:t xml:space="preserve">Kommissionen er af den opfattelse, at tilgangen til identifikation af hormonforstyrrende stoffer bør være sammenhængende i al relevant EU-lovgivning og ske på grundlag af Verdenssundhedsorganisationens almindeligt anerkendte definition. </w:t>
      </w:r>
    </w:p>
    <w:p>
      <w:pPr>
        <w:pStyle w:val="NormalWeb"/>
        <w:spacing w:before="120" w:beforeAutospacing="0" w:after="120" w:afterAutospacing="0"/>
        <w:jc w:val="both"/>
        <w:rPr>
          <w:noProof/>
        </w:rPr>
      </w:pPr>
      <w:r>
        <w:rPr>
          <w:noProof/>
        </w:rPr>
        <w:t>De nyligt fastsatte kriterier for pesticider og biocider er det første skridt i denne retning, men EU-lovgivningen på andre områder indeholder ikke sådanne kriterier.</w:t>
      </w:r>
    </w:p>
    <w:p>
      <w:pPr>
        <w:pStyle w:val="NormalWeb"/>
        <w:spacing w:before="120" w:beforeAutospacing="0" w:after="120" w:afterAutospacing="0"/>
        <w:jc w:val="both"/>
        <w:rPr>
          <w:noProof/>
        </w:rPr>
      </w:pPr>
    </w:p>
    <w:p>
      <w:pPr>
        <w:pStyle w:val="NormalWeb"/>
        <w:spacing w:before="120" w:beforeAutospacing="0" w:after="120" w:afterAutospacing="0"/>
        <w:jc w:val="both"/>
        <w:rPr>
          <w:noProof/>
        </w:rPr>
      </w:pPr>
      <w:r>
        <w:rPr>
          <w:noProof/>
        </w:rPr>
        <w:t xml:space="preserve">Det er blevet fremført, at der i lovgivningen bør fastlægges horisontale kriterier for identifikationen af hormonforstyrrende stoffer af hensyn til retssikkerheden og for at undgå den eventuelle risiko for, at et stof identificeres som hormonforstyrrende stof i en retsakt, men ikke i en anden. Dette spørgsmål bør overvejes nærmere. </w:t>
      </w:r>
    </w:p>
    <w:p>
      <w:pPr>
        <w:pStyle w:val="NormalWeb"/>
        <w:spacing w:before="120" w:beforeAutospacing="0" w:after="120" w:afterAutospacing="0"/>
        <w:jc w:val="both"/>
        <w:rPr>
          <w:noProof/>
        </w:rPr>
      </w:pPr>
      <w:r>
        <w:rPr>
          <w:b/>
          <w:noProof/>
        </w:rPr>
        <w:t xml:space="preserve">Reguleringsmæssige konsekvenser for hormonforstyrrende stoffer: </w:t>
      </w:r>
      <w:r>
        <w:rPr>
          <w:noProof/>
        </w:rPr>
        <w:t xml:space="preserve">Der findes forskellige reguleringsmæssige tiltag i forskellige retsakter for stoffer, der er identificeret som hormonforstyrrende. </w:t>
      </w:r>
    </w:p>
    <w:p>
      <w:pPr>
        <w:pStyle w:val="NormalWeb"/>
        <w:spacing w:before="120" w:beforeAutospacing="0" w:after="120" w:afterAutospacing="0"/>
        <w:jc w:val="both"/>
        <w:rPr>
          <w:noProof/>
        </w:rPr>
      </w:pPr>
      <w:r>
        <w:rPr>
          <w:noProof/>
        </w:rPr>
        <w:t>For så vidt angår pesticider og biocider vedtog medlovgiverne specifikke bestemmelser, der "understøttes af forsigtighedsprincippet"</w:t>
      </w:r>
      <w:r>
        <w:rPr>
          <w:rStyle w:val="FootnoteReference"/>
          <w:noProof/>
        </w:rPr>
        <w:footnoteReference w:id="56"/>
      </w:r>
      <w:r>
        <w:rPr>
          <w:noProof/>
        </w:rPr>
        <w:t xml:space="preserve"> og er baseret på en række overvejelser. De tog bl.a. hensyn til den specifikke karakter af de pågældende produkter og til, at hormonforstyrrende stoffer er særligt problematiske stoffer, og at der fortsat hersker videnskabelig usikkerhed med hensyn til vurderingen af dem (f.eks. med hensyn til forekomsten af en sikker grænseværdi for eksponering) og besluttede, at når det er bevist, at et stof er et hormonforstyrrende stof, kan stoffet i princippet ikke godkendes til anvendelse. Undtagelsesmulighederne er meget begrænsede. </w:t>
      </w:r>
    </w:p>
    <w:p>
      <w:pPr>
        <w:pStyle w:val="NormalWeb"/>
        <w:spacing w:before="120" w:beforeAutospacing="0" w:after="120" w:afterAutospacing="0"/>
        <w:jc w:val="both"/>
        <w:rPr>
          <w:noProof/>
        </w:rPr>
      </w:pPr>
      <w:r>
        <w:rPr>
          <w:noProof/>
        </w:rPr>
        <w:t xml:space="preserve">I REACH-forordningen nævnes hormonforstyrrende stoffer specifikt som stoffer, der kan identificeres som særligt problematiske, og som, hvis de prioriteres, er underlagt godkendelseskrav. Hormonforstyrrende stoffer kan også være omfattet af begrænsninger.  </w:t>
      </w:r>
    </w:p>
    <w:p>
      <w:pPr>
        <w:pStyle w:val="NormalWeb"/>
        <w:spacing w:before="120" w:beforeAutospacing="0" w:after="120" w:afterAutospacing="0"/>
        <w:jc w:val="both"/>
        <w:rPr>
          <w:noProof/>
        </w:rPr>
      </w:pPr>
      <w:r>
        <w:rPr>
          <w:noProof/>
        </w:rPr>
        <w:t>I andre retsakter som f.eks. forordningen om kosmetik betragtes hormonforstyrrende stoffer, selv om de ikke nævnes specifikt, på samme måde som andre stoffer, der kan have en negativ indvirkning på menneskers sundhed.</w:t>
      </w:r>
    </w:p>
    <w:p>
      <w:pPr>
        <w:pStyle w:val="NormalWeb"/>
        <w:spacing w:before="120" w:beforeAutospacing="0" w:after="120" w:afterAutospacing="0"/>
        <w:jc w:val="both"/>
        <w:rPr>
          <w:b/>
          <w:noProof/>
        </w:rPr>
      </w:pPr>
      <w:r>
        <w:rPr>
          <w:noProof/>
        </w:rPr>
        <w:t>Nogle interessenter har anført, at EU-lovgivningen på visse områder ikke indeholder tilstrækkelige reguleringsmæssige tiltag til at håndtere hormonforstyrrende stoffer effektivt. Dette spørgsmål bør undersøges nærmere.</w:t>
      </w:r>
    </w:p>
    <w:p>
      <w:pPr>
        <w:pStyle w:val="NormalWeb"/>
        <w:spacing w:before="0" w:beforeAutospacing="0" w:after="120" w:afterAutospacing="0"/>
        <w:jc w:val="both"/>
        <w:rPr>
          <w:noProof/>
        </w:rPr>
      </w:pPr>
      <w:r>
        <w:rPr>
          <w:noProof/>
        </w:rPr>
        <w:t>I overensstemmelse med Kommissionens dagsorden for bedre regulering og tilsagnet om at sikre, at EU-lovgivningen fortsat er formålstjenlig, er der foretaget eller påbegyndt forskellige evalueringer, der i forskellig grad er relevante for hormonforstyrrende stoffer</w:t>
      </w:r>
      <w:r>
        <w:rPr>
          <w:rStyle w:val="FootnoteReference"/>
          <w:noProof/>
        </w:rPr>
        <w:footnoteReference w:id="57"/>
      </w:r>
      <w:r>
        <w:rPr>
          <w:noProof/>
        </w:rPr>
        <w:t xml:space="preserve">. Der har dog hidtil ikke været nogen enkelt evaluering, som har dækket alle de forskellige vertikale og horisontale aspekter af hormonforstyrrende stoffer. </w:t>
      </w:r>
    </w:p>
    <w:p>
      <w:pPr>
        <w:pStyle w:val="NormalWeb"/>
        <w:keepLines/>
        <w:pBdr>
          <w:top w:val="single" w:sz="4" w:space="1" w:color="auto"/>
          <w:left w:val="single" w:sz="4" w:space="4" w:color="auto"/>
          <w:bottom w:val="single" w:sz="4" w:space="1" w:color="auto"/>
          <w:right w:val="single" w:sz="4" w:space="4" w:color="auto"/>
        </w:pBdr>
        <w:spacing w:before="120" w:beforeAutospacing="0" w:after="120" w:afterAutospacing="0"/>
        <w:jc w:val="both"/>
        <w:rPr>
          <w:b/>
          <w:noProof/>
        </w:rPr>
      </w:pPr>
      <w:r>
        <w:rPr>
          <w:noProof/>
        </w:rPr>
        <w:sym w:font="Wingdings" w:char="F0E8"/>
      </w:r>
      <w:r>
        <w:rPr>
          <w:noProof/>
        </w:rPr>
        <w:t xml:space="preserve"> Kommissionen vil </w:t>
      </w:r>
      <w:r>
        <w:rPr>
          <w:b/>
          <w:noProof/>
        </w:rPr>
        <w:t>iværksætte en kvalitetskontrol</w:t>
      </w:r>
      <w:r>
        <w:rPr>
          <w:noProof/>
        </w:rPr>
        <w:t xml:space="preserve"> for at vurdere, om den relevante EU-lovgivning om hormonforstyrrende stoffer opfylder det overordnede mål om at beskytte menneskers sundhed og miljøet ved at minimere eksponeringen for disse stoffer.</w:t>
      </w:r>
      <w:r>
        <w:rPr>
          <w:b/>
          <w:noProof/>
        </w:rPr>
        <w:t xml:space="preserve">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noProof/>
        </w:rPr>
      </w:pPr>
      <w:r>
        <w:rPr>
          <w:noProof/>
        </w:rPr>
        <w:t xml:space="preserve">Kvalitetskontrollen vil for første gang omfatte en </w:t>
      </w:r>
      <w:r>
        <w:rPr>
          <w:b/>
          <w:noProof/>
        </w:rPr>
        <w:t>tværgående undersøgelse af hormonforstyrrende stoffer</w:t>
      </w:r>
      <w:r>
        <w:rPr>
          <w:noProof/>
        </w:rPr>
        <w:t xml:space="preserve">, der er baseret på videnskabelig dokumentation og den betydelige mængde data, der allerede er indsamlet og analyseret i forbindelse med afsluttede og igangværende evalueringer. Den vil gøre det muligt at analysere samspillet mellem de forskellige bestemmelser/tilgange til hormonforstyrrende stoffer, at identificere eventuelle mangler, uoverensstemmelser eller synergier og at vurdere deres kollektive virkning med hensyn til omkostninger og fordele for menneskers sundhed og miljøet, EU-landbrugernes og </w:t>
      </w:r>
      <w:r>
        <w:rPr>
          <w:noProof/>
        </w:rPr>
        <w:noBreakHyphen/>
        <w:t xml:space="preserve">industriens konkurrenceevne og den internationale handel. Den vil være særlig opmærksom på de områder, hvor lovgivningen ikke indeholder specifikke bestemmelser om hormonforstyrrende stoffer, som f.eks. legetøj, kosmetik og materialer i kontakt med fødevarer. </w:t>
      </w:r>
    </w:p>
    <w:p>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rPr>
          <w:b/>
          <w:noProof/>
        </w:rPr>
      </w:pPr>
      <w:r>
        <w:rPr>
          <w:noProof/>
        </w:rPr>
        <w:t xml:space="preserve">Der vil blive lagt særlig </w:t>
      </w:r>
      <w:r>
        <w:rPr>
          <w:b/>
          <w:noProof/>
        </w:rPr>
        <w:t>vægt på sammenhæng og intensitet i indsatsen</w:t>
      </w:r>
      <w:r>
        <w:rPr>
          <w:noProof/>
        </w:rPr>
        <w:t xml:space="preserve"> for at beskytte sårbare befolkningsgrupper, der er særligt følsomme over for hormonforstyrrende stoffer, som f.eks. fostre og teenagere. Kvalitetskontrollen vil muliggøre en omfattende høring af EU-borgere og interessenter, herunder gennem en offentlig høring. Overordnet set vil det bidrage til at vurdere, om lovgivningen er egnet til formålet i overensstemmelse med kravene til bedre regulering, og indgå i overvejelserne om, hvorvidt lovgivningsmæssige ændringer er nødvendige.</w:t>
      </w:r>
    </w:p>
    <w:p>
      <w:pPr>
        <w:pStyle w:val="Heading2"/>
        <w:keepLines w:val="0"/>
        <w:spacing w:before="240" w:after="120" w:line="240" w:lineRule="auto"/>
        <w:rPr>
          <w:rFonts w:cs="Times New Roman"/>
          <w:b w:val="0"/>
          <w:noProof/>
          <w:szCs w:val="24"/>
        </w:rPr>
      </w:pPr>
      <w:r>
        <w:rPr>
          <w:noProof/>
        </w:rPr>
        <w:t>En tilgang baseret på den seneste videnskabelige dokumentation</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EU's beslutningstagning er evidensbaseret. Det er derfor væsentligt fortsat at støtte forskningen, hvis EU ønsker at opnå en dybere forståelse af hormonforstyrrende stoffer, og for at skabe et solidt grundlag for en effektiv politikudformning. </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hAnsi="Times New Roman"/>
          <w:noProof/>
          <w:sz w:val="24"/>
        </w:rPr>
        <w:t xml:space="preserve"> I sit fremtidige rammeprogram for forskning og innovation, Horisont Europa</w:t>
      </w:r>
      <w:r>
        <w:rPr>
          <w:rStyle w:val="FootnoteReference"/>
          <w:rFonts w:ascii="Times New Roman" w:hAnsi="Times New Roman"/>
          <w:noProof/>
          <w:sz w:val="24"/>
        </w:rPr>
        <w:footnoteReference w:id="58"/>
      </w:r>
      <w:r>
        <w:rPr>
          <w:rFonts w:ascii="Times New Roman" w:hAnsi="Times New Roman"/>
          <w:noProof/>
          <w:sz w:val="24"/>
        </w:rPr>
        <w:t xml:space="preserve">, vil Kommissionen fortsat sikre den nødvendige </w:t>
      </w:r>
      <w:r>
        <w:rPr>
          <w:rFonts w:ascii="Times New Roman" w:hAnsi="Times New Roman"/>
          <w:b/>
          <w:noProof/>
          <w:sz w:val="24"/>
        </w:rPr>
        <w:t>støtte til forskning i beskyttelse af borgerne og miljøet mod at blive eksponeret for skadelige kemikalier, herunder hormonforstyrrende stoffer</w:t>
      </w:r>
      <w:r>
        <w:rPr>
          <w:rFonts w:ascii="Times New Roman" w:hAnsi="Times New Roman"/>
          <w:noProof/>
          <w:sz w:val="24"/>
        </w:rPr>
        <w:t>, idet der bygges videre på arbejdet under det nuværende rammeprogram, Horisont 2020.</w:t>
      </w:r>
    </w:p>
    <w:p>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Der bør lægges særlig vægt på områder, hvor der stadig er manglende viden om hormonforstyrrende stoffer, jf. afsnit 1, og hvor mere videnskabelig dokumentation bedst kan understøtte bedre politikker.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Adskillige foreslåede forskningstiltag i Horisont Europa er meget relevante for hormonforstyrrende stoffer. Disse omfatter: </w:t>
      </w:r>
    </w:p>
    <w:p>
      <w:pPr>
        <w:pStyle w:val="ListParagraph"/>
        <w:numPr>
          <w:ilvl w:val="0"/>
          <w:numId w:val="38"/>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forskning i videreudvikling af farevurdering, risikovurdering og håndtering af kemikalier, herunder i cocktaileffekter, samt i indsamling, udveksling og kombination af krævede data </w:t>
      </w:r>
    </w:p>
    <w:p>
      <w:pPr>
        <w:pStyle w:val="ListParagraph"/>
        <w:numPr>
          <w:ilvl w:val="0"/>
          <w:numId w:val="36"/>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forskning i eliminering af problematiske stoffer i produktions- og bortskaffelsesfasen; støtte til udvikling af sikre erstatninger samt sikre og omkostningseffektive produktionsteknologier</w:t>
      </w:r>
    </w:p>
    <w:p>
      <w:pPr>
        <w:pStyle w:val="ListParagraph"/>
        <w:numPr>
          <w:ilvl w:val="0"/>
          <w:numId w:val="36"/>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forskning i økoinnovation med henblik på forebyggelse og afbødning af miljøforurening med farlige stoffer og kemikalier, der begynder at blive problematiske; der ses også på samspillet mellem kemikalier, produkter og affald.</w:t>
      </w:r>
    </w:p>
    <w:p>
      <w:pPr>
        <w:pStyle w:val="Heading2"/>
        <w:spacing w:before="120" w:after="120" w:line="240" w:lineRule="auto"/>
        <w:rPr>
          <w:rFonts w:cs="Times New Roman"/>
          <w:noProof/>
          <w:szCs w:val="24"/>
        </w:rPr>
      </w:pPr>
      <w:r>
        <w:rPr>
          <w:noProof/>
        </w:rPr>
        <w:t xml:space="preserve">En inklusiv tilgang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For at Kommissionen kan gøre fremskridt med hensyn til den effektive håndtering af hormonforstyrrende stoffer vil dens tilgang være åben og gennemsigtig samt bringe alle interesserede parter sammen. Kommissionen er parat til at lytte omhyggeligt, indgå i en samarbejdsvillig dialog og kommunikere proaktivt.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Det er også relevant for det internationale samarbejde med partnere uden for EU, for at holde trit med forskningsresultater, for at sikre effektiv anvendelse af ressourcerne verden over, for at sikre reguleringsmæssig konsekvens, som mindsker handelshindringer, og for at sikre EU's fortsatte globale lederskab.</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sym w:font="Wingdings" w:char="F0E8"/>
      </w:r>
      <w:r>
        <w:rPr>
          <w:rFonts w:ascii="Times New Roman" w:hAnsi="Times New Roman"/>
          <w:noProof/>
          <w:sz w:val="24"/>
        </w:rPr>
        <w:t xml:space="preserve"> Kommissionen vil hvert år afholde et </w:t>
      </w:r>
      <w:r>
        <w:rPr>
          <w:rFonts w:ascii="Times New Roman" w:hAnsi="Times New Roman"/>
          <w:b/>
          <w:noProof/>
          <w:sz w:val="24"/>
        </w:rPr>
        <w:t>forum om hormonforstyrrende stoffer</w:t>
      </w:r>
      <w:r>
        <w:rPr>
          <w:rFonts w:ascii="Times New Roman" w:hAnsi="Times New Roman"/>
          <w:noProof/>
          <w:sz w:val="24"/>
        </w:rPr>
        <w:t xml:space="preserve">. Forummet vil gøre det muligt for forskere og offentlige og private interessenter med ekspertise i hormonforstyrrende stoffer at mødes og udveksle oplysninger og bedste praksis, identificere udfordringer og skabe synergier med henblik på at præge Kommissionens overvejelser.   </w:t>
      </w:r>
    </w:p>
    <w:p>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hAnsi="Times New Roman"/>
          <w:noProof/>
          <w:sz w:val="24"/>
        </w:rPr>
        <w:t xml:space="preserve"> Kommissionen vil </w:t>
      </w:r>
      <w:r>
        <w:rPr>
          <w:rFonts w:ascii="Times New Roman" w:hAnsi="Times New Roman"/>
          <w:b/>
          <w:noProof/>
          <w:sz w:val="24"/>
        </w:rPr>
        <w:t>optrappe</w:t>
      </w:r>
      <w:r>
        <w:rPr>
          <w:rFonts w:ascii="Times New Roman" w:hAnsi="Times New Roman"/>
          <w:noProof/>
          <w:sz w:val="24"/>
        </w:rPr>
        <w:t xml:space="preserve"> </w:t>
      </w:r>
      <w:r>
        <w:rPr>
          <w:rFonts w:ascii="Times New Roman" w:hAnsi="Times New Roman"/>
          <w:b/>
          <w:noProof/>
          <w:sz w:val="24"/>
        </w:rPr>
        <w:t>støtten til relevante</w:t>
      </w:r>
      <w:r>
        <w:rPr>
          <w:rFonts w:ascii="Times New Roman" w:hAnsi="Times New Roman"/>
          <w:noProof/>
          <w:sz w:val="24"/>
        </w:rPr>
        <w:t xml:space="preserve"> </w:t>
      </w:r>
      <w:r>
        <w:rPr>
          <w:rFonts w:ascii="Times New Roman" w:hAnsi="Times New Roman"/>
          <w:b/>
          <w:noProof/>
          <w:sz w:val="24"/>
        </w:rPr>
        <w:t>internationale organisationers arbejde</w:t>
      </w:r>
      <w:r>
        <w:rPr>
          <w:rFonts w:ascii="Times New Roman" w:hAnsi="Times New Roman"/>
          <w:noProof/>
          <w:sz w:val="24"/>
        </w:rPr>
        <w:t xml:space="preserve"> og opfordrer medlemsstaterne til at gøre det samme. Det er særlig vigtigt at yde den støtte, som Organisationen for Økonomisk Samarbejde og Udvikling har brug for i forbindelse med udviklingen af internationalt anerkendte forsøgsretningslinjer. </w:t>
      </w:r>
    </w:p>
    <w:p>
      <w:pPr>
        <w:pBdr>
          <w:top w:val="single" w:sz="4" w:space="1" w:color="auto"/>
          <w:left w:val="single" w:sz="4" w:space="4" w:color="auto"/>
          <w:bottom w:val="single" w:sz="4" w:space="1" w:color="auto"/>
          <w:right w:val="single" w:sz="4" w:space="4" w:color="auto"/>
          <w:bar w:val="single" w:sz="4" w:color="auto"/>
        </w:pBd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sym w:font="Wingdings" w:char="F0E8"/>
      </w:r>
      <w:r>
        <w:rPr>
          <w:rFonts w:ascii="Times New Roman" w:hAnsi="Times New Roman"/>
          <w:noProof/>
          <w:sz w:val="24"/>
        </w:rPr>
        <w:t xml:space="preserve"> Kommissionen vil også undersøge mulighederne for at medtage hormonforstyrrende stoffer i det eksisterende </w:t>
      </w:r>
      <w:r>
        <w:rPr>
          <w:rFonts w:ascii="Times New Roman" w:hAnsi="Times New Roman"/>
          <w:b/>
          <w:noProof/>
          <w:sz w:val="24"/>
        </w:rPr>
        <w:t>internationale system for klassificering af kemikalier</w:t>
      </w:r>
      <w:r>
        <w:rPr>
          <w:rFonts w:ascii="Times New Roman" w:hAnsi="Times New Roman"/>
          <w:noProof/>
          <w:sz w:val="24"/>
        </w:rPr>
        <w:t>. Dette ville medføre en global løsning på identificeringen af hormonforstyrrende stoffer (i stil med den, der allerede findes for andre fareklasser som f.eks. mutagener, kræftfremkaldende stoffer og reproduktionstoksiske stoffer).</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sz w:val="24"/>
          <w:szCs w:val="24"/>
        </w:rPr>
      </w:pPr>
      <w:r>
        <w:rPr>
          <w:rFonts w:ascii="Times New Roman" w:hAnsi="Times New Roman" w:cs="Times New Roman"/>
          <w:noProof/>
          <w:sz w:val="24"/>
          <w:szCs w:val="24"/>
        </w:rPr>
        <w:sym w:font="Wingdings" w:char="F0E8"/>
      </w:r>
      <w:r>
        <w:rPr>
          <w:rFonts w:ascii="Times New Roman" w:hAnsi="Times New Roman"/>
          <w:b/>
          <w:noProof/>
          <w:sz w:val="24"/>
        </w:rPr>
        <w:t xml:space="preserve"> </w:t>
      </w:r>
      <w:r>
        <w:rPr>
          <w:rFonts w:ascii="Times New Roman" w:hAnsi="Times New Roman"/>
          <w:noProof/>
          <w:sz w:val="24"/>
        </w:rPr>
        <w:t>For at give EU-borgerne klare og omfattende oplysninger, som de kan stole på, vil Kommissionen</w:t>
      </w:r>
      <w:r>
        <w:rPr>
          <w:rFonts w:ascii="Times New Roman" w:hAnsi="Times New Roman"/>
          <w:b/>
          <w:noProof/>
          <w:sz w:val="24"/>
        </w:rPr>
        <w:t xml:space="preserve"> </w:t>
      </w:r>
      <w:r>
        <w:rPr>
          <w:rFonts w:ascii="Times New Roman" w:hAnsi="Times New Roman"/>
          <w:noProof/>
          <w:sz w:val="24"/>
        </w:rPr>
        <w:t xml:space="preserve">lancere </w:t>
      </w:r>
      <w:r>
        <w:rPr>
          <w:rFonts w:ascii="Times New Roman" w:hAnsi="Times New Roman"/>
          <w:b/>
          <w:noProof/>
          <w:sz w:val="24"/>
        </w:rPr>
        <w:t>en one-stop-shop-internetportal om hormonforstyrrende stoffer</w:t>
      </w:r>
      <w:r>
        <w:rPr>
          <w:rFonts w:ascii="Times New Roman" w:hAnsi="Times New Roman"/>
          <w:noProof/>
          <w:sz w:val="24"/>
        </w:rPr>
        <w:t xml:space="preserve">. Portalen vil konsolidere og strømline alle de oplysninger om hormonforstyrrende stoffer, der i øjeblikket findes på forskellige websteder, som forvaltes af Kommissionen og EU-agenturerne. Den vil derfor udgøre en fælles indgangsportal til oplysninger om hormonforstyrrende stoffer og vil gøre det lettere og mere gennemskueligt for borgere og interessenter at blive opdateret om emnet. I overensstemmelse med nærhedsprincippet </w:t>
      </w:r>
      <w:r>
        <w:rPr>
          <w:rFonts w:ascii="Times New Roman" w:hAnsi="Times New Roman"/>
          <w:b/>
          <w:noProof/>
          <w:sz w:val="24"/>
        </w:rPr>
        <w:t>vil Kommissionen opfordre de medlemsstater, der finder det nødvendigt, til at udvikle specifikke informations- og oplysningskampagner</w:t>
      </w:r>
      <w:r>
        <w:rPr>
          <w:rFonts w:ascii="Times New Roman" w:hAnsi="Times New Roman"/>
          <w:noProof/>
          <w:sz w:val="24"/>
        </w:rPr>
        <w:t xml:space="preserve"> om hormonforstyrrende stoffer for den brede offentlighed og sårbare grupper. </w:t>
      </w:r>
    </w:p>
    <w:p>
      <w:pPr>
        <w:pStyle w:val="Heading1"/>
        <w:spacing w:before="360" w:after="120" w:line="240" w:lineRule="auto"/>
        <w:rPr>
          <w:rFonts w:cs="Times New Roman"/>
          <w:noProof/>
          <w:sz w:val="24"/>
          <w:szCs w:val="24"/>
        </w:rPr>
      </w:pPr>
      <w:r>
        <w:rPr>
          <w:noProof/>
          <w:sz w:val="24"/>
        </w:rPr>
        <w:t>4. KONKLUSION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Næsten tyve år efter EF-strategien for hormonforstyrrende stoffer fra 1999 udgør hormonforstyrrende virkninger stadig en global udfordring og giver fortsat anledning til bekymring hos mange EU-borgere. Selv om der er sket betydelige fremskridt i løbet af de sidste to årtier for bedre at forstå og håndtere hormonforstyrrende stoffer, er det vigtigt at optrappe EU's indsats.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Kommissionen vil fortsat arbejde for at beskytte EU-borgerne og miljøet mod hormonforstyrrende stoffer. Med dette mål for øje er sigtet med den strategiske tilgang, der er skitseret ovenfor, at sikre et højt beskyttelsesniveau for EU-borgerne og miljøet og samtidig at bevare et indre marked, der skaber resultater for forbrugerne, og hvor virksomhederne kan trives.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 overensstemmelse med Kommissionens dagsorden for bedre regulering og tilsagnet om at sikre, at EU-lovgivningen fortsat er formålstjenlig, </w:t>
      </w:r>
      <w:r>
        <w:rPr>
          <w:rFonts w:ascii="Times New Roman" w:hAnsi="Times New Roman"/>
          <w:b/>
          <w:noProof/>
          <w:sz w:val="24"/>
        </w:rPr>
        <w:t>iværksætter Kommissionen en omfattende screening af den eksisterende lovgivningsmæssige ramme for hormonforstyrrende stoffer</w:t>
      </w:r>
      <w:r>
        <w:rPr>
          <w:rFonts w:ascii="Times New Roman" w:hAnsi="Times New Roman"/>
          <w:noProof/>
          <w:sz w:val="24"/>
        </w:rPr>
        <w:t>. Denne refleksionsøvelse vil gøre det muligt at vurdere, om EU-lovgivningen om hormonforstyrrende stoffer opfylder de overordnede mål om at beskytte menneskers sundhed og miljøet. Øvelsen vil sikre, at borgerne inddrages, og at de berørte parter deltager, bl.a. gennem en offentlig høring, og den vil støtte Kommissionen med at videreudvikle debatten og tage stilling til, om det er nødvendigt at ændre den lovgivningsmæssige ramme.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Desuden vil de initiativer, der bebudes i denne meddelelse, </w:t>
      </w:r>
      <w:r>
        <w:rPr>
          <w:rFonts w:ascii="Times New Roman" w:hAnsi="Times New Roman"/>
          <w:b/>
          <w:noProof/>
          <w:sz w:val="24"/>
        </w:rPr>
        <w:t>støtte den fortsatte udvikling af relevant videnskabelig forskning</w:t>
      </w:r>
      <w:r>
        <w:rPr>
          <w:rFonts w:ascii="Times New Roman" w:hAnsi="Times New Roman"/>
          <w:noProof/>
          <w:sz w:val="24"/>
        </w:rPr>
        <w:t xml:space="preserve">, </w:t>
      </w:r>
      <w:r>
        <w:rPr>
          <w:rFonts w:ascii="Times New Roman" w:hAnsi="Times New Roman"/>
          <w:b/>
          <w:noProof/>
          <w:sz w:val="24"/>
        </w:rPr>
        <w:t>fremme en inklusiv dialog</w:t>
      </w:r>
      <w:r>
        <w:rPr>
          <w:rFonts w:ascii="Times New Roman" w:hAnsi="Times New Roman"/>
          <w:noProof/>
          <w:sz w:val="24"/>
        </w:rPr>
        <w:t xml:space="preserve"> og samarbejde med alle interesserede parter og gøre det muligt at </w:t>
      </w:r>
      <w:r>
        <w:rPr>
          <w:rFonts w:ascii="Times New Roman" w:hAnsi="Times New Roman"/>
          <w:b/>
          <w:noProof/>
          <w:sz w:val="24"/>
        </w:rPr>
        <w:t>fremskynde gennemførelsen af eksisterende politikker</w:t>
      </w:r>
      <w:r>
        <w:rPr>
          <w:rFonts w:ascii="Times New Roman" w:hAnsi="Times New Roman"/>
          <w:noProof/>
          <w:sz w:val="24"/>
        </w:rPr>
        <w:t xml:space="preserve"> om hormonforstyrrende stoffer.</w:t>
      </w:r>
    </w:p>
    <w:p>
      <w:pPr>
        <w:spacing w:after="0" w:line="240" w:lineRule="auto"/>
        <w:jc w:val="both"/>
        <w:rPr>
          <w:rFonts w:ascii="Times New Roman" w:hAnsi="Times New Roman" w:cs="Times New Roman"/>
          <w:noProof/>
          <w:sz w:val="24"/>
          <w:szCs w:val="24"/>
        </w:rPr>
      </w:pPr>
      <w:r>
        <w:rPr>
          <w:rFonts w:ascii="Times New Roman" w:hAnsi="Times New Roman"/>
          <w:noProof/>
          <w:sz w:val="24"/>
        </w:rPr>
        <w:t>Kommissionen opfordrer Parlamentet og Rådet til at støtte de initiativer, der er skitseret i denne meddelelse, og til at bidrage til debatten, og den opfordrer ligeledes Det Europæiske Økonomiske og Sociale Udvalg og Regionsudvalget til at komme med input.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DA</w:t>
    </w:r>
    <w:r>
      <w:rPr>
        <w:rFonts w:ascii="Arial" w:hAnsi="Arial" w:cs="Arial"/>
        <w:b/>
        <w:sz w:val="48"/>
      </w:rPr>
      <w:tab/>
    </w:r>
    <w:r>
      <w:rPr>
        <w:rFonts w:ascii="Arial" w:hAnsi="Arial" w:cs="Arial"/>
        <w:b/>
        <w:sz w:val="48"/>
      </w:rPr>
      <w:tab/>
    </w:r>
    <w:r>
      <w:tab/>
    </w:r>
    <w:r>
      <w:rPr>
        <w:rFonts w:ascii="Arial" w:hAnsi="Arial" w:cs="Arial"/>
        <w:b/>
        <w:sz w:val="48"/>
      </w:rPr>
      <w:t>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93091"/>
      <w:docPartObj>
        <w:docPartGallery w:val="Page Numbers (Bottom of Page)"/>
        <w:docPartUnique/>
      </w:docPartObj>
    </w:sdtPr>
    <w:sdtEndPr>
      <w:rPr>
        <w:rFonts w:ascii="Times New Roman" w:hAnsi="Times New Roman" w:cs="Times New Roman"/>
        <w:noProof/>
        <w:sz w:val="24"/>
      </w:rPr>
    </w:sdtEndPr>
    <w:sdtContent>
      <w:p>
        <w:pPr>
          <w:pStyle w:val="Footer"/>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 f.eks. workshoppen </w:t>
      </w:r>
      <w:hyperlink r:id="rId1">
        <w:r>
          <w:rPr>
            <w:rStyle w:val="Hyperlink"/>
            <w:rFonts w:ascii="Times New Roman" w:hAnsi="Times New Roman"/>
            <w:i/>
          </w:rPr>
          <w:t>The Impact of Endocrine Disruptors on Human Health and Wildlife</w:t>
        </w:r>
      </w:hyperlink>
      <w:r>
        <w:rPr>
          <w:rFonts w:ascii="Times New Roman" w:hAnsi="Times New Roman"/>
        </w:rPr>
        <w:t>, der blev afholdt i 1996 med støtte fra Europa-Kommissionen.</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EFT C 341 af 9.11.1998, s. 37.</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KOM(1999) 706.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 f.eks. Europa-Parlamentets beslutninger af 14. marts 2013 (P7_TA (2013) 0091) og 8. juni 2016 (P8_TA (2016) 0270) og Rådets konklusioner om beskyttelse af menneskers sundhed og miljøet gennem forsvarlig forvaltning af kemikalier (19.12.2016).</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og Rådets afgørelse nr. 1386/2013/EU af 20. november 2013 om et generelt EU-miljøhandlingsprogram frem til 2020 (EUT L 354 af 28.12.2013, s. 171).</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Jf. navnlig: </w:t>
      </w:r>
      <w:hyperlink r:id="rId2">
        <w:r>
          <w:rPr>
            <w:rStyle w:val="Hyperlink"/>
            <w:rFonts w:ascii="Times New Roman" w:hAnsi="Times New Roman"/>
          </w:rPr>
          <w:t>De Forenede Nationers 2030-dagsorden for bæredygtig udvikling</w:t>
        </w:r>
      </w:hyperlink>
      <w:r>
        <w:rPr>
          <w:rFonts w:ascii="Times New Roman" w:hAnsi="Times New Roman"/>
        </w:rPr>
        <w:t xml:space="preserve"> (2015), </w:t>
      </w:r>
      <w:hyperlink r:id="rId3">
        <w:r>
          <w:rPr>
            <w:rStyle w:val="Hyperlink"/>
            <w:rFonts w:ascii="Times New Roman" w:hAnsi="Times New Roman"/>
          </w:rPr>
          <w:t>Parmaerklæringen</w:t>
        </w:r>
      </w:hyperlink>
      <w:r>
        <w:rPr>
          <w:rFonts w:ascii="Times New Roman" w:hAnsi="Times New Roman"/>
        </w:rPr>
        <w:t xml:space="preserve"> (2010) og </w:t>
      </w:r>
      <w:hyperlink r:id="rId4">
        <w:r>
          <w:rPr>
            <w:rStyle w:val="Hyperlink"/>
            <w:rFonts w:ascii="Times New Roman" w:hAnsi="Times New Roman"/>
          </w:rPr>
          <w:t>Ostravaerklæringen</w:t>
        </w:r>
      </w:hyperlink>
      <w:r>
        <w:rPr>
          <w:rFonts w:ascii="Times New Roman" w:hAnsi="Times New Roman"/>
        </w:rPr>
        <w:t xml:space="preserve"> (2017) fra landene i Verdenssundhedsorganisationens (WHO) europæiske region (navnlig var hormonforstyrrende stoffer i Parmaerklæringen opført på listen over "vor tids vigtigste miljø- og sundhedsmæssige udfordringer") og konklusionerne fra tredje og fjerde møde ved den </w:t>
      </w:r>
      <w:hyperlink r:id="rId5">
        <w:r>
          <w:rPr>
            <w:rStyle w:val="Hyperlink"/>
            <w:rFonts w:ascii="Times New Roman" w:hAnsi="Times New Roman"/>
          </w:rPr>
          <w:t>internationale konference om kemikalieforvaltning</w:t>
        </w:r>
      </w:hyperlink>
      <w:r>
        <w:rPr>
          <w:rFonts w:ascii="Times New Roman" w:hAnsi="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i/>
          </w:rPr>
          <w:t>Global Assessment of the state-of-the-science of Endocrine Disruptors</w:t>
        </w:r>
      </w:hyperlink>
      <w:r>
        <w:t xml:space="preserve"> </w:t>
      </w:r>
      <w:r>
        <w:rPr>
          <w:rFonts w:ascii="Times New Roman" w:hAnsi="Times New Roman"/>
        </w:rPr>
        <w:t>(det internationale program for sikkerhed i forbindelse med kemikalier (IPCS), 2002).</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i/>
          </w:rPr>
          <w:t>State of the science of endocrine disrupting chemicals</w:t>
        </w:r>
      </w:hyperlink>
      <w:r>
        <w:t xml:space="preserve"> </w:t>
      </w:r>
      <w:r>
        <w:rPr>
          <w:rFonts w:ascii="Times New Roman" w:hAnsi="Times New Roman"/>
        </w:rPr>
        <w:t>(De Forenede Nationers Miljøprogram (UNEP)/Verdenssundhedsorganisationen (WHO), 2012).</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Østrogen, androgen, thyreoideahormon eller steroidgenese (EATS).</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UNEP/WHO (2012). Se også f.eks. Thrupp TJ et al. (2018), "The consequences of exposure to mixtures of chemicals:</w:t>
      </w:r>
      <w:r>
        <w:rPr>
          <w:rFonts w:ascii="Times New Roman" w:hAnsi="Times New Roman"/>
          <w:i/>
        </w:rPr>
        <w:t xml:space="preserve"> </w:t>
      </w:r>
      <w:r>
        <w:rPr>
          <w:rFonts w:ascii="Times New Roman" w:hAnsi="Times New Roman"/>
        </w:rPr>
        <w:t xml:space="preserve">Something from 'nothing' and 'a lot from a little' when fish are exposed to steroid hormones", </w:t>
      </w:r>
      <w:r>
        <w:rPr>
          <w:rFonts w:ascii="Times New Roman" w:hAnsi="Times New Roman"/>
          <w:i/>
        </w:rPr>
        <w:t>Science of the Total Environment</w:t>
      </w:r>
      <w:r>
        <w:rPr>
          <w:rFonts w:ascii="Times New Roman" w:hAnsi="Times New Roman"/>
        </w:rPr>
        <w:t>, bind 619–620, 1.4.2018, s. 1482.</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Den Europæiske Fødevaresikkerhedsautoritet er i færd med at udarbejde </w:t>
      </w:r>
      <w:hyperlink r:id="rId8">
        <w:r>
          <w:rPr>
            <w:rStyle w:val="Hyperlink"/>
            <w:rFonts w:ascii="Times New Roman" w:hAnsi="Times New Roman"/>
          </w:rPr>
          <w:t>retningslinjer</w:t>
        </w:r>
      </w:hyperlink>
      <w:r>
        <w:rPr>
          <w:rFonts w:ascii="Times New Roman" w:hAnsi="Times New Roman"/>
        </w:rPr>
        <w:t xml:space="preserve"> om harmoniserede risikovurderingsmetoder til vurdering af risici for menneskers og dyrs sundhed samt økologisk risikovurdering ved kombineret eksponering for flere kemikalier; </w:t>
      </w:r>
      <w:hyperlink r:id="rId9">
        <w:r>
          <w:rPr>
            <w:rStyle w:val="Hyperlink"/>
            <w:rFonts w:ascii="Times New Roman" w:hAnsi="Times New Roman"/>
            <w:i/>
          </w:rPr>
          <w:t>Scientific Opinion on the identification of pesticides to be included in cumulative assessment groups on the basis of their toxicological profile</w:t>
        </w:r>
      </w:hyperlink>
      <w:r>
        <w:t xml:space="preserve"> </w:t>
      </w:r>
      <w:r>
        <w:rPr>
          <w:rFonts w:ascii="Times New Roman" w:hAnsi="Times New Roman"/>
        </w:rPr>
        <w:t>(Den Europæiske Fødevaresikkerhedsautoritet (EFSA), 2013).</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Et andet eksempel er forholdet mellem dosis og respons for hormonforstyrrende stoffer. Om alle disse aspekter henvises navnlig til følgende: </w:t>
      </w:r>
      <w:hyperlink r:id="rId10">
        <w:r>
          <w:rPr>
            <w:rStyle w:val="Hyperlink"/>
            <w:rFonts w:ascii="Times New Roman" w:hAnsi="Times New Roman"/>
            <w:i/>
          </w:rPr>
          <w:t>Key scientific issues relevant to the identification and characterisation of endocrine disrupting substances — Report of the Endocrine Disrupters Expert Advisory Group</w:t>
        </w:r>
      </w:hyperlink>
      <w:r>
        <w:t xml:space="preserve"> </w:t>
      </w:r>
      <w:r>
        <w:rPr>
          <w:rFonts w:ascii="Times New Roman" w:hAnsi="Times New Roman"/>
        </w:rPr>
        <w:t>(Det Fælles Forskningscenter (JRC), 2013),</w:t>
      </w:r>
      <w:r>
        <w:rPr>
          <w:rStyle w:val="Hyperlink"/>
          <w:rFonts w:ascii="Times New Roman" w:hAnsi="Times New Roman"/>
          <w:i/>
        </w:rPr>
        <w:t xml:space="preserve"> </w:t>
      </w:r>
      <w:hyperlink r:id="rId11">
        <w:r>
          <w:rPr>
            <w:rStyle w:val="Hyperlink"/>
            <w:rFonts w:ascii="Times New Roman" w:hAnsi="Times New Roman"/>
            <w:i/>
          </w:rPr>
          <w:t>Thresholds for Endocrine Disrupters and Related Uncertainties — Report of the Endocrine Disrupters Expert Advisory Group</w:t>
        </w:r>
      </w:hyperlink>
      <w:r>
        <w:t xml:space="preserve"> </w:t>
      </w:r>
      <w:r>
        <w:rPr>
          <w:rFonts w:ascii="Times New Roman" w:hAnsi="Times New Roman"/>
        </w:rPr>
        <w:t xml:space="preserve">(JRC, 2013), </w:t>
      </w:r>
      <w:hyperlink r:id="rId12">
        <w:r>
          <w:rPr>
            <w:rStyle w:val="Hyperlink"/>
            <w:rFonts w:ascii="Times New Roman" w:hAnsi="Times New Roman"/>
            <w:i/>
          </w:rPr>
          <w:t>Review of non-monotonic dose-responses of substances for human risk assessment</w:t>
        </w:r>
      </w:hyperlink>
      <w:r>
        <w:t xml:space="preserve"> </w:t>
      </w:r>
      <w:r>
        <w:rPr>
          <w:rStyle w:val="Hyperlink"/>
          <w:rFonts w:ascii="Times New Roman" w:hAnsi="Times New Roman"/>
          <w:color w:val="auto"/>
          <w:u w:val="none"/>
        </w:rPr>
        <w:t>(Beausoleil et al., 2016),</w:t>
      </w:r>
      <w:r>
        <w:rPr>
          <w:rFonts w:ascii="Times New Roman" w:hAnsi="Times New Roman"/>
        </w:rPr>
        <w:t xml:space="preserve"> </w:t>
      </w:r>
      <w:hyperlink r:id="rId13">
        <w:r>
          <w:rPr>
            <w:rStyle w:val="Hyperlink"/>
            <w:rFonts w:ascii="Times New Roman" w:hAnsi="Times New Roman"/>
            <w:i/>
          </w:rPr>
          <w:t>Scientific principles for the identification of endocrine-disrupting chemicals: a consensus statement</w:t>
        </w:r>
      </w:hyperlink>
      <w:r>
        <w:t xml:space="preserve"> </w:t>
      </w:r>
      <w:r>
        <w:rPr>
          <w:rFonts w:ascii="Times New Roman" w:hAnsi="Times New Roman"/>
        </w:rPr>
        <w:t>(Solecki et al., 2017).</w:t>
      </w:r>
      <w:r>
        <w:rPr>
          <w:rFonts w:ascii="Times New Roman" w:hAnsi="Times New Roman"/>
          <w:i/>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 forsøgsretningslinjer, der er relevante for hormonforstyrrende stoffer, er opstillet i</w:t>
      </w:r>
      <w:r>
        <w:t xml:space="preserve"> </w:t>
      </w:r>
      <w:hyperlink r:id="rId14">
        <w:r>
          <w:rPr>
            <w:rStyle w:val="Hyperlink"/>
            <w:rFonts w:ascii="Times New Roman" w:hAnsi="Times New Roman"/>
          </w:rPr>
          <w:t>OECD's begrebsramme for testning og vurdering af hormonforstyrrende stoffer</w:t>
        </w:r>
      </w:hyperlink>
      <w:r>
        <w:t>.</w:t>
      </w:r>
    </w:p>
  </w:footnote>
  <w:footnote w:id="15">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hyperlink r:id="rId15">
        <w:r>
          <w:rPr>
            <w:rStyle w:val="Hyperlink"/>
            <w:rFonts w:ascii="Times New Roman" w:hAnsi="Times New Roman"/>
            <w:i/>
            <w:lang w:val="en-GB"/>
          </w:rPr>
          <w:t>Scientific Opinion on the hazard assessment of endocrine disruptors: Scientific criteria for identification of endocrine disruptors and appropriateness of existing test methods for assessing effects mediated by these substances on human health and the environment</w:t>
        </w:r>
      </w:hyperlink>
      <w:r>
        <w:rPr>
          <w:lang w:val="en-GB"/>
        </w:rPr>
        <w:t xml:space="preserve"> </w:t>
      </w:r>
      <w:r>
        <w:rPr>
          <w:rFonts w:ascii="Times New Roman" w:hAnsi="Times New Roman"/>
          <w:lang w:val="en-GB"/>
        </w:rPr>
        <w:t>(EFSA, 2013).</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Østrogen, androgen, thyreoideahormon eller steroidgenese (EATS). </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Der findes videnskabelig vejledning om, hvordan man fortolker resultaterne af de enkelte forsøg og indsamler al tilgængelig dokumentation om et stof for at vurdere det for hormonforstyrrende virkninger. På internationalt plan tjener </w:t>
      </w:r>
      <w:hyperlink r:id="rId16">
        <w:r>
          <w:rPr>
            <w:rStyle w:val="Hyperlink"/>
            <w:rFonts w:ascii="Times New Roman" w:hAnsi="Times New Roman"/>
            <w:i/>
          </w:rPr>
          <w:t>Guidance Document on Standardised Test Guidelines for Evaluating Chemicals for Endocrine Disruption</w:t>
        </w:r>
      </w:hyperlink>
      <w:r>
        <w:t xml:space="preserve"> </w:t>
      </w:r>
      <w:r>
        <w:rPr>
          <w:rFonts w:ascii="Times New Roman" w:hAnsi="Times New Roman"/>
        </w:rPr>
        <w:t>(OECD, 2012) som referencedokument.</w:t>
      </w:r>
      <w:r>
        <w:rPr>
          <w:rStyle w:val="Hyperlink"/>
          <w:rFonts w:ascii="Times New Roman" w:hAnsi="Times New Roman"/>
          <w:i/>
          <w:u w:val="none"/>
        </w:rPr>
        <w:t xml:space="preserve"> </w:t>
      </w:r>
      <w:r>
        <w:rPr>
          <w:rFonts w:ascii="Times New Roman" w:hAnsi="Times New Roman"/>
        </w:rPr>
        <w:t>På EU-plan findes der specifikke retningslinjer inden for de forskellige retlige rammer.</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Et eksempel er "read-across", som gør det muligt at forudsige oplysninger om ét stof ved at bruge data fra et andet stof.</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Eksempler: </w:t>
      </w:r>
      <w:hyperlink r:id="rId17">
        <w:r>
          <w:rPr>
            <w:rStyle w:val="Hyperlink"/>
            <w:rFonts w:ascii="Times New Roman" w:hAnsi="Times New Roman"/>
            <w:i/>
          </w:rPr>
          <w:t>Setting priorities for further development and validation of test methods and testing approaches for evaluating endocrine disruptors</w:t>
        </w:r>
      </w:hyperlink>
      <w:r>
        <w:t xml:space="preserve"> </w:t>
      </w:r>
      <w:r>
        <w:rPr>
          <w:rFonts w:ascii="Times New Roman" w:hAnsi="Times New Roman"/>
        </w:rPr>
        <w:t xml:space="preserve">(2018), </w:t>
      </w:r>
      <w:r>
        <w:rPr>
          <w:rFonts w:ascii="Times New Roman" w:hAnsi="Times New Roman"/>
          <w:i/>
        </w:rPr>
        <w:t>Development of a study protocol for thyroid disruptor testing in the mammalian system</w:t>
      </w:r>
      <w:r>
        <w:rPr>
          <w:rFonts w:ascii="Times New Roman" w:hAnsi="Times New Roman"/>
        </w:rPr>
        <w:t xml:space="preserve"> (vil blive afsluttet i 2019) og </w:t>
      </w:r>
      <w:hyperlink r:id="rId18">
        <w:r>
          <w:rPr>
            <w:rStyle w:val="Hyperlink"/>
            <w:rFonts w:ascii="Times New Roman" w:hAnsi="Times New Roman"/>
            <w:i/>
          </w:rPr>
          <w:t>Validation study to assess in vitro methods for thyroid disruptors</w:t>
        </w:r>
      </w:hyperlink>
      <w:r>
        <w:rPr>
          <w:rFonts w:ascii="Times New Roman" w:hAnsi="Times New Roman"/>
        </w:rPr>
        <w:t xml:space="preserve"> (påbegyndt i 2017, endnu ikke afsluttet).</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F.eks. gennem </w:t>
      </w:r>
      <w:hyperlink r:id="rId19">
        <w:r>
          <w:rPr>
            <w:rStyle w:val="Hyperlink"/>
            <w:rFonts w:ascii="Times New Roman" w:hAnsi="Times New Roman"/>
          </w:rPr>
          <w:t>det hurtige varslingssystem for farlige nonfoodprodukter</w:t>
        </w:r>
      </w:hyperlink>
      <w:r>
        <w:rPr>
          <w:rFonts w:ascii="Times New Roman" w:hAnsi="Times New Roman"/>
        </w:rPr>
        <w:t>.</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og Rådets forordning (EF) Nr. 1107/2009 af 21. oktober 2009 om markedsføring af plantebeskyttelsesmidler (EUT L 309 af 24.11.2009, s. 1).</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Biocider anvendes til bekæmpelse af skadegørere (som eksempel gives desinfektionsmidler) — Europa-Parlamentets og Rådets forordning (EU) Nr. 528/2012 af 22. maj 2012 om tilgængeliggørelse på markedet og anvendelse af biocidholdige produkter (EUT L 167 af 27.6.2012, s. 1).</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og Rådets forordning (EF) Nr. 1907/2006 af 18. december 2006 om registrering, vurdering og godkendelse af samt begrænsninger for kemikalier (REACH) (EUT L 396 af 30.12.2006, s. 1).</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og Rådets forordning (EU) 2017/745 af 5. april 2017 om medicinsk udstyr (EUT L 117 af 5.5.2017, s. 1).</w:t>
      </w:r>
    </w:p>
  </w:footnote>
  <w:footnote w:id="25">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Europa-Parlamentets og Rådets direktiv 2000/60/EF af 23. oktober 2000 om fastlæggelse af en ramme for Fællesskabets vandpolitiske foranstaltninger (EFT L 327 af 22.12.2000, s. 1).</w:t>
      </w:r>
    </w:p>
  </w:footnote>
  <w:footnote w:id="2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og Rådets forordning (EF) Nr. 1935/2004 af 27. oktober 2004 om materialer og genstande bestemt til kontakt med fødevarer (EUT L 338 af 13.11.2004, s. 4).</w:t>
      </w:r>
    </w:p>
  </w:footnote>
  <w:footnote w:id="2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og Rådets forordning (EF) Nr. 1223/2009 af 30. november 2009 om kosmetiske produkter (EUT L 342 af 22.12.2009, s. 59).</w:t>
      </w:r>
    </w:p>
  </w:footnote>
  <w:footnote w:id="2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Europa-Parlamentets og Rådets direktiv 2009/48/EF af 18. juni 2009 om sikkerhedskrav til legetøj (EUT L 170 af 30.6.2009, s. 1).</w:t>
      </w:r>
    </w:p>
  </w:footnote>
  <w:footnote w:id="2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Jf. navnlig Rådets direktiv 98/24/EF af 7. april 1998 om beskyttelse af arbejdstagernes sikkerhed og sundhed under arbejdet mod risici i forbindelse med kemiske agenser (EFT L 131 af 5.5.1998, s. 11) og Europa-Parlamentets og Rådets direktiv 2004/37/EF af 29. april 2004 om beskyttelse af arbejdstagerne mod risici for under arbejdet at være udsat for kræftfremkaldende stoffer eller mutagener (EUT L 158 af 30.4.2004, s. 50).</w:t>
      </w:r>
    </w:p>
  </w:footnote>
  <w:footnote w:id="3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Kommissionens delegerede forordning (EU) 2017/2100 (EUT L 301 af 17.11.17, s. 1) og Kommissionens forordning (EU) 2018/605 (EUT L 101 af 20.4.2018, s. 33).</w:t>
      </w:r>
    </w:p>
  </w:footnote>
  <w:footnote w:id="3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Godkendelseslisten i REACH-forordningens bilag XIV — de pågældende stoffer omfatter f.eks. visse phthalater, ethoxylater af nonylphenol og octylphenol.</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Yderligere oplysninger om kandidatlisten findes på Det Europæiske Kemikalieagenturs </w:t>
      </w:r>
      <w:hyperlink r:id="rId20">
        <w:r>
          <w:rPr>
            <w:rStyle w:val="Hyperlink"/>
            <w:rFonts w:ascii="Times New Roman" w:hAnsi="Times New Roman"/>
          </w:rPr>
          <w:t>websted</w:t>
        </w:r>
      </w:hyperlink>
      <w:r>
        <w:rPr>
          <w:rFonts w:ascii="Times New Roman" w:hAnsi="Times New Roman"/>
        </w:rPr>
        <w:t>.</w:t>
      </w:r>
    </w:p>
  </w:footnote>
  <w:footnote w:id="3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Jf. REACH-forordningens bilag XVII.</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REACH-Udvalget, der består af eksperter fra samtlige medlemsstater, </w:t>
      </w:r>
      <w:hyperlink r:id="rId21">
        <w:r>
          <w:rPr>
            <w:rStyle w:val="Hyperlink"/>
            <w:rFonts w:ascii="Times New Roman" w:hAnsi="Times New Roman"/>
          </w:rPr>
          <w:t>støttede</w:t>
        </w:r>
      </w:hyperlink>
      <w:r>
        <w:rPr>
          <w:rFonts w:ascii="Times New Roman" w:hAnsi="Times New Roman"/>
        </w:rPr>
        <w:t xml:space="preserve"> den 11. juli 2018 enstemmigt den foreslåede foranstaltning. </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Bis(2-ethylhexyl)phthalat, </w:t>
      </w:r>
      <w:hyperlink r:id="rId22">
        <w:r>
          <w:rPr>
            <w:rFonts w:ascii="Times New Roman" w:hAnsi="Times New Roman"/>
          </w:rPr>
          <w:t>benzylbutylphthalat</w:t>
        </w:r>
      </w:hyperlink>
      <w:r>
        <w:rPr>
          <w:rFonts w:ascii="Times New Roman" w:hAnsi="Times New Roman"/>
        </w:rPr>
        <w:t>, di-n-butylphthalat, di-iso-butylphthalat.</w:t>
      </w:r>
    </w:p>
  </w:footnote>
  <w:footnote w:id="3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Som f.eks. bromeret diphenylether, bis(2-ethylhexyl)phthalat og tributyltinforbindelser.</w:t>
      </w:r>
    </w:p>
  </w:footnote>
  <w:footnote w:id="3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Senest ajourført ved Europa-Parlamentets og Rådets direktiv 2013/39/EU af 12. august 2013 om ændring af direktiv 2000/60/EF og 2008/105/EF for så vidt angår prioriterede stoffer inden for vandpolitikken (EUT L 226 af 24.8.2013, s. 1).</w:t>
      </w:r>
    </w:p>
  </w:footnote>
  <w:footnote w:id="3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Strong"/>
          <w:rFonts w:ascii="Times New Roman" w:hAnsi="Times New Roman"/>
          <w:b w:val="0"/>
        </w:rPr>
        <w:t xml:space="preserve">Kommissionens gennemførelsesafgørelse (EU) 2018/840 (EUT L 141 af 7.6.2018, s. 9). Stofferne er: </w:t>
      </w:r>
      <w:r>
        <w:rPr>
          <w:rFonts w:ascii="Times New Roman" w:hAnsi="Times New Roman"/>
        </w:rPr>
        <w:t>17-alpha-ethinylestradiol (EE2), 17-beta-estradiol (E2) og estron (E1).</w:t>
      </w:r>
      <w:r>
        <w:rPr>
          <w:rStyle w:val="Strong"/>
          <w:rFonts w:ascii="Times New Roman" w:hAnsi="Times New Roman"/>
          <w:b w:val="0"/>
        </w:rPr>
        <w:t xml:space="preserve"> </w:t>
      </w:r>
    </w:p>
  </w:footnote>
  <w:footnote w:id="3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Kommissionens forordning (EU) Nr. 10/2011 (EUT L 12 af 15.1.2011, s. 1) og Kommissionens forordning (EU) 2018/213 (EUT L 41 af 14.2.2018, s. 6).</w:t>
      </w:r>
    </w:p>
  </w:footnote>
  <w:footnote w:id="4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Kommissionens direktiv (EU) 2017/898 (EUT L 138 af 25.5.2017, s. 128).</w:t>
      </w:r>
    </w:p>
  </w:footnote>
  <w:footnote w:id="4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Kommissionens forordning (EU) 2016/2235 (EUT L 337 af 13.12.2016, s. 3).</w:t>
      </w:r>
    </w:p>
  </w:footnote>
  <w:footnote w:id="4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Kommissionens direktiv 2009/161/EU (EUT L 338 af 19.12.2009, s. 87) og (EU) 2017/164 (EUT L 27 af 1.2.2017, s. 115). Den seneste revision er baseret på henstilling i 2014 fra Det Videnskabelige Udvalg vedrørende Grænseværdier for Erhvervsmæssig Eksponering (SCOEL/SUM/113).</w:t>
      </w:r>
    </w:p>
  </w:footnote>
  <w:footnote w:id="4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Visse såkaldte "parabener", via Kommissionens forordning (EU) Nr. 358/2014 (EUT L 107 af 10.4.2014, s. 5) og Kommissionens forordning (EU) Nr. 1004/2014 (EUT L 282 af 26.9.2014, s. 5).</w:t>
      </w:r>
    </w:p>
  </w:footnote>
  <w:footnote w:id="4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3-benzylidencampher — Kommissionens forordning (EU) 2015/1298 (EUT L 199 af 29.7.2015, s. 22) efter udtalelse fra Den Videnskabelige Komité for Forbrugersikkerhed (SCCS/1513/13).</w:t>
      </w:r>
    </w:p>
  </w:footnote>
  <w:footnote w:id="4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Sikkerhedsdatablade er dokumenter, der stilles til rådighed for downstream-brugere, og som indeholder oplysninger om stoffers eller blandingers egenskaber. Jf. revisionen af REACH-forordningen (COM(2018) 116).</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179. </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COM(2018) 28 og COM(2018) 32 — som opfølgning på handlingsplanen for den cirkulære økonomi (COM(2015) 614).</w:t>
      </w:r>
    </w:p>
  </w:footnote>
  <w:footnote w:id="48">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COM(2017) 753. </w:t>
      </w:r>
    </w:p>
  </w:footnote>
  <w:footnote w:id="49">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Beta-estradiol, nonylphenol og bisphenol A.</w:t>
      </w:r>
    </w:p>
  </w:footnote>
  <w:footnote w:id="50">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COM(2018) 183.</w:t>
      </w:r>
    </w:p>
  </w:footnote>
  <w:footnote w:id="5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Navnlig Kommissionen forslag til en forordning om overholdelse og håndhævelse af lovgivningen (COM(2017) 795).</w:t>
      </w:r>
    </w:p>
  </w:footnote>
  <w:footnote w:id="5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 markedsovervågningsøvelse, der blev koordineret af Det Europæiske Kemikalieagenturs håndhævelsesforum i 2018 (Forum REF-4 Project Report — </w:t>
      </w:r>
      <w:hyperlink r:id="rId23">
        <w:r>
          <w:rPr>
            <w:rStyle w:val="Hyperlink"/>
            <w:rFonts w:ascii="Times New Roman" w:hAnsi="Times New Roman"/>
          </w:rPr>
          <w:t>Harmonised Enforcement Project on Restrictions</w:t>
        </w:r>
      </w:hyperlink>
      <w:r>
        <w:rPr>
          <w:rFonts w:ascii="Times New Roman" w:hAnsi="Times New Roman"/>
        </w:rPr>
        <w:t xml:space="preserve">, ECHA-18-R-03-EN), afslørede, at 19,7 % af det kontrollerede legetøj og 3,6 % af de kontrollerede småbørnsartikler indeholdt phthalater i mængder, der ikke var i overensstemmelse med lovgivningen (hovedsagelig med oprindelse uden for Det Europæiske Økonomiske Samarbejdsområde eller af ukendt oprindelse). I 2017 blev der via det hurtige varslingssystem for farlige nonfoodprodukter udvekslet mere end 170 meddelelser mellem medlemsstaterne om produkter, der ikke overholdt kravene for så vidt angår phthalater. </w:t>
      </w:r>
    </w:p>
  </w:footnote>
  <w:footnote w:id="5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Som tidligere nævnt er kriterierne for identificering af hormonforstyrrende stoffer i henhold til lovgivningen om pesticider og biocider baseret på Verdenssundhedsorganisationens definition.</w:t>
      </w:r>
    </w:p>
  </w:footnote>
  <w:footnote w:id="5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Det var for eksempel tilfældet, da der blev udarbejdet kriterier for identificering af hormonforstyrrende stoffer i henhold til lovgivningen om pesticider og biocider.</w:t>
      </w:r>
    </w:p>
  </w:footnote>
  <w:footnote w:id="5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 Forenede Staters miljøstyrelse har et program for screening af hormonforstyrrende stoffer. I Japan nedsatte ministeriet for sundhed, beskæftigelse og velfærd et udvalg vedrørende de sundhedsmæssige virkninger af hormonforstyrrende stoffer.</w:t>
      </w:r>
    </w:p>
  </w:footnote>
  <w:footnote w:id="56">
    <w:p>
      <w:pPr>
        <w:pStyle w:val="FootnoteText"/>
        <w:rPr>
          <w:rFonts w:ascii="Times New Roman" w:hAnsi="Times New Roman" w:cs="Times New Roman"/>
          <w:lang w:val="nn-NO"/>
        </w:rPr>
      </w:pPr>
      <w:r>
        <w:rPr>
          <w:rStyle w:val="FootnoteReference"/>
          <w:rFonts w:ascii="Times New Roman" w:hAnsi="Times New Roman"/>
        </w:rPr>
        <w:footnoteRef/>
      </w:r>
      <w:r>
        <w:rPr>
          <w:rFonts w:ascii="Times New Roman" w:hAnsi="Times New Roman"/>
          <w:lang w:val="nn-NO"/>
        </w:rPr>
        <w:t xml:space="preserve"> Artikel 1, stk. 4, i forordning (EF) nr. 1107/2009 og artikel 1, stk. 1, i forordning (EU) nr. 528/2012.</w:t>
      </w:r>
    </w:p>
  </w:footnote>
  <w:footnote w:id="5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F.eks. </w:t>
      </w:r>
      <w:hyperlink r:id="rId24">
        <w:r>
          <w:rPr>
            <w:rStyle w:val="Hyperlink"/>
            <w:rFonts w:ascii="Times New Roman" w:hAnsi="Times New Roman"/>
          </w:rPr>
          <w:t>REFIT-evalueringen af REACH</w:t>
        </w:r>
      </w:hyperlink>
      <w:r>
        <w:rPr>
          <w:rFonts w:ascii="Times New Roman" w:hAnsi="Times New Roman"/>
        </w:rPr>
        <w:t xml:space="preserve">, </w:t>
      </w:r>
      <w:hyperlink r:id="rId25">
        <w:r>
          <w:rPr>
            <w:rStyle w:val="Hyperlink"/>
            <w:rFonts w:ascii="Times New Roman" w:hAnsi="Times New Roman"/>
          </w:rPr>
          <w:t>REACH-revisionen af godkendelsesproceduren for stoffer med hormonforstyrrende egenskaber i overensstemmelse med artikel 138, stk. 7, i REACH</w:t>
        </w:r>
      </w:hyperlink>
      <w:r>
        <w:rPr>
          <w:rFonts w:ascii="Times New Roman" w:hAnsi="Times New Roman"/>
        </w:rPr>
        <w:t xml:space="preserve">, </w:t>
      </w:r>
      <w:hyperlink r:id="rId26">
        <w:r>
          <w:rPr>
            <w:rStyle w:val="Hyperlink"/>
            <w:rFonts w:ascii="Times New Roman" w:hAnsi="Times New Roman"/>
          </w:rPr>
          <w:t>kvalitetskontrollen af kemikalielovgivningen</w:t>
        </w:r>
      </w:hyperlink>
      <w:r>
        <w:rPr>
          <w:rFonts w:ascii="Times New Roman" w:hAnsi="Times New Roman"/>
        </w:rPr>
        <w:t xml:space="preserve">, </w:t>
      </w:r>
      <w:hyperlink r:id="rId27">
        <w:r>
          <w:rPr>
            <w:rStyle w:val="Hyperlink"/>
            <w:rFonts w:ascii="Times New Roman" w:hAnsi="Times New Roman"/>
          </w:rPr>
          <w:t>evalueringen af de retlige rammer for pesticider</w:t>
        </w:r>
      </w:hyperlink>
      <w:r>
        <w:rPr>
          <w:rFonts w:ascii="Times New Roman" w:hAnsi="Times New Roman"/>
        </w:rPr>
        <w:t xml:space="preserve">, </w:t>
      </w:r>
      <w:hyperlink r:id="rId28">
        <w:r>
          <w:rPr>
            <w:rStyle w:val="Hyperlink"/>
            <w:rFonts w:ascii="Times New Roman" w:hAnsi="Times New Roman"/>
          </w:rPr>
          <w:t>evalueringen af det syvende miljøhandlingsprogram</w:t>
        </w:r>
      </w:hyperlink>
      <w:r>
        <w:rPr>
          <w:rFonts w:ascii="Times New Roman" w:hAnsi="Times New Roman"/>
        </w:rPr>
        <w:t xml:space="preserve">, </w:t>
      </w:r>
      <w:hyperlink r:id="rId29" w:anchor="scope_of_the_fitness_check">
        <w:r>
          <w:rPr>
            <w:rStyle w:val="Hyperlink"/>
            <w:rFonts w:ascii="Times New Roman" w:hAnsi="Times New Roman"/>
          </w:rPr>
          <w:t>kvalitetskontrollen af vandlovgivningen</w:t>
        </w:r>
      </w:hyperlink>
      <w:r>
        <w:rPr>
          <w:rFonts w:ascii="Times New Roman" w:hAnsi="Times New Roman"/>
        </w:rPr>
        <w:t xml:space="preserve">, </w:t>
      </w:r>
      <w:hyperlink r:id="rId30">
        <w:r>
          <w:rPr>
            <w:rStyle w:val="Hyperlink"/>
            <w:rFonts w:ascii="Times New Roman" w:hAnsi="Times New Roman"/>
          </w:rPr>
          <w:t>evalueringen af lovgivningen for materialer i kontakt med fødevarer</w:t>
        </w:r>
      </w:hyperlink>
      <w:r>
        <w:rPr>
          <w:rStyle w:val="Hyperlink"/>
          <w:rFonts w:ascii="Times New Roman" w:hAnsi="Times New Roman"/>
          <w:u w:val="none"/>
        </w:rPr>
        <w:t xml:space="preserve"> </w:t>
      </w:r>
      <w:r>
        <w:rPr>
          <w:rFonts w:ascii="Times New Roman" w:hAnsi="Times New Roman"/>
        </w:rPr>
        <w:t>og</w:t>
      </w:r>
      <w:r>
        <w:rPr>
          <w:rStyle w:val="Hyperlink"/>
          <w:rFonts w:ascii="Times New Roman" w:hAnsi="Times New Roman"/>
          <w:u w:val="none"/>
        </w:rPr>
        <w:t xml:space="preserve"> </w:t>
      </w:r>
      <w:hyperlink r:id="rId31">
        <w:r>
          <w:rPr>
            <w:rStyle w:val="Hyperlink"/>
            <w:rFonts w:ascii="Times New Roman" w:hAnsi="Times New Roman"/>
          </w:rPr>
          <w:t>evalueringen af lovgivningen for legetøj</w:t>
        </w:r>
      </w:hyperlink>
      <w:r>
        <w:rPr>
          <w:rStyle w:val="Hyperlink"/>
          <w:rFonts w:ascii="Times New Roman" w:hAnsi="Times New Roman"/>
          <w:color w:val="auto"/>
          <w:u w:val="none"/>
        </w:rPr>
        <w:t>.</w:t>
      </w:r>
    </w:p>
  </w:footnote>
  <w:footnote w:id="5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(2018) 435 og COM (2018) 436 — se navnlig den anden søjle om globale udfordringer og industriel konkurrenceevne, klyngen "Sundhed" (med et foreslået budget på 7,7 mia. EUR) og klyngen "Det Fælles Forskningscenters ikke-nukleare direkte aktioner" (med et foreslået budget på 2,2 mia. EUR9.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EFB"/>
    <w:multiLevelType w:val="hybridMultilevel"/>
    <w:tmpl w:val="54DE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74308"/>
    <w:multiLevelType w:val="hybridMultilevel"/>
    <w:tmpl w:val="923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AB0FCE"/>
    <w:multiLevelType w:val="hybridMultilevel"/>
    <w:tmpl w:val="2186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D47D0"/>
    <w:multiLevelType w:val="hybridMultilevel"/>
    <w:tmpl w:val="9758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B453E2"/>
    <w:multiLevelType w:val="hybridMultilevel"/>
    <w:tmpl w:val="0FD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0E43A7"/>
    <w:multiLevelType w:val="hybridMultilevel"/>
    <w:tmpl w:val="34CE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284A8B"/>
    <w:multiLevelType w:val="hybridMultilevel"/>
    <w:tmpl w:val="D316A5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3053C"/>
    <w:multiLevelType w:val="hybridMultilevel"/>
    <w:tmpl w:val="DB96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6E1813"/>
    <w:multiLevelType w:val="hybridMultilevel"/>
    <w:tmpl w:val="9A02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1B398A"/>
    <w:multiLevelType w:val="hybridMultilevel"/>
    <w:tmpl w:val="45F4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92AD9"/>
    <w:multiLevelType w:val="hybridMultilevel"/>
    <w:tmpl w:val="E2E0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1032F"/>
    <w:multiLevelType w:val="hybridMultilevel"/>
    <w:tmpl w:val="ACA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F3ACB"/>
    <w:multiLevelType w:val="hybridMultilevel"/>
    <w:tmpl w:val="70527EBE"/>
    <w:lvl w:ilvl="0" w:tplc="AAA4D3A6">
      <w:start w:val="1"/>
      <w:numFmt w:val="bullet"/>
      <w:lvlText w:val=""/>
      <w:lvlJc w:val="left"/>
      <w:pPr>
        <w:tabs>
          <w:tab w:val="num" w:pos="720"/>
        </w:tabs>
        <w:ind w:left="720" w:hanging="360"/>
      </w:pPr>
      <w:rPr>
        <w:rFonts w:ascii="Wingdings" w:hAnsi="Wingdings" w:hint="default"/>
      </w:rPr>
    </w:lvl>
    <w:lvl w:ilvl="1" w:tplc="3462086C">
      <w:start w:val="1470"/>
      <w:numFmt w:val="bullet"/>
      <w:lvlText w:val=""/>
      <w:lvlJc w:val="left"/>
      <w:pPr>
        <w:tabs>
          <w:tab w:val="num" w:pos="1440"/>
        </w:tabs>
        <w:ind w:left="1440" w:hanging="360"/>
      </w:pPr>
      <w:rPr>
        <w:rFonts w:ascii="Wingdings" w:hAnsi="Wingdings" w:hint="default"/>
      </w:rPr>
    </w:lvl>
    <w:lvl w:ilvl="2" w:tplc="6B949A7A" w:tentative="1">
      <w:start w:val="1"/>
      <w:numFmt w:val="bullet"/>
      <w:lvlText w:val=""/>
      <w:lvlJc w:val="left"/>
      <w:pPr>
        <w:tabs>
          <w:tab w:val="num" w:pos="2160"/>
        </w:tabs>
        <w:ind w:left="2160" w:hanging="360"/>
      </w:pPr>
      <w:rPr>
        <w:rFonts w:ascii="Wingdings" w:hAnsi="Wingdings" w:hint="default"/>
      </w:rPr>
    </w:lvl>
    <w:lvl w:ilvl="3" w:tplc="DED2A64E" w:tentative="1">
      <w:start w:val="1"/>
      <w:numFmt w:val="bullet"/>
      <w:lvlText w:val=""/>
      <w:lvlJc w:val="left"/>
      <w:pPr>
        <w:tabs>
          <w:tab w:val="num" w:pos="2880"/>
        </w:tabs>
        <w:ind w:left="2880" w:hanging="360"/>
      </w:pPr>
      <w:rPr>
        <w:rFonts w:ascii="Wingdings" w:hAnsi="Wingdings" w:hint="default"/>
      </w:rPr>
    </w:lvl>
    <w:lvl w:ilvl="4" w:tplc="AF967F94" w:tentative="1">
      <w:start w:val="1"/>
      <w:numFmt w:val="bullet"/>
      <w:lvlText w:val=""/>
      <w:lvlJc w:val="left"/>
      <w:pPr>
        <w:tabs>
          <w:tab w:val="num" w:pos="3600"/>
        </w:tabs>
        <w:ind w:left="3600" w:hanging="360"/>
      </w:pPr>
      <w:rPr>
        <w:rFonts w:ascii="Wingdings" w:hAnsi="Wingdings" w:hint="default"/>
      </w:rPr>
    </w:lvl>
    <w:lvl w:ilvl="5" w:tplc="CBDAEC8A" w:tentative="1">
      <w:start w:val="1"/>
      <w:numFmt w:val="bullet"/>
      <w:lvlText w:val=""/>
      <w:lvlJc w:val="left"/>
      <w:pPr>
        <w:tabs>
          <w:tab w:val="num" w:pos="4320"/>
        </w:tabs>
        <w:ind w:left="4320" w:hanging="360"/>
      </w:pPr>
      <w:rPr>
        <w:rFonts w:ascii="Wingdings" w:hAnsi="Wingdings" w:hint="default"/>
      </w:rPr>
    </w:lvl>
    <w:lvl w:ilvl="6" w:tplc="1BAC0308" w:tentative="1">
      <w:start w:val="1"/>
      <w:numFmt w:val="bullet"/>
      <w:lvlText w:val=""/>
      <w:lvlJc w:val="left"/>
      <w:pPr>
        <w:tabs>
          <w:tab w:val="num" w:pos="5040"/>
        </w:tabs>
        <w:ind w:left="5040" w:hanging="360"/>
      </w:pPr>
      <w:rPr>
        <w:rFonts w:ascii="Wingdings" w:hAnsi="Wingdings" w:hint="default"/>
      </w:rPr>
    </w:lvl>
    <w:lvl w:ilvl="7" w:tplc="B1164B5E" w:tentative="1">
      <w:start w:val="1"/>
      <w:numFmt w:val="bullet"/>
      <w:lvlText w:val=""/>
      <w:lvlJc w:val="left"/>
      <w:pPr>
        <w:tabs>
          <w:tab w:val="num" w:pos="5760"/>
        </w:tabs>
        <w:ind w:left="5760" w:hanging="360"/>
      </w:pPr>
      <w:rPr>
        <w:rFonts w:ascii="Wingdings" w:hAnsi="Wingdings" w:hint="default"/>
      </w:rPr>
    </w:lvl>
    <w:lvl w:ilvl="8" w:tplc="EA58D078" w:tentative="1">
      <w:start w:val="1"/>
      <w:numFmt w:val="bullet"/>
      <w:lvlText w:val=""/>
      <w:lvlJc w:val="left"/>
      <w:pPr>
        <w:tabs>
          <w:tab w:val="num" w:pos="6480"/>
        </w:tabs>
        <w:ind w:left="6480" w:hanging="360"/>
      </w:pPr>
      <w:rPr>
        <w:rFonts w:ascii="Wingdings" w:hAnsi="Wingdings" w:hint="default"/>
      </w:rPr>
    </w:lvl>
  </w:abstractNum>
  <w:abstractNum w:abstractNumId="13">
    <w:nsid w:val="2B627953"/>
    <w:multiLevelType w:val="hybridMultilevel"/>
    <w:tmpl w:val="275A2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0D47568"/>
    <w:multiLevelType w:val="hybridMultilevel"/>
    <w:tmpl w:val="F402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5252C2"/>
    <w:multiLevelType w:val="hybridMultilevel"/>
    <w:tmpl w:val="C314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1B03FF"/>
    <w:multiLevelType w:val="hybridMultilevel"/>
    <w:tmpl w:val="EEF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816BE"/>
    <w:multiLevelType w:val="hybridMultilevel"/>
    <w:tmpl w:val="3AD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670DED"/>
    <w:multiLevelType w:val="hybridMultilevel"/>
    <w:tmpl w:val="30DA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397E6284"/>
    <w:multiLevelType w:val="hybridMultilevel"/>
    <w:tmpl w:val="62A85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0D15103"/>
    <w:multiLevelType w:val="hybridMultilevel"/>
    <w:tmpl w:val="71D0AF8C"/>
    <w:lvl w:ilvl="0" w:tplc="804EC7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8D736E"/>
    <w:multiLevelType w:val="hybridMultilevel"/>
    <w:tmpl w:val="0DACD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2569CB"/>
    <w:multiLevelType w:val="hybridMultilevel"/>
    <w:tmpl w:val="E224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4E7F41"/>
    <w:multiLevelType w:val="hybridMultilevel"/>
    <w:tmpl w:val="4AA06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D2DC0"/>
    <w:multiLevelType w:val="hybridMultilevel"/>
    <w:tmpl w:val="B20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EA1A03"/>
    <w:multiLevelType w:val="hybridMultilevel"/>
    <w:tmpl w:val="8084B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FE712C"/>
    <w:multiLevelType w:val="hybridMultilevel"/>
    <w:tmpl w:val="096A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184BAD"/>
    <w:multiLevelType w:val="hybridMultilevel"/>
    <w:tmpl w:val="E476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843070"/>
    <w:multiLevelType w:val="hybridMultilevel"/>
    <w:tmpl w:val="E042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D74C5"/>
    <w:multiLevelType w:val="hybridMultilevel"/>
    <w:tmpl w:val="0A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66665F"/>
    <w:multiLevelType w:val="hybridMultilevel"/>
    <w:tmpl w:val="48F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672B21"/>
    <w:multiLevelType w:val="hybridMultilevel"/>
    <w:tmpl w:val="74CE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D81625"/>
    <w:multiLevelType w:val="hybridMultilevel"/>
    <w:tmpl w:val="731C8FDC"/>
    <w:lvl w:ilvl="0" w:tplc="164810D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512D82"/>
    <w:multiLevelType w:val="multilevel"/>
    <w:tmpl w:val="E2602438"/>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272443"/>
    <w:multiLevelType w:val="hybridMultilevel"/>
    <w:tmpl w:val="B8D2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C1398A"/>
    <w:multiLevelType w:val="hybridMultilevel"/>
    <w:tmpl w:val="303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0AA3151"/>
    <w:multiLevelType w:val="multilevel"/>
    <w:tmpl w:val="4A4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E00AB"/>
    <w:multiLevelType w:val="hybridMultilevel"/>
    <w:tmpl w:val="BD7E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965F2D"/>
    <w:multiLevelType w:val="hybridMultilevel"/>
    <w:tmpl w:val="0A38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87945"/>
    <w:multiLevelType w:val="hybridMultilevel"/>
    <w:tmpl w:val="59A6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883456"/>
    <w:multiLevelType w:val="hybridMultilevel"/>
    <w:tmpl w:val="EAE4B724"/>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nsid w:val="7042762F"/>
    <w:multiLevelType w:val="hybridMultilevel"/>
    <w:tmpl w:val="6C3CD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4A408AE"/>
    <w:multiLevelType w:val="hybridMultilevel"/>
    <w:tmpl w:val="44B8B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64B79B6"/>
    <w:multiLevelType w:val="hybridMultilevel"/>
    <w:tmpl w:val="2FE8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C332FF"/>
    <w:multiLevelType w:val="hybridMultilevel"/>
    <w:tmpl w:val="4640786A"/>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D4C2FBA"/>
    <w:multiLevelType w:val="hybridMultilevel"/>
    <w:tmpl w:val="F35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89447D"/>
    <w:multiLevelType w:val="hybridMultilevel"/>
    <w:tmpl w:val="9166A0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DF60C94"/>
    <w:multiLevelType w:val="hybridMultilevel"/>
    <w:tmpl w:val="B7746B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890063"/>
    <w:multiLevelType w:val="hybridMultilevel"/>
    <w:tmpl w:val="EE54B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1"/>
  </w:num>
  <w:num w:numId="3">
    <w:abstractNumId w:val="42"/>
  </w:num>
  <w:num w:numId="4">
    <w:abstractNumId w:val="5"/>
  </w:num>
  <w:num w:numId="5">
    <w:abstractNumId w:val="23"/>
  </w:num>
  <w:num w:numId="6">
    <w:abstractNumId w:val="38"/>
  </w:num>
  <w:num w:numId="7">
    <w:abstractNumId w:val="18"/>
  </w:num>
  <w:num w:numId="8">
    <w:abstractNumId w:val="46"/>
  </w:num>
  <w:num w:numId="9">
    <w:abstractNumId w:val="16"/>
  </w:num>
  <w:num w:numId="10">
    <w:abstractNumId w:val="4"/>
  </w:num>
  <w:num w:numId="11">
    <w:abstractNumId w:val="44"/>
  </w:num>
  <w:num w:numId="12">
    <w:abstractNumId w:val="29"/>
  </w:num>
  <w:num w:numId="13">
    <w:abstractNumId w:val="12"/>
  </w:num>
  <w:num w:numId="14">
    <w:abstractNumId w:val="39"/>
  </w:num>
  <w:num w:numId="15">
    <w:abstractNumId w:val="10"/>
  </w:num>
  <w:num w:numId="16">
    <w:abstractNumId w:val="17"/>
  </w:num>
  <w:num w:numId="17">
    <w:abstractNumId w:val="20"/>
  </w:num>
  <w:num w:numId="18">
    <w:abstractNumId w:val="45"/>
  </w:num>
  <w:num w:numId="19">
    <w:abstractNumId w:val="11"/>
  </w:num>
  <w:num w:numId="20">
    <w:abstractNumId w:val="1"/>
  </w:num>
  <w:num w:numId="21">
    <w:abstractNumId w:val="40"/>
  </w:num>
  <w:num w:numId="22">
    <w:abstractNumId w:val="6"/>
  </w:num>
  <w:num w:numId="23">
    <w:abstractNumId w:val="15"/>
  </w:num>
  <w:num w:numId="24">
    <w:abstractNumId w:val="34"/>
  </w:num>
  <w:num w:numId="25">
    <w:abstractNumId w:val="36"/>
  </w:num>
  <w:num w:numId="26">
    <w:abstractNumId w:val="48"/>
  </w:num>
  <w:num w:numId="27">
    <w:abstractNumId w:val="21"/>
  </w:num>
  <w:num w:numId="28">
    <w:abstractNumId w:val="30"/>
  </w:num>
  <w:num w:numId="29">
    <w:abstractNumId w:val="33"/>
  </w:num>
  <w:num w:numId="30">
    <w:abstractNumId w:val="9"/>
  </w:num>
  <w:num w:numId="31">
    <w:abstractNumId w:val="8"/>
  </w:num>
  <w:num w:numId="32">
    <w:abstractNumId w:val="22"/>
  </w:num>
  <w:num w:numId="33">
    <w:abstractNumId w:val="3"/>
  </w:num>
  <w:num w:numId="34">
    <w:abstractNumId w:val="14"/>
  </w:num>
  <w:num w:numId="35">
    <w:abstractNumId w:val="24"/>
  </w:num>
  <w:num w:numId="36">
    <w:abstractNumId w:val="37"/>
  </w:num>
  <w:num w:numId="37">
    <w:abstractNumId w:val="28"/>
  </w:num>
  <w:num w:numId="38">
    <w:abstractNumId w:val="43"/>
  </w:num>
  <w:num w:numId="39">
    <w:abstractNumId w:val="0"/>
  </w:num>
  <w:num w:numId="40">
    <w:abstractNumId w:val="35"/>
  </w:num>
  <w:num w:numId="41">
    <w:abstractNumId w:val="26"/>
  </w:num>
  <w:num w:numId="42">
    <w:abstractNumId w:val="31"/>
  </w:num>
  <w:num w:numId="43">
    <w:abstractNumId w:val="32"/>
  </w:num>
  <w:num w:numId="44">
    <w:abstractNumId w:val="13"/>
  </w:num>
  <w:num w:numId="45">
    <w:abstractNumId w:val="19"/>
  </w:num>
  <w:num w:numId="46">
    <w:abstractNumId w:val="2"/>
  </w:num>
  <w:num w:numId="47">
    <w:abstractNumId w:val="7"/>
  </w:num>
  <w:num w:numId="48">
    <w:abstractNumId w:val="47"/>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UCCI Francesco Felice (SG)">
    <w15:presenceInfo w15:providerId="None" w15:userId="CARLUCCI Francesco Felic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658DBE-4500-4944-A897-96A517839C63"/>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Bruxelles,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18)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Mod en omfattende EU-ramme for hormonforstyrrende stoffer"/>
    <w:docVar w:name="LW_TYPE.DOC.CP" w:val="MEDDELELSE FRA KOMMISSIONEN TIL EUROPA-PARLAMENTET, RÅDET, DET EUROPÆISKE ØKONOMISKE OG SOCIALE UDVALG OG REGIONSUDVALGE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da-DK" w:bidi="da-D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u w:val="single"/>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uiPriority w:val="99"/>
    <w:rPr>
      <w:rFonts w:cs="Times New Roman"/>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309">
      <w:bodyDiv w:val="1"/>
      <w:marLeft w:val="0"/>
      <w:marRight w:val="0"/>
      <w:marTop w:val="0"/>
      <w:marBottom w:val="0"/>
      <w:divBdr>
        <w:top w:val="none" w:sz="0" w:space="0" w:color="auto"/>
        <w:left w:val="none" w:sz="0" w:space="0" w:color="auto"/>
        <w:bottom w:val="none" w:sz="0" w:space="0" w:color="auto"/>
        <w:right w:val="none" w:sz="0" w:space="0" w:color="auto"/>
      </w:divBdr>
      <w:divsChild>
        <w:div w:id="1101030620">
          <w:marLeft w:val="0"/>
          <w:marRight w:val="0"/>
          <w:marTop w:val="0"/>
          <w:marBottom w:val="0"/>
          <w:divBdr>
            <w:top w:val="none" w:sz="0" w:space="0" w:color="auto"/>
            <w:left w:val="none" w:sz="0" w:space="0" w:color="auto"/>
            <w:bottom w:val="none" w:sz="0" w:space="0" w:color="auto"/>
            <w:right w:val="none" w:sz="0" w:space="0" w:color="auto"/>
          </w:divBdr>
        </w:div>
        <w:div w:id="2082094174">
          <w:marLeft w:val="0"/>
          <w:marRight w:val="0"/>
          <w:marTop w:val="0"/>
          <w:marBottom w:val="0"/>
          <w:divBdr>
            <w:top w:val="none" w:sz="0" w:space="0" w:color="auto"/>
            <w:left w:val="none" w:sz="0" w:space="0" w:color="auto"/>
            <w:bottom w:val="none" w:sz="0" w:space="0" w:color="auto"/>
            <w:right w:val="none" w:sz="0" w:space="0" w:color="auto"/>
          </w:divBdr>
        </w:div>
        <w:div w:id="2132896917">
          <w:marLeft w:val="0"/>
          <w:marRight w:val="0"/>
          <w:marTop w:val="0"/>
          <w:marBottom w:val="0"/>
          <w:divBdr>
            <w:top w:val="none" w:sz="0" w:space="0" w:color="auto"/>
            <w:left w:val="none" w:sz="0" w:space="0" w:color="auto"/>
            <w:bottom w:val="none" w:sz="0" w:space="0" w:color="auto"/>
            <w:right w:val="none" w:sz="0" w:space="0" w:color="auto"/>
          </w:divBdr>
        </w:div>
        <w:div w:id="1044410135">
          <w:marLeft w:val="0"/>
          <w:marRight w:val="0"/>
          <w:marTop w:val="0"/>
          <w:marBottom w:val="0"/>
          <w:divBdr>
            <w:top w:val="none" w:sz="0" w:space="0" w:color="auto"/>
            <w:left w:val="none" w:sz="0" w:space="0" w:color="auto"/>
            <w:bottom w:val="none" w:sz="0" w:space="0" w:color="auto"/>
            <w:right w:val="none" w:sz="0" w:space="0" w:color="auto"/>
          </w:divBdr>
        </w:div>
      </w:divsChild>
    </w:div>
    <w:div w:id="49622753">
      <w:bodyDiv w:val="1"/>
      <w:marLeft w:val="0"/>
      <w:marRight w:val="0"/>
      <w:marTop w:val="0"/>
      <w:marBottom w:val="0"/>
      <w:divBdr>
        <w:top w:val="none" w:sz="0" w:space="0" w:color="auto"/>
        <w:left w:val="none" w:sz="0" w:space="0" w:color="auto"/>
        <w:bottom w:val="none" w:sz="0" w:space="0" w:color="auto"/>
        <w:right w:val="none" w:sz="0" w:space="0" w:color="auto"/>
      </w:divBdr>
      <w:divsChild>
        <w:div w:id="1171068604">
          <w:marLeft w:val="0"/>
          <w:marRight w:val="0"/>
          <w:marTop w:val="0"/>
          <w:marBottom w:val="0"/>
          <w:divBdr>
            <w:top w:val="none" w:sz="0" w:space="0" w:color="auto"/>
            <w:left w:val="none" w:sz="0" w:space="0" w:color="auto"/>
            <w:bottom w:val="none" w:sz="0" w:space="0" w:color="auto"/>
            <w:right w:val="none" w:sz="0" w:space="0" w:color="auto"/>
          </w:divBdr>
          <w:divsChild>
            <w:div w:id="600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284">
      <w:bodyDiv w:val="1"/>
      <w:marLeft w:val="0"/>
      <w:marRight w:val="0"/>
      <w:marTop w:val="0"/>
      <w:marBottom w:val="0"/>
      <w:divBdr>
        <w:top w:val="none" w:sz="0" w:space="0" w:color="auto"/>
        <w:left w:val="none" w:sz="0" w:space="0" w:color="auto"/>
        <w:bottom w:val="none" w:sz="0" w:space="0" w:color="auto"/>
        <w:right w:val="none" w:sz="0" w:space="0" w:color="auto"/>
      </w:divBdr>
    </w:div>
    <w:div w:id="104035532">
      <w:bodyDiv w:val="1"/>
      <w:marLeft w:val="0"/>
      <w:marRight w:val="0"/>
      <w:marTop w:val="0"/>
      <w:marBottom w:val="0"/>
      <w:divBdr>
        <w:top w:val="none" w:sz="0" w:space="0" w:color="auto"/>
        <w:left w:val="none" w:sz="0" w:space="0" w:color="auto"/>
        <w:bottom w:val="none" w:sz="0" w:space="0" w:color="auto"/>
        <w:right w:val="none" w:sz="0" w:space="0" w:color="auto"/>
      </w:divBdr>
    </w:div>
    <w:div w:id="259799394">
      <w:bodyDiv w:val="1"/>
      <w:marLeft w:val="0"/>
      <w:marRight w:val="0"/>
      <w:marTop w:val="0"/>
      <w:marBottom w:val="0"/>
      <w:divBdr>
        <w:top w:val="none" w:sz="0" w:space="0" w:color="auto"/>
        <w:left w:val="none" w:sz="0" w:space="0" w:color="auto"/>
        <w:bottom w:val="none" w:sz="0" w:space="0" w:color="auto"/>
        <w:right w:val="none" w:sz="0" w:space="0" w:color="auto"/>
      </w:divBdr>
    </w:div>
    <w:div w:id="260535104">
      <w:bodyDiv w:val="1"/>
      <w:marLeft w:val="0"/>
      <w:marRight w:val="0"/>
      <w:marTop w:val="0"/>
      <w:marBottom w:val="0"/>
      <w:divBdr>
        <w:top w:val="none" w:sz="0" w:space="0" w:color="auto"/>
        <w:left w:val="none" w:sz="0" w:space="0" w:color="auto"/>
        <w:bottom w:val="none" w:sz="0" w:space="0" w:color="auto"/>
        <w:right w:val="none" w:sz="0" w:space="0" w:color="auto"/>
      </w:divBdr>
      <w:divsChild>
        <w:div w:id="1019552452">
          <w:marLeft w:val="0"/>
          <w:marRight w:val="0"/>
          <w:marTop w:val="0"/>
          <w:marBottom w:val="0"/>
          <w:divBdr>
            <w:top w:val="none" w:sz="0" w:space="0" w:color="auto"/>
            <w:left w:val="none" w:sz="0" w:space="0" w:color="auto"/>
            <w:bottom w:val="none" w:sz="0" w:space="0" w:color="auto"/>
            <w:right w:val="none" w:sz="0" w:space="0" w:color="auto"/>
          </w:divBdr>
        </w:div>
        <w:div w:id="1319069223">
          <w:marLeft w:val="0"/>
          <w:marRight w:val="0"/>
          <w:marTop w:val="0"/>
          <w:marBottom w:val="0"/>
          <w:divBdr>
            <w:top w:val="none" w:sz="0" w:space="0" w:color="auto"/>
            <w:left w:val="none" w:sz="0" w:space="0" w:color="auto"/>
            <w:bottom w:val="none" w:sz="0" w:space="0" w:color="auto"/>
            <w:right w:val="none" w:sz="0" w:space="0" w:color="auto"/>
          </w:divBdr>
        </w:div>
      </w:divsChild>
    </w:div>
    <w:div w:id="273292417">
      <w:bodyDiv w:val="1"/>
      <w:marLeft w:val="0"/>
      <w:marRight w:val="0"/>
      <w:marTop w:val="0"/>
      <w:marBottom w:val="0"/>
      <w:divBdr>
        <w:top w:val="none" w:sz="0" w:space="0" w:color="auto"/>
        <w:left w:val="none" w:sz="0" w:space="0" w:color="auto"/>
        <w:bottom w:val="none" w:sz="0" w:space="0" w:color="auto"/>
        <w:right w:val="none" w:sz="0" w:space="0" w:color="auto"/>
      </w:divBdr>
      <w:divsChild>
        <w:div w:id="61026827">
          <w:marLeft w:val="547"/>
          <w:marRight w:val="0"/>
          <w:marTop w:val="96"/>
          <w:marBottom w:val="0"/>
          <w:divBdr>
            <w:top w:val="none" w:sz="0" w:space="0" w:color="auto"/>
            <w:left w:val="none" w:sz="0" w:space="0" w:color="auto"/>
            <w:bottom w:val="none" w:sz="0" w:space="0" w:color="auto"/>
            <w:right w:val="none" w:sz="0" w:space="0" w:color="auto"/>
          </w:divBdr>
        </w:div>
        <w:div w:id="577442677">
          <w:marLeft w:val="1166"/>
          <w:marRight w:val="0"/>
          <w:marTop w:val="77"/>
          <w:marBottom w:val="0"/>
          <w:divBdr>
            <w:top w:val="none" w:sz="0" w:space="0" w:color="auto"/>
            <w:left w:val="none" w:sz="0" w:space="0" w:color="auto"/>
            <w:bottom w:val="none" w:sz="0" w:space="0" w:color="auto"/>
            <w:right w:val="none" w:sz="0" w:space="0" w:color="auto"/>
          </w:divBdr>
        </w:div>
        <w:div w:id="949971416">
          <w:marLeft w:val="1166"/>
          <w:marRight w:val="0"/>
          <w:marTop w:val="77"/>
          <w:marBottom w:val="0"/>
          <w:divBdr>
            <w:top w:val="none" w:sz="0" w:space="0" w:color="auto"/>
            <w:left w:val="none" w:sz="0" w:space="0" w:color="auto"/>
            <w:bottom w:val="none" w:sz="0" w:space="0" w:color="auto"/>
            <w:right w:val="none" w:sz="0" w:space="0" w:color="auto"/>
          </w:divBdr>
        </w:div>
        <w:div w:id="1182208790">
          <w:marLeft w:val="1166"/>
          <w:marRight w:val="0"/>
          <w:marTop w:val="77"/>
          <w:marBottom w:val="0"/>
          <w:divBdr>
            <w:top w:val="none" w:sz="0" w:space="0" w:color="auto"/>
            <w:left w:val="none" w:sz="0" w:space="0" w:color="auto"/>
            <w:bottom w:val="none" w:sz="0" w:space="0" w:color="auto"/>
            <w:right w:val="none" w:sz="0" w:space="0" w:color="auto"/>
          </w:divBdr>
        </w:div>
        <w:div w:id="1285042254">
          <w:marLeft w:val="1166"/>
          <w:marRight w:val="0"/>
          <w:marTop w:val="77"/>
          <w:marBottom w:val="0"/>
          <w:divBdr>
            <w:top w:val="none" w:sz="0" w:space="0" w:color="auto"/>
            <w:left w:val="none" w:sz="0" w:space="0" w:color="auto"/>
            <w:bottom w:val="none" w:sz="0" w:space="0" w:color="auto"/>
            <w:right w:val="none" w:sz="0" w:space="0" w:color="auto"/>
          </w:divBdr>
        </w:div>
        <w:div w:id="1475024716">
          <w:marLeft w:val="547"/>
          <w:marRight w:val="0"/>
          <w:marTop w:val="96"/>
          <w:marBottom w:val="0"/>
          <w:divBdr>
            <w:top w:val="none" w:sz="0" w:space="0" w:color="auto"/>
            <w:left w:val="none" w:sz="0" w:space="0" w:color="auto"/>
            <w:bottom w:val="none" w:sz="0" w:space="0" w:color="auto"/>
            <w:right w:val="none" w:sz="0" w:space="0" w:color="auto"/>
          </w:divBdr>
        </w:div>
        <w:div w:id="1712461244">
          <w:marLeft w:val="547"/>
          <w:marRight w:val="0"/>
          <w:marTop w:val="96"/>
          <w:marBottom w:val="0"/>
          <w:divBdr>
            <w:top w:val="none" w:sz="0" w:space="0" w:color="auto"/>
            <w:left w:val="none" w:sz="0" w:space="0" w:color="auto"/>
            <w:bottom w:val="none" w:sz="0" w:space="0" w:color="auto"/>
            <w:right w:val="none" w:sz="0" w:space="0" w:color="auto"/>
          </w:divBdr>
        </w:div>
        <w:div w:id="1799643144">
          <w:marLeft w:val="1166"/>
          <w:marRight w:val="0"/>
          <w:marTop w:val="77"/>
          <w:marBottom w:val="0"/>
          <w:divBdr>
            <w:top w:val="none" w:sz="0" w:space="0" w:color="auto"/>
            <w:left w:val="none" w:sz="0" w:space="0" w:color="auto"/>
            <w:bottom w:val="none" w:sz="0" w:space="0" w:color="auto"/>
            <w:right w:val="none" w:sz="0" w:space="0" w:color="auto"/>
          </w:divBdr>
        </w:div>
        <w:div w:id="1982804728">
          <w:marLeft w:val="547"/>
          <w:marRight w:val="0"/>
          <w:marTop w:val="96"/>
          <w:marBottom w:val="0"/>
          <w:divBdr>
            <w:top w:val="none" w:sz="0" w:space="0" w:color="auto"/>
            <w:left w:val="none" w:sz="0" w:space="0" w:color="auto"/>
            <w:bottom w:val="none" w:sz="0" w:space="0" w:color="auto"/>
            <w:right w:val="none" w:sz="0" w:space="0" w:color="auto"/>
          </w:divBdr>
        </w:div>
        <w:div w:id="1994554927">
          <w:marLeft w:val="547"/>
          <w:marRight w:val="0"/>
          <w:marTop w:val="96"/>
          <w:marBottom w:val="0"/>
          <w:divBdr>
            <w:top w:val="none" w:sz="0" w:space="0" w:color="auto"/>
            <w:left w:val="none" w:sz="0" w:space="0" w:color="auto"/>
            <w:bottom w:val="none" w:sz="0" w:space="0" w:color="auto"/>
            <w:right w:val="none" w:sz="0" w:space="0" w:color="auto"/>
          </w:divBdr>
        </w:div>
      </w:divsChild>
    </w:div>
    <w:div w:id="285739866">
      <w:bodyDiv w:val="1"/>
      <w:marLeft w:val="0"/>
      <w:marRight w:val="0"/>
      <w:marTop w:val="0"/>
      <w:marBottom w:val="0"/>
      <w:divBdr>
        <w:top w:val="none" w:sz="0" w:space="0" w:color="auto"/>
        <w:left w:val="none" w:sz="0" w:space="0" w:color="auto"/>
        <w:bottom w:val="none" w:sz="0" w:space="0" w:color="auto"/>
        <w:right w:val="none" w:sz="0" w:space="0" w:color="auto"/>
      </w:divBdr>
      <w:divsChild>
        <w:div w:id="1810051292">
          <w:marLeft w:val="0"/>
          <w:marRight w:val="0"/>
          <w:marTop w:val="0"/>
          <w:marBottom w:val="0"/>
          <w:divBdr>
            <w:top w:val="none" w:sz="0" w:space="0" w:color="auto"/>
            <w:left w:val="none" w:sz="0" w:space="0" w:color="auto"/>
            <w:bottom w:val="none" w:sz="0" w:space="0" w:color="auto"/>
            <w:right w:val="none" w:sz="0" w:space="0" w:color="auto"/>
          </w:divBdr>
        </w:div>
        <w:div w:id="2021615995">
          <w:marLeft w:val="0"/>
          <w:marRight w:val="0"/>
          <w:marTop w:val="0"/>
          <w:marBottom w:val="0"/>
          <w:divBdr>
            <w:top w:val="none" w:sz="0" w:space="0" w:color="auto"/>
            <w:left w:val="none" w:sz="0" w:space="0" w:color="auto"/>
            <w:bottom w:val="none" w:sz="0" w:space="0" w:color="auto"/>
            <w:right w:val="none" w:sz="0" w:space="0" w:color="auto"/>
          </w:divBdr>
        </w:div>
        <w:div w:id="719402742">
          <w:marLeft w:val="0"/>
          <w:marRight w:val="0"/>
          <w:marTop w:val="0"/>
          <w:marBottom w:val="0"/>
          <w:divBdr>
            <w:top w:val="none" w:sz="0" w:space="0" w:color="auto"/>
            <w:left w:val="none" w:sz="0" w:space="0" w:color="auto"/>
            <w:bottom w:val="none" w:sz="0" w:space="0" w:color="auto"/>
            <w:right w:val="none" w:sz="0" w:space="0" w:color="auto"/>
          </w:divBdr>
        </w:div>
        <w:div w:id="139813144">
          <w:marLeft w:val="0"/>
          <w:marRight w:val="0"/>
          <w:marTop w:val="0"/>
          <w:marBottom w:val="0"/>
          <w:divBdr>
            <w:top w:val="none" w:sz="0" w:space="0" w:color="auto"/>
            <w:left w:val="none" w:sz="0" w:space="0" w:color="auto"/>
            <w:bottom w:val="none" w:sz="0" w:space="0" w:color="auto"/>
            <w:right w:val="none" w:sz="0" w:space="0" w:color="auto"/>
          </w:divBdr>
        </w:div>
        <w:div w:id="1769545726">
          <w:marLeft w:val="0"/>
          <w:marRight w:val="0"/>
          <w:marTop w:val="0"/>
          <w:marBottom w:val="0"/>
          <w:divBdr>
            <w:top w:val="none" w:sz="0" w:space="0" w:color="auto"/>
            <w:left w:val="none" w:sz="0" w:space="0" w:color="auto"/>
            <w:bottom w:val="none" w:sz="0" w:space="0" w:color="auto"/>
            <w:right w:val="none" w:sz="0" w:space="0" w:color="auto"/>
          </w:divBdr>
        </w:div>
        <w:div w:id="1518427348">
          <w:marLeft w:val="0"/>
          <w:marRight w:val="0"/>
          <w:marTop w:val="0"/>
          <w:marBottom w:val="0"/>
          <w:divBdr>
            <w:top w:val="none" w:sz="0" w:space="0" w:color="auto"/>
            <w:left w:val="none" w:sz="0" w:space="0" w:color="auto"/>
            <w:bottom w:val="none" w:sz="0" w:space="0" w:color="auto"/>
            <w:right w:val="none" w:sz="0" w:space="0" w:color="auto"/>
          </w:divBdr>
        </w:div>
        <w:div w:id="1219825658">
          <w:marLeft w:val="0"/>
          <w:marRight w:val="0"/>
          <w:marTop w:val="0"/>
          <w:marBottom w:val="0"/>
          <w:divBdr>
            <w:top w:val="none" w:sz="0" w:space="0" w:color="auto"/>
            <w:left w:val="none" w:sz="0" w:space="0" w:color="auto"/>
            <w:bottom w:val="none" w:sz="0" w:space="0" w:color="auto"/>
            <w:right w:val="none" w:sz="0" w:space="0" w:color="auto"/>
          </w:divBdr>
        </w:div>
        <w:div w:id="40835928">
          <w:marLeft w:val="0"/>
          <w:marRight w:val="0"/>
          <w:marTop w:val="0"/>
          <w:marBottom w:val="0"/>
          <w:divBdr>
            <w:top w:val="none" w:sz="0" w:space="0" w:color="auto"/>
            <w:left w:val="none" w:sz="0" w:space="0" w:color="auto"/>
            <w:bottom w:val="none" w:sz="0" w:space="0" w:color="auto"/>
            <w:right w:val="none" w:sz="0" w:space="0" w:color="auto"/>
          </w:divBdr>
        </w:div>
      </w:divsChild>
    </w:div>
    <w:div w:id="296884119">
      <w:bodyDiv w:val="1"/>
      <w:marLeft w:val="0"/>
      <w:marRight w:val="0"/>
      <w:marTop w:val="0"/>
      <w:marBottom w:val="0"/>
      <w:divBdr>
        <w:top w:val="none" w:sz="0" w:space="0" w:color="auto"/>
        <w:left w:val="none" w:sz="0" w:space="0" w:color="auto"/>
        <w:bottom w:val="none" w:sz="0" w:space="0" w:color="auto"/>
        <w:right w:val="none" w:sz="0" w:space="0" w:color="auto"/>
      </w:divBdr>
      <w:divsChild>
        <w:div w:id="462817165">
          <w:marLeft w:val="0"/>
          <w:marRight w:val="0"/>
          <w:marTop w:val="0"/>
          <w:marBottom w:val="0"/>
          <w:divBdr>
            <w:top w:val="none" w:sz="0" w:space="0" w:color="auto"/>
            <w:left w:val="none" w:sz="0" w:space="0" w:color="auto"/>
            <w:bottom w:val="none" w:sz="0" w:space="0" w:color="auto"/>
            <w:right w:val="none" w:sz="0" w:space="0" w:color="auto"/>
          </w:divBdr>
        </w:div>
        <w:div w:id="825169465">
          <w:marLeft w:val="0"/>
          <w:marRight w:val="0"/>
          <w:marTop w:val="0"/>
          <w:marBottom w:val="0"/>
          <w:divBdr>
            <w:top w:val="none" w:sz="0" w:space="0" w:color="auto"/>
            <w:left w:val="none" w:sz="0" w:space="0" w:color="auto"/>
            <w:bottom w:val="none" w:sz="0" w:space="0" w:color="auto"/>
            <w:right w:val="none" w:sz="0" w:space="0" w:color="auto"/>
          </w:divBdr>
        </w:div>
        <w:div w:id="838619152">
          <w:marLeft w:val="0"/>
          <w:marRight w:val="0"/>
          <w:marTop w:val="0"/>
          <w:marBottom w:val="0"/>
          <w:divBdr>
            <w:top w:val="none" w:sz="0" w:space="0" w:color="auto"/>
            <w:left w:val="none" w:sz="0" w:space="0" w:color="auto"/>
            <w:bottom w:val="none" w:sz="0" w:space="0" w:color="auto"/>
            <w:right w:val="none" w:sz="0" w:space="0" w:color="auto"/>
          </w:divBdr>
        </w:div>
      </w:divsChild>
    </w:div>
    <w:div w:id="343173083">
      <w:bodyDiv w:val="1"/>
      <w:marLeft w:val="0"/>
      <w:marRight w:val="0"/>
      <w:marTop w:val="0"/>
      <w:marBottom w:val="0"/>
      <w:divBdr>
        <w:top w:val="none" w:sz="0" w:space="0" w:color="auto"/>
        <w:left w:val="none" w:sz="0" w:space="0" w:color="auto"/>
        <w:bottom w:val="none" w:sz="0" w:space="0" w:color="auto"/>
        <w:right w:val="none" w:sz="0" w:space="0" w:color="auto"/>
      </w:divBdr>
      <w:divsChild>
        <w:div w:id="658847829">
          <w:marLeft w:val="0"/>
          <w:marRight w:val="0"/>
          <w:marTop w:val="0"/>
          <w:marBottom w:val="0"/>
          <w:divBdr>
            <w:top w:val="none" w:sz="0" w:space="0" w:color="auto"/>
            <w:left w:val="none" w:sz="0" w:space="0" w:color="auto"/>
            <w:bottom w:val="none" w:sz="0" w:space="0" w:color="auto"/>
            <w:right w:val="none" w:sz="0" w:space="0" w:color="auto"/>
          </w:divBdr>
        </w:div>
        <w:div w:id="797334164">
          <w:marLeft w:val="0"/>
          <w:marRight w:val="0"/>
          <w:marTop w:val="0"/>
          <w:marBottom w:val="0"/>
          <w:divBdr>
            <w:top w:val="none" w:sz="0" w:space="0" w:color="auto"/>
            <w:left w:val="none" w:sz="0" w:space="0" w:color="auto"/>
            <w:bottom w:val="none" w:sz="0" w:space="0" w:color="auto"/>
            <w:right w:val="none" w:sz="0" w:space="0" w:color="auto"/>
          </w:divBdr>
        </w:div>
      </w:divsChild>
    </w:div>
    <w:div w:id="365177539">
      <w:bodyDiv w:val="1"/>
      <w:marLeft w:val="0"/>
      <w:marRight w:val="0"/>
      <w:marTop w:val="0"/>
      <w:marBottom w:val="0"/>
      <w:divBdr>
        <w:top w:val="none" w:sz="0" w:space="0" w:color="auto"/>
        <w:left w:val="none" w:sz="0" w:space="0" w:color="auto"/>
        <w:bottom w:val="none" w:sz="0" w:space="0" w:color="auto"/>
        <w:right w:val="none" w:sz="0" w:space="0" w:color="auto"/>
      </w:divBdr>
      <w:divsChild>
        <w:div w:id="1362583842">
          <w:marLeft w:val="0"/>
          <w:marRight w:val="0"/>
          <w:marTop w:val="0"/>
          <w:marBottom w:val="0"/>
          <w:divBdr>
            <w:top w:val="none" w:sz="0" w:space="0" w:color="auto"/>
            <w:left w:val="none" w:sz="0" w:space="0" w:color="auto"/>
            <w:bottom w:val="none" w:sz="0" w:space="0" w:color="auto"/>
            <w:right w:val="none" w:sz="0" w:space="0" w:color="auto"/>
          </w:divBdr>
        </w:div>
        <w:div w:id="136261778">
          <w:marLeft w:val="0"/>
          <w:marRight w:val="0"/>
          <w:marTop w:val="0"/>
          <w:marBottom w:val="0"/>
          <w:divBdr>
            <w:top w:val="none" w:sz="0" w:space="0" w:color="auto"/>
            <w:left w:val="none" w:sz="0" w:space="0" w:color="auto"/>
            <w:bottom w:val="none" w:sz="0" w:space="0" w:color="auto"/>
            <w:right w:val="none" w:sz="0" w:space="0" w:color="auto"/>
          </w:divBdr>
        </w:div>
        <w:div w:id="1651061049">
          <w:marLeft w:val="0"/>
          <w:marRight w:val="0"/>
          <w:marTop w:val="0"/>
          <w:marBottom w:val="0"/>
          <w:divBdr>
            <w:top w:val="none" w:sz="0" w:space="0" w:color="auto"/>
            <w:left w:val="none" w:sz="0" w:space="0" w:color="auto"/>
            <w:bottom w:val="none" w:sz="0" w:space="0" w:color="auto"/>
            <w:right w:val="none" w:sz="0" w:space="0" w:color="auto"/>
          </w:divBdr>
        </w:div>
        <w:div w:id="2085255226">
          <w:marLeft w:val="0"/>
          <w:marRight w:val="0"/>
          <w:marTop w:val="0"/>
          <w:marBottom w:val="0"/>
          <w:divBdr>
            <w:top w:val="none" w:sz="0" w:space="0" w:color="auto"/>
            <w:left w:val="none" w:sz="0" w:space="0" w:color="auto"/>
            <w:bottom w:val="none" w:sz="0" w:space="0" w:color="auto"/>
            <w:right w:val="none" w:sz="0" w:space="0" w:color="auto"/>
          </w:divBdr>
        </w:div>
        <w:div w:id="54620654">
          <w:marLeft w:val="0"/>
          <w:marRight w:val="0"/>
          <w:marTop w:val="0"/>
          <w:marBottom w:val="0"/>
          <w:divBdr>
            <w:top w:val="none" w:sz="0" w:space="0" w:color="auto"/>
            <w:left w:val="none" w:sz="0" w:space="0" w:color="auto"/>
            <w:bottom w:val="none" w:sz="0" w:space="0" w:color="auto"/>
            <w:right w:val="none" w:sz="0" w:space="0" w:color="auto"/>
          </w:divBdr>
        </w:div>
        <w:div w:id="1595672720">
          <w:marLeft w:val="0"/>
          <w:marRight w:val="0"/>
          <w:marTop w:val="0"/>
          <w:marBottom w:val="0"/>
          <w:divBdr>
            <w:top w:val="none" w:sz="0" w:space="0" w:color="auto"/>
            <w:left w:val="none" w:sz="0" w:space="0" w:color="auto"/>
            <w:bottom w:val="none" w:sz="0" w:space="0" w:color="auto"/>
            <w:right w:val="none" w:sz="0" w:space="0" w:color="auto"/>
          </w:divBdr>
        </w:div>
      </w:divsChild>
    </w:div>
    <w:div w:id="367535342">
      <w:bodyDiv w:val="1"/>
      <w:marLeft w:val="0"/>
      <w:marRight w:val="0"/>
      <w:marTop w:val="0"/>
      <w:marBottom w:val="0"/>
      <w:divBdr>
        <w:top w:val="none" w:sz="0" w:space="0" w:color="auto"/>
        <w:left w:val="none" w:sz="0" w:space="0" w:color="auto"/>
        <w:bottom w:val="none" w:sz="0" w:space="0" w:color="auto"/>
        <w:right w:val="none" w:sz="0" w:space="0" w:color="auto"/>
      </w:divBdr>
      <w:divsChild>
        <w:div w:id="1774931287">
          <w:marLeft w:val="0"/>
          <w:marRight w:val="0"/>
          <w:marTop w:val="0"/>
          <w:marBottom w:val="0"/>
          <w:divBdr>
            <w:top w:val="none" w:sz="0" w:space="0" w:color="auto"/>
            <w:left w:val="none" w:sz="0" w:space="0" w:color="auto"/>
            <w:bottom w:val="none" w:sz="0" w:space="0" w:color="auto"/>
            <w:right w:val="none" w:sz="0" w:space="0" w:color="auto"/>
          </w:divBdr>
        </w:div>
        <w:div w:id="355739742">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1016662125">
          <w:marLeft w:val="0"/>
          <w:marRight w:val="0"/>
          <w:marTop w:val="0"/>
          <w:marBottom w:val="0"/>
          <w:divBdr>
            <w:top w:val="none" w:sz="0" w:space="0" w:color="auto"/>
            <w:left w:val="none" w:sz="0" w:space="0" w:color="auto"/>
            <w:bottom w:val="none" w:sz="0" w:space="0" w:color="auto"/>
            <w:right w:val="none" w:sz="0" w:space="0" w:color="auto"/>
          </w:divBdr>
        </w:div>
        <w:div w:id="895118110">
          <w:marLeft w:val="0"/>
          <w:marRight w:val="0"/>
          <w:marTop w:val="0"/>
          <w:marBottom w:val="0"/>
          <w:divBdr>
            <w:top w:val="none" w:sz="0" w:space="0" w:color="auto"/>
            <w:left w:val="none" w:sz="0" w:space="0" w:color="auto"/>
            <w:bottom w:val="none" w:sz="0" w:space="0" w:color="auto"/>
            <w:right w:val="none" w:sz="0" w:space="0" w:color="auto"/>
          </w:divBdr>
        </w:div>
      </w:divsChild>
    </w:div>
    <w:div w:id="375738526">
      <w:bodyDiv w:val="1"/>
      <w:marLeft w:val="0"/>
      <w:marRight w:val="0"/>
      <w:marTop w:val="0"/>
      <w:marBottom w:val="0"/>
      <w:divBdr>
        <w:top w:val="none" w:sz="0" w:space="0" w:color="auto"/>
        <w:left w:val="none" w:sz="0" w:space="0" w:color="auto"/>
        <w:bottom w:val="none" w:sz="0" w:space="0" w:color="auto"/>
        <w:right w:val="none" w:sz="0" w:space="0" w:color="auto"/>
      </w:divBdr>
      <w:divsChild>
        <w:div w:id="37945928">
          <w:marLeft w:val="0"/>
          <w:marRight w:val="0"/>
          <w:marTop w:val="0"/>
          <w:marBottom w:val="0"/>
          <w:divBdr>
            <w:top w:val="none" w:sz="0" w:space="0" w:color="auto"/>
            <w:left w:val="none" w:sz="0" w:space="0" w:color="auto"/>
            <w:bottom w:val="none" w:sz="0" w:space="0" w:color="auto"/>
            <w:right w:val="none" w:sz="0" w:space="0" w:color="auto"/>
          </w:divBdr>
        </w:div>
        <w:div w:id="427694780">
          <w:marLeft w:val="0"/>
          <w:marRight w:val="0"/>
          <w:marTop w:val="0"/>
          <w:marBottom w:val="0"/>
          <w:divBdr>
            <w:top w:val="none" w:sz="0" w:space="0" w:color="auto"/>
            <w:left w:val="none" w:sz="0" w:space="0" w:color="auto"/>
            <w:bottom w:val="none" w:sz="0" w:space="0" w:color="auto"/>
            <w:right w:val="none" w:sz="0" w:space="0" w:color="auto"/>
          </w:divBdr>
        </w:div>
        <w:div w:id="702173003">
          <w:marLeft w:val="0"/>
          <w:marRight w:val="0"/>
          <w:marTop w:val="0"/>
          <w:marBottom w:val="0"/>
          <w:divBdr>
            <w:top w:val="none" w:sz="0" w:space="0" w:color="auto"/>
            <w:left w:val="none" w:sz="0" w:space="0" w:color="auto"/>
            <w:bottom w:val="none" w:sz="0" w:space="0" w:color="auto"/>
            <w:right w:val="none" w:sz="0" w:space="0" w:color="auto"/>
          </w:divBdr>
        </w:div>
        <w:div w:id="2030135164">
          <w:marLeft w:val="0"/>
          <w:marRight w:val="0"/>
          <w:marTop w:val="0"/>
          <w:marBottom w:val="0"/>
          <w:divBdr>
            <w:top w:val="none" w:sz="0" w:space="0" w:color="auto"/>
            <w:left w:val="none" w:sz="0" w:space="0" w:color="auto"/>
            <w:bottom w:val="none" w:sz="0" w:space="0" w:color="auto"/>
            <w:right w:val="none" w:sz="0" w:space="0" w:color="auto"/>
          </w:divBdr>
        </w:div>
      </w:divsChild>
    </w:div>
    <w:div w:id="399406007">
      <w:bodyDiv w:val="1"/>
      <w:marLeft w:val="0"/>
      <w:marRight w:val="0"/>
      <w:marTop w:val="0"/>
      <w:marBottom w:val="0"/>
      <w:divBdr>
        <w:top w:val="none" w:sz="0" w:space="0" w:color="auto"/>
        <w:left w:val="none" w:sz="0" w:space="0" w:color="auto"/>
        <w:bottom w:val="none" w:sz="0" w:space="0" w:color="auto"/>
        <w:right w:val="none" w:sz="0" w:space="0" w:color="auto"/>
      </w:divBdr>
    </w:div>
    <w:div w:id="405685315">
      <w:bodyDiv w:val="1"/>
      <w:marLeft w:val="0"/>
      <w:marRight w:val="0"/>
      <w:marTop w:val="0"/>
      <w:marBottom w:val="0"/>
      <w:divBdr>
        <w:top w:val="none" w:sz="0" w:space="0" w:color="auto"/>
        <w:left w:val="none" w:sz="0" w:space="0" w:color="auto"/>
        <w:bottom w:val="none" w:sz="0" w:space="0" w:color="auto"/>
        <w:right w:val="none" w:sz="0" w:space="0" w:color="auto"/>
      </w:divBdr>
      <w:divsChild>
        <w:div w:id="1114909535">
          <w:marLeft w:val="0"/>
          <w:marRight w:val="0"/>
          <w:marTop w:val="0"/>
          <w:marBottom w:val="0"/>
          <w:divBdr>
            <w:top w:val="none" w:sz="0" w:space="0" w:color="auto"/>
            <w:left w:val="none" w:sz="0" w:space="0" w:color="auto"/>
            <w:bottom w:val="none" w:sz="0" w:space="0" w:color="auto"/>
            <w:right w:val="none" w:sz="0" w:space="0" w:color="auto"/>
          </w:divBdr>
        </w:div>
        <w:div w:id="2012291543">
          <w:marLeft w:val="0"/>
          <w:marRight w:val="0"/>
          <w:marTop w:val="0"/>
          <w:marBottom w:val="0"/>
          <w:divBdr>
            <w:top w:val="none" w:sz="0" w:space="0" w:color="auto"/>
            <w:left w:val="none" w:sz="0" w:space="0" w:color="auto"/>
            <w:bottom w:val="none" w:sz="0" w:space="0" w:color="auto"/>
            <w:right w:val="none" w:sz="0" w:space="0" w:color="auto"/>
          </w:divBdr>
        </w:div>
        <w:div w:id="946548411">
          <w:marLeft w:val="0"/>
          <w:marRight w:val="0"/>
          <w:marTop w:val="0"/>
          <w:marBottom w:val="0"/>
          <w:divBdr>
            <w:top w:val="none" w:sz="0" w:space="0" w:color="auto"/>
            <w:left w:val="none" w:sz="0" w:space="0" w:color="auto"/>
            <w:bottom w:val="none" w:sz="0" w:space="0" w:color="auto"/>
            <w:right w:val="none" w:sz="0" w:space="0" w:color="auto"/>
          </w:divBdr>
        </w:div>
        <w:div w:id="1427458572">
          <w:marLeft w:val="0"/>
          <w:marRight w:val="0"/>
          <w:marTop w:val="0"/>
          <w:marBottom w:val="0"/>
          <w:divBdr>
            <w:top w:val="none" w:sz="0" w:space="0" w:color="auto"/>
            <w:left w:val="none" w:sz="0" w:space="0" w:color="auto"/>
            <w:bottom w:val="none" w:sz="0" w:space="0" w:color="auto"/>
            <w:right w:val="none" w:sz="0" w:space="0" w:color="auto"/>
          </w:divBdr>
        </w:div>
        <w:div w:id="1139221778">
          <w:marLeft w:val="0"/>
          <w:marRight w:val="0"/>
          <w:marTop w:val="0"/>
          <w:marBottom w:val="0"/>
          <w:divBdr>
            <w:top w:val="none" w:sz="0" w:space="0" w:color="auto"/>
            <w:left w:val="none" w:sz="0" w:space="0" w:color="auto"/>
            <w:bottom w:val="none" w:sz="0" w:space="0" w:color="auto"/>
            <w:right w:val="none" w:sz="0" w:space="0" w:color="auto"/>
          </w:divBdr>
        </w:div>
        <w:div w:id="771390091">
          <w:marLeft w:val="0"/>
          <w:marRight w:val="0"/>
          <w:marTop w:val="0"/>
          <w:marBottom w:val="0"/>
          <w:divBdr>
            <w:top w:val="none" w:sz="0" w:space="0" w:color="auto"/>
            <w:left w:val="none" w:sz="0" w:space="0" w:color="auto"/>
            <w:bottom w:val="none" w:sz="0" w:space="0" w:color="auto"/>
            <w:right w:val="none" w:sz="0" w:space="0" w:color="auto"/>
          </w:divBdr>
        </w:div>
        <w:div w:id="1463771928">
          <w:marLeft w:val="0"/>
          <w:marRight w:val="0"/>
          <w:marTop w:val="0"/>
          <w:marBottom w:val="0"/>
          <w:divBdr>
            <w:top w:val="none" w:sz="0" w:space="0" w:color="auto"/>
            <w:left w:val="none" w:sz="0" w:space="0" w:color="auto"/>
            <w:bottom w:val="none" w:sz="0" w:space="0" w:color="auto"/>
            <w:right w:val="none" w:sz="0" w:space="0" w:color="auto"/>
          </w:divBdr>
        </w:div>
        <w:div w:id="1201865392">
          <w:marLeft w:val="0"/>
          <w:marRight w:val="0"/>
          <w:marTop w:val="0"/>
          <w:marBottom w:val="0"/>
          <w:divBdr>
            <w:top w:val="none" w:sz="0" w:space="0" w:color="auto"/>
            <w:left w:val="none" w:sz="0" w:space="0" w:color="auto"/>
            <w:bottom w:val="none" w:sz="0" w:space="0" w:color="auto"/>
            <w:right w:val="none" w:sz="0" w:space="0" w:color="auto"/>
          </w:divBdr>
        </w:div>
      </w:divsChild>
    </w:div>
    <w:div w:id="460728199">
      <w:bodyDiv w:val="1"/>
      <w:marLeft w:val="0"/>
      <w:marRight w:val="0"/>
      <w:marTop w:val="0"/>
      <w:marBottom w:val="0"/>
      <w:divBdr>
        <w:top w:val="none" w:sz="0" w:space="0" w:color="auto"/>
        <w:left w:val="none" w:sz="0" w:space="0" w:color="auto"/>
        <w:bottom w:val="none" w:sz="0" w:space="0" w:color="auto"/>
        <w:right w:val="none" w:sz="0" w:space="0" w:color="auto"/>
      </w:divBdr>
    </w:div>
    <w:div w:id="461771863">
      <w:bodyDiv w:val="1"/>
      <w:marLeft w:val="0"/>
      <w:marRight w:val="0"/>
      <w:marTop w:val="0"/>
      <w:marBottom w:val="0"/>
      <w:divBdr>
        <w:top w:val="none" w:sz="0" w:space="0" w:color="auto"/>
        <w:left w:val="none" w:sz="0" w:space="0" w:color="auto"/>
        <w:bottom w:val="none" w:sz="0" w:space="0" w:color="auto"/>
        <w:right w:val="none" w:sz="0" w:space="0" w:color="auto"/>
      </w:divBdr>
      <w:divsChild>
        <w:div w:id="17121802">
          <w:marLeft w:val="0"/>
          <w:marRight w:val="0"/>
          <w:marTop w:val="0"/>
          <w:marBottom w:val="0"/>
          <w:divBdr>
            <w:top w:val="none" w:sz="0" w:space="0" w:color="auto"/>
            <w:left w:val="none" w:sz="0" w:space="0" w:color="auto"/>
            <w:bottom w:val="none" w:sz="0" w:space="0" w:color="auto"/>
            <w:right w:val="none" w:sz="0" w:space="0" w:color="auto"/>
          </w:divBdr>
        </w:div>
        <w:div w:id="843281873">
          <w:marLeft w:val="0"/>
          <w:marRight w:val="0"/>
          <w:marTop w:val="0"/>
          <w:marBottom w:val="0"/>
          <w:divBdr>
            <w:top w:val="none" w:sz="0" w:space="0" w:color="auto"/>
            <w:left w:val="none" w:sz="0" w:space="0" w:color="auto"/>
            <w:bottom w:val="none" w:sz="0" w:space="0" w:color="auto"/>
            <w:right w:val="none" w:sz="0" w:space="0" w:color="auto"/>
          </w:divBdr>
        </w:div>
      </w:divsChild>
    </w:div>
    <w:div w:id="467361707">
      <w:bodyDiv w:val="1"/>
      <w:marLeft w:val="0"/>
      <w:marRight w:val="0"/>
      <w:marTop w:val="0"/>
      <w:marBottom w:val="0"/>
      <w:divBdr>
        <w:top w:val="none" w:sz="0" w:space="0" w:color="auto"/>
        <w:left w:val="none" w:sz="0" w:space="0" w:color="auto"/>
        <w:bottom w:val="none" w:sz="0" w:space="0" w:color="auto"/>
        <w:right w:val="none" w:sz="0" w:space="0" w:color="auto"/>
      </w:divBdr>
    </w:div>
    <w:div w:id="587930506">
      <w:bodyDiv w:val="1"/>
      <w:marLeft w:val="0"/>
      <w:marRight w:val="0"/>
      <w:marTop w:val="0"/>
      <w:marBottom w:val="0"/>
      <w:divBdr>
        <w:top w:val="none" w:sz="0" w:space="0" w:color="auto"/>
        <w:left w:val="none" w:sz="0" w:space="0" w:color="auto"/>
        <w:bottom w:val="none" w:sz="0" w:space="0" w:color="auto"/>
        <w:right w:val="none" w:sz="0" w:space="0" w:color="auto"/>
      </w:divBdr>
    </w:div>
    <w:div w:id="604506938">
      <w:bodyDiv w:val="1"/>
      <w:marLeft w:val="0"/>
      <w:marRight w:val="0"/>
      <w:marTop w:val="0"/>
      <w:marBottom w:val="0"/>
      <w:divBdr>
        <w:top w:val="none" w:sz="0" w:space="0" w:color="auto"/>
        <w:left w:val="none" w:sz="0" w:space="0" w:color="auto"/>
        <w:bottom w:val="none" w:sz="0" w:space="0" w:color="auto"/>
        <w:right w:val="none" w:sz="0" w:space="0" w:color="auto"/>
      </w:divBdr>
      <w:divsChild>
        <w:div w:id="26413848">
          <w:marLeft w:val="0"/>
          <w:marRight w:val="0"/>
          <w:marTop w:val="0"/>
          <w:marBottom w:val="0"/>
          <w:divBdr>
            <w:top w:val="none" w:sz="0" w:space="0" w:color="auto"/>
            <w:left w:val="none" w:sz="0" w:space="0" w:color="auto"/>
            <w:bottom w:val="none" w:sz="0" w:space="0" w:color="auto"/>
            <w:right w:val="none" w:sz="0" w:space="0" w:color="auto"/>
          </w:divBdr>
          <w:divsChild>
            <w:div w:id="4661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5334">
      <w:bodyDiv w:val="1"/>
      <w:marLeft w:val="0"/>
      <w:marRight w:val="0"/>
      <w:marTop w:val="0"/>
      <w:marBottom w:val="0"/>
      <w:divBdr>
        <w:top w:val="none" w:sz="0" w:space="0" w:color="auto"/>
        <w:left w:val="none" w:sz="0" w:space="0" w:color="auto"/>
        <w:bottom w:val="none" w:sz="0" w:space="0" w:color="auto"/>
        <w:right w:val="none" w:sz="0" w:space="0" w:color="auto"/>
      </w:divBdr>
      <w:divsChild>
        <w:div w:id="1177423237">
          <w:marLeft w:val="0"/>
          <w:marRight w:val="0"/>
          <w:marTop w:val="0"/>
          <w:marBottom w:val="0"/>
          <w:divBdr>
            <w:top w:val="none" w:sz="0" w:space="0" w:color="auto"/>
            <w:left w:val="none" w:sz="0" w:space="0" w:color="auto"/>
            <w:bottom w:val="none" w:sz="0" w:space="0" w:color="auto"/>
            <w:right w:val="none" w:sz="0" w:space="0" w:color="auto"/>
          </w:divBdr>
        </w:div>
        <w:div w:id="859851418">
          <w:marLeft w:val="0"/>
          <w:marRight w:val="0"/>
          <w:marTop w:val="0"/>
          <w:marBottom w:val="0"/>
          <w:divBdr>
            <w:top w:val="none" w:sz="0" w:space="0" w:color="auto"/>
            <w:left w:val="none" w:sz="0" w:space="0" w:color="auto"/>
            <w:bottom w:val="none" w:sz="0" w:space="0" w:color="auto"/>
            <w:right w:val="none" w:sz="0" w:space="0" w:color="auto"/>
          </w:divBdr>
        </w:div>
      </w:divsChild>
    </w:div>
    <w:div w:id="724254084">
      <w:bodyDiv w:val="1"/>
      <w:marLeft w:val="0"/>
      <w:marRight w:val="0"/>
      <w:marTop w:val="0"/>
      <w:marBottom w:val="0"/>
      <w:divBdr>
        <w:top w:val="none" w:sz="0" w:space="0" w:color="auto"/>
        <w:left w:val="none" w:sz="0" w:space="0" w:color="auto"/>
        <w:bottom w:val="none" w:sz="0" w:space="0" w:color="auto"/>
        <w:right w:val="none" w:sz="0" w:space="0" w:color="auto"/>
      </w:divBdr>
      <w:divsChild>
        <w:div w:id="77332945">
          <w:marLeft w:val="0"/>
          <w:marRight w:val="0"/>
          <w:marTop w:val="0"/>
          <w:marBottom w:val="0"/>
          <w:divBdr>
            <w:top w:val="none" w:sz="0" w:space="0" w:color="auto"/>
            <w:left w:val="none" w:sz="0" w:space="0" w:color="auto"/>
            <w:bottom w:val="none" w:sz="0" w:space="0" w:color="auto"/>
            <w:right w:val="none" w:sz="0" w:space="0" w:color="auto"/>
          </w:divBdr>
        </w:div>
        <w:div w:id="893277686">
          <w:marLeft w:val="0"/>
          <w:marRight w:val="0"/>
          <w:marTop w:val="0"/>
          <w:marBottom w:val="0"/>
          <w:divBdr>
            <w:top w:val="none" w:sz="0" w:space="0" w:color="auto"/>
            <w:left w:val="none" w:sz="0" w:space="0" w:color="auto"/>
            <w:bottom w:val="none" w:sz="0" w:space="0" w:color="auto"/>
            <w:right w:val="none" w:sz="0" w:space="0" w:color="auto"/>
          </w:divBdr>
        </w:div>
      </w:divsChild>
    </w:div>
    <w:div w:id="749276787">
      <w:bodyDiv w:val="1"/>
      <w:marLeft w:val="0"/>
      <w:marRight w:val="0"/>
      <w:marTop w:val="0"/>
      <w:marBottom w:val="0"/>
      <w:divBdr>
        <w:top w:val="none" w:sz="0" w:space="0" w:color="auto"/>
        <w:left w:val="none" w:sz="0" w:space="0" w:color="auto"/>
        <w:bottom w:val="none" w:sz="0" w:space="0" w:color="auto"/>
        <w:right w:val="none" w:sz="0" w:space="0" w:color="auto"/>
      </w:divBdr>
    </w:div>
    <w:div w:id="756557405">
      <w:bodyDiv w:val="1"/>
      <w:marLeft w:val="0"/>
      <w:marRight w:val="0"/>
      <w:marTop w:val="0"/>
      <w:marBottom w:val="0"/>
      <w:divBdr>
        <w:top w:val="none" w:sz="0" w:space="0" w:color="auto"/>
        <w:left w:val="none" w:sz="0" w:space="0" w:color="auto"/>
        <w:bottom w:val="none" w:sz="0" w:space="0" w:color="auto"/>
        <w:right w:val="none" w:sz="0" w:space="0" w:color="auto"/>
      </w:divBdr>
    </w:div>
    <w:div w:id="771171611">
      <w:bodyDiv w:val="1"/>
      <w:marLeft w:val="0"/>
      <w:marRight w:val="0"/>
      <w:marTop w:val="0"/>
      <w:marBottom w:val="0"/>
      <w:divBdr>
        <w:top w:val="none" w:sz="0" w:space="0" w:color="auto"/>
        <w:left w:val="none" w:sz="0" w:space="0" w:color="auto"/>
        <w:bottom w:val="none" w:sz="0" w:space="0" w:color="auto"/>
        <w:right w:val="none" w:sz="0" w:space="0" w:color="auto"/>
      </w:divBdr>
      <w:divsChild>
        <w:div w:id="1497769958">
          <w:marLeft w:val="0"/>
          <w:marRight w:val="0"/>
          <w:marTop w:val="0"/>
          <w:marBottom w:val="0"/>
          <w:divBdr>
            <w:top w:val="none" w:sz="0" w:space="0" w:color="auto"/>
            <w:left w:val="none" w:sz="0" w:space="0" w:color="auto"/>
            <w:bottom w:val="none" w:sz="0" w:space="0" w:color="auto"/>
            <w:right w:val="none" w:sz="0" w:space="0" w:color="auto"/>
          </w:divBdr>
          <w:divsChild>
            <w:div w:id="909193732">
              <w:marLeft w:val="0"/>
              <w:marRight w:val="0"/>
              <w:marTop w:val="0"/>
              <w:marBottom w:val="150"/>
              <w:divBdr>
                <w:top w:val="none" w:sz="0" w:space="0" w:color="auto"/>
                <w:left w:val="none" w:sz="0" w:space="0" w:color="auto"/>
                <w:bottom w:val="none" w:sz="0" w:space="0" w:color="auto"/>
                <w:right w:val="none" w:sz="0" w:space="0" w:color="auto"/>
              </w:divBdr>
              <w:divsChild>
                <w:div w:id="795561127">
                  <w:marLeft w:val="0"/>
                  <w:marRight w:val="0"/>
                  <w:marTop w:val="0"/>
                  <w:marBottom w:val="0"/>
                  <w:divBdr>
                    <w:top w:val="none" w:sz="0" w:space="0" w:color="auto"/>
                    <w:left w:val="none" w:sz="0" w:space="0" w:color="auto"/>
                    <w:bottom w:val="none" w:sz="0" w:space="0" w:color="auto"/>
                    <w:right w:val="none" w:sz="0" w:space="0" w:color="auto"/>
                  </w:divBdr>
                  <w:divsChild>
                    <w:div w:id="1475876303">
                      <w:marLeft w:val="0"/>
                      <w:marRight w:val="0"/>
                      <w:marTop w:val="0"/>
                      <w:marBottom w:val="0"/>
                      <w:divBdr>
                        <w:top w:val="none" w:sz="0" w:space="0" w:color="auto"/>
                        <w:left w:val="none" w:sz="0" w:space="0" w:color="auto"/>
                        <w:bottom w:val="none" w:sz="0" w:space="0" w:color="auto"/>
                        <w:right w:val="none" w:sz="0" w:space="0" w:color="auto"/>
                      </w:divBdr>
                      <w:divsChild>
                        <w:div w:id="2020039158">
                          <w:marLeft w:val="0"/>
                          <w:marRight w:val="0"/>
                          <w:marTop w:val="0"/>
                          <w:marBottom w:val="0"/>
                          <w:divBdr>
                            <w:top w:val="none" w:sz="0" w:space="0" w:color="auto"/>
                            <w:left w:val="none" w:sz="0" w:space="0" w:color="auto"/>
                            <w:bottom w:val="none" w:sz="0" w:space="0" w:color="auto"/>
                            <w:right w:val="none" w:sz="0" w:space="0" w:color="auto"/>
                          </w:divBdr>
                          <w:divsChild>
                            <w:div w:id="1574390686">
                              <w:marLeft w:val="0"/>
                              <w:marRight w:val="0"/>
                              <w:marTop w:val="0"/>
                              <w:marBottom w:val="0"/>
                              <w:divBdr>
                                <w:top w:val="none" w:sz="0" w:space="0" w:color="auto"/>
                                <w:left w:val="none" w:sz="0" w:space="0" w:color="auto"/>
                                <w:bottom w:val="none" w:sz="0" w:space="0" w:color="auto"/>
                                <w:right w:val="none" w:sz="0" w:space="0" w:color="auto"/>
                              </w:divBdr>
                              <w:divsChild>
                                <w:div w:id="150564153">
                                  <w:marLeft w:val="0"/>
                                  <w:marRight w:val="-3600"/>
                                  <w:marTop w:val="150"/>
                                  <w:marBottom w:val="0"/>
                                  <w:divBdr>
                                    <w:top w:val="none" w:sz="0" w:space="0" w:color="auto"/>
                                    <w:left w:val="none" w:sz="0" w:space="0" w:color="auto"/>
                                    <w:bottom w:val="none" w:sz="0" w:space="0" w:color="auto"/>
                                    <w:right w:val="none" w:sz="0" w:space="0" w:color="auto"/>
                                  </w:divBdr>
                                  <w:divsChild>
                                    <w:div w:id="1616252572">
                                      <w:marLeft w:val="0"/>
                                      <w:marRight w:val="3600"/>
                                      <w:marTop w:val="0"/>
                                      <w:marBottom w:val="0"/>
                                      <w:divBdr>
                                        <w:top w:val="none" w:sz="0" w:space="0" w:color="auto"/>
                                        <w:left w:val="none" w:sz="0" w:space="0" w:color="auto"/>
                                        <w:bottom w:val="none" w:sz="0" w:space="0" w:color="auto"/>
                                        <w:right w:val="none" w:sz="0" w:space="0" w:color="auto"/>
                                      </w:divBdr>
                                      <w:divsChild>
                                        <w:div w:id="1214151117">
                                          <w:marLeft w:val="0"/>
                                          <w:marRight w:val="0"/>
                                          <w:marTop w:val="0"/>
                                          <w:marBottom w:val="0"/>
                                          <w:divBdr>
                                            <w:top w:val="none" w:sz="0" w:space="0" w:color="auto"/>
                                            <w:left w:val="none" w:sz="0" w:space="0" w:color="auto"/>
                                            <w:bottom w:val="none" w:sz="0" w:space="0" w:color="auto"/>
                                            <w:right w:val="none" w:sz="0" w:space="0" w:color="auto"/>
                                          </w:divBdr>
                                          <w:divsChild>
                                            <w:div w:id="882254435">
                                              <w:marLeft w:val="0"/>
                                              <w:marRight w:val="0"/>
                                              <w:marTop w:val="0"/>
                                              <w:marBottom w:val="0"/>
                                              <w:divBdr>
                                                <w:top w:val="none" w:sz="0" w:space="0" w:color="auto"/>
                                                <w:left w:val="none" w:sz="0" w:space="0" w:color="auto"/>
                                                <w:bottom w:val="none" w:sz="0" w:space="0" w:color="auto"/>
                                                <w:right w:val="none" w:sz="0" w:space="0" w:color="auto"/>
                                              </w:divBdr>
                                              <w:divsChild>
                                                <w:div w:id="1982465406">
                                                  <w:marLeft w:val="0"/>
                                                  <w:marRight w:val="0"/>
                                                  <w:marTop w:val="0"/>
                                                  <w:marBottom w:val="0"/>
                                                  <w:divBdr>
                                                    <w:top w:val="none" w:sz="0" w:space="0" w:color="auto"/>
                                                    <w:left w:val="none" w:sz="0" w:space="0" w:color="auto"/>
                                                    <w:bottom w:val="none" w:sz="0" w:space="0" w:color="auto"/>
                                                    <w:right w:val="none" w:sz="0" w:space="0" w:color="auto"/>
                                                  </w:divBdr>
                                                  <w:divsChild>
                                                    <w:div w:id="7219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800719">
      <w:bodyDiv w:val="1"/>
      <w:marLeft w:val="0"/>
      <w:marRight w:val="0"/>
      <w:marTop w:val="0"/>
      <w:marBottom w:val="0"/>
      <w:divBdr>
        <w:top w:val="none" w:sz="0" w:space="0" w:color="auto"/>
        <w:left w:val="none" w:sz="0" w:space="0" w:color="auto"/>
        <w:bottom w:val="none" w:sz="0" w:space="0" w:color="auto"/>
        <w:right w:val="none" w:sz="0" w:space="0" w:color="auto"/>
      </w:divBdr>
    </w:div>
    <w:div w:id="805464211">
      <w:bodyDiv w:val="1"/>
      <w:marLeft w:val="0"/>
      <w:marRight w:val="0"/>
      <w:marTop w:val="0"/>
      <w:marBottom w:val="0"/>
      <w:divBdr>
        <w:top w:val="none" w:sz="0" w:space="0" w:color="auto"/>
        <w:left w:val="none" w:sz="0" w:space="0" w:color="auto"/>
        <w:bottom w:val="none" w:sz="0" w:space="0" w:color="auto"/>
        <w:right w:val="none" w:sz="0" w:space="0" w:color="auto"/>
      </w:divBdr>
      <w:divsChild>
        <w:div w:id="859509659">
          <w:marLeft w:val="0"/>
          <w:marRight w:val="0"/>
          <w:marTop w:val="0"/>
          <w:marBottom w:val="0"/>
          <w:divBdr>
            <w:top w:val="none" w:sz="0" w:space="0" w:color="auto"/>
            <w:left w:val="none" w:sz="0" w:space="0" w:color="auto"/>
            <w:bottom w:val="none" w:sz="0" w:space="0" w:color="auto"/>
            <w:right w:val="none" w:sz="0" w:space="0" w:color="auto"/>
          </w:divBdr>
        </w:div>
        <w:div w:id="1133595661">
          <w:marLeft w:val="0"/>
          <w:marRight w:val="0"/>
          <w:marTop w:val="0"/>
          <w:marBottom w:val="0"/>
          <w:divBdr>
            <w:top w:val="none" w:sz="0" w:space="0" w:color="auto"/>
            <w:left w:val="none" w:sz="0" w:space="0" w:color="auto"/>
            <w:bottom w:val="none" w:sz="0" w:space="0" w:color="auto"/>
            <w:right w:val="none" w:sz="0" w:space="0" w:color="auto"/>
          </w:divBdr>
        </w:div>
      </w:divsChild>
    </w:div>
    <w:div w:id="839857019">
      <w:bodyDiv w:val="1"/>
      <w:marLeft w:val="0"/>
      <w:marRight w:val="0"/>
      <w:marTop w:val="0"/>
      <w:marBottom w:val="0"/>
      <w:divBdr>
        <w:top w:val="none" w:sz="0" w:space="0" w:color="auto"/>
        <w:left w:val="none" w:sz="0" w:space="0" w:color="auto"/>
        <w:bottom w:val="none" w:sz="0" w:space="0" w:color="auto"/>
        <w:right w:val="none" w:sz="0" w:space="0" w:color="auto"/>
      </w:divBdr>
    </w:div>
    <w:div w:id="863438673">
      <w:bodyDiv w:val="1"/>
      <w:marLeft w:val="0"/>
      <w:marRight w:val="0"/>
      <w:marTop w:val="0"/>
      <w:marBottom w:val="0"/>
      <w:divBdr>
        <w:top w:val="none" w:sz="0" w:space="0" w:color="auto"/>
        <w:left w:val="none" w:sz="0" w:space="0" w:color="auto"/>
        <w:bottom w:val="none" w:sz="0" w:space="0" w:color="auto"/>
        <w:right w:val="none" w:sz="0" w:space="0" w:color="auto"/>
      </w:divBdr>
      <w:divsChild>
        <w:div w:id="1164468629">
          <w:marLeft w:val="0"/>
          <w:marRight w:val="0"/>
          <w:marTop w:val="0"/>
          <w:marBottom w:val="0"/>
          <w:divBdr>
            <w:top w:val="none" w:sz="0" w:space="0" w:color="auto"/>
            <w:left w:val="none" w:sz="0" w:space="0" w:color="auto"/>
            <w:bottom w:val="none" w:sz="0" w:space="0" w:color="auto"/>
            <w:right w:val="none" w:sz="0" w:space="0" w:color="auto"/>
          </w:divBdr>
        </w:div>
        <w:div w:id="1155415645">
          <w:marLeft w:val="0"/>
          <w:marRight w:val="0"/>
          <w:marTop w:val="0"/>
          <w:marBottom w:val="0"/>
          <w:divBdr>
            <w:top w:val="none" w:sz="0" w:space="0" w:color="auto"/>
            <w:left w:val="none" w:sz="0" w:space="0" w:color="auto"/>
            <w:bottom w:val="none" w:sz="0" w:space="0" w:color="auto"/>
            <w:right w:val="none" w:sz="0" w:space="0" w:color="auto"/>
          </w:divBdr>
        </w:div>
        <w:div w:id="2126148777">
          <w:marLeft w:val="0"/>
          <w:marRight w:val="0"/>
          <w:marTop w:val="0"/>
          <w:marBottom w:val="0"/>
          <w:divBdr>
            <w:top w:val="none" w:sz="0" w:space="0" w:color="auto"/>
            <w:left w:val="none" w:sz="0" w:space="0" w:color="auto"/>
            <w:bottom w:val="none" w:sz="0" w:space="0" w:color="auto"/>
            <w:right w:val="none" w:sz="0" w:space="0" w:color="auto"/>
          </w:divBdr>
        </w:div>
      </w:divsChild>
    </w:div>
    <w:div w:id="867794782">
      <w:bodyDiv w:val="1"/>
      <w:marLeft w:val="0"/>
      <w:marRight w:val="0"/>
      <w:marTop w:val="0"/>
      <w:marBottom w:val="0"/>
      <w:divBdr>
        <w:top w:val="none" w:sz="0" w:space="0" w:color="auto"/>
        <w:left w:val="none" w:sz="0" w:space="0" w:color="auto"/>
        <w:bottom w:val="none" w:sz="0" w:space="0" w:color="auto"/>
        <w:right w:val="none" w:sz="0" w:space="0" w:color="auto"/>
      </w:divBdr>
    </w:div>
    <w:div w:id="885068968">
      <w:bodyDiv w:val="1"/>
      <w:marLeft w:val="0"/>
      <w:marRight w:val="0"/>
      <w:marTop w:val="0"/>
      <w:marBottom w:val="0"/>
      <w:divBdr>
        <w:top w:val="none" w:sz="0" w:space="0" w:color="auto"/>
        <w:left w:val="none" w:sz="0" w:space="0" w:color="auto"/>
        <w:bottom w:val="none" w:sz="0" w:space="0" w:color="auto"/>
        <w:right w:val="none" w:sz="0" w:space="0" w:color="auto"/>
      </w:divBdr>
      <w:divsChild>
        <w:div w:id="413279342">
          <w:marLeft w:val="0"/>
          <w:marRight w:val="0"/>
          <w:marTop w:val="0"/>
          <w:marBottom w:val="0"/>
          <w:divBdr>
            <w:top w:val="none" w:sz="0" w:space="0" w:color="auto"/>
            <w:left w:val="none" w:sz="0" w:space="0" w:color="auto"/>
            <w:bottom w:val="none" w:sz="0" w:space="0" w:color="auto"/>
            <w:right w:val="none" w:sz="0" w:space="0" w:color="auto"/>
          </w:divBdr>
        </w:div>
        <w:div w:id="766734264">
          <w:marLeft w:val="0"/>
          <w:marRight w:val="0"/>
          <w:marTop w:val="0"/>
          <w:marBottom w:val="0"/>
          <w:divBdr>
            <w:top w:val="none" w:sz="0" w:space="0" w:color="auto"/>
            <w:left w:val="none" w:sz="0" w:space="0" w:color="auto"/>
            <w:bottom w:val="none" w:sz="0" w:space="0" w:color="auto"/>
            <w:right w:val="none" w:sz="0" w:space="0" w:color="auto"/>
          </w:divBdr>
        </w:div>
        <w:div w:id="368721349">
          <w:marLeft w:val="0"/>
          <w:marRight w:val="0"/>
          <w:marTop w:val="0"/>
          <w:marBottom w:val="0"/>
          <w:divBdr>
            <w:top w:val="none" w:sz="0" w:space="0" w:color="auto"/>
            <w:left w:val="none" w:sz="0" w:space="0" w:color="auto"/>
            <w:bottom w:val="none" w:sz="0" w:space="0" w:color="auto"/>
            <w:right w:val="none" w:sz="0" w:space="0" w:color="auto"/>
          </w:divBdr>
        </w:div>
        <w:div w:id="1187519764">
          <w:marLeft w:val="0"/>
          <w:marRight w:val="0"/>
          <w:marTop w:val="0"/>
          <w:marBottom w:val="0"/>
          <w:divBdr>
            <w:top w:val="none" w:sz="0" w:space="0" w:color="auto"/>
            <w:left w:val="none" w:sz="0" w:space="0" w:color="auto"/>
            <w:bottom w:val="none" w:sz="0" w:space="0" w:color="auto"/>
            <w:right w:val="none" w:sz="0" w:space="0" w:color="auto"/>
          </w:divBdr>
        </w:div>
        <w:div w:id="321587301">
          <w:marLeft w:val="0"/>
          <w:marRight w:val="0"/>
          <w:marTop w:val="0"/>
          <w:marBottom w:val="0"/>
          <w:divBdr>
            <w:top w:val="none" w:sz="0" w:space="0" w:color="auto"/>
            <w:left w:val="none" w:sz="0" w:space="0" w:color="auto"/>
            <w:bottom w:val="none" w:sz="0" w:space="0" w:color="auto"/>
            <w:right w:val="none" w:sz="0" w:space="0" w:color="auto"/>
          </w:divBdr>
        </w:div>
        <w:div w:id="517501796">
          <w:marLeft w:val="0"/>
          <w:marRight w:val="0"/>
          <w:marTop w:val="0"/>
          <w:marBottom w:val="0"/>
          <w:divBdr>
            <w:top w:val="none" w:sz="0" w:space="0" w:color="auto"/>
            <w:left w:val="none" w:sz="0" w:space="0" w:color="auto"/>
            <w:bottom w:val="none" w:sz="0" w:space="0" w:color="auto"/>
            <w:right w:val="none" w:sz="0" w:space="0" w:color="auto"/>
          </w:divBdr>
        </w:div>
        <w:div w:id="1873957418">
          <w:marLeft w:val="0"/>
          <w:marRight w:val="0"/>
          <w:marTop w:val="0"/>
          <w:marBottom w:val="0"/>
          <w:divBdr>
            <w:top w:val="none" w:sz="0" w:space="0" w:color="auto"/>
            <w:left w:val="none" w:sz="0" w:space="0" w:color="auto"/>
            <w:bottom w:val="none" w:sz="0" w:space="0" w:color="auto"/>
            <w:right w:val="none" w:sz="0" w:space="0" w:color="auto"/>
          </w:divBdr>
        </w:div>
        <w:div w:id="910777599">
          <w:marLeft w:val="0"/>
          <w:marRight w:val="0"/>
          <w:marTop w:val="0"/>
          <w:marBottom w:val="0"/>
          <w:divBdr>
            <w:top w:val="none" w:sz="0" w:space="0" w:color="auto"/>
            <w:left w:val="none" w:sz="0" w:space="0" w:color="auto"/>
            <w:bottom w:val="none" w:sz="0" w:space="0" w:color="auto"/>
            <w:right w:val="none" w:sz="0" w:space="0" w:color="auto"/>
          </w:divBdr>
        </w:div>
        <w:div w:id="1373581438">
          <w:marLeft w:val="0"/>
          <w:marRight w:val="0"/>
          <w:marTop w:val="0"/>
          <w:marBottom w:val="0"/>
          <w:divBdr>
            <w:top w:val="none" w:sz="0" w:space="0" w:color="auto"/>
            <w:left w:val="none" w:sz="0" w:space="0" w:color="auto"/>
            <w:bottom w:val="none" w:sz="0" w:space="0" w:color="auto"/>
            <w:right w:val="none" w:sz="0" w:space="0" w:color="auto"/>
          </w:divBdr>
        </w:div>
        <w:div w:id="1427576528">
          <w:marLeft w:val="0"/>
          <w:marRight w:val="0"/>
          <w:marTop w:val="0"/>
          <w:marBottom w:val="0"/>
          <w:divBdr>
            <w:top w:val="none" w:sz="0" w:space="0" w:color="auto"/>
            <w:left w:val="none" w:sz="0" w:space="0" w:color="auto"/>
            <w:bottom w:val="none" w:sz="0" w:space="0" w:color="auto"/>
            <w:right w:val="none" w:sz="0" w:space="0" w:color="auto"/>
          </w:divBdr>
        </w:div>
        <w:div w:id="792331687">
          <w:marLeft w:val="0"/>
          <w:marRight w:val="0"/>
          <w:marTop w:val="0"/>
          <w:marBottom w:val="0"/>
          <w:divBdr>
            <w:top w:val="none" w:sz="0" w:space="0" w:color="auto"/>
            <w:left w:val="none" w:sz="0" w:space="0" w:color="auto"/>
            <w:bottom w:val="none" w:sz="0" w:space="0" w:color="auto"/>
            <w:right w:val="none" w:sz="0" w:space="0" w:color="auto"/>
          </w:divBdr>
        </w:div>
        <w:div w:id="1894807047">
          <w:marLeft w:val="0"/>
          <w:marRight w:val="0"/>
          <w:marTop w:val="0"/>
          <w:marBottom w:val="0"/>
          <w:divBdr>
            <w:top w:val="none" w:sz="0" w:space="0" w:color="auto"/>
            <w:left w:val="none" w:sz="0" w:space="0" w:color="auto"/>
            <w:bottom w:val="none" w:sz="0" w:space="0" w:color="auto"/>
            <w:right w:val="none" w:sz="0" w:space="0" w:color="auto"/>
          </w:divBdr>
        </w:div>
        <w:div w:id="310521872">
          <w:marLeft w:val="0"/>
          <w:marRight w:val="0"/>
          <w:marTop w:val="0"/>
          <w:marBottom w:val="0"/>
          <w:divBdr>
            <w:top w:val="none" w:sz="0" w:space="0" w:color="auto"/>
            <w:left w:val="none" w:sz="0" w:space="0" w:color="auto"/>
            <w:bottom w:val="none" w:sz="0" w:space="0" w:color="auto"/>
            <w:right w:val="none" w:sz="0" w:space="0" w:color="auto"/>
          </w:divBdr>
        </w:div>
        <w:div w:id="2062362458">
          <w:marLeft w:val="0"/>
          <w:marRight w:val="0"/>
          <w:marTop w:val="0"/>
          <w:marBottom w:val="0"/>
          <w:divBdr>
            <w:top w:val="none" w:sz="0" w:space="0" w:color="auto"/>
            <w:left w:val="none" w:sz="0" w:space="0" w:color="auto"/>
            <w:bottom w:val="none" w:sz="0" w:space="0" w:color="auto"/>
            <w:right w:val="none" w:sz="0" w:space="0" w:color="auto"/>
          </w:divBdr>
        </w:div>
      </w:divsChild>
    </w:div>
    <w:div w:id="890310913">
      <w:bodyDiv w:val="1"/>
      <w:marLeft w:val="0"/>
      <w:marRight w:val="0"/>
      <w:marTop w:val="0"/>
      <w:marBottom w:val="0"/>
      <w:divBdr>
        <w:top w:val="none" w:sz="0" w:space="0" w:color="auto"/>
        <w:left w:val="none" w:sz="0" w:space="0" w:color="auto"/>
        <w:bottom w:val="none" w:sz="0" w:space="0" w:color="auto"/>
        <w:right w:val="none" w:sz="0" w:space="0" w:color="auto"/>
      </w:divBdr>
    </w:div>
    <w:div w:id="900333845">
      <w:bodyDiv w:val="1"/>
      <w:marLeft w:val="0"/>
      <w:marRight w:val="0"/>
      <w:marTop w:val="0"/>
      <w:marBottom w:val="0"/>
      <w:divBdr>
        <w:top w:val="none" w:sz="0" w:space="0" w:color="auto"/>
        <w:left w:val="none" w:sz="0" w:space="0" w:color="auto"/>
        <w:bottom w:val="none" w:sz="0" w:space="0" w:color="auto"/>
        <w:right w:val="none" w:sz="0" w:space="0" w:color="auto"/>
      </w:divBdr>
    </w:div>
    <w:div w:id="912664466">
      <w:bodyDiv w:val="1"/>
      <w:marLeft w:val="0"/>
      <w:marRight w:val="0"/>
      <w:marTop w:val="0"/>
      <w:marBottom w:val="0"/>
      <w:divBdr>
        <w:top w:val="none" w:sz="0" w:space="0" w:color="auto"/>
        <w:left w:val="none" w:sz="0" w:space="0" w:color="auto"/>
        <w:bottom w:val="none" w:sz="0" w:space="0" w:color="auto"/>
        <w:right w:val="none" w:sz="0" w:space="0" w:color="auto"/>
      </w:divBdr>
      <w:divsChild>
        <w:div w:id="100564530">
          <w:marLeft w:val="0"/>
          <w:marRight w:val="0"/>
          <w:marTop w:val="0"/>
          <w:marBottom w:val="0"/>
          <w:divBdr>
            <w:top w:val="none" w:sz="0" w:space="0" w:color="auto"/>
            <w:left w:val="none" w:sz="0" w:space="0" w:color="auto"/>
            <w:bottom w:val="none" w:sz="0" w:space="0" w:color="auto"/>
            <w:right w:val="none" w:sz="0" w:space="0" w:color="auto"/>
          </w:divBdr>
        </w:div>
        <w:div w:id="1597592413">
          <w:marLeft w:val="0"/>
          <w:marRight w:val="0"/>
          <w:marTop w:val="0"/>
          <w:marBottom w:val="0"/>
          <w:divBdr>
            <w:top w:val="none" w:sz="0" w:space="0" w:color="auto"/>
            <w:left w:val="none" w:sz="0" w:space="0" w:color="auto"/>
            <w:bottom w:val="none" w:sz="0" w:space="0" w:color="auto"/>
            <w:right w:val="none" w:sz="0" w:space="0" w:color="auto"/>
          </w:divBdr>
        </w:div>
      </w:divsChild>
    </w:div>
    <w:div w:id="931813096">
      <w:bodyDiv w:val="1"/>
      <w:marLeft w:val="0"/>
      <w:marRight w:val="0"/>
      <w:marTop w:val="0"/>
      <w:marBottom w:val="0"/>
      <w:divBdr>
        <w:top w:val="none" w:sz="0" w:space="0" w:color="auto"/>
        <w:left w:val="none" w:sz="0" w:space="0" w:color="auto"/>
        <w:bottom w:val="none" w:sz="0" w:space="0" w:color="auto"/>
        <w:right w:val="none" w:sz="0" w:space="0" w:color="auto"/>
      </w:divBdr>
    </w:div>
    <w:div w:id="938484481">
      <w:bodyDiv w:val="1"/>
      <w:marLeft w:val="0"/>
      <w:marRight w:val="0"/>
      <w:marTop w:val="0"/>
      <w:marBottom w:val="0"/>
      <w:divBdr>
        <w:top w:val="none" w:sz="0" w:space="0" w:color="auto"/>
        <w:left w:val="none" w:sz="0" w:space="0" w:color="auto"/>
        <w:bottom w:val="none" w:sz="0" w:space="0" w:color="auto"/>
        <w:right w:val="none" w:sz="0" w:space="0" w:color="auto"/>
      </w:divBdr>
    </w:div>
    <w:div w:id="956375490">
      <w:bodyDiv w:val="1"/>
      <w:marLeft w:val="0"/>
      <w:marRight w:val="0"/>
      <w:marTop w:val="0"/>
      <w:marBottom w:val="0"/>
      <w:divBdr>
        <w:top w:val="none" w:sz="0" w:space="0" w:color="auto"/>
        <w:left w:val="none" w:sz="0" w:space="0" w:color="auto"/>
        <w:bottom w:val="none" w:sz="0" w:space="0" w:color="auto"/>
        <w:right w:val="none" w:sz="0" w:space="0" w:color="auto"/>
      </w:divBdr>
      <w:divsChild>
        <w:div w:id="50354217">
          <w:marLeft w:val="0"/>
          <w:marRight w:val="0"/>
          <w:marTop w:val="0"/>
          <w:marBottom w:val="0"/>
          <w:divBdr>
            <w:top w:val="none" w:sz="0" w:space="0" w:color="auto"/>
            <w:left w:val="none" w:sz="0" w:space="0" w:color="auto"/>
            <w:bottom w:val="none" w:sz="0" w:space="0" w:color="auto"/>
            <w:right w:val="none" w:sz="0" w:space="0" w:color="auto"/>
          </w:divBdr>
        </w:div>
        <w:div w:id="1161769997">
          <w:marLeft w:val="0"/>
          <w:marRight w:val="0"/>
          <w:marTop w:val="0"/>
          <w:marBottom w:val="0"/>
          <w:divBdr>
            <w:top w:val="none" w:sz="0" w:space="0" w:color="auto"/>
            <w:left w:val="none" w:sz="0" w:space="0" w:color="auto"/>
            <w:bottom w:val="none" w:sz="0" w:space="0" w:color="auto"/>
            <w:right w:val="none" w:sz="0" w:space="0" w:color="auto"/>
          </w:divBdr>
        </w:div>
        <w:div w:id="1930430891">
          <w:marLeft w:val="0"/>
          <w:marRight w:val="0"/>
          <w:marTop w:val="0"/>
          <w:marBottom w:val="0"/>
          <w:divBdr>
            <w:top w:val="none" w:sz="0" w:space="0" w:color="auto"/>
            <w:left w:val="none" w:sz="0" w:space="0" w:color="auto"/>
            <w:bottom w:val="none" w:sz="0" w:space="0" w:color="auto"/>
            <w:right w:val="none" w:sz="0" w:space="0" w:color="auto"/>
          </w:divBdr>
        </w:div>
        <w:div w:id="2036926483">
          <w:marLeft w:val="0"/>
          <w:marRight w:val="0"/>
          <w:marTop w:val="0"/>
          <w:marBottom w:val="0"/>
          <w:divBdr>
            <w:top w:val="none" w:sz="0" w:space="0" w:color="auto"/>
            <w:left w:val="none" w:sz="0" w:space="0" w:color="auto"/>
            <w:bottom w:val="none" w:sz="0" w:space="0" w:color="auto"/>
            <w:right w:val="none" w:sz="0" w:space="0" w:color="auto"/>
          </w:divBdr>
        </w:div>
      </w:divsChild>
    </w:div>
    <w:div w:id="964772456">
      <w:bodyDiv w:val="1"/>
      <w:marLeft w:val="0"/>
      <w:marRight w:val="0"/>
      <w:marTop w:val="0"/>
      <w:marBottom w:val="0"/>
      <w:divBdr>
        <w:top w:val="none" w:sz="0" w:space="0" w:color="auto"/>
        <w:left w:val="none" w:sz="0" w:space="0" w:color="auto"/>
        <w:bottom w:val="none" w:sz="0" w:space="0" w:color="auto"/>
        <w:right w:val="none" w:sz="0" w:space="0" w:color="auto"/>
      </w:divBdr>
      <w:divsChild>
        <w:div w:id="2126346751">
          <w:marLeft w:val="0"/>
          <w:marRight w:val="0"/>
          <w:marTop w:val="0"/>
          <w:marBottom w:val="0"/>
          <w:divBdr>
            <w:top w:val="none" w:sz="0" w:space="0" w:color="auto"/>
            <w:left w:val="none" w:sz="0" w:space="0" w:color="auto"/>
            <w:bottom w:val="none" w:sz="0" w:space="0" w:color="auto"/>
            <w:right w:val="none" w:sz="0" w:space="0" w:color="auto"/>
          </w:divBdr>
          <w:divsChild>
            <w:div w:id="19040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238">
      <w:bodyDiv w:val="1"/>
      <w:marLeft w:val="0"/>
      <w:marRight w:val="0"/>
      <w:marTop w:val="0"/>
      <w:marBottom w:val="0"/>
      <w:divBdr>
        <w:top w:val="none" w:sz="0" w:space="0" w:color="auto"/>
        <w:left w:val="none" w:sz="0" w:space="0" w:color="auto"/>
        <w:bottom w:val="none" w:sz="0" w:space="0" w:color="auto"/>
        <w:right w:val="none" w:sz="0" w:space="0" w:color="auto"/>
      </w:divBdr>
    </w:div>
    <w:div w:id="1002515212">
      <w:bodyDiv w:val="1"/>
      <w:marLeft w:val="0"/>
      <w:marRight w:val="0"/>
      <w:marTop w:val="0"/>
      <w:marBottom w:val="0"/>
      <w:divBdr>
        <w:top w:val="none" w:sz="0" w:space="0" w:color="auto"/>
        <w:left w:val="none" w:sz="0" w:space="0" w:color="auto"/>
        <w:bottom w:val="none" w:sz="0" w:space="0" w:color="auto"/>
        <w:right w:val="none" w:sz="0" w:space="0" w:color="auto"/>
      </w:divBdr>
    </w:div>
    <w:div w:id="1029645232">
      <w:bodyDiv w:val="1"/>
      <w:marLeft w:val="0"/>
      <w:marRight w:val="0"/>
      <w:marTop w:val="0"/>
      <w:marBottom w:val="0"/>
      <w:divBdr>
        <w:top w:val="none" w:sz="0" w:space="0" w:color="auto"/>
        <w:left w:val="none" w:sz="0" w:space="0" w:color="auto"/>
        <w:bottom w:val="none" w:sz="0" w:space="0" w:color="auto"/>
        <w:right w:val="none" w:sz="0" w:space="0" w:color="auto"/>
      </w:divBdr>
      <w:divsChild>
        <w:div w:id="1342048115">
          <w:marLeft w:val="0"/>
          <w:marRight w:val="0"/>
          <w:marTop w:val="0"/>
          <w:marBottom w:val="0"/>
          <w:divBdr>
            <w:top w:val="none" w:sz="0" w:space="0" w:color="auto"/>
            <w:left w:val="none" w:sz="0" w:space="0" w:color="auto"/>
            <w:bottom w:val="none" w:sz="0" w:space="0" w:color="auto"/>
            <w:right w:val="none" w:sz="0" w:space="0" w:color="auto"/>
          </w:divBdr>
        </w:div>
        <w:div w:id="1365908382">
          <w:marLeft w:val="0"/>
          <w:marRight w:val="0"/>
          <w:marTop w:val="0"/>
          <w:marBottom w:val="0"/>
          <w:divBdr>
            <w:top w:val="none" w:sz="0" w:space="0" w:color="auto"/>
            <w:left w:val="none" w:sz="0" w:space="0" w:color="auto"/>
            <w:bottom w:val="none" w:sz="0" w:space="0" w:color="auto"/>
            <w:right w:val="none" w:sz="0" w:space="0" w:color="auto"/>
          </w:divBdr>
        </w:div>
        <w:div w:id="1577013166">
          <w:marLeft w:val="0"/>
          <w:marRight w:val="0"/>
          <w:marTop w:val="0"/>
          <w:marBottom w:val="0"/>
          <w:divBdr>
            <w:top w:val="none" w:sz="0" w:space="0" w:color="auto"/>
            <w:left w:val="none" w:sz="0" w:space="0" w:color="auto"/>
            <w:bottom w:val="none" w:sz="0" w:space="0" w:color="auto"/>
            <w:right w:val="none" w:sz="0" w:space="0" w:color="auto"/>
          </w:divBdr>
        </w:div>
        <w:div w:id="1765764583">
          <w:marLeft w:val="0"/>
          <w:marRight w:val="0"/>
          <w:marTop w:val="0"/>
          <w:marBottom w:val="0"/>
          <w:divBdr>
            <w:top w:val="none" w:sz="0" w:space="0" w:color="auto"/>
            <w:left w:val="none" w:sz="0" w:space="0" w:color="auto"/>
            <w:bottom w:val="none" w:sz="0" w:space="0" w:color="auto"/>
            <w:right w:val="none" w:sz="0" w:space="0" w:color="auto"/>
          </w:divBdr>
        </w:div>
        <w:div w:id="1908495155">
          <w:marLeft w:val="0"/>
          <w:marRight w:val="0"/>
          <w:marTop w:val="0"/>
          <w:marBottom w:val="0"/>
          <w:divBdr>
            <w:top w:val="none" w:sz="0" w:space="0" w:color="auto"/>
            <w:left w:val="none" w:sz="0" w:space="0" w:color="auto"/>
            <w:bottom w:val="none" w:sz="0" w:space="0" w:color="auto"/>
            <w:right w:val="none" w:sz="0" w:space="0" w:color="auto"/>
          </w:divBdr>
        </w:div>
        <w:div w:id="1962026905">
          <w:marLeft w:val="0"/>
          <w:marRight w:val="0"/>
          <w:marTop w:val="0"/>
          <w:marBottom w:val="0"/>
          <w:divBdr>
            <w:top w:val="none" w:sz="0" w:space="0" w:color="auto"/>
            <w:left w:val="none" w:sz="0" w:space="0" w:color="auto"/>
            <w:bottom w:val="none" w:sz="0" w:space="0" w:color="auto"/>
            <w:right w:val="none" w:sz="0" w:space="0" w:color="auto"/>
          </w:divBdr>
        </w:div>
        <w:div w:id="2136681170">
          <w:marLeft w:val="0"/>
          <w:marRight w:val="0"/>
          <w:marTop w:val="0"/>
          <w:marBottom w:val="0"/>
          <w:divBdr>
            <w:top w:val="none" w:sz="0" w:space="0" w:color="auto"/>
            <w:left w:val="none" w:sz="0" w:space="0" w:color="auto"/>
            <w:bottom w:val="none" w:sz="0" w:space="0" w:color="auto"/>
            <w:right w:val="none" w:sz="0" w:space="0" w:color="auto"/>
          </w:divBdr>
        </w:div>
      </w:divsChild>
    </w:div>
    <w:div w:id="1097019990">
      <w:bodyDiv w:val="1"/>
      <w:marLeft w:val="0"/>
      <w:marRight w:val="0"/>
      <w:marTop w:val="0"/>
      <w:marBottom w:val="0"/>
      <w:divBdr>
        <w:top w:val="none" w:sz="0" w:space="0" w:color="auto"/>
        <w:left w:val="none" w:sz="0" w:space="0" w:color="auto"/>
        <w:bottom w:val="none" w:sz="0" w:space="0" w:color="auto"/>
        <w:right w:val="none" w:sz="0" w:space="0" w:color="auto"/>
      </w:divBdr>
      <w:divsChild>
        <w:div w:id="871498661">
          <w:marLeft w:val="0"/>
          <w:marRight w:val="0"/>
          <w:marTop w:val="0"/>
          <w:marBottom w:val="0"/>
          <w:divBdr>
            <w:top w:val="none" w:sz="0" w:space="0" w:color="auto"/>
            <w:left w:val="none" w:sz="0" w:space="0" w:color="auto"/>
            <w:bottom w:val="none" w:sz="0" w:space="0" w:color="auto"/>
            <w:right w:val="none" w:sz="0" w:space="0" w:color="auto"/>
          </w:divBdr>
          <w:divsChild>
            <w:div w:id="20441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4699">
      <w:bodyDiv w:val="1"/>
      <w:marLeft w:val="0"/>
      <w:marRight w:val="0"/>
      <w:marTop w:val="0"/>
      <w:marBottom w:val="0"/>
      <w:divBdr>
        <w:top w:val="none" w:sz="0" w:space="0" w:color="auto"/>
        <w:left w:val="none" w:sz="0" w:space="0" w:color="auto"/>
        <w:bottom w:val="none" w:sz="0" w:space="0" w:color="auto"/>
        <w:right w:val="none" w:sz="0" w:space="0" w:color="auto"/>
      </w:divBdr>
    </w:div>
    <w:div w:id="1119879745">
      <w:bodyDiv w:val="1"/>
      <w:marLeft w:val="0"/>
      <w:marRight w:val="0"/>
      <w:marTop w:val="0"/>
      <w:marBottom w:val="0"/>
      <w:divBdr>
        <w:top w:val="none" w:sz="0" w:space="0" w:color="auto"/>
        <w:left w:val="none" w:sz="0" w:space="0" w:color="auto"/>
        <w:bottom w:val="none" w:sz="0" w:space="0" w:color="auto"/>
        <w:right w:val="none" w:sz="0" w:space="0" w:color="auto"/>
      </w:divBdr>
      <w:divsChild>
        <w:div w:id="1564293786">
          <w:marLeft w:val="0"/>
          <w:marRight w:val="0"/>
          <w:marTop w:val="0"/>
          <w:marBottom w:val="0"/>
          <w:divBdr>
            <w:top w:val="none" w:sz="0" w:space="0" w:color="auto"/>
            <w:left w:val="none" w:sz="0" w:space="0" w:color="auto"/>
            <w:bottom w:val="none" w:sz="0" w:space="0" w:color="auto"/>
            <w:right w:val="none" w:sz="0" w:space="0" w:color="auto"/>
          </w:divBdr>
          <w:divsChild>
            <w:div w:id="2206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0478">
      <w:bodyDiv w:val="1"/>
      <w:marLeft w:val="0"/>
      <w:marRight w:val="0"/>
      <w:marTop w:val="0"/>
      <w:marBottom w:val="0"/>
      <w:divBdr>
        <w:top w:val="none" w:sz="0" w:space="0" w:color="auto"/>
        <w:left w:val="none" w:sz="0" w:space="0" w:color="auto"/>
        <w:bottom w:val="none" w:sz="0" w:space="0" w:color="auto"/>
        <w:right w:val="none" w:sz="0" w:space="0" w:color="auto"/>
      </w:divBdr>
    </w:div>
    <w:div w:id="1161039233">
      <w:bodyDiv w:val="1"/>
      <w:marLeft w:val="0"/>
      <w:marRight w:val="0"/>
      <w:marTop w:val="0"/>
      <w:marBottom w:val="0"/>
      <w:divBdr>
        <w:top w:val="none" w:sz="0" w:space="0" w:color="auto"/>
        <w:left w:val="none" w:sz="0" w:space="0" w:color="auto"/>
        <w:bottom w:val="none" w:sz="0" w:space="0" w:color="auto"/>
        <w:right w:val="none" w:sz="0" w:space="0" w:color="auto"/>
      </w:divBdr>
    </w:div>
    <w:div w:id="1170486343">
      <w:bodyDiv w:val="1"/>
      <w:marLeft w:val="0"/>
      <w:marRight w:val="0"/>
      <w:marTop w:val="0"/>
      <w:marBottom w:val="0"/>
      <w:divBdr>
        <w:top w:val="none" w:sz="0" w:space="0" w:color="auto"/>
        <w:left w:val="none" w:sz="0" w:space="0" w:color="auto"/>
        <w:bottom w:val="none" w:sz="0" w:space="0" w:color="auto"/>
        <w:right w:val="none" w:sz="0" w:space="0" w:color="auto"/>
      </w:divBdr>
    </w:div>
    <w:div w:id="1173034377">
      <w:bodyDiv w:val="1"/>
      <w:marLeft w:val="0"/>
      <w:marRight w:val="0"/>
      <w:marTop w:val="0"/>
      <w:marBottom w:val="0"/>
      <w:divBdr>
        <w:top w:val="none" w:sz="0" w:space="0" w:color="auto"/>
        <w:left w:val="none" w:sz="0" w:space="0" w:color="auto"/>
        <w:bottom w:val="none" w:sz="0" w:space="0" w:color="auto"/>
        <w:right w:val="none" w:sz="0" w:space="0" w:color="auto"/>
      </w:divBdr>
      <w:divsChild>
        <w:div w:id="114103291">
          <w:marLeft w:val="0"/>
          <w:marRight w:val="0"/>
          <w:marTop w:val="0"/>
          <w:marBottom w:val="0"/>
          <w:divBdr>
            <w:top w:val="none" w:sz="0" w:space="0" w:color="auto"/>
            <w:left w:val="none" w:sz="0" w:space="0" w:color="auto"/>
            <w:bottom w:val="none" w:sz="0" w:space="0" w:color="auto"/>
            <w:right w:val="none" w:sz="0" w:space="0" w:color="auto"/>
          </w:divBdr>
        </w:div>
        <w:div w:id="143551514">
          <w:marLeft w:val="0"/>
          <w:marRight w:val="0"/>
          <w:marTop w:val="0"/>
          <w:marBottom w:val="0"/>
          <w:divBdr>
            <w:top w:val="none" w:sz="0" w:space="0" w:color="auto"/>
            <w:left w:val="none" w:sz="0" w:space="0" w:color="auto"/>
            <w:bottom w:val="none" w:sz="0" w:space="0" w:color="auto"/>
            <w:right w:val="none" w:sz="0" w:space="0" w:color="auto"/>
          </w:divBdr>
        </w:div>
        <w:div w:id="172570802">
          <w:marLeft w:val="0"/>
          <w:marRight w:val="0"/>
          <w:marTop w:val="0"/>
          <w:marBottom w:val="0"/>
          <w:divBdr>
            <w:top w:val="none" w:sz="0" w:space="0" w:color="auto"/>
            <w:left w:val="none" w:sz="0" w:space="0" w:color="auto"/>
            <w:bottom w:val="none" w:sz="0" w:space="0" w:color="auto"/>
            <w:right w:val="none" w:sz="0" w:space="0" w:color="auto"/>
          </w:divBdr>
        </w:div>
        <w:div w:id="380053554">
          <w:marLeft w:val="0"/>
          <w:marRight w:val="0"/>
          <w:marTop w:val="0"/>
          <w:marBottom w:val="0"/>
          <w:divBdr>
            <w:top w:val="none" w:sz="0" w:space="0" w:color="auto"/>
            <w:left w:val="none" w:sz="0" w:space="0" w:color="auto"/>
            <w:bottom w:val="none" w:sz="0" w:space="0" w:color="auto"/>
            <w:right w:val="none" w:sz="0" w:space="0" w:color="auto"/>
          </w:divBdr>
        </w:div>
        <w:div w:id="383793369">
          <w:marLeft w:val="0"/>
          <w:marRight w:val="0"/>
          <w:marTop w:val="0"/>
          <w:marBottom w:val="0"/>
          <w:divBdr>
            <w:top w:val="none" w:sz="0" w:space="0" w:color="auto"/>
            <w:left w:val="none" w:sz="0" w:space="0" w:color="auto"/>
            <w:bottom w:val="none" w:sz="0" w:space="0" w:color="auto"/>
            <w:right w:val="none" w:sz="0" w:space="0" w:color="auto"/>
          </w:divBdr>
        </w:div>
        <w:div w:id="473916689">
          <w:marLeft w:val="0"/>
          <w:marRight w:val="0"/>
          <w:marTop w:val="0"/>
          <w:marBottom w:val="0"/>
          <w:divBdr>
            <w:top w:val="none" w:sz="0" w:space="0" w:color="auto"/>
            <w:left w:val="none" w:sz="0" w:space="0" w:color="auto"/>
            <w:bottom w:val="none" w:sz="0" w:space="0" w:color="auto"/>
            <w:right w:val="none" w:sz="0" w:space="0" w:color="auto"/>
          </w:divBdr>
        </w:div>
        <w:div w:id="597833987">
          <w:marLeft w:val="0"/>
          <w:marRight w:val="0"/>
          <w:marTop w:val="0"/>
          <w:marBottom w:val="0"/>
          <w:divBdr>
            <w:top w:val="none" w:sz="0" w:space="0" w:color="auto"/>
            <w:left w:val="none" w:sz="0" w:space="0" w:color="auto"/>
            <w:bottom w:val="none" w:sz="0" w:space="0" w:color="auto"/>
            <w:right w:val="none" w:sz="0" w:space="0" w:color="auto"/>
          </w:divBdr>
        </w:div>
        <w:div w:id="752899331">
          <w:marLeft w:val="0"/>
          <w:marRight w:val="0"/>
          <w:marTop w:val="0"/>
          <w:marBottom w:val="0"/>
          <w:divBdr>
            <w:top w:val="none" w:sz="0" w:space="0" w:color="auto"/>
            <w:left w:val="none" w:sz="0" w:space="0" w:color="auto"/>
            <w:bottom w:val="none" w:sz="0" w:space="0" w:color="auto"/>
            <w:right w:val="none" w:sz="0" w:space="0" w:color="auto"/>
          </w:divBdr>
        </w:div>
        <w:div w:id="1265724584">
          <w:marLeft w:val="0"/>
          <w:marRight w:val="0"/>
          <w:marTop w:val="0"/>
          <w:marBottom w:val="0"/>
          <w:divBdr>
            <w:top w:val="none" w:sz="0" w:space="0" w:color="auto"/>
            <w:left w:val="none" w:sz="0" w:space="0" w:color="auto"/>
            <w:bottom w:val="none" w:sz="0" w:space="0" w:color="auto"/>
            <w:right w:val="none" w:sz="0" w:space="0" w:color="auto"/>
          </w:divBdr>
        </w:div>
        <w:div w:id="1314068232">
          <w:marLeft w:val="0"/>
          <w:marRight w:val="0"/>
          <w:marTop w:val="0"/>
          <w:marBottom w:val="0"/>
          <w:divBdr>
            <w:top w:val="none" w:sz="0" w:space="0" w:color="auto"/>
            <w:left w:val="none" w:sz="0" w:space="0" w:color="auto"/>
            <w:bottom w:val="none" w:sz="0" w:space="0" w:color="auto"/>
            <w:right w:val="none" w:sz="0" w:space="0" w:color="auto"/>
          </w:divBdr>
        </w:div>
        <w:div w:id="1453017157">
          <w:marLeft w:val="0"/>
          <w:marRight w:val="0"/>
          <w:marTop w:val="0"/>
          <w:marBottom w:val="0"/>
          <w:divBdr>
            <w:top w:val="none" w:sz="0" w:space="0" w:color="auto"/>
            <w:left w:val="none" w:sz="0" w:space="0" w:color="auto"/>
            <w:bottom w:val="none" w:sz="0" w:space="0" w:color="auto"/>
            <w:right w:val="none" w:sz="0" w:space="0" w:color="auto"/>
          </w:divBdr>
        </w:div>
        <w:div w:id="1551111975">
          <w:marLeft w:val="0"/>
          <w:marRight w:val="0"/>
          <w:marTop w:val="0"/>
          <w:marBottom w:val="0"/>
          <w:divBdr>
            <w:top w:val="none" w:sz="0" w:space="0" w:color="auto"/>
            <w:left w:val="none" w:sz="0" w:space="0" w:color="auto"/>
            <w:bottom w:val="none" w:sz="0" w:space="0" w:color="auto"/>
            <w:right w:val="none" w:sz="0" w:space="0" w:color="auto"/>
          </w:divBdr>
        </w:div>
        <w:div w:id="1700079742">
          <w:marLeft w:val="0"/>
          <w:marRight w:val="0"/>
          <w:marTop w:val="0"/>
          <w:marBottom w:val="0"/>
          <w:divBdr>
            <w:top w:val="none" w:sz="0" w:space="0" w:color="auto"/>
            <w:left w:val="none" w:sz="0" w:space="0" w:color="auto"/>
            <w:bottom w:val="none" w:sz="0" w:space="0" w:color="auto"/>
            <w:right w:val="none" w:sz="0" w:space="0" w:color="auto"/>
          </w:divBdr>
        </w:div>
        <w:div w:id="1752695655">
          <w:marLeft w:val="0"/>
          <w:marRight w:val="0"/>
          <w:marTop w:val="0"/>
          <w:marBottom w:val="0"/>
          <w:divBdr>
            <w:top w:val="none" w:sz="0" w:space="0" w:color="auto"/>
            <w:left w:val="none" w:sz="0" w:space="0" w:color="auto"/>
            <w:bottom w:val="none" w:sz="0" w:space="0" w:color="auto"/>
            <w:right w:val="none" w:sz="0" w:space="0" w:color="auto"/>
          </w:divBdr>
        </w:div>
        <w:div w:id="1790510596">
          <w:marLeft w:val="0"/>
          <w:marRight w:val="0"/>
          <w:marTop w:val="0"/>
          <w:marBottom w:val="0"/>
          <w:divBdr>
            <w:top w:val="none" w:sz="0" w:space="0" w:color="auto"/>
            <w:left w:val="none" w:sz="0" w:space="0" w:color="auto"/>
            <w:bottom w:val="none" w:sz="0" w:space="0" w:color="auto"/>
            <w:right w:val="none" w:sz="0" w:space="0" w:color="auto"/>
          </w:divBdr>
        </w:div>
        <w:div w:id="1866098182">
          <w:marLeft w:val="0"/>
          <w:marRight w:val="0"/>
          <w:marTop w:val="0"/>
          <w:marBottom w:val="0"/>
          <w:divBdr>
            <w:top w:val="none" w:sz="0" w:space="0" w:color="auto"/>
            <w:left w:val="none" w:sz="0" w:space="0" w:color="auto"/>
            <w:bottom w:val="none" w:sz="0" w:space="0" w:color="auto"/>
            <w:right w:val="none" w:sz="0" w:space="0" w:color="auto"/>
          </w:divBdr>
        </w:div>
      </w:divsChild>
    </w:div>
    <w:div w:id="1176581350">
      <w:bodyDiv w:val="1"/>
      <w:marLeft w:val="0"/>
      <w:marRight w:val="0"/>
      <w:marTop w:val="0"/>
      <w:marBottom w:val="0"/>
      <w:divBdr>
        <w:top w:val="none" w:sz="0" w:space="0" w:color="auto"/>
        <w:left w:val="none" w:sz="0" w:space="0" w:color="auto"/>
        <w:bottom w:val="none" w:sz="0" w:space="0" w:color="auto"/>
        <w:right w:val="none" w:sz="0" w:space="0" w:color="auto"/>
      </w:divBdr>
      <w:divsChild>
        <w:div w:id="154881355">
          <w:marLeft w:val="0"/>
          <w:marRight w:val="0"/>
          <w:marTop w:val="0"/>
          <w:marBottom w:val="0"/>
          <w:divBdr>
            <w:top w:val="none" w:sz="0" w:space="0" w:color="auto"/>
            <w:left w:val="none" w:sz="0" w:space="0" w:color="auto"/>
            <w:bottom w:val="none" w:sz="0" w:space="0" w:color="auto"/>
            <w:right w:val="none" w:sz="0" w:space="0" w:color="auto"/>
          </w:divBdr>
        </w:div>
        <w:div w:id="1248030523">
          <w:marLeft w:val="0"/>
          <w:marRight w:val="0"/>
          <w:marTop w:val="0"/>
          <w:marBottom w:val="0"/>
          <w:divBdr>
            <w:top w:val="none" w:sz="0" w:space="0" w:color="auto"/>
            <w:left w:val="none" w:sz="0" w:space="0" w:color="auto"/>
            <w:bottom w:val="none" w:sz="0" w:space="0" w:color="auto"/>
            <w:right w:val="none" w:sz="0" w:space="0" w:color="auto"/>
          </w:divBdr>
        </w:div>
        <w:div w:id="1493176691">
          <w:marLeft w:val="0"/>
          <w:marRight w:val="0"/>
          <w:marTop w:val="0"/>
          <w:marBottom w:val="0"/>
          <w:divBdr>
            <w:top w:val="none" w:sz="0" w:space="0" w:color="auto"/>
            <w:left w:val="none" w:sz="0" w:space="0" w:color="auto"/>
            <w:bottom w:val="none" w:sz="0" w:space="0" w:color="auto"/>
            <w:right w:val="none" w:sz="0" w:space="0" w:color="auto"/>
          </w:divBdr>
        </w:div>
        <w:div w:id="1994528716">
          <w:marLeft w:val="0"/>
          <w:marRight w:val="0"/>
          <w:marTop w:val="0"/>
          <w:marBottom w:val="0"/>
          <w:divBdr>
            <w:top w:val="none" w:sz="0" w:space="0" w:color="auto"/>
            <w:left w:val="none" w:sz="0" w:space="0" w:color="auto"/>
            <w:bottom w:val="none" w:sz="0" w:space="0" w:color="auto"/>
            <w:right w:val="none" w:sz="0" w:space="0" w:color="auto"/>
          </w:divBdr>
        </w:div>
      </w:divsChild>
    </w:div>
    <w:div w:id="1183859108">
      <w:bodyDiv w:val="1"/>
      <w:marLeft w:val="0"/>
      <w:marRight w:val="0"/>
      <w:marTop w:val="0"/>
      <w:marBottom w:val="0"/>
      <w:divBdr>
        <w:top w:val="none" w:sz="0" w:space="0" w:color="auto"/>
        <w:left w:val="none" w:sz="0" w:space="0" w:color="auto"/>
        <w:bottom w:val="none" w:sz="0" w:space="0" w:color="auto"/>
        <w:right w:val="none" w:sz="0" w:space="0" w:color="auto"/>
      </w:divBdr>
      <w:divsChild>
        <w:div w:id="68963580">
          <w:marLeft w:val="0"/>
          <w:marRight w:val="0"/>
          <w:marTop w:val="0"/>
          <w:marBottom w:val="0"/>
          <w:divBdr>
            <w:top w:val="none" w:sz="0" w:space="0" w:color="auto"/>
            <w:left w:val="none" w:sz="0" w:space="0" w:color="auto"/>
            <w:bottom w:val="none" w:sz="0" w:space="0" w:color="auto"/>
            <w:right w:val="none" w:sz="0" w:space="0" w:color="auto"/>
          </w:divBdr>
          <w:divsChild>
            <w:div w:id="5313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0607">
      <w:bodyDiv w:val="1"/>
      <w:marLeft w:val="0"/>
      <w:marRight w:val="0"/>
      <w:marTop w:val="0"/>
      <w:marBottom w:val="0"/>
      <w:divBdr>
        <w:top w:val="none" w:sz="0" w:space="0" w:color="auto"/>
        <w:left w:val="none" w:sz="0" w:space="0" w:color="auto"/>
        <w:bottom w:val="none" w:sz="0" w:space="0" w:color="auto"/>
        <w:right w:val="none" w:sz="0" w:space="0" w:color="auto"/>
      </w:divBdr>
    </w:div>
    <w:div w:id="1259363160">
      <w:bodyDiv w:val="1"/>
      <w:marLeft w:val="0"/>
      <w:marRight w:val="0"/>
      <w:marTop w:val="0"/>
      <w:marBottom w:val="0"/>
      <w:divBdr>
        <w:top w:val="none" w:sz="0" w:space="0" w:color="auto"/>
        <w:left w:val="none" w:sz="0" w:space="0" w:color="auto"/>
        <w:bottom w:val="none" w:sz="0" w:space="0" w:color="auto"/>
        <w:right w:val="none" w:sz="0" w:space="0" w:color="auto"/>
      </w:divBdr>
    </w:div>
    <w:div w:id="1295065650">
      <w:bodyDiv w:val="1"/>
      <w:marLeft w:val="0"/>
      <w:marRight w:val="0"/>
      <w:marTop w:val="0"/>
      <w:marBottom w:val="0"/>
      <w:divBdr>
        <w:top w:val="none" w:sz="0" w:space="0" w:color="auto"/>
        <w:left w:val="none" w:sz="0" w:space="0" w:color="auto"/>
        <w:bottom w:val="none" w:sz="0" w:space="0" w:color="auto"/>
        <w:right w:val="none" w:sz="0" w:space="0" w:color="auto"/>
      </w:divBdr>
      <w:divsChild>
        <w:div w:id="260384024">
          <w:marLeft w:val="0"/>
          <w:marRight w:val="0"/>
          <w:marTop w:val="0"/>
          <w:marBottom w:val="0"/>
          <w:divBdr>
            <w:top w:val="none" w:sz="0" w:space="0" w:color="auto"/>
            <w:left w:val="none" w:sz="0" w:space="0" w:color="auto"/>
            <w:bottom w:val="none" w:sz="0" w:space="0" w:color="auto"/>
            <w:right w:val="none" w:sz="0" w:space="0" w:color="auto"/>
          </w:divBdr>
        </w:div>
        <w:div w:id="513374641">
          <w:marLeft w:val="0"/>
          <w:marRight w:val="0"/>
          <w:marTop w:val="0"/>
          <w:marBottom w:val="0"/>
          <w:divBdr>
            <w:top w:val="none" w:sz="0" w:space="0" w:color="auto"/>
            <w:left w:val="none" w:sz="0" w:space="0" w:color="auto"/>
            <w:bottom w:val="none" w:sz="0" w:space="0" w:color="auto"/>
            <w:right w:val="none" w:sz="0" w:space="0" w:color="auto"/>
          </w:divBdr>
        </w:div>
        <w:div w:id="978536065">
          <w:marLeft w:val="0"/>
          <w:marRight w:val="0"/>
          <w:marTop w:val="0"/>
          <w:marBottom w:val="0"/>
          <w:divBdr>
            <w:top w:val="none" w:sz="0" w:space="0" w:color="auto"/>
            <w:left w:val="none" w:sz="0" w:space="0" w:color="auto"/>
            <w:bottom w:val="none" w:sz="0" w:space="0" w:color="auto"/>
            <w:right w:val="none" w:sz="0" w:space="0" w:color="auto"/>
          </w:divBdr>
        </w:div>
      </w:divsChild>
    </w:div>
    <w:div w:id="1332292347">
      <w:bodyDiv w:val="1"/>
      <w:marLeft w:val="0"/>
      <w:marRight w:val="0"/>
      <w:marTop w:val="0"/>
      <w:marBottom w:val="0"/>
      <w:divBdr>
        <w:top w:val="none" w:sz="0" w:space="0" w:color="auto"/>
        <w:left w:val="none" w:sz="0" w:space="0" w:color="auto"/>
        <w:bottom w:val="none" w:sz="0" w:space="0" w:color="auto"/>
        <w:right w:val="none" w:sz="0" w:space="0" w:color="auto"/>
      </w:divBdr>
      <w:divsChild>
        <w:div w:id="286282722">
          <w:marLeft w:val="0"/>
          <w:marRight w:val="0"/>
          <w:marTop w:val="0"/>
          <w:marBottom w:val="0"/>
          <w:divBdr>
            <w:top w:val="none" w:sz="0" w:space="0" w:color="auto"/>
            <w:left w:val="none" w:sz="0" w:space="0" w:color="auto"/>
            <w:bottom w:val="none" w:sz="0" w:space="0" w:color="auto"/>
            <w:right w:val="none" w:sz="0" w:space="0" w:color="auto"/>
          </w:divBdr>
        </w:div>
        <w:div w:id="946546782">
          <w:marLeft w:val="0"/>
          <w:marRight w:val="0"/>
          <w:marTop w:val="0"/>
          <w:marBottom w:val="0"/>
          <w:divBdr>
            <w:top w:val="none" w:sz="0" w:space="0" w:color="auto"/>
            <w:left w:val="none" w:sz="0" w:space="0" w:color="auto"/>
            <w:bottom w:val="none" w:sz="0" w:space="0" w:color="auto"/>
            <w:right w:val="none" w:sz="0" w:space="0" w:color="auto"/>
          </w:divBdr>
        </w:div>
        <w:div w:id="1027440014">
          <w:marLeft w:val="0"/>
          <w:marRight w:val="0"/>
          <w:marTop w:val="0"/>
          <w:marBottom w:val="0"/>
          <w:divBdr>
            <w:top w:val="none" w:sz="0" w:space="0" w:color="auto"/>
            <w:left w:val="none" w:sz="0" w:space="0" w:color="auto"/>
            <w:bottom w:val="none" w:sz="0" w:space="0" w:color="auto"/>
            <w:right w:val="none" w:sz="0" w:space="0" w:color="auto"/>
          </w:divBdr>
        </w:div>
      </w:divsChild>
    </w:div>
    <w:div w:id="1357002264">
      <w:bodyDiv w:val="1"/>
      <w:marLeft w:val="0"/>
      <w:marRight w:val="0"/>
      <w:marTop w:val="0"/>
      <w:marBottom w:val="0"/>
      <w:divBdr>
        <w:top w:val="none" w:sz="0" w:space="0" w:color="auto"/>
        <w:left w:val="none" w:sz="0" w:space="0" w:color="auto"/>
        <w:bottom w:val="none" w:sz="0" w:space="0" w:color="auto"/>
        <w:right w:val="none" w:sz="0" w:space="0" w:color="auto"/>
      </w:divBdr>
      <w:divsChild>
        <w:div w:id="1814954395">
          <w:marLeft w:val="0"/>
          <w:marRight w:val="0"/>
          <w:marTop w:val="0"/>
          <w:marBottom w:val="0"/>
          <w:divBdr>
            <w:top w:val="none" w:sz="0" w:space="0" w:color="auto"/>
            <w:left w:val="none" w:sz="0" w:space="0" w:color="auto"/>
            <w:bottom w:val="none" w:sz="0" w:space="0" w:color="auto"/>
            <w:right w:val="none" w:sz="0" w:space="0" w:color="auto"/>
          </w:divBdr>
          <w:divsChild>
            <w:div w:id="14460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5133">
      <w:bodyDiv w:val="1"/>
      <w:marLeft w:val="0"/>
      <w:marRight w:val="0"/>
      <w:marTop w:val="0"/>
      <w:marBottom w:val="0"/>
      <w:divBdr>
        <w:top w:val="none" w:sz="0" w:space="0" w:color="auto"/>
        <w:left w:val="none" w:sz="0" w:space="0" w:color="auto"/>
        <w:bottom w:val="none" w:sz="0" w:space="0" w:color="auto"/>
        <w:right w:val="none" w:sz="0" w:space="0" w:color="auto"/>
      </w:divBdr>
      <w:divsChild>
        <w:div w:id="31464544">
          <w:marLeft w:val="0"/>
          <w:marRight w:val="0"/>
          <w:marTop w:val="0"/>
          <w:marBottom w:val="0"/>
          <w:divBdr>
            <w:top w:val="none" w:sz="0" w:space="0" w:color="auto"/>
            <w:left w:val="none" w:sz="0" w:space="0" w:color="auto"/>
            <w:bottom w:val="none" w:sz="0" w:space="0" w:color="auto"/>
            <w:right w:val="none" w:sz="0" w:space="0" w:color="auto"/>
          </w:divBdr>
          <w:divsChild>
            <w:div w:id="136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94764">
      <w:bodyDiv w:val="1"/>
      <w:marLeft w:val="0"/>
      <w:marRight w:val="0"/>
      <w:marTop w:val="0"/>
      <w:marBottom w:val="0"/>
      <w:divBdr>
        <w:top w:val="none" w:sz="0" w:space="0" w:color="auto"/>
        <w:left w:val="none" w:sz="0" w:space="0" w:color="auto"/>
        <w:bottom w:val="none" w:sz="0" w:space="0" w:color="auto"/>
        <w:right w:val="none" w:sz="0" w:space="0" w:color="auto"/>
      </w:divBdr>
      <w:divsChild>
        <w:div w:id="1603227077">
          <w:marLeft w:val="0"/>
          <w:marRight w:val="0"/>
          <w:marTop w:val="0"/>
          <w:marBottom w:val="0"/>
          <w:divBdr>
            <w:top w:val="none" w:sz="0" w:space="0" w:color="auto"/>
            <w:left w:val="none" w:sz="0" w:space="0" w:color="auto"/>
            <w:bottom w:val="none" w:sz="0" w:space="0" w:color="auto"/>
            <w:right w:val="none" w:sz="0" w:space="0" w:color="auto"/>
          </w:divBdr>
          <w:divsChild>
            <w:div w:id="10993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769">
      <w:bodyDiv w:val="1"/>
      <w:marLeft w:val="0"/>
      <w:marRight w:val="0"/>
      <w:marTop w:val="0"/>
      <w:marBottom w:val="0"/>
      <w:divBdr>
        <w:top w:val="none" w:sz="0" w:space="0" w:color="auto"/>
        <w:left w:val="none" w:sz="0" w:space="0" w:color="auto"/>
        <w:bottom w:val="none" w:sz="0" w:space="0" w:color="auto"/>
        <w:right w:val="none" w:sz="0" w:space="0" w:color="auto"/>
      </w:divBdr>
      <w:divsChild>
        <w:div w:id="889196701">
          <w:marLeft w:val="0"/>
          <w:marRight w:val="0"/>
          <w:marTop w:val="0"/>
          <w:marBottom w:val="0"/>
          <w:divBdr>
            <w:top w:val="none" w:sz="0" w:space="0" w:color="auto"/>
            <w:left w:val="none" w:sz="0" w:space="0" w:color="auto"/>
            <w:bottom w:val="none" w:sz="0" w:space="0" w:color="auto"/>
            <w:right w:val="none" w:sz="0" w:space="0" w:color="auto"/>
          </w:divBdr>
        </w:div>
        <w:div w:id="1891917486">
          <w:marLeft w:val="0"/>
          <w:marRight w:val="0"/>
          <w:marTop w:val="0"/>
          <w:marBottom w:val="0"/>
          <w:divBdr>
            <w:top w:val="none" w:sz="0" w:space="0" w:color="auto"/>
            <w:left w:val="none" w:sz="0" w:space="0" w:color="auto"/>
            <w:bottom w:val="none" w:sz="0" w:space="0" w:color="auto"/>
            <w:right w:val="none" w:sz="0" w:space="0" w:color="auto"/>
          </w:divBdr>
        </w:div>
      </w:divsChild>
    </w:div>
    <w:div w:id="1557202931">
      <w:bodyDiv w:val="1"/>
      <w:marLeft w:val="0"/>
      <w:marRight w:val="0"/>
      <w:marTop w:val="0"/>
      <w:marBottom w:val="0"/>
      <w:divBdr>
        <w:top w:val="none" w:sz="0" w:space="0" w:color="auto"/>
        <w:left w:val="none" w:sz="0" w:space="0" w:color="auto"/>
        <w:bottom w:val="none" w:sz="0" w:space="0" w:color="auto"/>
        <w:right w:val="none" w:sz="0" w:space="0" w:color="auto"/>
      </w:divBdr>
    </w:div>
    <w:div w:id="1583875205">
      <w:bodyDiv w:val="1"/>
      <w:marLeft w:val="0"/>
      <w:marRight w:val="0"/>
      <w:marTop w:val="0"/>
      <w:marBottom w:val="0"/>
      <w:divBdr>
        <w:top w:val="none" w:sz="0" w:space="0" w:color="auto"/>
        <w:left w:val="none" w:sz="0" w:space="0" w:color="auto"/>
        <w:bottom w:val="none" w:sz="0" w:space="0" w:color="auto"/>
        <w:right w:val="none" w:sz="0" w:space="0" w:color="auto"/>
      </w:divBdr>
      <w:divsChild>
        <w:div w:id="1118137491">
          <w:marLeft w:val="0"/>
          <w:marRight w:val="0"/>
          <w:marTop w:val="0"/>
          <w:marBottom w:val="0"/>
          <w:divBdr>
            <w:top w:val="none" w:sz="0" w:space="0" w:color="auto"/>
            <w:left w:val="none" w:sz="0" w:space="0" w:color="auto"/>
            <w:bottom w:val="none" w:sz="0" w:space="0" w:color="auto"/>
            <w:right w:val="none" w:sz="0" w:space="0" w:color="auto"/>
          </w:divBdr>
        </w:div>
        <w:div w:id="1976064946">
          <w:marLeft w:val="0"/>
          <w:marRight w:val="0"/>
          <w:marTop w:val="0"/>
          <w:marBottom w:val="0"/>
          <w:divBdr>
            <w:top w:val="none" w:sz="0" w:space="0" w:color="auto"/>
            <w:left w:val="none" w:sz="0" w:space="0" w:color="auto"/>
            <w:bottom w:val="none" w:sz="0" w:space="0" w:color="auto"/>
            <w:right w:val="none" w:sz="0" w:space="0" w:color="auto"/>
          </w:divBdr>
        </w:div>
        <w:div w:id="1873104264">
          <w:marLeft w:val="0"/>
          <w:marRight w:val="0"/>
          <w:marTop w:val="0"/>
          <w:marBottom w:val="0"/>
          <w:divBdr>
            <w:top w:val="none" w:sz="0" w:space="0" w:color="auto"/>
            <w:left w:val="none" w:sz="0" w:space="0" w:color="auto"/>
            <w:bottom w:val="none" w:sz="0" w:space="0" w:color="auto"/>
            <w:right w:val="none" w:sz="0" w:space="0" w:color="auto"/>
          </w:divBdr>
        </w:div>
        <w:div w:id="2048948838">
          <w:marLeft w:val="0"/>
          <w:marRight w:val="0"/>
          <w:marTop w:val="0"/>
          <w:marBottom w:val="0"/>
          <w:divBdr>
            <w:top w:val="none" w:sz="0" w:space="0" w:color="auto"/>
            <w:left w:val="none" w:sz="0" w:space="0" w:color="auto"/>
            <w:bottom w:val="none" w:sz="0" w:space="0" w:color="auto"/>
            <w:right w:val="none" w:sz="0" w:space="0" w:color="auto"/>
          </w:divBdr>
        </w:div>
        <w:div w:id="966591867">
          <w:marLeft w:val="0"/>
          <w:marRight w:val="0"/>
          <w:marTop w:val="0"/>
          <w:marBottom w:val="0"/>
          <w:divBdr>
            <w:top w:val="none" w:sz="0" w:space="0" w:color="auto"/>
            <w:left w:val="none" w:sz="0" w:space="0" w:color="auto"/>
            <w:bottom w:val="none" w:sz="0" w:space="0" w:color="auto"/>
            <w:right w:val="none" w:sz="0" w:space="0" w:color="auto"/>
          </w:divBdr>
        </w:div>
        <w:div w:id="931545050">
          <w:marLeft w:val="0"/>
          <w:marRight w:val="0"/>
          <w:marTop w:val="0"/>
          <w:marBottom w:val="0"/>
          <w:divBdr>
            <w:top w:val="none" w:sz="0" w:space="0" w:color="auto"/>
            <w:left w:val="none" w:sz="0" w:space="0" w:color="auto"/>
            <w:bottom w:val="none" w:sz="0" w:space="0" w:color="auto"/>
            <w:right w:val="none" w:sz="0" w:space="0" w:color="auto"/>
          </w:divBdr>
        </w:div>
        <w:div w:id="955409661">
          <w:marLeft w:val="0"/>
          <w:marRight w:val="0"/>
          <w:marTop w:val="0"/>
          <w:marBottom w:val="0"/>
          <w:divBdr>
            <w:top w:val="none" w:sz="0" w:space="0" w:color="auto"/>
            <w:left w:val="none" w:sz="0" w:space="0" w:color="auto"/>
            <w:bottom w:val="none" w:sz="0" w:space="0" w:color="auto"/>
            <w:right w:val="none" w:sz="0" w:space="0" w:color="auto"/>
          </w:divBdr>
        </w:div>
      </w:divsChild>
    </w:div>
    <w:div w:id="1591348023">
      <w:bodyDiv w:val="1"/>
      <w:marLeft w:val="0"/>
      <w:marRight w:val="0"/>
      <w:marTop w:val="0"/>
      <w:marBottom w:val="0"/>
      <w:divBdr>
        <w:top w:val="none" w:sz="0" w:space="0" w:color="auto"/>
        <w:left w:val="none" w:sz="0" w:space="0" w:color="auto"/>
        <w:bottom w:val="none" w:sz="0" w:space="0" w:color="auto"/>
        <w:right w:val="none" w:sz="0" w:space="0" w:color="auto"/>
      </w:divBdr>
      <w:divsChild>
        <w:div w:id="1747074715">
          <w:marLeft w:val="1166"/>
          <w:marRight w:val="0"/>
          <w:marTop w:val="77"/>
          <w:marBottom w:val="0"/>
          <w:divBdr>
            <w:top w:val="none" w:sz="0" w:space="0" w:color="auto"/>
            <w:left w:val="none" w:sz="0" w:space="0" w:color="auto"/>
            <w:bottom w:val="none" w:sz="0" w:space="0" w:color="auto"/>
            <w:right w:val="none" w:sz="0" w:space="0" w:color="auto"/>
          </w:divBdr>
        </w:div>
      </w:divsChild>
    </w:div>
    <w:div w:id="1603805449">
      <w:bodyDiv w:val="1"/>
      <w:marLeft w:val="0"/>
      <w:marRight w:val="0"/>
      <w:marTop w:val="0"/>
      <w:marBottom w:val="0"/>
      <w:divBdr>
        <w:top w:val="none" w:sz="0" w:space="0" w:color="auto"/>
        <w:left w:val="none" w:sz="0" w:space="0" w:color="auto"/>
        <w:bottom w:val="none" w:sz="0" w:space="0" w:color="auto"/>
        <w:right w:val="none" w:sz="0" w:space="0" w:color="auto"/>
      </w:divBdr>
    </w:div>
    <w:div w:id="1618105236">
      <w:bodyDiv w:val="1"/>
      <w:marLeft w:val="0"/>
      <w:marRight w:val="0"/>
      <w:marTop w:val="0"/>
      <w:marBottom w:val="0"/>
      <w:divBdr>
        <w:top w:val="none" w:sz="0" w:space="0" w:color="auto"/>
        <w:left w:val="none" w:sz="0" w:space="0" w:color="auto"/>
        <w:bottom w:val="none" w:sz="0" w:space="0" w:color="auto"/>
        <w:right w:val="none" w:sz="0" w:space="0" w:color="auto"/>
      </w:divBdr>
      <w:divsChild>
        <w:div w:id="2121682198">
          <w:marLeft w:val="0"/>
          <w:marRight w:val="0"/>
          <w:marTop w:val="0"/>
          <w:marBottom w:val="0"/>
          <w:divBdr>
            <w:top w:val="none" w:sz="0" w:space="0" w:color="auto"/>
            <w:left w:val="none" w:sz="0" w:space="0" w:color="auto"/>
            <w:bottom w:val="none" w:sz="0" w:space="0" w:color="auto"/>
            <w:right w:val="none" w:sz="0" w:space="0" w:color="auto"/>
          </w:divBdr>
        </w:div>
        <w:div w:id="1714429106">
          <w:marLeft w:val="0"/>
          <w:marRight w:val="0"/>
          <w:marTop w:val="0"/>
          <w:marBottom w:val="0"/>
          <w:divBdr>
            <w:top w:val="none" w:sz="0" w:space="0" w:color="auto"/>
            <w:left w:val="none" w:sz="0" w:space="0" w:color="auto"/>
            <w:bottom w:val="none" w:sz="0" w:space="0" w:color="auto"/>
            <w:right w:val="none" w:sz="0" w:space="0" w:color="auto"/>
          </w:divBdr>
        </w:div>
        <w:div w:id="1872768089">
          <w:marLeft w:val="0"/>
          <w:marRight w:val="0"/>
          <w:marTop w:val="0"/>
          <w:marBottom w:val="0"/>
          <w:divBdr>
            <w:top w:val="none" w:sz="0" w:space="0" w:color="auto"/>
            <w:left w:val="none" w:sz="0" w:space="0" w:color="auto"/>
            <w:bottom w:val="none" w:sz="0" w:space="0" w:color="auto"/>
            <w:right w:val="none" w:sz="0" w:space="0" w:color="auto"/>
          </w:divBdr>
        </w:div>
      </w:divsChild>
    </w:div>
    <w:div w:id="1618759222">
      <w:bodyDiv w:val="1"/>
      <w:marLeft w:val="0"/>
      <w:marRight w:val="0"/>
      <w:marTop w:val="0"/>
      <w:marBottom w:val="0"/>
      <w:divBdr>
        <w:top w:val="none" w:sz="0" w:space="0" w:color="auto"/>
        <w:left w:val="none" w:sz="0" w:space="0" w:color="auto"/>
        <w:bottom w:val="none" w:sz="0" w:space="0" w:color="auto"/>
        <w:right w:val="none" w:sz="0" w:space="0" w:color="auto"/>
      </w:divBdr>
      <w:divsChild>
        <w:div w:id="1172255203">
          <w:marLeft w:val="0"/>
          <w:marRight w:val="0"/>
          <w:marTop w:val="0"/>
          <w:marBottom w:val="0"/>
          <w:divBdr>
            <w:top w:val="none" w:sz="0" w:space="0" w:color="auto"/>
            <w:left w:val="none" w:sz="0" w:space="0" w:color="auto"/>
            <w:bottom w:val="none" w:sz="0" w:space="0" w:color="auto"/>
            <w:right w:val="none" w:sz="0" w:space="0" w:color="auto"/>
          </w:divBdr>
        </w:div>
        <w:div w:id="1496918488">
          <w:marLeft w:val="0"/>
          <w:marRight w:val="0"/>
          <w:marTop w:val="0"/>
          <w:marBottom w:val="0"/>
          <w:divBdr>
            <w:top w:val="none" w:sz="0" w:space="0" w:color="auto"/>
            <w:left w:val="none" w:sz="0" w:space="0" w:color="auto"/>
            <w:bottom w:val="none" w:sz="0" w:space="0" w:color="auto"/>
            <w:right w:val="none" w:sz="0" w:space="0" w:color="auto"/>
          </w:divBdr>
        </w:div>
        <w:div w:id="1832408276">
          <w:marLeft w:val="0"/>
          <w:marRight w:val="0"/>
          <w:marTop w:val="0"/>
          <w:marBottom w:val="0"/>
          <w:divBdr>
            <w:top w:val="none" w:sz="0" w:space="0" w:color="auto"/>
            <w:left w:val="none" w:sz="0" w:space="0" w:color="auto"/>
            <w:bottom w:val="none" w:sz="0" w:space="0" w:color="auto"/>
            <w:right w:val="none" w:sz="0" w:space="0" w:color="auto"/>
          </w:divBdr>
        </w:div>
      </w:divsChild>
    </w:div>
    <w:div w:id="1642148108">
      <w:bodyDiv w:val="1"/>
      <w:marLeft w:val="0"/>
      <w:marRight w:val="0"/>
      <w:marTop w:val="0"/>
      <w:marBottom w:val="0"/>
      <w:divBdr>
        <w:top w:val="none" w:sz="0" w:space="0" w:color="auto"/>
        <w:left w:val="none" w:sz="0" w:space="0" w:color="auto"/>
        <w:bottom w:val="none" w:sz="0" w:space="0" w:color="auto"/>
        <w:right w:val="none" w:sz="0" w:space="0" w:color="auto"/>
      </w:divBdr>
      <w:divsChild>
        <w:div w:id="257639578">
          <w:marLeft w:val="0"/>
          <w:marRight w:val="0"/>
          <w:marTop w:val="0"/>
          <w:marBottom w:val="0"/>
          <w:divBdr>
            <w:top w:val="none" w:sz="0" w:space="0" w:color="auto"/>
            <w:left w:val="none" w:sz="0" w:space="0" w:color="auto"/>
            <w:bottom w:val="none" w:sz="0" w:space="0" w:color="auto"/>
            <w:right w:val="none" w:sz="0" w:space="0" w:color="auto"/>
          </w:divBdr>
          <w:divsChild>
            <w:div w:id="993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740">
      <w:bodyDiv w:val="1"/>
      <w:marLeft w:val="0"/>
      <w:marRight w:val="0"/>
      <w:marTop w:val="0"/>
      <w:marBottom w:val="0"/>
      <w:divBdr>
        <w:top w:val="none" w:sz="0" w:space="0" w:color="auto"/>
        <w:left w:val="none" w:sz="0" w:space="0" w:color="auto"/>
        <w:bottom w:val="none" w:sz="0" w:space="0" w:color="auto"/>
        <w:right w:val="none" w:sz="0" w:space="0" w:color="auto"/>
      </w:divBdr>
    </w:div>
    <w:div w:id="1710373441">
      <w:bodyDiv w:val="1"/>
      <w:marLeft w:val="0"/>
      <w:marRight w:val="0"/>
      <w:marTop w:val="0"/>
      <w:marBottom w:val="0"/>
      <w:divBdr>
        <w:top w:val="none" w:sz="0" w:space="0" w:color="auto"/>
        <w:left w:val="none" w:sz="0" w:space="0" w:color="auto"/>
        <w:bottom w:val="none" w:sz="0" w:space="0" w:color="auto"/>
        <w:right w:val="none" w:sz="0" w:space="0" w:color="auto"/>
      </w:divBdr>
    </w:div>
    <w:div w:id="1750617813">
      <w:bodyDiv w:val="1"/>
      <w:marLeft w:val="0"/>
      <w:marRight w:val="0"/>
      <w:marTop w:val="0"/>
      <w:marBottom w:val="0"/>
      <w:divBdr>
        <w:top w:val="none" w:sz="0" w:space="0" w:color="auto"/>
        <w:left w:val="none" w:sz="0" w:space="0" w:color="auto"/>
        <w:bottom w:val="none" w:sz="0" w:space="0" w:color="auto"/>
        <w:right w:val="none" w:sz="0" w:space="0" w:color="auto"/>
      </w:divBdr>
    </w:div>
    <w:div w:id="1756434523">
      <w:bodyDiv w:val="1"/>
      <w:marLeft w:val="0"/>
      <w:marRight w:val="0"/>
      <w:marTop w:val="0"/>
      <w:marBottom w:val="0"/>
      <w:divBdr>
        <w:top w:val="none" w:sz="0" w:space="0" w:color="auto"/>
        <w:left w:val="none" w:sz="0" w:space="0" w:color="auto"/>
        <w:bottom w:val="none" w:sz="0" w:space="0" w:color="auto"/>
        <w:right w:val="none" w:sz="0" w:space="0" w:color="auto"/>
      </w:divBdr>
    </w:div>
    <w:div w:id="1783379101">
      <w:bodyDiv w:val="1"/>
      <w:marLeft w:val="0"/>
      <w:marRight w:val="0"/>
      <w:marTop w:val="0"/>
      <w:marBottom w:val="0"/>
      <w:divBdr>
        <w:top w:val="none" w:sz="0" w:space="0" w:color="auto"/>
        <w:left w:val="none" w:sz="0" w:space="0" w:color="auto"/>
        <w:bottom w:val="none" w:sz="0" w:space="0" w:color="auto"/>
        <w:right w:val="none" w:sz="0" w:space="0" w:color="auto"/>
      </w:divBdr>
    </w:div>
    <w:div w:id="1806004539">
      <w:bodyDiv w:val="1"/>
      <w:marLeft w:val="0"/>
      <w:marRight w:val="0"/>
      <w:marTop w:val="0"/>
      <w:marBottom w:val="0"/>
      <w:divBdr>
        <w:top w:val="none" w:sz="0" w:space="0" w:color="auto"/>
        <w:left w:val="none" w:sz="0" w:space="0" w:color="auto"/>
        <w:bottom w:val="none" w:sz="0" w:space="0" w:color="auto"/>
        <w:right w:val="none" w:sz="0" w:space="0" w:color="auto"/>
      </w:divBdr>
      <w:divsChild>
        <w:div w:id="2120759339">
          <w:marLeft w:val="0"/>
          <w:marRight w:val="0"/>
          <w:marTop w:val="0"/>
          <w:marBottom w:val="0"/>
          <w:divBdr>
            <w:top w:val="none" w:sz="0" w:space="0" w:color="auto"/>
            <w:left w:val="none" w:sz="0" w:space="0" w:color="auto"/>
            <w:bottom w:val="none" w:sz="0" w:space="0" w:color="auto"/>
            <w:right w:val="none" w:sz="0" w:space="0" w:color="auto"/>
          </w:divBdr>
          <w:divsChild>
            <w:div w:id="3326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4251">
      <w:bodyDiv w:val="1"/>
      <w:marLeft w:val="0"/>
      <w:marRight w:val="0"/>
      <w:marTop w:val="0"/>
      <w:marBottom w:val="0"/>
      <w:divBdr>
        <w:top w:val="none" w:sz="0" w:space="0" w:color="auto"/>
        <w:left w:val="none" w:sz="0" w:space="0" w:color="auto"/>
        <w:bottom w:val="none" w:sz="0" w:space="0" w:color="auto"/>
        <w:right w:val="none" w:sz="0" w:space="0" w:color="auto"/>
      </w:divBdr>
      <w:divsChild>
        <w:div w:id="1012682786">
          <w:marLeft w:val="0"/>
          <w:marRight w:val="0"/>
          <w:marTop w:val="0"/>
          <w:marBottom w:val="0"/>
          <w:divBdr>
            <w:top w:val="none" w:sz="0" w:space="0" w:color="auto"/>
            <w:left w:val="none" w:sz="0" w:space="0" w:color="auto"/>
            <w:bottom w:val="none" w:sz="0" w:space="0" w:color="auto"/>
            <w:right w:val="none" w:sz="0" w:space="0" w:color="auto"/>
          </w:divBdr>
        </w:div>
        <w:div w:id="1457724811">
          <w:marLeft w:val="0"/>
          <w:marRight w:val="0"/>
          <w:marTop w:val="0"/>
          <w:marBottom w:val="0"/>
          <w:divBdr>
            <w:top w:val="none" w:sz="0" w:space="0" w:color="auto"/>
            <w:left w:val="none" w:sz="0" w:space="0" w:color="auto"/>
            <w:bottom w:val="none" w:sz="0" w:space="0" w:color="auto"/>
            <w:right w:val="none" w:sz="0" w:space="0" w:color="auto"/>
          </w:divBdr>
        </w:div>
      </w:divsChild>
    </w:div>
    <w:div w:id="1893349730">
      <w:bodyDiv w:val="1"/>
      <w:marLeft w:val="0"/>
      <w:marRight w:val="0"/>
      <w:marTop w:val="0"/>
      <w:marBottom w:val="0"/>
      <w:divBdr>
        <w:top w:val="none" w:sz="0" w:space="0" w:color="auto"/>
        <w:left w:val="none" w:sz="0" w:space="0" w:color="auto"/>
        <w:bottom w:val="none" w:sz="0" w:space="0" w:color="auto"/>
        <w:right w:val="none" w:sz="0" w:space="0" w:color="auto"/>
      </w:divBdr>
    </w:div>
    <w:div w:id="1907908115">
      <w:bodyDiv w:val="1"/>
      <w:marLeft w:val="0"/>
      <w:marRight w:val="0"/>
      <w:marTop w:val="0"/>
      <w:marBottom w:val="0"/>
      <w:divBdr>
        <w:top w:val="none" w:sz="0" w:space="0" w:color="auto"/>
        <w:left w:val="none" w:sz="0" w:space="0" w:color="auto"/>
        <w:bottom w:val="none" w:sz="0" w:space="0" w:color="auto"/>
        <w:right w:val="none" w:sz="0" w:space="0" w:color="auto"/>
      </w:divBdr>
    </w:div>
    <w:div w:id="1934390852">
      <w:bodyDiv w:val="1"/>
      <w:marLeft w:val="0"/>
      <w:marRight w:val="0"/>
      <w:marTop w:val="0"/>
      <w:marBottom w:val="0"/>
      <w:divBdr>
        <w:top w:val="none" w:sz="0" w:space="0" w:color="auto"/>
        <w:left w:val="none" w:sz="0" w:space="0" w:color="auto"/>
        <w:bottom w:val="none" w:sz="0" w:space="0" w:color="auto"/>
        <w:right w:val="none" w:sz="0" w:space="0" w:color="auto"/>
      </w:divBdr>
      <w:divsChild>
        <w:div w:id="834566428">
          <w:marLeft w:val="0"/>
          <w:marRight w:val="0"/>
          <w:marTop w:val="0"/>
          <w:marBottom w:val="0"/>
          <w:divBdr>
            <w:top w:val="none" w:sz="0" w:space="0" w:color="auto"/>
            <w:left w:val="none" w:sz="0" w:space="0" w:color="auto"/>
            <w:bottom w:val="none" w:sz="0" w:space="0" w:color="auto"/>
            <w:right w:val="none" w:sz="0" w:space="0" w:color="auto"/>
          </w:divBdr>
        </w:div>
        <w:div w:id="1207916619">
          <w:marLeft w:val="0"/>
          <w:marRight w:val="0"/>
          <w:marTop w:val="0"/>
          <w:marBottom w:val="0"/>
          <w:divBdr>
            <w:top w:val="none" w:sz="0" w:space="0" w:color="auto"/>
            <w:left w:val="none" w:sz="0" w:space="0" w:color="auto"/>
            <w:bottom w:val="none" w:sz="0" w:space="0" w:color="auto"/>
            <w:right w:val="none" w:sz="0" w:space="0" w:color="auto"/>
          </w:divBdr>
        </w:div>
        <w:div w:id="1208835315">
          <w:marLeft w:val="0"/>
          <w:marRight w:val="0"/>
          <w:marTop w:val="0"/>
          <w:marBottom w:val="0"/>
          <w:divBdr>
            <w:top w:val="none" w:sz="0" w:space="0" w:color="auto"/>
            <w:left w:val="none" w:sz="0" w:space="0" w:color="auto"/>
            <w:bottom w:val="none" w:sz="0" w:space="0" w:color="auto"/>
            <w:right w:val="none" w:sz="0" w:space="0" w:color="auto"/>
          </w:divBdr>
        </w:div>
      </w:divsChild>
    </w:div>
    <w:div w:id="1978104852">
      <w:bodyDiv w:val="1"/>
      <w:marLeft w:val="0"/>
      <w:marRight w:val="0"/>
      <w:marTop w:val="0"/>
      <w:marBottom w:val="0"/>
      <w:divBdr>
        <w:top w:val="none" w:sz="0" w:space="0" w:color="auto"/>
        <w:left w:val="none" w:sz="0" w:space="0" w:color="auto"/>
        <w:bottom w:val="none" w:sz="0" w:space="0" w:color="auto"/>
        <w:right w:val="none" w:sz="0" w:space="0" w:color="auto"/>
      </w:divBdr>
    </w:div>
    <w:div w:id="2022127341">
      <w:bodyDiv w:val="1"/>
      <w:marLeft w:val="0"/>
      <w:marRight w:val="0"/>
      <w:marTop w:val="0"/>
      <w:marBottom w:val="0"/>
      <w:divBdr>
        <w:top w:val="none" w:sz="0" w:space="0" w:color="auto"/>
        <w:left w:val="none" w:sz="0" w:space="0" w:color="auto"/>
        <w:bottom w:val="none" w:sz="0" w:space="0" w:color="auto"/>
        <w:right w:val="none" w:sz="0" w:space="0" w:color="auto"/>
      </w:divBdr>
      <w:divsChild>
        <w:div w:id="1120416905">
          <w:marLeft w:val="0"/>
          <w:marRight w:val="0"/>
          <w:marTop w:val="0"/>
          <w:marBottom w:val="0"/>
          <w:divBdr>
            <w:top w:val="none" w:sz="0" w:space="0" w:color="auto"/>
            <w:left w:val="none" w:sz="0" w:space="0" w:color="auto"/>
            <w:bottom w:val="none" w:sz="0" w:space="0" w:color="auto"/>
            <w:right w:val="none" w:sz="0" w:space="0" w:color="auto"/>
          </w:divBdr>
        </w:div>
        <w:div w:id="45686207">
          <w:marLeft w:val="0"/>
          <w:marRight w:val="0"/>
          <w:marTop w:val="0"/>
          <w:marBottom w:val="0"/>
          <w:divBdr>
            <w:top w:val="none" w:sz="0" w:space="0" w:color="auto"/>
            <w:left w:val="none" w:sz="0" w:space="0" w:color="auto"/>
            <w:bottom w:val="none" w:sz="0" w:space="0" w:color="auto"/>
            <w:right w:val="none" w:sz="0" w:space="0" w:color="auto"/>
          </w:divBdr>
        </w:div>
        <w:div w:id="1202278532">
          <w:marLeft w:val="0"/>
          <w:marRight w:val="0"/>
          <w:marTop w:val="0"/>
          <w:marBottom w:val="0"/>
          <w:divBdr>
            <w:top w:val="none" w:sz="0" w:space="0" w:color="auto"/>
            <w:left w:val="none" w:sz="0" w:space="0" w:color="auto"/>
            <w:bottom w:val="none" w:sz="0" w:space="0" w:color="auto"/>
            <w:right w:val="none" w:sz="0" w:space="0" w:color="auto"/>
          </w:divBdr>
        </w:div>
        <w:div w:id="2083064122">
          <w:marLeft w:val="0"/>
          <w:marRight w:val="0"/>
          <w:marTop w:val="0"/>
          <w:marBottom w:val="0"/>
          <w:divBdr>
            <w:top w:val="none" w:sz="0" w:space="0" w:color="auto"/>
            <w:left w:val="none" w:sz="0" w:space="0" w:color="auto"/>
            <w:bottom w:val="none" w:sz="0" w:space="0" w:color="auto"/>
            <w:right w:val="none" w:sz="0" w:space="0" w:color="auto"/>
          </w:divBdr>
        </w:div>
        <w:div w:id="2031057878">
          <w:marLeft w:val="0"/>
          <w:marRight w:val="0"/>
          <w:marTop w:val="0"/>
          <w:marBottom w:val="0"/>
          <w:divBdr>
            <w:top w:val="none" w:sz="0" w:space="0" w:color="auto"/>
            <w:left w:val="none" w:sz="0" w:space="0" w:color="auto"/>
            <w:bottom w:val="none" w:sz="0" w:space="0" w:color="auto"/>
            <w:right w:val="none" w:sz="0" w:space="0" w:color="auto"/>
          </w:divBdr>
        </w:div>
      </w:divsChild>
    </w:div>
    <w:div w:id="2126657425">
      <w:bodyDiv w:val="1"/>
      <w:marLeft w:val="0"/>
      <w:marRight w:val="0"/>
      <w:marTop w:val="0"/>
      <w:marBottom w:val="0"/>
      <w:divBdr>
        <w:top w:val="none" w:sz="0" w:space="0" w:color="auto"/>
        <w:left w:val="none" w:sz="0" w:space="0" w:color="auto"/>
        <w:bottom w:val="none" w:sz="0" w:space="0" w:color="auto"/>
        <w:right w:val="none" w:sz="0" w:space="0" w:color="auto"/>
      </w:divBdr>
    </w:div>
    <w:div w:id="2128162380">
      <w:bodyDiv w:val="1"/>
      <w:marLeft w:val="0"/>
      <w:marRight w:val="0"/>
      <w:marTop w:val="0"/>
      <w:marBottom w:val="0"/>
      <w:divBdr>
        <w:top w:val="none" w:sz="0" w:space="0" w:color="auto"/>
        <w:left w:val="none" w:sz="0" w:space="0" w:color="auto"/>
        <w:bottom w:val="none" w:sz="0" w:space="0" w:color="auto"/>
        <w:right w:val="none" w:sz="0" w:space="0" w:color="auto"/>
      </w:divBdr>
      <w:divsChild>
        <w:div w:id="46803734">
          <w:marLeft w:val="0"/>
          <w:marRight w:val="0"/>
          <w:marTop w:val="0"/>
          <w:marBottom w:val="0"/>
          <w:divBdr>
            <w:top w:val="none" w:sz="0" w:space="0" w:color="auto"/>
            <w:left w:val="none" w:sz="0" w:space="0" w:color="auto"/>
            <w:bottom w:val="none" w:sz="0" w:space="0" w:color="auto"/>
            <w:right w:val="none" w:sz="0" w:space="0" w:color="auto"/>
          </w:divBdr>
        </w:div>
        <w:div w:id="1920166429">
          <w:marLeft w:val="0"/>
          <w:marRight w:val="0"/>
          <w:marTop w:val="0"/>
          <w:marBottom w:val="0"/>
          <w:divBdr>
            <w:top w:val="none" w:sz="0" w:space="0" w:color="auto"/>
            <w:left w:val="none" w:sz="0" w:space="0" w:color="auto"/>
            <w:bottom w:val="none" w:sz="0" w:space="0" w:color="auto"/>
            <w:right w:val="none" w:sz="0" w:space="0" w:color="auto"/>
          </w:divBdr>
        </w:div>
        <w:div w:id="187450406">
          <w:marLeft w:val="0"/>
          <w:marRight w:val="0"/>
          <w:marTop w:val="0"/>
          <w:marBottom w:val="0"/>
          <w:divBdr>
            <w:top w:val="none" w:sz="0" w:space="0" w:color="auto"/>
            <w:left w:val="none" w:sz="0" w:space="0" w:color="auto"/>
            <w:bottom w:val="none" w:sz="0" w:space="0" w:color="auto"/>
            <w:right w:val="none" w:sz="0" w:space="0" w:color="auto"/>
          </w:divBdr>
        </w:div>
      </w:divsChild>
    </w:div>
    <w:div w:id="2138597700">
      <w:bodyDiv w:val="1"/>
      <w:marLeft w:val="0"/>
      <w:marRight w:val="0"/>
      <w:marTop w:val="0"/>
      <w:marBottom w:val="0"/>
      <w:divBdr>
        <w:top w:val="none" w:sz="0" w:space="0" w:color="auto"/>
        <w:left w:val="none" w:sz="0" w:space="0" w:color="auto"/>
        <w:bottom w:val="none" w:sz="0" w:space="0" w:color="auto"/>
        <w:right w:val="none" w:sz="0" w:space="0" w:color="auto"/>
      </w:divBdr>
      <w:divsChild>
        <w:div w:id="2049452965">
          <w:marLeft w:val="0"/>
          <w:marRight w:val="0"/>
          <w:marTop w:val="0"/>
          <w:marBottom w:val="0"/>
          <w:divBdr>
            <w:top w:val="none" w:sz="0" w:space="0" w:color="auto"/>
            <w:left w:val="none" w:sz="0" w:space="0" w:color="auto"/>
            <w:bottom w:val="none" w:sz="0" w:space="0" w:color="auto"/>
            <w:right w:val="none" w:sz="0" w:space="0" w:color="auto"/>
          </w:divBdr>
        </w:div>
        <w:div w:id="1830637246">
          <w:marLeft w:val="0"/>
          <w:marRight w:val="0"/>
          <w:marTop w:val="0"/>
          <w:marBottom w:val="0"/>
          <w:divBdr>
            <w:top w:val="none" w:sz="0" w:space="0" w:color="auto"/>
            <w:left w:val="none" w:sz="0" w:space="0" w:color="auto"/>
            <w:bottom w:val="none" w:sz="0" w:space="0" w:color="auto"/>
            <w:right w:val="none" w:sz="0" w:space="0" w:color="auto"/>
          </w:divBdr>
        </w:div>
        <w:div w:id="1853032864">
          <w:marLeft w:val="0"/>
          <w:marRight w:val="0"/>
          <w:marTop w:val="0"/>
          <w:marBottom w:val="0"/>
          <w:divBdr>
            <w:top w:val="none" w:sz="0" w:space="0" w:color="auto"/>
            <w:left w:val="none" w:sz="0" w:space="0" w:color="auto"/>
            <w:bottom w:val="none" w:sz="0" w:space="0" w:color="auto"/>
            <w:right w:val="none" w:sz="0" w:space="0" w:color="auto"/>
          </w:divBdr>
        </w:div>
        <w:div w:id="103850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fsa.europa.eu/en/topics/topic/chemical-mixtures" TargetMode="External"/><Relationship Id="rId13" Type="http://schemas.openxmlformats.org/officeDocument/2006/relationships/hyperlink" Target="https://link.springer.com/article/10.1007/s00204-016-1866-9" TargetMode="External"/><Relationship Id="rId18" Type="http://schemas.openxmlformats.org/officeDocument/2006/relationships/hyperlink" Target="https://ec.europa.eu/jrc/en/science-update/vitro-methods-detection-thyroid-disruptors" TargetMode="External"/><Relationship Id="rId26" Type="http://schemas.openxmlformats.org/officeDocument/2006/relationships/hyperlink" Target="http://ec.europa.eu/growth/sectors/chemicals/ec-support_da" TargetMode="External"/><Relationship Id="rId3" Type="http://schemas.openxmlformats.org/officeDocument/2006/relationships/hyperlink" Target="http://www.euro.who.int/__data/assets/pdf_file/0011/78608/E93618.pdf" TargetMode="External"/><Relationship Id="rId21" Type="http://schemas.openxmlformats.org/officeDocument/2006/relationships/hyperlink" Target="http://europa.eu/rapid/midday-express-11-07-2018.htm" TargetMode="External"/><Relationship Id="rId7" Type="http://schemas.openxmlformats.org/officeDocument/2006/relationships/hyperlink" Target="http://www.who.int/ceh/publications/endocrine/en/" TargetMode="External"/><Relationship Id="rId12" Type="http://schemas.openxmlformats.org/officeDocument/2006/relationships/hyperlink" Target="https://www.efsa.europa.eu/en/supporting/pub/en-1027" TargetMode="External"/><Relationship Id="rId17" Type="http://schemas.openxmlformats.org/officeDocument/2006/relationships/hyperlink" Target="https://publications.europa.eu/da/publication-detail/-/publication/6b464845-4833-11e8-be1d-01aa75ed71a1" TargetMode="External"/><Relationship Id="rId25" Type="http://schemas.openxmlformats.org/officeDocument/2006/relationships/hyperlink" Target="https://eur-lex.europa.eu/legal-content/DA/ALL/?uri=COM:2016:814:FIN" TargetMode="External"/><Relationship Id="rId2" Type="http://schemas.openxmlformats.org/officeDocument/2006/relationships/hyperlink" Target="http://www.un.org/ga/search/view_doc.asp?symbol=A/RES/70/1&amp;Lang=E" TargetMode="External"/><Relationship Id="rId16" Type="http://schemas.openxmlformats.org/officeDocument/2006/relationships/hyperlink" Target="http://www.oecd.org/officialdocuments/publicdisplaydocumentpdf/?cote=env/jm/mono(2012)22&amp;doclanguage=en" TargetMode="External"/><Relationship Id="rId20" Type="http://schemas.openxmlformats.org/officeDocument/2006/relationships/hyperlink" Target="https://echa.europa.eu/candidate-list-table" TargetMode="External"/><Relationship Id="rId29" Type="http://schemas.openxmlformats.org/officeDocument/2006/relationships/hyperlink" Target="http://ec.europa.eu/environment/water/fitness_check_of_the_eu_water_legislation/index_en.htm" TargetMode="External"/><Relationship Id="rId1" Type="http://schemas.openxmlformats.org/officeDocument/2006/relationships/hyperlink" Target="http://ec.europa.eu/environment/chemicals/endocrine/documents/reports_conclusions_en.htm" TargetMode="External"/><Relationship Id="rId6" Type="http://schemas.openxmlformats.org/officeDocument/2006/relationships/hyperlink" Target="http://www.who.int/ipcs/publications/new_issues/endocrine_disruptors/en/" TargetMode="External"/><Relationship Id="rId11" Type="http://schemas.openxmlformats.org/officeDocument/2006/relationships/hyperlink" Target="http://publications.jrc.ec.europa.eu/repository/bitstream/JRC83204/lb-na-26-068-en-n.pdf" TargetMode="External"/><Relationship Id="rId24" Type="http://schemas.openxmlformats.org/officeDocument/2006/relationships/hyperlink" Target="https://ec.europa.eu/growth/sectors/chemicals/reach/review_da" TargetMode="External"/><Relationship Id="rId5" Type="http://schemas.openxmlformats.org/officeDocument/2006/relationships/hyperlink" Target="http://www.saicm.org/About/ICCM/tabid/5521/language/en-GB/Default.aspx" TargetMode="External"/><Relationship Id="rId15" Type="http://schemas.openxmlformats.org/officeDocument/2006/relationships/hyperlink" Target="http://www.efsa.europa.eu/en/efsajournal/doc/3132.pdf" TargetMode="External"/><Relationship Id="rId23" Type="http://schemas.openxmlformats.org/officeDocument/2006/relationships/hyperlink" Target="https://echa.europa.eu/documents/10162/13577/ref_4_report_en.pdf/b53f5cd9-64a4-c120-1953-e9e176b9c282" TargetMode="External"/><Relationship Id="rId28" Type="http://schemas.openxmlformats.org/officeDocument/2006/relationships/hyperlink" Target="http://ec.europa.eu/environment/action-programme/evaluation.htm" TargetMode="External"/><Relationship Id="rId10" Type="http://schemas.openxmlformats.org/officeDocument/2006/relationships/hyperlink" Target="http://publications.jrc.ec.europa.eu/repository/bitstream/JRC79981/lbna25919enn.pdf" TargetMode="External"/><Relationship Id="rId19" Type="http://schemas.openxmlformats.org/officeDocument/2006/relationships/hyperlink" Target="https://ec.europa.eu/consumers/consumers_safety/safety_products/rapex/alerts/repository/content/pages/rapex/index_en.htm" TargetMode="External"/><Relationship Id="rId31" Type="http://schemas.openxmlformats.org/officeDocument/2006/relationships/hyperlink" Target="https://ec.europa.eu/info/law/better-regulation/initiatives/ares-2018-3667279_da" TargetMode="External"/><Relationship Id="rId4" Type="http://schemas.openxmlformats.org/officeDocument/2006/relationships/hyperlink" Target="http://www.euro.who.int/__data/assets/pdf_file/0007/341944/OstravaDeclaration_SIGNED.pdf?ua=1" TargetMode="External"/><Relationship Id="rId9" Type="http://schemas.openxmlformats.org/officeDocument/2006/relationships/hyperlink" Target="https://www.efsa.europa.eu/en/efsajournal/pub/3293" TargetMode="External"/><Relationship Id="rId14" Type="http://schemas.openxmlformats.org/officeDocument/2006/relationships/hyperlink" Target="http://www.oecd.org/chemicalsafety/testing/oecdworkrelatedtoendocrinedisrupters.htm" TargetMode="External"/><Relationship Id="rId22" Type="http://schemas.openxmlformats.org/officeDocument/2006/relationships/hyperlink" Target="https://echa.europa.eu/substance-information/-/substanceinfo/100.001.475" TargetMode="External"/><Relationship Id="rId27" Type="http://schemas.openxmlformats.org/officeDocument/2006/relationships/hyperlink" Target="https://ec.europa.eu/food/plant/pesticides/refit_en" TargetMode="External"/><Relationship Id="rId30" Type="http://schemas.openxmlformats.org/officeDocument/2006/relationships/hyperlink" Target="https://ec.europa.eu/food/safety/chemical_safety/food_contact_materials/evalu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ABE1-87D2-4168-ACCE-16695846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4208</Words>
  <Characters>27313</Characters>
  <Application>Microsoft Office Word</Application>
  <DocSecurity>0</DocSecurity>
  <Lines>420</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28</cp:revision>
  <cp:lastPrinted>2018-10-16T16:23:00Z</cp:lastPrinted>
  <dcterms:created xsi:type="dcterms:W3CDTF">2018-10-31T11:36:00Z</dcterms:created>
  <dcterms:modified xsi:type="dcterms:W3CDTF">2018-11-14T14:53:00Z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