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F57B9CB6-DE54-4551-B3FD-00F2652DD118" style="width:450.4pt;height:411.0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TILLÆG 1</w:t>
      </w:r>
    </w:p>
    <w:p>
      <w:pPr>
        <w:jc w:val="center"/>
        <w:rPr>
          <w:b/>
          <w:noProof/>
        </w:rPr>
      </w:pPr>
      <w:r>
        <w:rPr>
          <w:b/>
          <w:noProof/>
        </w:rPr>
        <w:t>Udkast</w:t>
      </w:r>
    </w:p>
    <w:p>
      <w:pPr>
        <w:pStyle w:val="NormalCentered"/>
        <w:rPr>
          <w:b/>
          <w:noProof/>
        </w:rPr>
      </w:pPr>
      <w:r>
        <w:rPr>
          <w:b/>
          <w:noProof/>
        </w:rPr>
        <w:t>AFGØRELSE nr. 1/[dato] fra det blandede udvalg af [dato]</w:t>
      </w:r>
      <w:r>
        <w:rPr>
          <w:b/>
          <w:noProof/>
        </w:rPr>
        <w:br/>
        <w:t>om vedtagelse af det blandede udvalgs forretningsorden</w:t>
      </w:r>
    </w:p>
    <w:p>
      <w:pPr>
        <w:rPr>
          <w:noProof/>
        </w:rPr>
      </w:pPr>
      <w:r>
        <w:rPr>
          <w:noProof/>
        </w:rPr>
        <w:t xml:space="preserve">DET BLANDEDE UDVALG HAR — </w:t>
      </w:r>
    </w:p>
    <w:p>
      <w:pPr>
        <w:rPr>
          <w:noProof/>
        </w:rPr>
      </w:pPr>
      <w:r>
        <w:rPr>
          <w:noProof/>
        </w:rPr>
        <w:t>under henvisning til aftalen mellem Den Europæiske Union og Kongeriget Norge om administrativt samarbejde, bekæmpelse af svig og inddrivelse af fordringer på momsområdet (i det følgende benævnt "aftalen"), særlig artikel 41, stk. 1, og</w:t>
      </w:r>
    </w:p>
    <w:p>
      <w:pPr>
        <w:rPr>
          <w:noProof/>
        </w:rPr>
      </w:pPr>
      <w:r>
        <w:rPr>
          <w:noProof/>
        </w:rPr>
        <w:t>ud fra følgende betragtninger:</w:t>
      </w:r>
    </w:p>
    <w:p>
      <w:pPr>
        <w:pStyle w:val="Point0letter"/>
        <w:numPr>
          <w:ilvl w:val="1"/>
          <w:numId w:val="28"/>
        </w:numPr>
        <w:rPr>
          <w:noProof/>
        </w:rPr>
      </w:pPr>
      <w:r>
        <w:rPr>
          <w:noProof/>
        </w:rPr>
        <w:t>Det er nødvendigt at fastsætte regler for sammensætning og formandskab, observatører og eksperter, mødeindkaldelse, dagsorden, sekretariatsbistand, udarbejdelse og vedtagelse af protokoller, procedure for vedtagelse af afgørelser og henstillinger og omkostninger.</w:t>
      </w:r>
    </w:p>
    <w:p>
      <w:pPr>
        <w:pStyle w:val="Point0letter"/>
        <w:rPr>
          <w:noProof/>
        </w:rPr>
      </w:pPr>
      <w:r>
        <w:rPr>
          <w:noProof/>
        </w:rPr>
        <w:t>Det er nødvendigt at vedtage praktiske foranstaltninger til gennemførelse af aftalens artikel 41, stk. 3 —</w:t>
      </w:r>
    </w:p>
    <w:p>
      <w:pPr>
        <w:pStyle w:val="Formuledadoption"/>
        <w:rPr>
          <w:noProof/>
        </w:rPr>
      </w:pPr>
      <w:r>
        <w:rPr>
          <w:noProof/>
        </w:rPr>
        <w:t>VEDTAGET DENNE FORRETNINGSORDEN:</w:t>
      </w:r>
    </w:p>
    <w:p>
      <w:pPr>
        <w:pStyle w:val="Titrearticle"/>
        <w:rPr>
          <w:noProof/>
        </w:rPr>
      </w:pPr>
      <w:r>
        <w:rPr>
          <w:noProof/>
        </w:rPr>
        <w:t>Artikel 1</w:t>
      </w:r>
    </w:p>
    <w:p>
      <w:pPr>
        <w:pStyle w:val="Titrearticle"/>
        <w:rPr>
          <w:b/>
          <w:i w:val="0"/>
          <w:noProof/>
        </w:rPr>
      </w:pPr>
      <w:r>
        <w:rPr>
          <w:b/>
          <w:i w:val="0"/>
          <w:noProof/>
        </w:rPr>
        <w:t>Sammensætning og formandskab</w:t>
      </w:r>
    </w:p>
    <w:p>
      <w:pPr>
        <w:pStyle w:val="Point0number"/>
        <w:numPr>
          <w:ilvl w:val="0"/>
          <w:numId w:val="21"/>
        </w:numPr>
        <w:rPr>
          <w:noProof/>
          <w:szCs w:val="24"/>
        </w:rPr>
      </w:pPr>
      <w:r>
        <w:rPr>
          <w:noProof/>
        </w:rPr>
        <w:t xml:space="preserve">Det blandede udvalg består af repræsentanter for Den Europæiske Union og repræsentanter for Kongeriget Norge (parterne). </w:t>
      </w:r>
    </w:p>
    <w:p>
      <w:pPr>
        <w:pStyle w:val="Point0number"/>
        <w:rPr>
          <w:noProof/>
        </w:rPr>
      </w:pPr>
      <w:r>
        <w:rPr>
          <w:noProof/>
        </w:rPr>
        <w:t>Den Europæiske Union repræsenteres af Europa-Kommissionen. Kongeriget Norge repræsenteres af […].</w:t>
      </w:r>
    </w:p>
    <w:p>
      <w:pPr>
        <w:pStyle w:val="Point0number"/>
        <w:rPr>
          <w:noProof/>
        </w:rPr>
      </w:pPr>
      <w:r>
        <w:rPr>
          <w:noProof/>
        </w:rPr>
        <w:t>Formandskabet i det blandede udvalg varetages på skift af parterne i to kalenderår. Den første periode slutter den 31. december i året efter aftalens ikrafttræden. Det første formandskab varetages af Den Europæiske Union.</w:t>
      </w:r>
    </w:p>
    <w:p>
      <w:pPr>
        <w:pStyle w:val="Titrearticle"/>
        <w:rPr>
          <w:noProof/>
        </w:rPr>
      </w:pPr>
      <w:r>
        <w:rPr>
          <w:noProof/>
        </w:rPr>
        <w:t>Artikel 2</w:t>
      </w:r>
    </w:p>
    <w:p>
      <w:pPr>
        <w:pStyle w:val="Titrearticle"/>
        <w:rPr>
          <w:b/>
          <w:i w:val="0"/>
          <w:noProof/>
        </w:rPr>
      </w:pPr>
      <w:r>
        <w:rPr>
          <w:b/>
          <w:i w:val="0"/>
          <w:noProof/>
        </w:rPr>
        <w:t>Observatører og eksperter</w:t>
      </w:r>
    </w:p>
    <w:p>
      <w:pPr>
        <w:pStyle w:val="Point0number"/>
        <w:numPr>
          <w:ilvl w:val="0"/>
          <w:numId w:val="22"/>
        </w:numPr>
        <w:rPr>
          <w:noProof/>
          <w:szCs w:val="24"/>
        </w:rPr>
      </w:pPr>
      <w:r>
        <w:rPr>
          <w:noProof/>
        </w:rPr>
        <w:t xml:space="preserve">Repræsentanter for Den Europæiske Unions medlemsstater kan deltage som observatører. </w:t>
      </w:r>
    </w:p>
    <w:p>
      <w:pPr>
        <w:pStyle w:val="Point0number"/>
        <w:rPr>
          <w:noProof/>
        </w:rPr>
      </w:pPr>
      <w:r>
        <w:rPr>
          <w:noProof/>
        </w:rPr>
        <w:t>Det blandede udvalg kan give andre personer tilladelse til at deltage i udvalgsmøderne som observatører.</w:t>
      </w:r>
    </w:p>
    <w:p>
      <w:pPr>
        <w:pStyle w:val="Point0number"/>
        <w:rPr>
          <w:noProof/>
        </w:rPr>
      </w:pPr>
      <w:r>
        <w:rPr>
          <w:noProof/>
        </w:rPr>
        <w:t>Observatører kan få tilladelse af formanden til at deltage i drøftelserne og bidrage med ekspertise. De har dog ikke stemmeret og må ikke deltage i udformningen af det blandede udvalgs afgørelser og henstillinger.</w:t>
      </w:r>
    </w:p>
    <w:p>
      <w:pPr>
        <w:pStyle w:val="Point0number"/>
        <w:rPr>
          <w:noProof/>
        </w:rPr>
      </w:pPr>
      <w:r>
        <w:rPr>
          <w:noProof/>
        </w:rPr>
        <w:t>Eksperter med særlig ekspertise kan også indbydes til at deltage i specifikke punkter på dagsordenen.</w:t>
      </w:r>
    </w:p>
    <w:p>
      <w:pPr>
        <w:pStyle w:val="Titrearticle"/>
        <w:rPr>
          <w:noProof/>
        </w:rPr>
      </w:pPr>
      <w:r>
        <w:rPr>
          <w:noProof/>
        </w:rPr>
        <w:lastRenderedPageBreak/>
        <w:t>Artikel 3</w:t>
      </w:r>
    </w:p>
    <w:p>
      <w:pPr>
        <w:pStyle w:val="Titrearticle"/>
        <w:rPr>
          <w:b/>
          <w:i w:val="0"/>
          <w:noProof/>
        </w:rPr>
      </w:pPr>
      <w:r>
        <w:rPr>
          <w:b/>
          <w:i w:val="0"/>
          <w:noProof/>
        </w:rPr>
        <w:t>Mødeindkaldelse</w:t>
      </w:r>
    </w:p>
    <w:p>
      <w:pPr>
        <w:pStyle w:val="Point0number"/>
        <w:numPr>
          <w:ilvl w:val="0"/>
          <w:numId w:val="23"/>
        </w:numPr>
        <w:rPr>
          <w:noProof/>
          <w:szCs w:val="24"/>
        </w:rPr>
      </w:pPr>
      <w:r>
        <w:rPr>
          <w:noProof/>
        </w:rPr>
        <w:t xml:space="preserve">Det blandede udvalg indkaldes af formanden mindst en gang hvert andet år. Begge parter kan anmode om, at der indkaldes til møde. </w:t>
      </w:r>
    </w:p>
    <w:p>
      <w:pPr>
        <w:pStyle w:val="Point0number"/>
        <w:rPr>
          <w:noProof/>
        </w:rPr>
      </w:pPr>
      <w:r>
        <w:rPr>
          <w:noProof/>
        </w:rPr>
        <w:t>Dato og sted for hvert møde fastsættes efter aftale mellem parterne.</w:t>
      </w:r>
    </w:p>
    <w:p>
      <w:pPr>
        <w:pStyle w:val="Point0number"/>
        <w:rPr>
          <w:noProof/>
        </w:rPr>
      </w:pPr>
      <w:r>
        <w:rPr>
          <w:noProof/>
        </w:rPr>
        <w:t xml:space="preserve">Møder kan også afholdes som telekonference eller videokonference. </w:t>
      </w:r>
    </w:p>
    <w:p>
      <w:pPr>
        <w:pStyle w:val="Point0number"/>
        <w:rPr>
          <w:noProof/>
        </w:rPr>
      </w:pPr>
      <w:r>
        <w:rPr>
          <w:noProof/>
        </w:rPr>
        <w:t>Formanden fremsender indkaldelsen til den anden part, til observatørerne som omhandlet i artikel 2, stk. 2, og til eksperterne mindst 15 arbejdsdage før et møde. Kommissionen indbyder repræsentanterne for Den Europæiske Unions medlemsstater som omhandlet i artikel 2, stk. 1.</w:t>
      </w:r>
    </w:p>
    <w:p>
      <w:pPr>
        <w:pStyle w:val="Point0number"/>
        <w:rPr>
          <w:noProof/>
        </w:rPr>
      </w:pPr>
      <w:r>
        <w:rPr>
          <w:noProof/>
        </w:rPr>
        <w:t xml:space="preserve">Møderne er ikke offentlige, medmindre parterne beslutter andet. Udvalgets forhandlinger er undergivet tavshedspligt. </w:t>
      </w:r>
    </w:p>
    <w:p>
      <w:pPr>
        <w:pStyle w:val="Titrearticle"/>
        <w:rPr>
          <w:noProof/>
        </w:rPr>
      </w:pPr>
      <w:r>
        <w:rPr>
          <w:noProof/>
        </w:rPr>
        <w:t>Artikel 4</w:t>
      </w:r>
    </w:p>
    <w:p>
      <w:pPr>
        <w:pStyle w:val="Titrearticle"/>
        <w:rPr>
          <w:b/>
          <w:i w:val="0"/>
          <w:noProof/>
        </w:rPr>
      </w:pPr>
      <w:r>
        <w:rPr>
          <w:b/>
          <w:i w:val="0"/>
          <w:noProof/>
        </w:rPr>
        <w:t>Dagsorden</w:t>
      </w:r>
    </w:p>
    <w:p>
      <w:pPr>
        <w:pStyle w:val="Point0number"/>
        <w:numPr>
          <w:ilvl w:val="0"/>
          <w:numId w:val="24"/>
        </w:numPr>
        <w:rPr>
          <w:noProof/>
        </w:rPr>
      </w:pPr>
      <w:r>
        <w:rPr>
          <w:noProof/>
        </w:rPr>
        <w:t>Formanden fastsætter den foreløbige dagsorden for hvert møde og forelægger den for parterne senest seks måneder før mødet. Den endelige dagsorden udformes efter aftale mellem parterne senest 15 arbejdsdage før mødet og udsendes af formanden.</w:t>
      </w:r>
    </w:p>
    <w:p>
      <w:pPr>
        <w:pStyle w:val="Point0number"/>
        <w:rPr>
          <w:noProof/>
        </w:rPr>
      </w:pPr>
      <w:r>
        <w:rPr>
          <w:noProof/>
        </w:rPr>
        <w:t>Bilag og dokumentation fremsendes til parterne senest på datoen for fremsendelse af den midlertidige dagsorden.</w:t>
      </w:r>
    </w:p>
    <w:p>
      <w:pPr>
        <w:pStyle w:val="Point0number"/>
        <w:rPr>
          <w:noProof/>
        </w:rPr>
      </w:pPr>
      <w:r>
        <w:rPr>
          <w:noProof/>
        </w:rPr>
        <w:t>Anmodning om optagelse af punkter på dagsordenen vedrørende afgørelser, der skal træffes af det blandede udvalg, og alle dertilhørende dokumenter fremsendes til det blandede udvalg senest syv måneder forud for mødet.</w:t>
      </w:r>
    </w:p>
    <w:p>
      <w:pPr>
        <w:pStyle w:val="Titrearticle"/>
        <w:rPr>
          <w:noProof/>
        </w:rPr>
      </w:pPr>
      <w:r>
        <w:rPr>
          <w:noProof/>
        </w:rPr>
        <w:t>Artikel 5</w:t>
      </w:r>
    </w:p>
    <w:p>
      <w:pPr>
        <w:pStyle w:val="Titrearticle"/>
        <w:rPr>
          <w:b/>
          <w:i w:val="0"/>
          <w:noProof/>
        </w:rPr>
      </w:pPr>
      <w:r>
        <w:rPr>
          <w:b/>
          <w:i w:val="0"/>
          <w:noProof/>
        </w:rPr>
        <w:t>Sekretariat</w:t>
      </w:r>
    </w:p>
    <w:p>
      <w:pPr>
        <w:pStyle w:val="Point0number"/>
        <w:numPr>
          <w:ilvl w:val="0"/>
          <w:numId w:val="25"/>
        </w:numPr>
        <w:rPr>
          <w:noProof/>
          <w:szCs w:val="24"/>
        </w:rPr>
      </w:pPr>
      <w:r>
        <w:rPr>
          <w:noProof/>
        </w:rPr>
        <w:t>Det blandede udvalgs sekretariat varetages af formandskabet. Enhver korrespondance til det blandede udvalg, herunder anmodninger om optagelse eller fjernelse af punkter på dagsordenen for udvalgets møder, rettes til formanden.</w:t>
      </w:r>
    </w:p>
    <w:p>
      <w:pPr>
        <w:pStyle w:val="Point0number"/>
        <w:rPr>
          <w:noProof/>
        </w:rPr>
      </w:pPr>
      <w:r>
        <w:rPr>
          <w:noProof/>
        </w:rPr>
        <w:t>Uanset ovenstående varetager Kommissionen sekretariatsfunktionen for meddelelsen af statistiske data i henhold til aftalens artikel 20 og 39.</w:t>
      </w:r>
    </w:p>
    <w:p>
      <w:pPr>
        <w:pStyle w:val="Titrearticle"/>
        <w:rPr>
          <w:noProof/>
        </w:rPr>
      </w:pPr>
      <w:r>
        <w:rPr>
          <w:noProof/>
        </w:rPr>
        <w:t>Artikel 6</w:t>
      </w:r>
    </w:p>
    <w:p>
      <w:pPr>
        <w:pStyle w:val="Titrearticle"/>
        <w:rPr>
          <w:b/>
          <w:i w:val="0"/>
          <w:noProof/>
        </w:rPr>
      </w:pPr>
      <w:r>
        <w:rPr>
          <w:b/>
          <w:i w:val="0"/>
          <w:noProof/>
        </w:rPr>
        <w:t>Mødereferat</w:t>
      </w:r>
    </w:p>
    <w:p>
      <w:pPr>
        <w:pStyle w:val="Point0number"/>
        <w:numPr>
          <w:ilvl w:val="0"/>
          <w:numId w:val="27"/>
        </w:numPr>
        <w:rPr>
          <w:noProof/>
        </w:rPr>
      </w:pPr>
      <w:r>
        <w:rPr>
          <w:noProof/>
        </w:rPr>
        <w:t>Formanden udarbejder et udkast til referat af hvert møde. Formanden udsender snarest og senest en måned efter mødet udkastet til referat. Referatet godkendes af parterne.</w:t>
      </w:r>
    </w:p>
    <w:p>
      <w:pPr>
        <w:pStyle w:val="Point0number"/>
        <w:rPr>
          <w:noProof/>
        </w:rPr>
      </w:pPr>
      <w:r>
        <w:rPr>
          <w:noProof/>
        </w:rPr>
        <w:t>Formanden fremsender det godkendte referat til parterne.</w:t>
      </w:r>
    </w:p>
    <w:p>
      <w:pPr>
        <w:pStyle w:val="Titrearticle"/>
        <w:rPr>
          <w:noProof/>
        </w:rPr>
      </w:pPr>
      <w:r>
        <w:rPr>
          <w:noProof/>
        </w:rPr>
        <w:lastRenderedPageBreak/>
        <w:t>Artikel 7</w:t>
      </w:r>
    </w:p>
    <w:p>
      <w:pPr>
        <w:pStyle w:val="Titrearticle"/>
        <w:rPr>
          <w:b/>
          <w:i w:val="0"/>
          <w:noProof/>
        </w:rPr>
      </w:pPr>
      <w:r>
        <w:rPr>
          <w:b/>
          <w:i w:val="0"/>
          <w:noProof/>
        </w:rPr>
        <w:t>Vedtagelse af afgørelser og henstillinger</w:t>
      </w:r>
    </w:p>
    <w:p>
      <w:pPr>
        <w:pStyle w:val="Point0number"/>
        <w:numPr>
          <w:ilvl w:val="0"/>
          <w:numId w:val="26"/>
        </w:numPr>
        <w:rPr>
          <w:noProof/>
          <w:szCs w:val="24"/>
        </w:rPr>
      </w:pPr>
      <w:r>
        <w:rPr>
          <w:noProof/>
        </w:rPr>
        <w:t xml:space="preserve">Det blandede udvalgs afgørelser og henstillinger er genstand for en forudgående drøftelse mellem parterne. </w:t>
      </w:r>
    </w:p>
    <w:p>
      <w:pPr>
        <w:pStyle w:val="Point0number"/>
        <w:rPr>
          <w:noProof/>
        </w:rPr>
      </w:pPr>
      <w:r>
        <w:rPr>
          <w:noProof/>
        </w:rPr>
        <w:t>Det blandede udvalgs afgørelser og henstillinger vedtages på udvalgets møder ved enstemmighed.</w:t>
      </w:r>
    </w:p>
    <w:p>
      <w:pPr>
        <w:pStyle w:val="Point0number"/>
        <w:rPr>
          <w:noProof/>
        </w:rPr>
      </w:pPr>
      <w:r>
        <w:rPr>
          <w:noProof/>
        </w:rPr>
        <w:t xml:space="preserve">Afgørelser eller henstillinger kan vedtages ved skriftlig procedure, hvis begge parter er enige herom. </w:t>
      </w:r>
    </w:p>
    <w:p>
      <w:pPr>
        <w:pStyle w:val="Point0number"/>
        <w:rPr>
          <w:noProof/>
        </w:rPr>
      </w:pPr>
      <w:r>
        <w:rPr>
          <w:noProof/>
        </w:rPr>
        <w:t>Under den skriftlige procedure sender formanden udkastet til afgørelser og henstillinger til parterne og fastsætter en tidsfrist, inden for hvilken de skal give udtryk for deres holdning. Parter, der ikke gør indsigelse mod udkastet til retsakter inden udløbet af denne frist, anses for stiltiende at have godkendt udkastet til retsakter.</w:t>
      </w:r>
    </w:p>
    <w:p>
      <w:pPr>
        <w:pStyle w:val="Point0number"/>
        <w:rPr>
          <w:noProof/>
        </w:rPr>
      </w:pPr>
      <w:r>
        <w:rPr>
          <w:noProof/>
        </w:rPr>
        <w:t xml:space="preserve">Formanden informerer straks og senest 14 kalenderdage efter fristens udløb parterne om udfaldet af den skriftlige procedure. </w:t>
      </w:r>
    </w:p>
    <w:p>
      <w:pPr>
        <w:pStyle w:val="Titrearticle"/>
        <w:rPr>
          <w:noProof/>
        </w:rPr>
      </w:pPr>
      <w:r>
        <w:rPr>
          <w:noProof/>
        </w:rPr>
        <w:t>Artikel 8</w:t>
      </w:r>
    </w:p>
    <w:p>
      <w:pPr>
        <w:pStyle w:val="Titrearticle"/>
        <w:rPr>
          <w:b/>
          <w:i w:val="0"/>
          <w:noProof/>
        </w:rPr>
      </w:pPr>
      <w:r>
        <w:rPr>
          <w:b/>
          <w:i w:val="0"/>
          <w:noProof/>
        </w:rPr>
        <w:t>Udgifter</w:t>
      </w:r>
    </w:p>
    <w:p>
      <w:pPr>
        <w:rPr>
          <w:noProof/>
        </w:rPr>
      </w:pPr>
      <w:r>
        <w:rPr>
          <w:noProof/>
        </w:rPr>
        <w:t>Parterne og i givet fald observatørerne afholder hver især deres udgifter til deltagelse i det blandede udvalgs møder.</w:t>
      </w:r>
    </w:p>
    <w:p>
      <w:pPr>
        <w:rPr>
          <w:noProof/>
        </w:rPr>
      </w:pPr>
      <w:r>
        <w:rPr>
          <w:i/>
          <w:noProof/>
        </w:rPr>
        <w:t>Dato</w:t>
      </w:r>
    </w:p>
    <w:p>
      <w:pPr>
        <w:rPr>
          <w:noProof/>
        </w:rPr>
        <w:sectPr>
          <w:footerReference w:type="default" r:id="rId16"/>
          <w:footerReference w:type="first" r:id="rId17"/>
          <w:pgSz w:w="11907" w:h="16839"/>
          <w:pgMar w:top="1134" w:right="1417" w:bottom="1134" w:left="1417" w:header="709" w:footer="709" w:gutter="0"/>
          <w:cols w:space="720"/>
          <w:docGrid w:linePitch="360"/>
        </w:sectPr>
      </w:pPr>
    </w:p>
    <w:p>
      <w:pPr>
        <w:pStyle w:val="Annexetitre"/>
        <w:rPr>
          <w:noProof/>
        </w:rPr>
      </w:pPr>
      <w:r>
        <w:rPr>
          <w:noProof/>
        </w:rPr>
        <w:lastRenderedPageBreak/>
        <w:t>TILLÆG 2</w:t>
      </w:r>
    </w:p>
    <w:p>
      <w:pPr>
        <w:pStyle w:val="NormalCentered"/>
        <w:rPr>
          <w:b/>
          <w:noProof/>
        </w:rPr>
      </w:pPr>
      <w:r>
        <w:rPr>
          <w:b/>
          <w:noProof/>
        </w:rPr>
        <w:t>Udkast</w:t>
      </w:r>
    </w:p>
    <w:p>
      <w:pPr>
        <w:pStyle w:val="NormalCentered"/>
        <w:rPr>
          <w:b/>
          <w:noProof/>
        </w:rPr>
      </w:pPr>
      <w:r>
        <w:rPr>
          <w:b/>
          <w:noProof/>
        </w:rPr>
        <w:t>AFGØRELSE nr. 2/[dato] fra det blandede udvalg af [dato]</w:t>
      </w:r>
      <w:r>
        <w:rPr>
          <w:b/>
          <w:noProof/>
        </w:rPr>
        <w:br/>
        <w:t>om vedtagelse af standardformularerne, videregivelsen af kommunikation og de praktiske foranstaltninger for så vidt angår organiseringen af kontakter mellem de centrale forbindelseskontorer</w:t>
      </w:r>
    </w:p>
    <w:p>
      <w:pPr>
        <w:pStyle w:val="Titrearticle"/>
        <w:jc w:val="both"/>
        <w:rPr>
          <w:i w:val="0"/>
          <w:noProof/>
        </w:rPr>
      </w:pPr>
      <w:r>
        <w:rPr>
          <w:i w:val="0"/>
          <w:noProof/>
        </w:rPr>
        <w:t>DET BLANDEDE UDVALG, der er nedsat ved artikel 41, stk. 1, i aftalen mellem Den Europæiske Union og Kongeriget Norge om administrativt samarbejde, bekæmpelse af svig og inddrivelse af fordringer på momsområdet (i det følgende benævnt "aftalen"), har —</w:t>
      </w:r>
    </w:p>
    <w:p>
      <w:pPr>
        <w:rPr>
          <w:noProof/>
        </w:rPr>
      </w:pPr>
      <w:r>
        <w:rPr>
          <w:noProof/>
        </w:rPr>
        <w:t>ud fra følgende betragtninger:</w:t>
      </w:r>
    </w:p>
    <w:p>
      <w:pPr>
        <w:pStyle w:val="Point0number"/>
        <w:numPr>
          <w:ilvl w:val="0"/>
          <w:numId w:val="36"/>
        </w:numPr>
        <w:rPr>
          <w:noProof/>
        </w:rPr>
      </w:pPr>
      <w:r>
        <w:rPr>
          <w:noProof/>
        </w:rPr>
        <w:t>Værktøjer til videregivelse af kommunikation såsom standardformularer og elektroniske kommunikationssystemer er allerede gennemført inden for rammerne af Rådets forordning (EU) nr. 904/2010 om administrativt samarbejde og bekæmpelse af svig vedrørende merværdiafgift</w:t>
      </w:r>
      <w:r>
        <w:rPr>
          <w:rStyle w:val="FootnoteReference"/>
          <w:noProof/>
        </w:rPr>
        <w:footnoteReference w:id="1"/>
      </w:r>
      <w:r>
        <w:rPr>
          <w:noProof/>
        </w:rPr>
        <w:t xml:space="preserve"> og Rådets direktiv 2010/24/EU om gensidig bistand ved inddrivelse af fordringer i forbindelse med skatter, afgifter og andre foranstaltninger</w:t>
      </w:r>
      <w:r>
        <w:rPr>
          <w:rStyle w:val="FootnoteReference"/>
          <w:noProof/>
        </w:rPr>
        <w:footnoteReference w:id="2"/>
      </w:r>
      <w:r>
        <w:rPr>
          <w:noProof/>
        </w:rPr>
        <w:t>, og de er fuldt ud forenelige med aftalens administrative samarbejdsramme.</w:t>
      </w:r>
    </w:p>
    <w:p>
      <w:pPr>
        <w:pStyle w:val="Point0number"/>
        <w:rPr>
          <w:noProof/>
        </w:rPr>
      </w:pPr>
      <w:r>
        <w:rPr>
          <w:noProof/>
        </w:rPr>
        <w:t>Det er nødvendigt at vedtage praktiske foranstaltninger til gennemførelse af aftalens artikel 41, stk. 2, litra d), e), g) og h) —</w:t>
      </w:r>
    </w:p>
    <w:p>
      <w:pPr>
        <w:pStyle w:val="Formuledadoption"/>
        <w:rPr>
          <w:noProof/>
        </w:rPr>
      </w:pPr>
      <w:r>
        <w:rPr>
          <w:noProof/>
        </w:rPr>
        <w:t xml:space="preserve">VEDTAGET DENNE AFGØRELSE: </w:t>
      </w:r>
    </w:p>
    <w:p>
      <w:pPr>
        <w:pStyle w:val="Titrearticle"/>
        <w:rPr>
          <w:noProof/>
        </w:rPr>
      </w:pPr>
      <w:r>
        <w:rPr>
          <w:noProof/>
        </w:rPr>
        <w:t>Artikel 1</w:t>
      </w:r>
    </w:p>
    <w:p>
      <w:pPr>
        <w:pStyle w:val="Titrearticle"/>
        <w:rPr>
          <w:b/>
          <w:i w:val="0"/>
          <w:noProof/>
        </w:rPr>
      </w:pPr>
      <w:r>
        <w:rPr>
          <w:b/>
          <w:i w:val="0"/>
          <w:noProof/>
        </w:rPr>
        <w:t xml:space="preserve">Standardformularer </w:t>
      </w:r>
    </w:p>
    <w:p>
      <w:pPr>
        <w:rPr>
          <w:noProof/>
        </w:rPr>
      </w:pPr>
      <w:r>
        <w:rPr>
          <w:noProof/>
        </w:rPr>
        <w:t>I henhold til aftalens artikel 21, stk. 1, og artikel 40, stk. 1, anvender de kompetente myndigheder de standardformularer, der er vedtaget i forbindelse med gennemførelsen af Rådets forordning (EU) nr. 904/2010 og Rådets direktiv 2010/24/EU, ved meddelelse af oplysninger som omhandlet i aftalens afsnit II og III.</w:t>
      </w:r>
    </w:p>
    <w:p>
      <w:pPr>
        <w:rPr>
          <w:noProof/>
        </w:rPr>
      </w:pPr>
      <w:r>
        <w:rPr>
          <w:noProof/>
        </w:rPr>
        <w:t>Standardformularernes opbygning og udformning kan tilpasses nye krav og kapaciteter i tilknytning til kommunikations- og informationsudvekslingssystemerne, forudsat at de deri indeholdte data og oplysninger ikke ændres væsentligt.</w:t>
      </w:r>
    </w:p>
    <w:p>
      <w:pPr>
        <w:pStyle w:val="Titrearticle"/>
        <w:rPr>
          <w:noProof/>
        </w:rPr>
      </w:pPr>
      <w:r>
        <w:rPr>
          <w:noProof/>
        </w:rPr>
        <w:t>Artikel 2</w:t>
      </w:r>
    </w:p>
    <w:p>
      <w:pPr>
        <w:pStyle w:val="Titrearticle"/>
        <w:rPr>
          <w:b/>
          <w:i w:val="0"/>
          <w:noProof/>
        </w:rPr>
      </w:pPr>
      <w:r>
        <w:rPr>
          <w:b/>
          <w:i w:val="0"/>
          <w:noProof/>
        </w:rPr>
        <w:t xml:space="preserve">Videregivelse af kommunikation </w:t>
      </w:r>
    </w:p>
    <w:p>
      <w:pPr>
        <w:rPr>
          <w:noProof/>
        </w:rPr>
      </w:pPr>
      <w:r>
        <w:rPr>
          <w:noProof/>
        </w:rPr>
        <w:t xml:space="preserve">Alle oplysninger, der kommunikeres i henhold til aftalens afsnit II og III, videregives udelukkende ad elektronisk vej via CCN/CSI-nettet, medmindre dette af tekniske årsager ikke kan lade sig gøre. </w:t>
      </w:r>
    </w:p>
    <w:p>
      <w:pPr>
        <w:pStyle w:val="Titrearticle"/>
        <w:rPr>
          <w:noProof/>
        </w:rPr>
      </w:pPr>
      <w:r>
        <w:rPr>
          <w:noProof/>
        </w:rPr>
        <w:lastRenderedPageBreak/>
        <w:t>Artikel 3</w:t>
      </w:r>
    </w:p>
    <w:p>
      <w:pPr>
        <w:pStyle w:val="Titrearticle"/>
        <w:rPr>
          <w:b/>
          <w:i w:val="0"/>
          <w:noProof/>
        </w:rPr>
      </w:pPr>
      <w:r>
        <w:rPr>
          <w:b/>
          <w:i w:val="0"/>
          <w:noProof/>
        </w:rPr>
        <w:t xml:space="preserve">Praktiske foranstaltninger for så vidt angår organiseringen af kontakter </w:t>
      </w:r>
    </w:p>
    <w:p>
      <w:pPr>
        <w:pStyle w:val="Point0number"/>
        <w:numPr>
          <w:ilvl w:val="0"/>
          <w:numId w:val="37"/>
        </w:numPr>
        <w:rPr>
          <w:noProof/>
        </w:rPr>
      </w:pPr>
      <w:r>
        <w:rPr>
          <w:noProof/>
        </w:rPr>
        <w:t>Ved organiseringen af kontakterne mellem de centrale forbindelseskontorer og de forbindelsesafdelinger, som er omhandlet i artikel 4, stk. 2, litra b), og artikel 4, stk. 3, litra b), gør de kompetente myndigheder brug af de bestemmelser, der er vedtaget til gennemførelse af Rådets direktiv 2010/24/EU.</w:t>
      </w:r>
    </w:p>
    <w:p>
      <w:pPr>
        <w:pStyle w:val="Point0number"/>
        <w:numPr>
          <w:ilvl w:val="0"/>
          <w:numId w:val="26"/>
        </w:numPr>
        <w:rPr>
          <w:noProof/>
          <w:szCs w:val="24"/>
        </w:rPr>
      </w:pPr>
      <w:r>
        <w:rPr>
          <w:noProof/>
        </w:rPr>
        <w:t>De centrale forbindelseskontorer, der er udpeget i henhold til aftalens artikel 4, stk. 2, ajourfører en liste over de forbindelsesafdelinger og kompetente embedsmænd, der er udpeget i henhold til artikel 4, stk. 3, og artikel 4, stk. 4, og gør den tilgængelig for de andre centrale forbindelseskontorer ad elektronisk vej.</w:t>
      </w:r>
    </w:p>
    <w:p>
      <w:pPr>
        <w:rPr>
          <w:noProof/>
        </w:rPr>
      </w:pPr>
      <w:r>
        <w:rPr>
          <w:noProof/>
        </w:rPr>
        <w:t>Dato</w:t>
      </w:r>
    </w:p>
    <w:p>
      <w:pPr>
        <w:rPr>
          <w:noProof/>
        </w:rPr>
        <w:sectPr>
          <w:pgSz w:w="11907" w:h="16839"/>
          <w:pgMar w:top="1134" w:right="1417" w:bottom="1134" w:left="1417" w:header="709" w:footer="709" w:gutter="0"/>
          <w:cols w:space="720"/>
          <w:docGrid w:linePitch="360"/>
        </w:sectPr>
      </w:pPr>
    </w:p>
    <w:p>
      <w:pPr>
        <w:pStyle w:val="Annexetitre"/>
        <w:rPr>
          <w:noProof/>
        </w:rPr>
      </w:pPr>
      <w:r>
        <w:rPr>
          <w:noProof/>
        </w:rPr>
        <w:lastRenderedPageBreak/>
        <w:t>TILLÆG 3</w:t>
      </w:r>
    </w:p>
    <w:p>
      <w:pPr>
        <w:pStyle w:val="NormalCentered"/>
        <w:rPr>
          <w:b/>
          <w:noProof/>
        </w:rPr>
      </w:pPr>
      <w:r>
        <w:rPr>
          <w:b/>
          <w:noProof/>
        </w:rPr>
        <w:t>Udkast</w:t>
      </w:r>
    </w:p>
    <w:p>
      <w:pPr>
        <w:pStyle w:val="NormalCentered"/>
        <w:rPr>
          <w:b/>
          <w:noProof/>
        </w:rPr>
      </w:pPr>
      <w:r>
        <w:rPr>
          <w:b/>
          <w:noProof/>
        </w:rPr>
        <w:t>AFGØRELSE nr. 3/[dato] fra det blandede udvalg af [dato]</w:t>
      </w:r>
      <w:r>
        <w:rPr>
          <w:b/>
          <w:noProof/>
        </w:rPr>
        <w:br/>
        <w:t>om vedtagelse af proceduren for indgåelse af en serviceleveranceaftale</w:t>
      </w:r>
    </w:p>
    <w:p>
      <w:pPr>
        <w:pStyle w:val="Titrearticle"/>
        <w:jc w:val="both"/>
        <w:rPr>
          <w:i w:val="0"/>
          <w:noProof/>
        </w:rPr>
      </w:pPr>
      <w:r>
        <w:rPr>
          <w:i w:val="0"/>
          <w:noProof/>
        </w:rPr>
        <w:t>DET BLANDEDE UDVALG, der er nedsat ved artikel 41, stk. 1, i aftalen mellem Den Europæiske Union og Kongeriget Norge om administrativt samarbejde, bekæmpelse af svig og inddrivelse af fordringer på momsområdet (i det følgende benævnt "aftalen"), har —</w:t>
      </w:r>
    </w:p>
    <w:p>
      <w:pPr>
        <w:rPr>
          <w:noProof/>
        </w:rPr>
      </w:pPr>
      <w:r>
        <w:rPr>
          <w:noProof/>
        </w:rPr>
        <w:t>ud fra følgende betragtninger:</w:t>
      </w:r>
    </w:p>
    <w:p>
      <w:pPr>
        <w:pStyle w:val="Point0number"/>
        <w:rPr>
          <w:noProof/>
        </w:rPr>
      </w:pPr>
      <w:r>
        <w:rPr>
          <w:noProof/>
        </w:rPr>
        <w:t>Der skal vedtages en aftale om serviceniveauet, der sikrer den tekniske kvalitet og kvantitet af ydelserne med henblik på driften af kommunikations- og informationsudvekslingssystemerne, efter den procedure, som er fastlagt af det blandede udvalg.</w:t>
      </w:r>
    </w:p>
    <w:p>
      <w:pPr>
        <w:pStyle w:val="Point0number"/>
        <w:rPr>
          <w:noProof/>
        </w:rPr>
      </w:pPr>
      <w:r>
        <w:rPr>
          <w:noProof/>
        </w:rPr>
        <w:t>Det er nødvendigt at vedtage praktiske foranstaltninger til gennemførelse af aftalens artikel 5 —</w:t>
      </w:r>
    </w:p>
    <w:p>
      <w:pPr>
        <w:pStyle w:val="Formuledadoption"/>
        <w:rPr>
          <w:noProof/>
        </w:rPr>
      </w:pPr>
      <w:r>
        <w:rPr>
          <w:noProof/>
        </w:rPr>
        <w:t xml:space="preserve">VEDTAGET DENNE AFGØRELSE: </w:t>
      </w:r>
    </w:p>
    <w:p>
      <w:pPr>
        <w:pStyle w:val="Titrearticle"/>
        <w:rPr>
          <w:noProof/>
        </w:rPr>
      </w:pPr>
      <w:r>
        <w:rPr>
          <w:noProof/>
        </w:rPr>
        <w:t xml:space="preserve">Eneste artikel </w:t>
      </w:r>
    </w:p>
    <w:p>
      <w:pPr>
        <w:pStyle w:val="Point0number"/>
        <w:numPr>
          <w:ilvl w:val="0"/>
          <w:numId w:val="35"/>
        </w:numPr>
        <w:rPr>
          <w:noProof/>
        </w:rPr>
      </w:pPr>
      <w:r>
        <w:rPr>
          <w:noProof/>
        </w:rPr>
        <w:t>Den serviceleveranceaftale, der er omhandlet i aftalens artikel 5, indgås af det blandede udvalg og er bindende for parterne fra dagen efter godkendelsen i det blandede udvalg.</w:t>
      </w:r>
    </w:p>
    <w:p>
      <w:pPr>
        <w:pStyle w:val="Point0number"/>
        <w:rPr>
          <w:noProof/>
        </w:rPr>
      </w:pPr>
      <w:r>
        <w:rPr>
          <w:noProof/>
        </w:rPr>
        <w:t>Hver part kan anmode om en revision af serviceleveranceaftalen ved fremsendelse af en anmodning til formanden for det blandede udvalg. Bestemmelserne i den senest indgåede serviceleveranceaftale forbliver i kraft, indtil det blandede udvalg har truffet afgørelse om de foreslåede ændringer.</w:t>
      </w:r>
    </w:p>
    <w:p>
      <w:pPr>
        <w:rPr>
          <w:noProof/>
        </w:rPr>
      </w:pPr>
      <w:r>
        <w:rPr>
          <w:noProof/>
        </w:rPr>
        <w:t xml:space="preserve">Dato </w:t>
      </w:r>
    </w:p>
    <w:p>
      <w:pPr>
        <w:rPr>
          <w:noProof/>
        </w:rPr>
        <w:sectPr>
          <w:pgSz w:w="11907" w:h="16839"/>
          <w:pgMar w:top="1134" w:right="1417" w:bottom="1134" w:left="1417" w:header="709" w:footer="709" w:gutter="0"/>
          <w:cols w:space="720"/>
          <w:docGrid w:linePitch="360"/>
        </w:sectPr>
      </w:pPr>
    </w:p>
    <w:p>
      <w:pPr>
        <w:pStyle w:val="Annexetitre"/>
        <w:rPr>
          <w:noProof/>
        </w:rPr>
      </w:pPr>
      <w:r>
        <w:rPr>
          <w:noProof/>
        </w:rPr>
        <w:lastRenderedPageBreak/>
        <w:t>TILLÆG 4</w:t>
      </w:r>
    </w:p>
    <w:p>
      <w:pPr>
        <w:pStyle w:val="NormalCentered"/>
        <w:rPr>
          <w:b/>
          <w:noProof/>
        </w:rPr>
      </w:pPr>
      <w:r>
        <w:rPr>
          <w:b/>
          <w:noProof/>
        </w:rPr>
        <w:t>Udkast</w:t>
      </w:r>
    </w:p>
    <w:p>
      <w:pPr>
        <w:pStyle w:val="NormalCentered"/>
        <w:rPr>
          <w:b/>
          <w:noProof/>
        </w:rPr>
      </w:pPr>
      <w:r>
        <w:rPr>
          <w:b/>
          <w:noProof/>
        </w:rPr>
        <w:t>AFGØRELSE nr. 4/[dato] fra det blandede udvalg af [dato]</w:t>
      </w:r>
      <w:r>
        <w:rPr>
          <w:b/>
          <w:noProof/>
        </w:rPr>
        <w:br/>
        <w:t>om vedtagelse af serviceleveranceaftalen for systemerne og applikationerne for administrativt samarbejde og inddrivelse af fordringer på momsområdet</w:t>
      </w:r>
    </w:p>
    <w:p>
      <w:pPr>
        <w:pStyle w:val="ManualHeading1"/>
        <w:rPr>
          <w:noProof/>
        </w:rPr>
      </w:pPr>
      <w:r>
        <w:rPr>
          <w:noProof/>
        </w:rPr>
        <w:t>1.</w:t>
      </w:r>
      <w:r>
        <w:rPr>
          <w:noProof/>
        </w:rPr>
        <w:tab/>
      </w:r>
      <w:r>
        <w:rPr>
          <w:noProof/>
          <w:u w:val="single"/>
        </w:rPr>
        <w:t>REFERENCEDOKUMENTER OG GÆLDENDE DOKUMENTER</w:t>
      </w:r>
    </w:p>
    <w:p>
      <w:pPr>
        <w:pStyle w:val="ManualHeading2"/>
        <w:rPr>
          <w:caps/>
          <w:noProof/>
        </w:rPr>
      </w:pPr>
      <w:r>
        <w:rPr>
          <w:noProof/>
        </w:rPr>
        <w:t>1.1.</w:t>
      </w:r>
      <w:r>
        <w:rPr>
          <w:noProof/>
        </w:rPr>
        <w:tab/>
      </w:r>
      <w:bookmarkStart w:id="1" w:name="_Toc486594995"/>
      <w:r>
        <w:rPr>
          <w:noProof/>
        </w:rPr>
        <w:t>GÆLDENDE</w:t>
      </w:r>
      <w:bookmarkEnd w:id="1"/>
      <w:r>
        <w:rPr>
          <w:noProof/>
        </w:rPr>
        <w:t xml:space="preserve"> RETSAKTER</w:t>
      </w:r>
    </w:p>
    <w:p>
      <w:pPr>
        <w:pStyle w:val="Text1"/>
        <w:rPr>
          <w:noProof/>
        </w:rPr>
      </w:pPr>
      <w:r>
        <w:rPr>
          <w:noProof/>
        </w:rPr>
        <w:t>I denne serviceleveranceaftale ("SLA") tages hensyn til nedenstående liste over aftaler og gældende afgørelser.</w:t>
      </w:r>
      <w:r>
        <w:rPr>
          <w:noProof/>
          <w:highlight w:val="yellow"/>
        </w:rPr>
        <w:t xml:space="preserve"> </w:t>
      </w:r>
    </w:p>
    <w:tbl>
      <w:tblPr>
        <w:tblW w:w="8232"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6432"/>
      </w:tblGrid>
      <w:tr>
        <w:tc>
          <w:tcPr>
            <w:tcW w:w="1800" w:type="dxa"/>
          </w:tcPr>
          <w:p>
            <w:pPr>
              <w:rPr>
                <w:noProof/>
              </w:rPr>
            </w:pPr>
            <w:bookmarkStart w:id="2" w:name="_Ref313971168"/>
            <w:r>
              <w:rPr>
                <w:noProof/>
              </w:rPr>
              <w:t>[AD.1.]</w:t>
            </w:r>
          </w:p>
        </w:tc>
        <w:bookmarkEnd w:id="2"/>
        <w:tc>
          <w:tcPr>
            <w:tcW w:w="6432" w:type="dxa"/>
          </w:tcPr>
          <w:p>
            <w:pPr>
              <w:rPr>
                <w:noProof/>
              </w:rPr>
            </w:pPr>
            <w:r>
              <w:rPr>
                <w:noProof/>
              </w:rPr>
              <w:t>Aftale mellem Den Europæiske Union og Kongeriget Norge om administrativt samarbejde, bekæmpelse af svig og inddrivelse af fordringer på momsområdet ("aftalen") (EUT L 195 af 1.8.2018, s. 3)</w:t>
            </w:r>
          </w:p>
        </w:tc>
      </w:tr>
      <w:tr>
        <w:tc>
          <w:tcPr>
            <w:tcW w:w="1800" w:type="dxa"/>
          </w:tcPr>
          <w:p>
            <w:pPr>
              <w:rPr>
                <w:noProof/>
              </w:rPr>
            </w:pPr>
            <w:r>
              <w:rPr>
                <w:noProof/>
              </w:rPr>
              <w:t>[AD.2.]</w:t>
            </w:r>
          </w:p>
        </w:tc>
        <w:tc>
          <w:tcPr>
            <w:tcW w:w="6432" w:type="dxa"/>
          </w:tcPr>
          <w:p>
            <w:pPr>
              <w:rPr>
                <w:rFonts w:eastAsia="Times New Roman"/>
                <w:noProof/>
                <w:szCs w:val="24"/>
              </w:rPr>
            </w:pPr>
            <w:r>
              <w:rPr>
                <w:noProof/>
              </w:rPr>
              <w:t xml:space="preserve">Det XX blandede udvalgs afgørelse om gennemførelse af aftalens artikel 41, stk. 2, litra d), e), g) og h), for så vidt angår standardformularerne, videregivelsen af kommunikation og organiseringen af kontakter af </w:t>
            </w:r>
            <w:r>
              <w:rPr>
                <w:i/>
                <w:noProof/>
                <w:szCs w:val="24"/>
                <w:highlight w:val="yellow"/>
              </w:rPr>
              <w:t>[dato]</w:t>
            </w:r>
          </w:p>
        </w:tc>
      </w:tr>
    </w:tbl>
    <w:p>
      <w:pPr>
        <w:spacing w:before="60" w:after="0"/>
        <w:jc w:val="center"/>
        <w:rPr>
          <w:rFonts w:eastAsia="Times New Roman"/>
          <w:noProof/>
          <w:sz w:val="20"/>
          <w:szCs w:val="20"/>
        </w:rPr>
      </w:pPr>
      <w:r>
        <w:rPr>
          <w:noProof/>
        </w:rPr>
        <w:t xml:space="preserve">Tabel </w:t>
      </w:r>
      <w:r>
        <w:rPr>
          <w:rFonts w:eastAsia="Times New Roman"/>
          <w:noProof/>
          <w:sz w:val="20"/>
          <w:szCs w:val="20"/>
        </w:rPr>
        <w:fldChar w:fldCharType="begin"/>
      </w:r>
      <w:r>
        <w:rPr>
          <w:rFonts w:eastAsia="Times New Roman"/>
          <w:noProof/>
          <w:sz w:val="20"/>
          <w:szCs w:val="20"/>
        </w:rPr>
        <w:instrText xml:space="preserve"> SEQ Table \* ARABIC </w:instrText>
      </w:r>
      <w:r>
        <w:rPr>
          <w:rFonts w:eastAsia="Times New Roman"/>
          <w:noProof/>
          <w:sz w:val="20"/>
          <w:szCs w:val="20"/>
        </w:rPr>
        <w:fldChar w:fldCharType="separate"/>
      </w:r>
      <w:r>
        <w:rPr>
          <w:rFonts w:eastAsia="Times New Roman"/>
          <w:noProof/>
          <w:sz w:val="20"/>
          <w:szCs w:val="20"/>
        </w:rPr>
        <w:t>1</w:t>
      </w:r>
      <w:r>
        <w:rPr>
          <w:rFonts w:eastAsia="Times New Roman"/>
          <w:noProof/>
          <w:sz w:val="20"/>
          <w:szCs w:val="20"/>
        </w:rPr>
        <w:fldChar w:fldCharType="end"/>
      </w:r>
      <w:r>
        <w:rPr>
          <w:noProof/>
          <w:sz w:val="20"/>
          <w:szCs w:val="20"/>
        </w:rPr>
        <w:t xml:space="preserve">: </w:t>
      </w:r>
      <w:bookmarkStart w:id="3" w:name="_Toc485826129"/>
      <w:r>
        <w:rPr>
          <w:noProof/>
        </w:rPr>
        <w:t>Gældende</w:t>
      </w:r>
      <w:bookmarkEnd w:id="3"/>
      <w:r>
        <w:rPr>
          <w:noProof/>
        </w:rPr>
        <w:t xml:space="preserve"> retsakter</w:t>
      </w:r>
    </w:p>
    <w:p>
      <w:pPr>
        <w:pStyle w:val="ManualHeading2"/>
        <w:rPr>
          <w:noProof/>
        </w:rPr>
      </w:pPr>
      <w:bookmarkStart w:id="4" w:name="_Toc486594996"/>
      <w:r>
        <w:rPr>
          <w:noProof/>
        </w:rPr>
        <w:t>1.2.</w:t>
      </w:r>
      <w:r>
        <w:rPr>
          <w:noProof/>
        </w:rPr>
        <w:tab/>
        <w:t>REFERENCEDOKUMENTER</w:t>
      </w:r>
      <w:bookmarkEnd w:id="4"/>
    </w:p>
    <w:p>
      <w:pPr>
        <w:pStyle w:val="Text1"/>
        <w:rPr>
          <w:noProof/>
        </w:rPr>
      </w:pPr>
      <w:r>
        <w:rPr>
          <w:noProof/>
        </w:rPr>
        <w:t xml:space="preserve">I denne SLA tages hensyn til oplysningerne i følgende referencedokumenter. Gældende versioner af dokumenterne er offentliggjort på CIRCABC- eller ITSM-webportalen. </w:t>
      </w:r>
    </w:p>
    <w:tbl>
      <w:tblPr>
        <w:tblW w:w="8160"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6360"/>
      </w:tblGrid>
      <w:tr>
        <w:tc>
          <w:tcPr>
            <w:tcW w:w="1800" w:type="dxa"/>
          </w:tcPr>
          <w:p>
            <w:pPr>
              <w:numPr>
                <w:ilvl w:val="0"/>
                <w:numId w:val="7"/>
              </w:numPr>
              <w:spacing w:before="60" w:after="60" w:line="276" w:lineRule="auto"/>
              <w:jc w:val="left"/>
              <w:rPr>
                <w:rFonts w:eastAsia="Times New Roman"/>
                <w:noProof/>
                <w:szCs w:val="24"/>
              </w:rPr>
            </w:pPr>
            <w:bookmarkStart w:id="5" w:name="_Ref371673659"/>
          </w:p>
        </w:tc>
        <w:bookmarkEnd w:id="5"/>
        <w:tc>
          <w:tcPr>
            <w:tcW w:w="6360" w:type="dxa"/>
          </w:tcPr>
          <w:p>
            <w:pPr>
              <w:spacing w:before="60" w:after="60"/>
              <w:jc w:val="left"/>
              <w:rPr>
                <w:rFonts w:eastAsia="Times New Roman"/>
                <w:noProof/>
                <w:szCs w:val="24"/>
              </w:rPr>
            </w:pPr>
            <w:r>
              <w:rPr>
                <w:noProof/>
              </w:rPr>
              <w:t xml:space="preserve">CCN Mail III User Guide for NAs </w:t>
            </w:r>
            <w:r>
              <w:rPr>
                <w:i/>
                <w:noProof/>
                <w:szCs w:val="24"/>
              </w:rPr>
              <w:t>(ITSM-webportalen)</w:t>
            </w:r>
          </w:p>
        </w:tc>
      </w:tr>
      <w:tr>
        <w:tc>
          <w:tcPr>
            <w:tcW w:w="1800" w:type="dxa"/>
          </w:tcPr>
          <w:p>
            <w:pPr>
              <w:numPr>
                <w:ilvl w:val="0"/>
                <w:numId w:val="7"/>
              </w:numPr>
              <w:spacing w:before="60" w:after="60" w:line="276" w:lineRule="auto"/>
              <w:jc w:val="left"/>
              <w:rPr>
                <w:rFonts w:eastAsia="Times New Roman"/>
                <w:noProof/>
                <w:szCs w:val="24"/>
              </w:rPr>
            </w:pPr>
          </w:p>
        </w:tc>
        <w:tc>
          <w:tcPr>
            <w:tcW w:w="6360" w:type="dxa"/>
          </w:tcPr>
          <w:p>
            <w:pPr>
              <w:spacing w:before="60" w:after="60"/>
              <w:jc w:val="left"/>
              <w:rPr>
                <w:rFonts w:eastAsia="Times New Roman"/>
                <w:noProof/>
                <w:szCs w:val="24"/>
              </w:rPr>
            </w:pPr>
            <w:r>
              <w:rPr>
                <w:noProof/>
              </w:rPr>
              <w:t>CCN Intranet – Local Network Administrator Guide</w:t>
            </w:r>
            <w:r>
              <w:rPr>
                <w:i/>
                <w:noProof/>
                <w:szCs w:val="24"/>
              </w:rPr>
              <w:t xml:space="preserve"> (ITSM-webportalen)</w:t>
            </w:r>
          </w:p>
        </w:tc>
      </w:tr>
      <w:tr>
        <w:tc>
          <w:tcPr>
            <w:tcW w:w="1800" w:type="dxa"/>
          </w:tcPr>
          <w:p>
            <w:pPr>
              <w:numPr>
                <w:ilvl w:val="0"/>
                <w:numId w:val="7"/>
              </w:numPr>
              <w:spacing w:before="60" w:after="60" w:line="276" w:lineRule="auto"/>
              <w:jc w:val="left"/>
              <w:rPr>
                <w:rFonts w:eastAsia="Times New Roman"/>
                <w:noProof/>
                <w:szCs w:val="24"/>
              </w:rPr>
            </w:pPr>
            <w:bookmarkStart w:id="6" w:name="_Ref371673619"/>
          </w:p>
        </w:tc>
        <w:bookmarkEnd w:id="6"/>
        <w:tc>
          <w:tcPr>
            <w:tcW w:w="6360" w:type="dxa"/>
          </w:tcPr>
          <w:p>
            <w:pPr>
              <w:keepNext/>
              <w:spacing w:before="60" w:after="60"/>
              <w:jc w:val="left"/>
              <w:rPr>
                <w:rFonts w:eastAsia="Times New Roman"/>
                <w:noProof/>
                <w:szCs w:val="24"/>
                <w:lang w:val="en-GB"/>
              </w:rPr>
            </w:pPr>
            <w:r>
              <w:rPr>
                <w:noProof/>
                <w:lang w:val="en-GB"/>
              </w:rPr>
              <w:t>Statistics – Guidelines and instructions (ANNEX rev1) to SCAC No 560</w:t>
            </w:r>
          </w:p>
        </w:tc>
      </w:tr>
      <w:tr>
        <w:tc>
          <w:tcPr>
            <w:tcW w:w="1800" w:type="dxa"/>
          </w:tcPr>
          <w:p>
            <w:pPr>
              <w:numPr>
                <w:ilvl w:val="0"/>
                <w:numId w:val="7"/>
              </w:numPr>
              <w:spacing w:before="60" w:after="60" w:line="276" w:lineRule="auto"/>
              <w:jc w:val="left"/>
              <w:rPr>
                <w:rFonts w:eastAsia="Times New Roman"/>
                <w:noProof/>
                <w:szCs w:val="24"/>
                <w:lang w:val="en-GB"/>
              </w:rPr>
            </w:pPr>
            <w:bookmarkStart w:id="7" w:name="_Toc131473829"/>
            <w:bookmarkStart w:id="8" w:name="_Toc131560458"/>
            <w:bookmarkStart w:id="9" w:name="_Toc132079338"/>
          </w:p>
        </w:tc>
        <w:tc>
          <w:tcPr>
            <w:tcW w:w="6360" w:type="dxa"/>
          </w:tcPr>
          <w:p>
            <w:pPr>
              <w:keepNext/>
              <w:spacing w:before="60" w:after="60"/>
              <w:jc w:val="left"/>
              <w:rPr>
                <w:rFonts w:eastAsia="Times New Roman"/>
                <w:noProof/>
                <w:szCs w:val="24"/>
              </w:rPr>
            </w:pPr>
            <w:r>
              <w:rPr>
                <w:noProof/>
              </w:rPr>
              <w:t xml:space="preserve">Elektroniske momsformularer – funktionelle specifikationer </w:t>
            </w:r>
          </w:p>
        </w:tc>
      </w:tr>
      <w:tr>
        <w:tc>
          <w:tcPr>
            <w:tcW w:w="1800" w:type="dxa"/>
          </w:tcPr>
          <w:p>
            <w:pPr>
              <w:numPr>
                <w:ilvl w:val="0"/>
                <w:numId w:val="7"/>
              </w:numPr>
              <w:spacing w:before="60" w:after="60" w:line="276" w:lineRule="auto"/>
              <w:jc w:val="left"/>
              <w:rPr>
                <w:rFonts w:eastAsia="Times New Roman"/>
                <w:noProof/>
                <w:szCs w:val="24"/>
              </w:rPr>
            </w:pPr>
          </w:p>
        </w:tc>
        <w:tc>
          <w:tcPr>
            <w:tcW w:w="6360" w:type="dxa"/>
          </w:tcPr>
          <w:p>
            <w:pPr>
              <w:keepNext/>
              <w:spacing w:before="60" w:after="60"/>
              <w:jc w:val="left"/>
              <w:rPr>
                <w:rFonts w:eastAsia="Times New Roman"/>
                <w:noProof/>
                <w:szCs w:val="24"/>
              </w:rPr>
            </w:pPr>
            <w:r>
              <w:rPr>
                <w:noProof/>
              </w:rPr>
              <w:t xml:space="preserve">Elektroniske momsformularer – tekniske specifikationer </w:t>
            </w:r>
          </w:p>
        </w:tc>
      </w:tr>
      <w:tr>
        <w:tc>
          <w:tcPr>
            <w:tcW w:w="1800" w:type="dxa"/>
          </w:tcPr>
          <w:p>
            <w:pPr>
              <w:numPr>
                <w:ilvl w:val="0"/>
                <w:numId w:val="7"/>
              </w:numPr>
              <w:spacing w:before="60" w:after="60" w:line="276" w:lineRule="auto"/>
              <w:jc w:val="left"/>
              <w:rPr>
                <w:rFonts w:eastAsia="Times New Roman"/>
                <w:noProof/>
                <w:szCs w:val="24"/>
              </w:rPr>
            </w:pPr>
          </w:p>
        </w:tc>
        <w:tc>
          <w:tcPr>
            <w:tcW w:w="6360" w:type="dxa"/>
          </w:tcPr>
          <w:p>
            <w:pPr>
              <w:keepNext/>
              <w:spacing w:before="60" w:after="60"/>
              <w:jc w:val="left"/>
              <w:rPr>
                <w:rFonts w:eastAsia="Times New Roman"/>
                <w:noProof/>
                <w:szCs w:val="24"/>
              </w:rPr>
            </w:pPr>
            <w:r>
              <w:rPr>
                <w:noProof/>
              </w:rPr>
              <w:t xml:space="preserve">Elektroniske inddrivelsesformularer – funktionelle specifikationer </w:t>
            </w:r>
          </w:p>
        </w:tc>
      </w:tr>
      <w:tr>
        <w:tc>
          <w:tcPr>
            <w:tcW w:w="1800" w:type="dxa"/>
          </w:tcPr>
          <w:p>
            <w:pPr>
              <w:numPr>
                <w:ilvl w:val="0"/>
                <w:numId w:val="7"/>
              </w:numPr>
              <w:spacing w:before="60" w:after="60" w:line="276" w:lineRule="auto"/>
              <w:jc w:val="left"/>
              <w:rPr>
                <w:rFonts w:eastAsia="Times New Roman"/>
                <w:noProof/>
                <w:szCs w:val="24"/>
              </w:rPr>
            </w:pPr>
          </w:p>
        </w:tc>
        <w:tc>
          <w:tcPr>
            <w:tcW w:w="6360" w:type="dxa"/>
          </w:tcPr>
          <w:p>
            <w:pPr>
              <w:keepNext/>
              <w:spacing w:before="60" w:after="60"/>
              <w:jc w:val="left"/>
              <w:rPr>
                <w:rFonts w:eastAsia="Times New Roman"/>
                <w:noProof/>
                <w:szCs w:val="24"/>
              </w:rPr>
            </w:pPr>
            <w:r>
              <w:rPr>
                <w:noProof/>
              </w:rPr>
              <w:t xml:space="preserve">Elektroniske inddrivelsesformularer – tekniske specifikationer </w:t>
            </w:r>
          </w:p>
        </w:tc>
      </w:tr>
      <w:tr>
        <w:tc>
          <w:tcPr>
            <w:tcW w:w="1800" w:type="dxa"/>
          </w:tcPr>
          <w:p>
            <w:pPr>
              <w:numPr>
                <w:ilvl w:val="0"/>
                <w:numId w:val="7"/>
              </w:numPr>
              <w:spacing w:before="60" w:after="60" w:line="276" w:lineRule="auto"/>
              <w:jc w:val="left"/>
              <w:rPr>
                <w:rFonts w:eastAsia="Times New Roman"/>
                <w:noProof/>
                <w:szCs w:val="24"/>
              </w:rPr>
            </w:pPr>
          </w:p>
        </w:tc>
        <w:tc>
          <w:tcPr>
            <w:tcW w:w="6360" w:type="dxa"/>
          </w:tcPr>
          <w:p>
            <w:pPr>
              <w:keepNext/>
              <w:spacing w:before="60" w:after="60"/>
              <w:jc w:val="left"/>
              <w:rPr>
                <w:rFonts w:eastAsia="Times New Roman"/>
                <w:noProof/>
                <w:szCs w:val="24"/>
                <w:lang w:val="en-GB"/>
              </w:rPr>
            </w:pPr>
            <w:r>
              <w:rPr>
                <w:noProof/>
                <w:lang w:val="en-GB"/>
              </w:rPr>
              <w:t>CCN/CSI General Security Policy (ITSM-webportalen)</w:t>
            </w:r>
          </w:p>
        </w:tc>
      </w:tr>
      <w:tr>
        <w:tc>
          <w:tcPr>
            <w:tcW w:w="1800" w:type="dxa"/>
          </w:tcPr>
          <w:p>
            <w:pPr>
              <w:numPr>
                <w:ilvl w:val="0"/>
                <w:numId w:val="7"/>
              </w:numPr>
              <w:spacing w:before="60" w:after="60" w:line="276" w:lineRule="auto"/>
              <w:jc w:val="left"/>
              <w:rPr>
                <w:rFonts w:eastAsia="Times New Roman"/>
                <w:noProof/>
                <w:szCs w:val="24"/>
                <w:lang w:val="en-GB"/>
              </w:rPr>
            </w:pPr>
          </w:p>
        </w:tc>
        <w:tc>
          <w:tcPr>
            <w:tcW w:w="6360" w:type="dxa"/>
          </w:tcPr>
          <w:p>
            <w:pPr>
              <w:keepNext/>
              <w:spacing w:before="60" w:after="60"/>
              <w:jc w:val="left"/>
              <w:rPr>
                <w:rFonts w:eastAsia="Times New Roman"/>
                <w:noProof/>
                <w:szCs w:val="24"/>
                <w:lang w:val="en-GB"/>
              </w:rPr>
            </w:pPr>
            <w:r>
              <w:rPr>
                <w:noProof/>
                <w:lang w:val="en-GB"/>
              </w:rPr>
              <w:t>CCN Gateway Management Procedures (ITSM-webportalen)</w:t>
            </w:r>
          </w:p>
        </w:tc>
      </w:tr>
      <w:tr>
        <w:tc>
          <w:tcPr>
            <w:tcW w:w="1800" w:type="dxa"/>
          </w:tcPr>
          <w:p>
            <w:pPr>
              <w:numPr>
                <w:ilvl w:val="0"/>
                <w:numId w:val="7"/>
              </w:numPr>
              <w:spacing w:before="60" w:after="60" w:line="276" w:lineRule="auto"/>
              <w:jc w:val="left"/>
              <w:rPr>
                <w:rFonts w:eastAsia="Times New Roman"/>
                <w:noProof/>
                <w:szCs w:val="24"/>
                <w:lang w:val="en-GB"/>
              </w:rPr>
            </w:pPr>
          </w:p>
        </w:tc>
        <w:tc>
          <w:tcPr>
            <w:tcW w:w="6360" w:type="dxa"/>
          </w:tcPr>
          <w:p>
            <w:pPr>
              <w:keepNext/>
              <w:spacing w:before="60" w:after="60"/>
              <w:jc w:val="left"/>
              <w:rPr>
                <w:rFonts w:eastAsia="Times New Roman"/>
                <w:noProof/>
                <w:szCs w:val="24"/>
                <w:lang w:val="en-GB"/>
              </w:rPr>
            </w:pPr>
            <w:r>
              <w:rPr>
                <w:noProof/>
                <w:lang w:val="en-GB"/>
              </w:rPr>
              <w:t>CCN/CSI Baseline Security Checklist (ITSM-webportalen)</w:t>
            </w:r>
          </w:p>
        </w:tc>
      </w:tr>
    </w:tbl>
    <w:p>
      <w:pPr>
        <w:spacing w:before="60"/>
        <w:jc w:val="center"/>
        <w:rPr>
          <w:rFonts w:eastAsia="Times New Roman"/>
          <w:noProof/>
          <w:sz w:val="20"/>
          <w:szCs w:val="20"/>
        </w:rPr>
      </w:pPr>
      <w:bookmarkStart w:id="10" w:name="_Toc273103660"/>
      <w:bookmarkStart w:id="11" w:name="_Toc485826130"/>
      <w:bookmarkEnd w:id="7"/>
      <w:bookmarkEnd w:id="8"/>
      <w:bookmarkEnd w:id="9"/>
      <w:r>
        <w:rPr>
          <w:noProof/>
        </w:rPr>
        <w:t xml:space="preserve">Tabel </w:t>
      </w:r>
      <w:r>
        <w:rPr>
          <w:rFonts w:eastAsia="Times New Roman"/>
          <w:noProof/>
          <w:sz w:val="20"/>
          <w:szCs w:val="20"/>
        </w:rPr>
        <w:fldChar w:fldCharType="begin"/>
      </w:r>
      <w:r>
        <w:rPr>
          <w:rFonts w:eastAsia="Times New Roman"/>
          <w:noProof/>
          <w:sz w:val="20"/>
          <w:szCs w:val="20"/>
        </w:rPr>
        <w:instrText xml:space="preserve"> SEQ Table \* ARABIC </w:instrText>
      </w:r>
      <w:r>
        <w:rPr>
          <w:rFonts w:eastAsia="Times New Roman"/>
          <w:noProof/>
          <w:sz w:val="20"/>
          <w:szCs w:val="20"/>
        </w:rPr>
        <w:fldChar w:fldCharType="separate"/>
      </w:r>
      <w:r>
        <w:rPr>
          <w:rFonts w:eastAsia="Times New Roman"/>
          <w:noProof/>
          <w:sz w:val="20"/>
          <w:szCs w:val="20"/>
        </w:rPr>
        <w:t>2</w:t>
      </w:r>
      <w:r>
        <w:rPr>
          <w:rFonts w:eastAsia="Times New Roman"/>
          <w:noProof/>
          <w:sz w:val="20"/>
          <w:szCs w:val="20"/>
        </w:rPr>
        <w:fldChar w:fldCharType="end"/>
      </w:r>
      <w:r>
        <w:rPr>
          <w:noProof/>
          <w:sz w:val="20"/>
          <w:szCs w:val="20"/>
        </w:rPr>
        <w:t>: Referencedokumenter</w:t>
      </w:r>
      <w:bookmarkEnd w:id="10"/>
      <w:bookmarkEnd w:id="11"/>
    </w:p>
    <w:p>
      <w:pPr>
        <w:pStyle w:val="ManualHeading1"/>
        <w:rPr>
          <w:noProof/>
        </w:rPr>
      </w:pPr>
      <w:bookmarkStart w:id="12" w:name="_Toc150588472"/>
      <w:bookmarkStart w:id="13" w:name="_Toc273104854"/>
      <w:bookmarkStart w:id="14" w:name="_Toc486594997"/>
      <w:r>
        <w:rPr>
          <w:noProof/>
        </w:rPr>
        <w:lastRenderedPageBreak/>
        <w:t>2.</w:t>
      </w:r>
      <w:r>
        <w:rPr>
          <w:noProof/>
        </w:rPr>
        <w:tab/>
      </w:r>
      <w:r>
        <w:rPr>
          <w:noProof/>
          <w:u w:val="single"/>
        </w:rPr>
        <w:t>TERMINOLOGI</w:t>
      </w:r>
      <w:bookmarkStart w:id="15" w:name="_Toc150588473"/>
      <w:bookmarkStart w:id="16" w:name="_Toc273104855"/>
      <w:bookmarkStart w:id="17" w:name="_Toc486594998"/>
      <w:bookmarkEnd w:id="12"/>
      <w:bookmarkEnd w:id="13"/>
      <w:bookmarkEnd w:id="14"/>
    </w:p>
    <w:p>
      <w:pPr>
        <w:pStyle w:val="ManualHeading2"/>
        <w:rPr>
          <w:noProof/>
        </w:rPr>
      </w:pPr>
      <w:r>
        <w:rPr>
          <w:noProof/>
        </w:rPr>
        <w:t>2.1.</w:t>
      </w:r>
      <w:r>
        <w:rPr>
          <w:noProof/>
        </w:rPr>
        <w:tab/>
        <w:t>AKRONYMER</w:t>
      </w:r>
      <w:bookmarkEnd w:id="15"/>
      <w:bookmarkEnd w:id="16"/>
      <w:bookmarkEnd w:id="17"/>
      <w:r>
        <w:rPr>
          <w:noProof/>
        </w:rPr>
        <w:t xml:space="preserve"> </w:t>
      </w:r>
    </w:p>
    <w:tbl>
      <w:tblPr>
        <w:tblW w:w="8232"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6432"/>
      </w:tblGrid>
      <w:tr>
        <w:trPr>
          <w:tblHeader/>
        </w:trPr>
        <w:tc>
          <w:tcPr>
            <w:tcW w:w="1800" w:type="dxa"/>
            <w:shd w:val="clear" w:color="auto" w:fill="E0E0E0"/>
          </w:tcPr>
          <w:p>
            <w:pPr>
              <w:spacing w:before="0" w:after="0"/>
              <w:jc w:val="center"/>
              <w:rPr>
                <w:rFonts w:eastAsia="Times New Roman"/>
                <w:b/>
                <w:noProof/>
                <w:szCs w:val="24"/>
              </w:rPr>
            </w:pPr>
            <w:r>
              <w:rPr>
                <w:b/>
                <w:noProof/>
                <w:szCs w:val="24"/>
              </w:rPr>
              <w:t>AKRONYM</w:t>
            </w:r>
          </w:p>
        </w:tc>
        <w:tc>
          <w:tcPr>
            <w:tcW w:w="6432" w:type="dxa"/>
            <w:shd w:val="clear" w:color="auto" w:fill="E0E0E0"/>
          </w:tcPr>
          <w:p>
            <w:pPr>
              <w:spacing w:before="0" w:after="0"/>
              <w:jc w:val="center"/>
              <w:rPr>
                <w:rFonts w:eastAsia="Times New Roman"/>
                <w:b/>
                <w:noProof/>
                <w:szCs w:val="24"/>
              </w:rPr>
            </w:pPr>
            <w:r>
              <w:rPr>
                <w:b/>
                <w:noProof/>
                <w:szCs w:val="24"/>
              </w:rPr>
              <w:t>DEFINITIONER</w:t>
            </w:r>
          </w:p>
        </w:tc>
      </w:tr>
      <w:tr>
        <w:trPr>
          <w:trHeight w:val="297"/>
          <w:tblHeader/>
        </w:trPr>
        <w:tc>
          <w:tcPr>
            <w:tcW w:w="1800" w:type="dxa"/>
          </w:tcPr>
          <w:p>
            <w:pPr>
              <w:spacing w:before="0" w:after="0"/>
              <w:jc w:val="left"/>
              <w:rPr>
                <w:rFonts w:eastAsia="Times New Roman"/>
                <w:b/>
                <w:noProof/>
                <w:szCs w:val="24"/>
              </w:rPr>
            </w:pPr>
            <w:r>
              <w:rPr>
                <w:noProof/>
              </w:rPr>
              <w:t>CCN/CSI</w:t>
            </w:r>
          </w:p>
        </w:tc>
        <w:tc>
          <w:tcPr>
            <w:tcW w:w="6432" w:type="dxa"/>
          </w:tcPr>
          <w:p>
            <w:pPr>
              <w:spacing w:before="0" w:after="0"/>
              <w:jc w:val="left"/>
              <w:rPr>
                <w:rFonts w:eastAsia="Times New Roman"/>
                <w:b/>
                <w:noProof/>
                <w:szCs w:val="24"/>
              </w:rPr>
            </w:pPr>
            <w:r>
              <w:rPr>
                <w:noProof/>
              </w:rPr>
              <w:t>Fælles kommunikationsnet/fælles systemgrænseflade</w:t>
            </w:r>
          </w:p>
        </w:tc>
      </w:tr>
      <w:tr>
        <w:trPr>
          <w:trHeight w:val="297"/>
          <w:tblHeader/>
        </w:trPr>
        <w:tc>
          <w:tcPr>
            <w:tcW w:w="1800" w:type="dxa"/>
          </w:tcPr>
          <w:p>
            <w:pPr>
              <w:spacing w:before="0" w:after="0"/>
              <w:jc w:val="left"/>
              <w:rPr>
                <w:rFonts w:eastAsia="Times New Roman"/>
                <w:noProof/>
                <w:szCs w:val="24"/>
              </w:rPr>
            </w:pPr>
            <w:r>
              <w:rPr>
                <w:noProof/>
              </w:rPr>
              <w:t>CET</w:t>
            </w:r>
          </w:p>
        </w:tc>
        <w:tc>
          <w:tcPr>
            <w:tcW w:w="6432" w:type="dxa"/>
          </w:tcPr>
          <w:p>
            <w:pPr>
              <w:spacing w:before="0" w:after="0"/>
              <w:jc w:val="left"/>
              <w:rPr>
                <w:rFonts w:eastAsia="Times New Roman"/>
                <w:noProof/>
                <w:szCs w:val="24"/>
              </w:rPr>
            </w:pPr>
            <w:r>
              <w:rPr>
                <w:noProof/>
              </w:rPr>
              <w:t>Centraleuropæisk tid</w:t>
            </w:r>
          </w:p>
        </w:tc>
      </w:tr>
      <w:tr>
        <w:trPr>
          <w:trHeight w:val="297"/>
          <w:tblHeader/>
        </w:trPr>
        <w:tc>
          <w:tcPr>
            <w:tcW w:w="1800" w:type="dxa"/>
          </w:tcPr>
          <w:p>
            <w:pPr>
              <w:spacing w:before="0" w:after="0"/>
              <w:jc w:val="left"/>
              <w:rPr>
                <w:rFonts w:eastAsia="Times New Roman"/>
                <w:noProof/>
                <w:szCs w:val="24"/>
              </w:rPr>
            </w:pPr>
            <w:r>
              <w:rPr>
                <w:noProof/>
              </w:rPr>
              <w:t>CIRCABC</w:t>
            </w:r>
          </w:p>
        </w:tc>
        <w:tc>
          <w:tcPr>
            <w:tcW w:w="6432" w:type="dxa"/>
          </w:tcPr>
          <w:p>
            <w:pPr>
              <w:spacing w:before="0" w:after="0"/>
              <w:jc w:val="left"/>
              <w:rPr>
                <w:rFonts w:eastAsia="Times New Roman"/>
                <w:noProof/>
                <w:szCs w:val="24"/>
              </w:rPr>
            </w:pPr>
            <w:r>
              <w:rPr>
                <w:noProof/>
              </w:rPr>
              <w:t>Kommunikations- og oplysningsressourcecenter for forvaltninger, virksomheder og borgere</w:t>
            </w:r>
          </w:p>
        </w:tc>
      </w:tr>
      <w:tr>
        <w:trPr>
          <w:trHeight w:val="297"/>
        </w:trPr>
        <w:tc>
          <w:tcPr>
            <w:tcW w:w="1800" w:type="dxa"/>
          </w:tcPr>
          <w:p>
            <w:pPr>
              <w:spacing w:before="0" w:after="0"/>
              <w:jc w:val="left"/>
              <w:rPr>
                <w:rFonts w:eastAsia="Times New Roman"/>
                <w:noProof/>
                <w:szCs w:val="24"/>
              </w:rPr>
            </w:pPr>
            <w:r>
              <w:rPr>
                <w:noProof/>
              </w:rPr>
              <w:t>CLO</w:t>
            </w:r>
          </w:p>
        </w:tc>
        <w:tc>
          <w:tcPr>
            <w:tcW w:w="6432" w:type="dxa"/>
          </w:tcPr>
          <w:p>
            <w:pPr>
              <w:spacing w:before="0" w:after="0"/>
              <w:jc w:val="left"/>
              <w:rPr>
                <w:rFonts w:eastAsia="Times New Roman"/>
                <w:noProof/>
                <w:szCs w:val="24"/>
              </w:rPr>
            </w:pPr>
            <w:r>
              <w:rPr>
                <w:noProof/>
              </w:rPr>
              <w:t>Centralt forbindelseskontor</w:t>
            </w:r>
          </w:p>
        </w:tc>
      </w:tr>
      <w:tr>
        <w:trPr>
          <w:trHeight w:val="297"/>
        </w:trPr>
        <w:tc>
          <w:tcPr>
            <w:tcW w:w="1800" w:type="dxa"/>
          </w:tcPr>
          <w:p>
            <w:pPr>
              <w:spacing w:before="0" w:after="0"/>
              <w:jc w:val="left"/>
              <w:rPr>
                <w:rFonts w:eastAsia="Times New Roman"/>
                <w:noProof/>
                <w:szCs w:val="24"/>
              </w:rPr>
            </w:pPr>
            <w:r>
              <w:rPr>
                <w:noProof/>
              </w:rPr>
              <w:t>CT</w:t>
            </w:r>
          </w:p>
        </w:tc>
        <w:tc>
          <w:tcPr>
            <w:tcW w:w="6432" w:type="dxa"/>
          </w:tcPr>
          <w:p>
            <w:pPr>
              <w:spacing w:before="0" w:after="0"/>
              <w:jc w:val="left"/>
              <w:rPr>
                <w:rFonts w:eastAsia="Times New Roman"/>
                <w:noProof/>
                <w:szCs w:val="24"/>
              </w:rPr>
            </w:pPr>
            <w:r>
              <w:rPr>
                <w:noProof/>
              </w:rPr>
              <w:t>Overensstemmelsesafprøvning</w:t>
            </w:r>
          </w:p>
        </w:tc>
      </w:tr>
      <w:tr>
        <w:trPr>
          <w:trHeight w:val="297"/>
        </w:trPr>
        <w:tc>
          <w:tcPr>
            <w:tcW w:w="1800" w:type="dxa"/>
          </w:tcPr>
          <w:p>
            <w:pPr>
              <w:spacing w:before="0" w:after="0"/>
              <w:jc w:val="left"/>
              <w:rPr>
                <w:rFonts w:eastAsia="Times New Roman"/>
                <w:noProof/>
                <w:szCs w:val="24"/>
              </w:rPr>
            </w:pPr>
            <w:r>
              <w:rPr>
                <w:noProof/>
              </w:rPr>
              <w:t>GD</w:t>
            </w:r>
          </w:p>
        </w:tc>
        <w:tc>
          <w:tcPr>
            <w:tcW w:w="6432" w:type="dxa"/>
          </w:tcPr>
          <w:p>
            <w:pPr>
              <w:spacing w:before="0" w:after="0"/>
              <w:jc w:val="left"/>
              <w:rPr>
                <w:rFonts w:eastAsia="Times New Roman"/>
                <w:noProof/>
                <w:szCs w:val="24"/>
              </w:rPr>
            </w:pPr>
            <w:r>
              <w:rPr>
                <w:noProof/>
              </w:rPr>
              <w:t>Generaldirektorat</w:t>
            </w:r>
          </w:p>
        </w:tc>
      </w:tr>
      <w:tr>
        <w:trPr>
          <w:trHeight w:val="297"/>
        </w:trPr>
        <w:tc>
          <w:tcPr>
            <w:tcW w:w="1800" w:type="dxa"/>
          </w:tcPr>
          <w:p>
            <w:pPr>
              <w:spacing w:before="0" w:after="0"/>
              <w:jc w:val="left"/>
              <w:rPr>
                <w:rFonts w:eastAsia="Times New Roman"/>
                <w:noProof/>
                <w:szCs w:val="24"/>
              </w:rPr>
            </w:pPr>
            <w:r>
              <w:rPr>
                <w:noProof/>
              </w:rPr>
              <w:t>EoF</w:t>
            </w:r>
          </w:p>
        </w:tc>
        <w:tc>
          <w:tcPr>
            <w:tcW w:w="6432" w:type="dxa"/>
          </w:tcPr>
          <w:p>
            <w:pPr>
              <w:spacing w:before="0" w:after="0"/>
              <w:jc w:val="left"/>
              <w:rPr>
                <w:rFonts w:eastAsia="Times New Roman"/>
                <w:noProof/>
                <w:szCs w:val="24"/>
              </w:rPr>
            </w:pPr>
            <w:r>
              <w:rPr>
                <w:noProof/>
              </w:rPr>
              <w:t>Udveksling af formularer</w:t>
            </w:r>
          </w:p>
        </w:tc>
      </w:tr>
      <w:tr>
        <w:trPr>
          <w:trHeight w:val="298"/>
        </w:trPr>
        <w:tc>
          <w:tcPr>
            <w:tcW w:w="1800" w:type="dxa"/>
          </w:tcPr>
          <w:p>
            <w:pPr>
              <w:spacing w:before="0" w:after="0"/>
              <w:jc w:val="left"/>
              <w:rPr>
                <w:rFonts w:eastAsia="Times New Roman"/>
                <w:noProof/>
                <w:szCs w:val="24"/>
              </w:rPr>
            </w:pPr>
            <w:r>
              <w:rPr>
                <w:noProof/>
              </w:rPr>
              <w:t>FAT</w:t>
            </w:r>
          </w:p>
        </w:tc>
        <w:tc>
          <w:tcPr>
            <w:tcW w:w="6432" w:type="dxa"/>
          </w:tcPr>
          <w:p>
            <w:pPr>
              <w:spacing w:before="0" w:after="0"/>
              <w:jc w:val="left"/>
              <w:rPr>
                <w:rFonts w:eastAsia="Times New Roman"/>
                <w:noProof/>
                <w:szCs w:val="24"/>
              </w:rPr>
            </w:pPr>
            <w:r>
              <w:rPr>
                <w:noProof/>
              </w:rPr>
              <w:t>Factory Acceptance Test (afleveringsprøvning på fabrik)</w:t>
            </w:r>
          </w:p>
        </w:tc>
      </w:tr>
      <w:tr>
        <w:trPr>
          <w:trHeight w:val="298"/>
        </w:trPr>
        <w:tc>
          <w:tcPr>
            <w:tcW w:w="1800" w:type="dxa"/>
          </w:tcPr>
          <w:p>
            <w:pPr>
              <w:spacing w:before="0" w:after="0"/>
              <w:jc w:val="left"/>
              <w:rPr>
                <w:rFonts w:eastAsia="Times New Roman"/>
                <w:noProof/>
                <w:szCs w:val="24"/>
              </w:rPr>
            </w:pPr>
            <w:r>
              <w:rPr>
                <w:noProof/>
              </w:rPr>
              <w:t>HTTP</w:t>
            </w:r>
          </w:p>
        </w:tc>
        <w:tc>
          <w:tcPr>
            <w:tcW w:w="6432" w:type="dxa"/>
          </w:tcPr>
          <w:p>
            <w:pPr>
              <w:spacing w:before="0" w:after="0"/>
              <w:jc w:val="left"/>
              <w:rPr>
                <w:rFonts w:eastAsia="Times New Roman"/>
                <w:noProof/>
                <w:szCs w:val="24"/>
              </w:rPr>
            </w:pPr>
            <w:r>
              <w:rPr>
                <w:noProof/>
              </w:rPr>
              <w:t>HyperText Transfer Protocol</w:t>
            </w:r>
          </w:p>
        </w:tc>
      </w:tr>
      <w:tr>
        <w:trPr>
          <w:trHeight w:val="297"/>
        </w:trPr>
        <w:tc>
          <w:tcPr>
            <w:tcW w:w="1800" w:type="dxa"/>
          </w:tcPr>
          <w:p>
            <w:pPr>
              <w:spacing w:before="0" w:after="0"/>
              <w:jc w:val="left"/>
              <w:rPr>
                <w:rFonts w:eastAsia="Times New Roman"/>
                <w:noProof/>
                <w:szCs w:val="24"/>
              </w:rPr>
            </w:pPr>
            <w:r>
              <w:rPr>
                <w:noProof/>
              </w:rPr>
              <w:t>ITIL</w:t>
            </w:r>
            <w:r>
              <w:rPr>
                <w:rStyle w:val="FootnoteReference"/>
                <w:noProof/>
              </w:rPr>
              <w:footnoteReference w:id="3"/>
            </w:r>
          </w:p>
        </w:tc>
        <w:tc>
          <w:tcPr>
            <w:tcW w:w="6432" w:type="dxa"/>
          </w:tcPr>
          <w:p>
            <w:pPr>
              <w:spacing w:before="0" w:after="0"/>
              <w:jc w:val="left"/>
              <w:rPr>
                <w:rFonts w:eastAsia="Times New Roman"/>
                <w:noProof/>
                <w:szCs w:val="24"/>
              </w:rPr>
            </w:pPr>
            <w:r>
              <w:rPr>
                <w:noProof/>
              </w:rPr>
              <w:t>IT-infrastrukturbibliotek</w:t>
            </w:r>
          </w:p>
        </w:tc>
      </w:tr>
      <w:tr>
        <w:trPr>
          <w:trHeight w:val="297"/>
        </w:trPr>
        <w:tc>
          <w:tcPr>
            <w:tcW w:w="1800" w:type="dxa"/>
          </w:tcPr>
          <w:p>
            <w:pPr>
              <w:spacing w:before="0" w:after="0"/>
              <w:jc w:val="left"/>
              <w:rPr>
                <w:rFonts w:eastAsia="Times New Roman"/>
                <w:noProof/>
                <w:szCs w:val="24"/>
              </w:rPr>
            </w:pPr>
            <w:r>
              <w:rPr>
                <w:noProof/>
              </w:rPr>
              <w:t>ITSM</w:t>
            </w:r>
          </w:p>
        </w:tc>
        <w:tc>
          <w:tcPr>
            <w:tcW w:w="6432" w:type="dxa"/>
          </w:tcPr>
          <w:p>
            <w:pPr>
              <w:spacing w:before="0" w:after="0"/>
              <w:jc w:val="left"/>
              <w:rPr>
                <w:rFonts w:eastAsia="Times New Roman"/>
                <w:noProof/>
                <w:szCs w:val="24"/>
              </w:rPr>
            </w:pPr>
            <w:r>
              <w:rPr>
                <w:noProof/>
              </w:rPr>
              <w:t>IT-servicemanagement</w:t>
            </w:r>
          </w:p>
        </w:tc>
      </w:tr>
      <w:tr>
        <w:trPr>
          <w:trHeight w:val="297"/>
        </w:trPr>
        <w:tc>
          <w:tcPr>
            <w:tcW w:w="1800" w:type="dxa"/>
          </w:tcPr>
          <w:p>
            <w:pPr>
              <w:spacing w:before="0" w:after="0"/>
              <w:jc w:val="left"/>
              <w:rPr>
                <w:rFonts w:eastAsia="Times New Roman"/>
                <w:noProof/>
                <w:szCs w:val="24"/>
              </w:rPr>
            </w:pPr>
            <w:r>
              <w:rPr>
                <w:noProof/>
              </w:rPr>
              <w:t>Part</w:t>
            </w:r>
          </w:p>
        </w:tc>
        <w:tc>
          <w:tcPr>
            <w:tcW w:w="6432" w:type="dxa"/>
          </w:tcPr>
          <w:p>
            <w:pPr>
              <w:spacing w:before="0" w:after="0"/>
              <w:rPr>
                <w:rFonts w:eastAsia="Times New Roman"/>
                <w:noProof/>
                <w:szCs w:val="24"/>
              </w:rPr>
            </w:pPr>
            <w:r>
              <w:rPr>
                <w:noProof/>
              </w:rPr>
              <w:t>Ved "part" i denne SLA forstås enten Norge eller Europa-Kommissionen.</w:t>
            </w:r>
          </w:p>
        </w:tc>
      </w:tr>
      <w:tr>
        <w:trPr>
          <w:trHeight w:val="298"/>
        </w:trPr>
        <w:tc>
          <w:tcPr>
            <w:tcW w:w="1800" w:type="dxa"/>
          </w:tcPr>
          <w:p>
            <w:pPr>
              <w:spacing w:before="0" w:after="0"/>
              <w:jc w:val="left"/>
              <w:rPr>
                <w:rFonts w:eastAsia="Times New Roman"/>
                <w:noProof/>
                <w:szCs w:val="24"/>
              </w:rPr>
            </w:pPr>
            <w:r>
              <w:rPr>
                <w:noProof/>
              </w:rPr>
              <w:t>Moms</w:t>
            </w:r>
          </w:p>
        </w:tc>
        <w:tc>
          <w:tcPr>
            <w:tcW w:w="6432" w:type="dxa"/>
          </w:tcPr>
          <w:p>
            <w:pPr>
              <w:keepNext/>
              <w:spacing w:before="0" w:after="0"/>
              <w:jc w:val="left"/>
              <w:rPr>
                <w:rFonts w:eastAsia="Times New Roman"/>
                <w:noProof/>
                <w:szCs w:val="24"/>
              </w:rPr>
            </w:pPr>
            <w:r>
              <w:rPr>
                <w:noProof/>
              </w:rPr>
              <w:t>Merværdiafgift</w:t>
            </w:r>
          </w:p>
        </w:tc>
      </w:tr>
    </w:tbl>
    <w:p>
      <w:pPr>
        <w:spacing w:before="60"/>
        <w:jc w:val="center"/>
        <w:rPr>
          <w:rFonts w:eastAsia="Times New Roman"/>
          <w:noProof/>
          <w:sz w:val="20"/>
          <w:szCs w:val="20"/>
        </w:rPr>
      </w:pPr>
      <w:bookmarkStart w:id="18" w:name="_Toc131473830"/>
      <w:bookmarkStart w:id="19" w:name="_Toc131560459"/>
      <w:bookmarkStart w:id="20" w:name="_Toc132079339"/>
      <w:bookmarkStart w:id="21" w:name="_Toc273103661"/>
      <w:bookmarkStart w:id="22" w:name="_Toc485826131"/>
      <w:r>
        <w:rPr>
          <w:noProof/>
        </w:rPr>
        <w:t xml:space="preserve">Tabel </w:t>
      </w:r>
      <w:r>
        <w:rPr>
          <w:rFonts w:eastAsia="Times New Roman"/>
          <w:noProof/>
          <w:sz w:val="20"/>
          <w:szCs w:val="20"/>
        </w:rPr>
        <w:fldChar w:fldCharType="begin"/>
      </w:r>
      <w:r>
        <w:rPr>
          <w:rFonts w:eastAsia="Times New Roman"/>
          <w:noProof/>
          <w:sz w:val="20"/>
          <w:szCs w:val="20"/>
        </w:rPr>
        <w:instrText xml:space="preserve"> SEQ Table \* ARABIC </w:instrText>
      </w:r>
      <w:r>
        <w:rPr>
          <w:rFonts w:eastAsia="Times New Roman"/>
          <w:noProof/>
          <w:sz w:val="20"/>
          <w:szCs w:val="20"/>
        </w:rPr>
        <w:fldChar w:fldCharType="separate"/>
      </w:r>
      <w:r>
        <w:rPr>
          <w:rFonts w:eastAsia="Times New Roman"/>
          <w:noProof/>
          <w:sz w:val="20"/>
          <w:szCs w:val="20"/>
        </w:rPr>
        <w:t>3</w:t>
      </w:r>
      <w:bookmarkEnd w:id="18"/>
      <w:r>
        <w:rPr>
          <w:rFonts w:eastAsia="Times New Roman"/>
          <w:noProof/>
          <w:sz w:val="20"/>
          <w:szCs w:val="20"/>
        </w:rPr>
        <w:fldChar w:fldCharType="end"/>
      </w:r>
      <w:r>
        <w:rPr>
          <w:noProof/>
          <w:sz w:val="20"/>
          <w:szCs w:val="20"/>
        </w:rPr>
        <w:t>: Akronymer</w:t>
      </w:r>
      <w:bookmarkEnd w:id="19"/>
      <w:bookmarkEnd w:id="20"/>
      <w:bookmarkEnd w:id="21"/>
      <w:bookmarkEnd w:id="22"/>
      <w:r>
        <w:rPr>
          <w:noProof/>
          <w:sz w:val="20"/>
          <w:szCs w:val="20"/>
        </w:rPr>
        <w:t xml:space="preserve"> </w:t>
      </w:r>
    </w:p>
    <w:p>
      <w:pPr>
        <w:pStyle w:val="ManualHeading2"/>
        <w:rPr>
          <w:noProof/>
        </w:rPr>
      </w:pPr>
      <w:bookmarkStart w:id="23" w:name="_Toc150588474"/>
      <w:bookmarkStart w:id="24" w:name="_Ref313892566"/>
      <w:bookmarkStart w:id="25" w:name="_Toc273104856"/>
      <w:bookmarkStart w:id="26" w:name="_Toc486594999"/>
      <w:r>
        <w:rPr>
          <w:noProof/>
        </w:rPr>
        <w:t>2.2.</w:t>
      </w:r>
      <w:r>
        <w:rPr>
          <w:noProof/>
        </w:rPr>
        <w:tab/>
        <w:t>DEFINITIONER</w:t>
      </w:r>
      <w:bookmarkEnd w:id="23"/>
      <w:bookmarkEnd w:id="24"/>
      <w:bookmarkEnd w:id="25"/>
      <w:bookmarkEnd w:id="26"/>
    </w:p>
    <w:tbl>
      <w:tblPr>
        <w:tblW w:w="8232"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6432"/>
      </w:tblGrid>
      <w:tr>
        <w:trPr>
          <w:tblHeader/>
        </w:trPr>
        <w:tc>
          <w:tcPr>
            <w:tcW w:w="1800" w:type="dxa"/>
            <w:shd w:val="clear" w:color="auto" w:fill="E0E0E0"/>
          </w:tcPr>
          <w:p>
            <w:pPr>
              <w:spacing w:before="0" w:after="0"/>
              <w:jc w:val="center"/>
              <w:rPr>
                <w:rFonts w:eastAsia="Times New Roman"/>
                <w:b/>
                <w:noProof/>
                <w:szCs w:val="24"/>
              </w:rPr>
            </w:pPr>
            <w:r>
              <w:rPr>
                <w:b/>
                <w:noProof/>
                <w:szCs w:val="24"/>
              </w:rPr>
              <w:t>UDTRYK</w:t>
            </w:r>
          </w:p>
        </w:tc>
        <w:tc>
          <w:tcPr>
            <w:tcW w:w="6432" w:type="dxa"/>
            <w:shd w:val="clear" w:color="auto" w:fill="E0E0E0"/>
          </w:tcPr>
          <w:p>
            <w:pPr>
              <w:spacing w:before="0" w:after="0"/>
              <w:jc w:val="center"/>
              <w:rPr>
                <w:rFonts w:eastAsia="Times New Roman"/>
                <w:b/>
                <w:noProof/>
                <w:szCs w:val="24"/>
              </w:rPr>
            </w:pPr>
            <w:r>
              <w:rPr>
                <w:b/>
                <w:noProof/>
                <w:szCs w:val="24"/>
              </w:rPr>
              <w:t>DEFINITIONER</w:t>
            </w:r>
          </w:p>
        </w:tc>
      </w:tr>
      <w:tr>
        <w:tc>
          <w:tcPr>
            <w:tcW w:w="1800" w:type="dxa"/>
          </w:tcPr>
          <w:p>
            <w:pPr>
              <w:spacing w:before="60" w:after="0"/>
              <w:jc w:val="left"/>
              <w:rPr>
                <w:rFonts w:eastAsia="Times New Roman"/>
                <w:noProof/>
                <w:szCs w:val="24"/>
              </w:rPr>
            </w:pPr>
            <w:r>
              <w:rPr>
                <w:noProof/>
              </w:rPr>
              <w:t>CET</w:t>
            </w:r>
          </w:p>
        </w:tc>
        <w:tc>
          <w:tcPr>
            <w:tcW w:w="6432" w:type="dxa"/>
          </w:tcPr>
          <w:p>
            <w:pPr>
              <w:keepNext/>
              <w:spacing w:before="60" w:after="0"/>
              <w:jc w:val="left"/>
              <w:rPr>
                <w:rFonts w:eastAsia="Times New Roman"/>
                <w:noProof/>
                <w:szCs w:val="24"/>
              </w:rPr>
            </w:pPr>
            <w:r>
              <w:rPr>
                <w:noProof/>
              </w:rPr>
              <w:t>Centraleuropæisk tid, GMT+1 og ved sommertid GMT+2 timer.</w:t>
            </w:r>
          </w:p>
        </w:tc>
      </w:tr>
      <w:tr>
        <w:tc>
          <w:tcPr>
            <w:tcW w:w="1800" w:type="dxa"/>
          </w:tcPr>
          <w:p>
            <w:pPr>
              <w:spacing w:before="60" w:after="0"/>
              <w:jc w:val="left"/>
              <w:rPr>
                <w:rFonts w:eastAsia="Times New Roman"/>
                <w:noProof/>
                <w:szCs w:val="24"/>
              </w:rPr>
            </w:pPr>
            <w:r>
              <w:rPr>
                <w:noProof/>
              </w:rPr>
              <w:t>Arbejdsdage og -tider (ITSM-servicedesk)</w:t>
            </w:r>
          </w:p>
        </w:tc>
        <w:tc>
          <w:tcPr>
            <w:tcW w:w="6432" w:type="dxa"/>
          </w:tcPr>
          <w:p>
            <w:pPr>
              <w:keepNext/>
              <w:spacing w:before="60" w:after="0"/>
              <w:jc w:val="left"/>
              <w:rPr>
                <w:rFonts w:eastAsia="Times New Roman"/>
                <w:noProof/>
                <w:szCs w:val="24"/>
              </w:rPr>
            </w:pPr>
            <w:r>
              <w:rPr>
                <w:noProof/>
              </w:rPr>
              <w:t>7:00 til 20:00 (CET), fem dage om ugen (mandag til fredag, herunder helligdage)</w:t>
            </w:r>
          </w:p>
        </w:tc>
      </w:tr>
    </w:tbl>
    <w:p>
      <w:pPr>
        <w:spacing w:before="60"/>
        <w:jc w:val="center"/>
        <w:rPr>
          <w:rFonts w:eastAsia="Times New Roman"/>
          <w:noProof/>
          <w:sz w:val="20"/>
          <w:szCs w:val="20"/>
        </w:rPr>
      </w:pPr>
      <w:bookmarkStart w:id="27" w:name="_Toc131473831"/>
      <w:bookmarkStart w:id="28" w:name="_Ref486337901"/>
      <w:bookmarkStart w:id="29" w:name="_Toc131560460"/>
      <w:bookmarkStart w:id="30" w:name="_Toc132079340"/>
      <w:bookmarkStart w:id="31" w:name="_Toc273103662"/>
      <w:bookmarkStart w:id="32" w:name="_Toc485826132"/>
      <w:r>
        <w:rPr>
          <w:noProof/>
          <w:sz w:val="20"/>
          <w:szCs w:val="20"/>
        </w:rPr>
        <w:t xml:space="preserve">Tabel </w:t>
      </w:r>
      <w:r>
        <w:rPr>
          <w:rFonts w:eastAsia="Times New Roman"/>
          <w:noProof/>
          <w:sz w:val="20"/>
          <w:szCs w:val="20"/>
        </w:rPr>
        <w:fldChar w:fldCharType="begin"/>
      </w:r>
      <w:r>
        <w:rPr>
          <w:rFonts w:eastAsia="Times New Roman"/>
          <w:noProof/>
          <w:sz w:val="20"/>
          <w:szCs w:val="20"/>
        </w:rPr>
        <w:instrText xml:space="preserve"> SEQ Table \* ARABIC </w:instrText>
      </w:r>
      <w:r>
        <w:rPr>
          <w:rFonts w:eastAsia="Times New Roman"/>
          <w:noProof/>
          <w:sz w:val="20"/>
          <w:szCs w:val="20"/>
        </w:rPr>
        <w:fldChar w:fldCharType="separate"/>
      </w:r>
      <w:r>
        <w:rPr>
          <w:rFonts w:eastAsia="Times New Roman"/>
          <w:noProof/>
          <w:sz w:val="20"/>
          <w:szCs w:val="20"/>
        </w:rPr>
        <w:t>4</w:t>
      </w:r>
      <w:bookmarkEnd w:id="27"/>
      <w:r>
        <w:rPr>
          <w:rFonts w:eastAsia="Times New Roman"/>
          <w:noProof/>
          <w:sz w:val="20"/>
          <w:szCs w:val="20"/>
        </w:rPr>
        <w:fldChar w:fldCharType="end"/>
      </w:r>
      <w:bookmarkEnd w:id="28"/>
      <w:r>
        <w:rPr>
          <w:noProof/>
          <w:sz w:val="20"/>
          <w:szCs w:val="20"/>
        </w:rPr>
        <w:t>: Definitioner</w:t>
      </w:r>
      <w:bookmarkEnd w:id="29"/>
      <w:bookmarkEnd w:id="30"/>
      <w:bookmarkEnd w:id="31"/>
      <w:bookmarkEnd w:id="32"/>
    </w:p>
    <w:p>
      <w:pPr>
        <w:pStyle w:val="ManualHeading1"/>
        <w:rPr>
          <w:noProof/>
        </w:rPr>
      </w:pPr>
      <w:bookmarkStart w:id="33" w:name="_Toc150588475"/>
      <w:bookmarkStart w:id="34" w:name="_Ref313971935"/>
      <w:bookmarkStart w:id="35" w:name="_Toc273104857"/>
      <w:bookmarkStart w:id="36" w:name="_Toc486595000"/>
      <w:r>
        <w:rPr>
          <w:noProof/>
        </w:rPr>
        <w:t>3.</w:t>
      </w:r>
      <w:r>
        <w:rPr>
          <w:noProof/>
        </w:rPr>
        <w:tab/>
      </w:r>
      <w:r>
        <w:rPr>
          <w:noProof/>
          <w:u w:val="single"/>
        </w:rPr>
        <w:t>INDLEDNING</w:t>
      </w:r>
      <w:bookmarkEnd w:id="33"/>
      <w:bookmarkEnd w:id="34"/>
      <w:bookmarkEnd w:id="35"/>
      <w:bookmarkEnd w:id="36"/>
    </w:p>
    <w:p>
      <w:pPr>
        <w:pStyle w:val="Text1"/>
        <w:rPr>
          <w:noProof/>
        </w:rPr>
      </w:pPr>
      <w:r>
        <w:rPr>
          <w:noProof/>
        </w:rPr>
        <w:t>Dette dokument er en serviceleveranceaftale ("SLA") mellem Kongeriget Norge ("Norge") og Europa-Kommissionen ("Kommissionen"), under et benævnt "parterne i SLA'en".</w:t>
      </w:r>
    </w:p>
    <w:p>
      <w:pPr>
        <w:pStyle w:val="ManualHeading2"/>
        <w:rPr>
          <w:noProof/>
        </w:rPr>
      </w:pPr>
      <w:bookmarkStart w:id="37" w:name="_Toc150588476"/>
      <w:bookmarkStart w:id="38" w:name="_Toc273104858"/>
      <w:bookmarkStart w:id="39" w:name="_Toc486595001"/>
      <w:r>
        <w:rPr>
          <w:noProof/>
        </w:rPr>
        <w:t>3.1.</w:t>
      </w:r>
      <w:r>
        <w:rPr>
          <w:noProof/>
        </w:rPr>
        <w:tab/>
        <w:t>Anvendelsesområde for SLA</w:t>
      </w:r>
      <w:bookmarkEnd w:id="37"/>
      <w:bookmarkEnd w:id="38"/>
      <w:bookmarkEnd w:id="39"/>
    </w:p>
    <w:p>
      <w:pPr>
        <w:pStyle w:val="Text1"/>
        <w:rPr>
          <w:noProof/>
        </w:rPr>
      </w:pPr>
      <w:r>
        <w:rPr>
          <w:noProof/>
        </w:rPr>
        <w:t>I henhold til artikel 5 i aftalen vedtages "en aftale om serviceniveauet, der sikrer den tekniske kvalitet og kvantitet af ydelserne med henblik på driften af kommunikations- og informationsudvekslingssystemerne".</w:t>
      </w:r>
    </w:p>
    <w:p>
      <w:pPr>
        <w:pStyle w:val="Text1"/>
        <w:rPr>
          <w:noProof/>
        </w:rPr>
      </w:pPr>
      <w:r>
        <w:rPr>
          <w:noProof/>
        </w:rPr>
        <w:t>I denne SLA fastsættes forbindelserne mellem Kongeriget Norge og Kommissionen for så vidt angår anvendelse af systemerne og applikationerne for administrativt samarbejde og inddrivelse af fordringer på momsområdet og mellem Kongeriget Norge og medlemsstaterne for så vidt angår udveksling af formularer.</w:t>
      </w:r>
    </w:p>
    <w:p>
      <w:pPr>
        <w:pStyle w:val="Text1"/>
        <w:rPr>
          <w:noProof/>
        </w:rPr>
      </w:pPr>
      <w:r>
        <w:rPr>
          <w:noProof/>
        </w:rPr>
        <w:lastRenderedPageBreak/>
        <w:t>Følgende systemer er operationelle og er omfattet af bestemmelserne i SLA'en:</w:t>
      </w:r>
    </w:p>
    <w:p>
      <w:pPr>
        <w:pStyle w:val="Bullet1"/>
        <w:numPr>
          <w:ilvl w:val="0"/>
          <w:numId w:val="29"/>
        </w:numPr>
        <w:rPr>
          <w:noProof/>
        </w:rPr>
      </w:pPr>
      <w:r>
        <w:rPr>
          <w:noProof/>
        </w:rPr>
        <w:t>udveksling af formularer (EoF)</w:t>
      </w:r>
    </w:p>
    <w:p>
      <w:pPr>
        <w:pStyle w:val="Bullet1"/>
        <w:rPr>
          <w:noProof/>
        </w:rPr>
      </w:pPr>
      <w:r>
        <w:rPr>
          <w:noProof/>
        </w:rPr>
        <w:t>overvågning, statistiske data og afprøvning.</w:t>
      </w:r>
    </w:p>
    <w:p>
      <w:pPr>
        <w:pStyle w:val="Text1"/>
        <w:rPr>
          <w:noProof/>
        </w:rPr>
      </w:pPr>
      <w:r>
        <w:rPr>
          <w:noProof/>
        </w:rPr>
        <w:t>Kommissionen fastlægger den proces, der skal sikre enighed om det administrative samarbejde, ved hjælp af informationsteknologi. Dette omfatter standarder, procedurer, værktøjer, teknologi og infrastruktur. Der ydes bistand til Norge for at sikre, at dataudvekslingssystemer er tilgængelige og gennemføres korrekt. Overvågningen af, tilsynet med og evalueringen af det generelle system varetages ligeledes af Kommissionen. Desuden giver Kommissionen Norge retningslinjer, der skal overholdes i forbindelse med denne udveksling af oplysninger.</w:t>
      </w:r>
    </w:p>
    <w:p>
      <w:pPr>
        <w:pStyle w:val="Text1"/>
        <w:rPr>
          <w:noProof/>
        </w:rPr>
      </w:pPr>
      <w:r>
        <w:rPr>
          <w:noProof/>
        </w:rPr>
        <w:t>Alle mål i SLA'en gælder udelukkende under normale arbejdsvilkår.</w:t>
      </w:r>
    </w:p>
    <w:p>
      <w:pPr>
        <w:pStyle w:val="Text1"/>
        <w:rPr>
          <w:noProof/>
        </w:rPr>
      </w:pPr>
      <w:r>
        <w:rPr>
          <w:noProof/>
        </w:rPr>
        <w:t>I tilfælde af force majeure suspenderes anvendelsen af serviceleveranceaftalen for Norge, indtil der ikke længere foreligger force majeure.</w:t>
      </w:r>
    </w:p>
    <w:p>
      <w:pPr>
        <w:pStyle w:val="Text1"/>
        <w:rPr>
          <w:noProof/>
        </w:rPr>
      </w:pPr>
      <w:r>
        <w:rPr>
          <w:noProof/>
        </w:rPr>
        <w:t>Force majeure er en uforudsigelig begivenhed eller hændelse uden for Norges eller Kommissionens kontrol, som ikke kan tilskrives den ansvarlige parts handling eller undladelse af at træffe forebyggende foranstaltninger. Sådanne begivenheder vedrører statslige foranstaltninger, krig, brand, eksplosion, oversvømmelse, import- og eksportregler eller embargoer og arbejdskonflikter.</w:t>
      </w:r>
    </w:p>
    <w:p>
      <w:pPr>
        <w:pStyle w:val="Text1"/>
        <w:rPr>
          <w:noProof/>
        </w:rPr>
      </w:pPr>
      <w:r>
        <w:rPr>
          <w:noProof/>
        </w:rPr>
        <w:t>Den part, der påberåber sig force majeure, underretter øjeblikkeligt den anden part om, at det er umuligt at levere ydelser eller gennemføre målene i SLA'en som følge af force majeure-hændelser, med angivelse af de berørte ydelser og mål. Når der ikke længere foreligger force majeure, underretter den berørte part ligeledes øjeblikkeligt den anden part herom.</w:t>
      </w:r>
    </w:p>
    <w:p>
      <w:pPr>
        <w:pStyle w:val="ManualHeading2"/>
        <w:rPr>
          <w:noProof/>
        </w:rPr>
      </w:pPr>
      <w:bookmarkStart w:id="40" w:name="_Toc150588477"/>
      <w:bookmarkStart w:id="41" w:name="_Toc273104859"/>
      <w:bookmarkStart w:id="42" w:name="_Toc488821711"/>
      <w:r>
        <w:rPr>
          <w:noProof/>
        </w:rPr>
        <w:t>3.2.</w:t>
      </w:r>
      <w:r>
        <w:rPr>
          <w:noProof/>
        </w:rPr>
        <w:tab/>
        <w:t>AFTALEPERIODE</w:t>
      </w:r>
      <w:bookmarkEnd w:id="40"/>
      <w:bookmarkEnd w:id="41"/>
      <w:bookmarkEnd w:id="42"/>
    </w:p>
    <w:p>
      <w:pPr>
        <w:pStyle w:val="Text1"/>
        <w:rPr>
          <w:noProof/>
        </w:rPr>
      </w:pPr>
      <w:r>
        <w:rPr>
          <w:noProof/>
        </w:rPr>
        <w:t>SLA'en er bindende for parterne fra dagen efter aftalens godkendelse i det blandede udvalg, der er nedsat ved aftalens artikel 41 ("det blandede udvalg").</w:t>
      </w:r>
    </w:p>
    <w:p>
      <w:pPr>
        <w:pStyle w:val="ManualHeading1"/>
        <w:rPr>
          <w:noProof/>
        </w:rPr>
      </w:pPr>
      <w:bookmarkStart w:id="43" w:name="_Toc150588479"/>
      <w:bookmarkStart w:id="44" w:name="_Toc273104861"/>
      <w:bookmarkStart w:id="45" w:name="_Toc486595003"/>
      <w:r>
        <w:rPr>
          <w:noProof/>
        </w:rPr>
        <w:t>4.</w:t>
      </w:r>
      <w:r>
        <w:rPr>
          <w:noProof/>
        </w:rPr>
        <w:tab/>
      </w:r>
      <w:r>
        <w:rPr>
          <w:noProof/>
          <w:u w:val="single"/>
        </w:rPr>
        <w:t>ANSVARSOMRÅDER</w:t>
      </w:r>
      <w:bookmarkEnd w:id="43"/>
      <w:bookmarkEnd w:id="44"/>
      <w:bookmarkEnd w:id="45"/>
    </w:p>
    <w:p>
      <w:pPr>
        <w:pStyle w:val="Text1"/>
        <w:rPr>
          <w:noProof/>
        </w:rPr>
      </w:pPr>
      <w:r>
        <w:rPr>
          <w:noProof/>
        </w:rPr>
        <w:t xml:space="preserve">Formålet med denne SLA er at sikre kvaliteten og kvantiteten af de ydelser, der skal leveres af Kommissionen og Norge, således at Norge og Kommissionen kan få adgang til de pågældende systemer og applikationer for administrativt samarbejde og inddrivelse af fordringer på momsområdet. </w:t>
      </w:r>
    </w:p>
    <w:p>
      <w:pPr>
        <w:pStyle w:val="ManualHeading2"/>
        <w:rPr>
          <w:noProof/>
        </w:rPr>
      </w:pPr>
      <w:bookmarkStart w:id="46" w:name="_Toc486595004"/>
      <w:r>
        <w:rPr>
          <w:noProof/>
        </w:rPr>
        <w:t>4.1.</w:t>
      </w:r>
      <w:r>
        <w:rPr>
          <w:noProof/>
        </w:rPr>
        <w:tab/>
        <w:t xml:space="preserve">KOMMISSIONENS YDELSER TIL NORGE </w:t>
      </w:r>
      <w:bookmarkEnd w:id="46"/>
    </w:p>
    <w:p>
      <w:pPr>
        <w:pStyle w:val="Text1"/>
        <w:rPr>
          <w:noProof/>
        </w:rPr>
      </w:pPr>
      <w:r>
        <w:rPr>
          <w:b/>
          <w:noProof/>
        </w:rPr>
        <w:t xml:space="preserve">Kommissionen </w:t>
      </w:r>
      <w:r>
        <w:rPr>
          <w:noProof/>
        </w:rPr>
        <w:t>stiller følgende ydelser til rådighed:</w:t>
      </w:r>
    </w:p>
    <w:p>
      <w:pPr>
        <w:pStyle w:val="Bullet1"/>
        <w:rPr>
          <w:noProof/>
        </w:rPr>
      </w:pPr>
      <w:r>
        <w:rPr>
          <w:noProof/>
        </w:rPr>
        <w:t>Operationelle ydelser:</w:t>
      </w:r>
    </w:p>
    <w:p>
      <w:pPr>
        <w:pStyle w:val="Tiret2"/>
        <w:numPr>
          <w:ilvl w:val="0"/>
          <w:numId w:val="32"/>
        </w:numPr>
        <w:rPr>
          <w:noProof/>
        </w:rPr>
      </w:pPr>
      <w:r>
        <w:rPr>
          <w:noProof/>
        </w:rPr>
        <w:t>helpdesk og operationer:</w:t>
      </w:r>
    </w:p>
    <w:p>
      <w:pPr>
        <w:pStyle w:val="Point3letter"/>
        <w:rPr>
          <w:noProof/>
        </w:rPr>
      </w:pPr>
      <w:r>
        <w:rPr>
          <w:noProof/>
        </w:rPr>
        <w:t>helpdesksupport</w:t>
      </w:r>
    </w:p>
    <w:p>
      <w:pPr>
        <w:pStyle w:val="Point3letter"/>
        <w:rPr>
          <w:noProof/>
        </w:rPr>
      </w:pPr>
      <w:r>
        <w:rPr>
          <w:noProof/>
        </w:rPr>
        <w:t>håndtering af hændelser</w:t>
      </w:r>
    </w:p>
    <w:p>
      <w:pPr>
        <w:pStyle w:val="Point3letter"/>
        <w:rPr>
          <w:noProof/>
        </w:rPr>
      </w:pPr>
      <w:r>
        <w:rPr>
          <w:noProof/>
        </w:rPr>
        <w:t>overvågning og meddelelse</w:t>
      </w:r>
    </w:p>
    <w:p>
      <w:pPr>
        <w:pStyle w:val="Point3letter"/>
        <w:rPr>
          <w:noProof/>
        </w:rPr>
      </w:pPr>
      <w:r>
        <w:rPr>
          <w:noProof/>
        </w:rPr>
        <w:t>uddannelse</w:t>
      </w:r>
    </w:p>
    <w:p>
      <w:pPr>
        <w:pStyle w:val="Point3letter"/>
        <w:rPr>
          <w:noProof/>
        </w:rPr>
      </w:pPr>
      <w:r>
        <w:rPr>
          <w:noProof/>
        </w:rPr>
        <w:t>sikkerhedsstyring</w:t>
      </w:r>
    </w:p>
    <w:p>
      <w:pPr>
        <w:pStyle w:val="Point3letter"/>
        <w:rPr>
          <w:noProof/>
        </w:rPr>
      </w:pPr>
      <w:r>
        <w:rPr>
          <w:noProof/>
        </w:rPr>
        <w:lastRenderedPageBreak/>
        <w:t>rapportering og statistiske data</w:t>
      </w:r>
    </w:p>
    <w:p>
      <w:pPr>
        <w:pStyle w:val="Point3letter"/>
        <w:rPr>
          <w:noProof/>
        </w:rPr>
      </w:pPr>
      <w:r>
        <w:rPr>
          <w:noProof/>
        </w:rPr>
        <w:t>rådgivning.</w:t>
      </w:r>
    </w:p>
    <w:p>
      <w:pPr>
        <w:pStyle w:val="Tiret2"/>
        <w:rPr>
          <w:noProof/>
        </w:rPr>
      </w:pPr>
      <w:r>
        <w:rPr>
          <w:noProof/>
        </w:rPr>
        <w:t>Referencecenter:</w:t>
      </w:r>
    </w:p>
    <w:p>
      <w:pPr>
        <w:pStyle w:val="Point3letter"/>
        <w:numPr>
          <w:ilvl w:val="7"/>
          <w:numId w:val="31"/>
        </w:numPr>
        <w:rPr>
          <w:noProof/>
        </w:rPr>
      </w:pPr>
      <w:r>
        <w:rPr>
          <w:noProof/>
        </w:rPr>
        <w:t>informationshåndtering</w:t>
      </w:r>
    </w:p>
    <w:p>
      <w:pPr>
        <w:pStyle w:val="Point3letter"/>
        <w:rPr>
          <w:noProof/>
        </w:rPr>
      </w:pPr>
      <w:r>
        <w:rPr>
          <w:noProof/>
        </w:rPr>
        <w:t>dokumentationscenter (CIRCABC).</w:t>
      </w:r>
    </w:p>
    <w:p>
      <w:pPr>
        <w:pStyle w:val="Text1"/>
        <w:rPr>
          <w:noProof/>
        </w:rPr>
      </w:pPr>
      <w:r>
        <w:rPr>
          <w:noProof/>
        </w:rPr>
        <w:t>Med henblik på at stille disse ydelser til rådighed vedligeholder Kommissionen følgende applikationer:</w:t>
      </w:r>
    </w:p>
    <w:p>
      <w:pPr>
        <w:pStyle w:val="Bullet1"/>
        <w:rPr>
          <w:noProof/>
        </w:rPr>
      </w:pPr>
      <w:r>
        <w:rPr>
          <w:noProof/>
        </w:rPr>
        <w:t>statistiske applikationer</w:t>
      </w:r>
    </w:p>
    <w:p>
      <w:pPr>
        <w:pStyle w:val="Bullet1"/>
        <w:rPr>
          <w:noProof/>
        </w:rPr>
      </w:pPr>
      <w:r>
        <w:rPr>
          <w:noProof/>
        </w:rPr>
        <w:t>CIRCABC</w:t>
      </w:r>
    </w:p>
    <w:p>
      <w:pPr>
        <w:pStyle w:val="Bullet1"/>
        <w:rPr>
          <w:noProof/>
        </w:rPr>
      </w:pPr>
      <w:r>
        <w:rPr>
          <w:noProof/>
        </w:rPr>
        <w:t>servicedeskværktøj.</w:t>
      </w:r>
    </w:p>
    <w:p>
      <w:pPr>
        <w:pStyle w:val="ManualHeading2"/>
        <w:rPr>
          <w:noProof/>
        </w:rPr>
      </w:pPr>
      <w:bookmarkStart w:id="47" w:name="_Toc486595007"/>
      <w:r>
        <w:rPr>
          <w:noProof/>
        </w:rPr>
        <w:t>4.2.</w:t>
      </w:r>
      <w:r>
        <w:rPr>
          <w:noProof/>
        </w:rPr>
        <w:tab/>
        <w:t>NORGES YDELSER TIL KOMMISSIONEN</w:t>
      </w:r>
      <w:bookmarkEnd w:id="47"/>
    </w:p>
    <w:p>
      <w:pPr>
        <w:pStyle w:val="Text1"/>
        <w:rPr>
          <w:noProof/>
        </w:rPr>
      </w:pPr>
      <w:r>
        <w:rPr>
          <w:b/>
          <w:noProof/>
        </w:rPr>
        <w:t xml:space="preserve">Norge </w:t>
      </w:r>
      <w:r>
        <w:rPr>
          <w:noProof/>
        </w:rPr>
        <w:t>stiller følgende ydelser til rådighed:</w:t>
      </w:r>
    </w:p>
    <w:p>
      <w:pPr>
        <w:pStyle w:val="Bullet1"/>
        <w:rPr>
          <w:noProof/>
        </w:rPr>
      </w:pPr>
      <w:r>
        <w:rPr>
          <w:noProof/>
        </w:rPr>
        <w:t>Norge sender Kommissionen alle disponible oplysninger, der er af betydning for deres anvendelse af aftalen</w:t>
      </w:r>
    </w:p>
    <w:p>
      <w:pPr>
        <w:pStyle w:val="Bullet1"/>
        <w:rPr>
          <w:noProof/>
        </w:rPr>
      </w:pPr>
      <w:r>
        <w:rPr>
          <w:noProof/>
        </w:rPr>
        <w:t>Norge meddeler Kommissionen alle særlige betingelser</w:t>
      </w:r>
    </w:p>
    <w:p>
      <w:pPr>
        <w:pStyle w:val="Bullet1"/>
        <w:rPr>
          <w:b/>
          <w:noProof/>
        </w:rPr>
      </w:pPr>
      <w:r>
        <w:rPr>
          <w:noProof/>
        </w:rPr>
        <w:t>Norge forelægger hvert år de statistiske data vedrørende meddelelsen af de oplysninger, der er fastsat i aftalens artikel 20.</w:t>
      </w:r>
      <w:bookmarkStart w:id="48" w:name="_Toc150588480"/>
      <w:bookmarkStart w:id="49" w:name="_Toc273104862"/>
      <w:r>
        <w:rPr>
          <w:noProof/>
        </w:rPr>
        <w:tab/>
      </w:r>
      <w:bookmarkStart w:id="50" w:name="_Toc486595008"/>
    </w:p>
    <w:p>
      <w:pPr>
        <w:pStyle w:val="ManualHeading1"/>
        <w:rPr>
          <w:noProof/>
        </w:rPr>
      </w:pPr>
      <w:r>
        <w:rPr>
          <w:noProof/>
        </w:rPr>
        <w:t>5.</w:t>
      </w:r>
      <w:r>
        <w:rPr>
          <w:noProof/>
        </w:rPr>
        <w:tab/>
      </w:r>
      <w:r>
        <w:rPr>
          <w:noProof/>
          <w:u w:val="single"/>
        </w:rPr>
        <w:t>GENNEMGANG AF SERVICENIVEAU</w:t>
      </w:r>
      <w:bookmarkEnd w:id="48"/>
      <w:bookmarkEnd w:id="49"/>
      <w:bookmarkEnd w:id="50"/>
    </w:p>
    <w:p>
      <w:pPr>
        <w:pStyle w:val="Text1"/>
        <w:rPr>
          <w:noProof/>
        </w:rPr>
      </w:pPr>
      <w:r>
        <w:rPr>
          <w:noProof/>
        </w:rPr>
        <w:t>Dette kapitel indeholder en detaljeret beskrivelse af de kvantitative og kvalitative aspekter af de ydelser, der skal leveres af Kommissionen og af Norge som beskrevet ovenfor.</w:t>
      </w:r>
    </w:p>
    <w:p>
      <w:pPr>
        <w:pStyle w:val="ManualHeading2"/>
        <w:rPr>
          <w:noProof/>
        </w:rPr>
      </w:pPr>
      <w:bookmarkStart w:id="51" w:name="_Toc150588481"/>
      <w:bookmarkStart w:id="52" w:name="_Toc273104863"/>
      <w:bookmarkStart w:id="53" w:name="_Toc486595009"/>
      <w:r>
        <w:rPr>
          <w:noProof/>
        </w:rPr>
        <w:t>5.1.</w:t>
      </w:r>
      <w:r>
        <w:rPr>
          <w:noProof/>
        </w:rPr>
        <w:tab/>
        <w:t>KOMMISSIONENS SERVICENIVEAUER</w:t>
      </w:r>
      <w:bookmarkEnd w:id="51"/>
      <w:bookmarkEnd w:id="52"/>
      <w:bookmarkEnd w:id="53"/>
      <w:r>
        <w:rPr>
          <w:noProof/>
        </w:rPr>
        <w:t xml:space="preserve"> </w:t>
      </w:r>
    </w:p>
    <w:p>
      <w:pPr>
        <w:pStyle w:val="ManualHeading3"/>
        <w:rPr>
          <w:b/>
          <w:noProof/>
        </w:rPr>
      </w:pPr>
      <w:bookmarkStart w:id="54" w:name="_Toc150588495"/>
      <w:bookmarkStart w:id="55" w:name="_Toc273104870"/>
      <w:bookmarkStart w:id="56" w:name="_Toc486595026"/>
      <w:r>
        <w:rPr>
          <w:b/>
          <w:noProof/>
        </w:rPr>
        <w:t>5.1.1.</w:t>
      </w:r>
      <w:r>
        <w:rPr>
          <w:b/>
          <w:noProof/>
        </w:rPr>
        <w:tab/>
      </w:r>
      <w:r>
        <w:rPr>
          <w:b/>
          <w:noProof/>
          <w:u w:val="single"/>
        </w:rPr>
        <w:t>Servicedesk</w:t>
      </w:r>
      <w:bookmarkEnd w:id="54"/>
      <w:bookmarkEnd w:id="55"/>
      <w:bookmarkEnd w:id="56"/>
    </w:p>
    <w:p>
      <w:pPr>
        <w:pStyle w:val="ManualHeading4"/>
        <w:rPr>
          <w:noProof/>
          <w:w w:val="122"/>
        </w:rPr>
      </w:pPr>
      <w:bookmarkStart w:id="57" w:name="_Toc150588496"/>
      <w:bookmarkStart w:id="58" w:name="_Toc486595027"/>
      <w:r>
        <w:rPr>
          <w:noProof/>
        </w:rPr>
        <w:t>5.1.1.1.</w:t>
      </w:r>
      <w:r>
        <w:rPr>
          <w:noProof/>
        </w:rPr>
        <w:tab/>
      </w:r>
      <w:r>
        <w:rPr>
          <w:i/>
          <w:noProof/>
        </w:rPr>
        <w:t>Aftale</w:t>
      </w:r>
      <w:bookmarkEnd w:id="57"/>
      <w:bookmarkEnd w:id="58"/>
    </w:p>
    <w:p>
      <w:pPr>
        <w:pStyle w:val="Text1"/>
        <w:rPr>
          <w:noProof/>
        </w:rPr>
      </w:pPr>
      <w:r>
        <w:rPr>
          <w:noProof/>
        </w:rPr>
        <w:t>Kommissionen stiller en servicedesk til rådighed for at kunne besvare spørgsmål og indberette eventuelle problemer, som Norge oplever med systemerne og applikationerne for administrativt samarbejde og inddrivelse af fordringer på momsområdet, eller aspekter, der kunne berøre dem. Denne servicedesk vil blive drevet af ITSM, og åbningstiden bliver samme som for ITSM.</w:t>
      </w:r>
    </w:p>
    <w:p>
      <w:pPr>
        <w:pStyle w:val="Text1"/>
        <w:rPr>
          <w:noProof/>
        </w:rPr>
      </w:pPr>
      <w:r>
        <w:rPr>
          <w:noProof/>
        </w:rPr>
        <w:t>Det sikres, at ITSM-servicedesken er tilgængelig i mindst 95 % af driftstimerne. Alle spørgsmål eller problemer kan meddeles servicedesken i ITSM's åbningstid pr. telefon, fax eller e-mail og uden for denne åbningstid pr. e-mail eller telefax. Hvis disse spørgsmål eller problemer meddeles uden for ITSM's åbningstid, anses de automatisk for at være nået frem kl. 8:00 CET den efterfølgende arbejdsdag.</w:t>
      </w:r>
    </w:p>
    <w:p>
      <w:pPr>
        <w:pStyle w:val="Text1"/>
        <w:rPr>
          <w:noProof/>
        </w:rPr>
      </w:pPr>
      <w:r>
        <w:rPr>
          <w:noProof/>
        </w:rPr>
        <w:t>Servicedesken registrerer og klassificerer servicekaldene i et værktøj til serviceforvaltning og underretter indberettende parter om enhver ændring af status for deres serviceopkald.</w:t>
      </w:r>
    </w:p>
    <w:p>
      <w:pPr>
        <w:pStyle w:val="Text1"/>
        <w:rPr>
          <w:noProof/>
        </w:rPr>
      </w:pPr>
      <w:r>
        <w:rPr>
          <w:noProof/>
        </w:rPr>
        <w:t>ITSM yder indledende (first line) support til brugerne og videresender ethvert servicekald, som en anden part er ansvarlig for (f.eks. udviklingsteam, ITSM-</w:t>
      </w:r>
      <w:r>
        <w:rPr>
          <w:noProof/>
        </w:rPr>
        <w:lastRenderedPageBreak/>
        <w:t>kontrahenter) inden for den fastsatte frist. ITSM sikrer, at registreringsfristerne overholdes i mindst 95 % af sagerne i en rapporteringsmåned.</w:t>
      </w:r>
    </w:p>
    <w:p>
      <w:pPr>
        <w:pStyle w:val="Text1"/>
        <w:rPr>
          <w:noProof/>
        </w:rPr>
      </w:pPr>
      <w:r>
        <w:rPr>
          <w:noProof/>
        </w:rPr>
        <w:t>ITSM overvåger løsningsproceduren for alle servicekald og indleder en eskaleringsprocedure ved at informere Kommissionen, hvis løsningsperioden overstiger en forud fastsat tærskel, der afhænger af, hvilket problem det drejer sig om.</w:t>
      </w:r>
    </w:p>
    <w:p>
      <w:pPr>
        <w:pStyle w:val="Text1"/>
        <w:rPr>
          <w:noProof/>
        </w:rPr>
      </w:pPr>
      <w:r>
        <w:rPr>
          <w:noProof/>
        </w:rPr>
        <w:t>Svar- og løsningtiderne afhænger af prioritetsniveauet. Dette fastsættes af ITSM, men medlemsstaterne eller Kommissionen kan kræve et specifikt prioritetsniveau.</w:t>
      </w:r>
    </w:p>
    <w:p>
      <w:pPr>
        <w:pStyle w:val="Text1"/>
        <w:rPr>
          <w:noProof/>
        </w:rPr>
      </w:pPr>
      <w:r>
        <w:rPr>
          <w:i/>
          <w:noProof/>
        </w:rPr>
        <w:t xml:space="preserve">Registreringstiden </w:t>
      </w:r>
      <w:r>
        <w:rPr>
          <w:noProof/>
        </w:rPr>
        <w:t>er det maksimale tidsrum, der må gå fra tidspunktet for modtagelsen af e-mailen og fremsendelsen af bekræftelsese-mailen.</w:t>
      </w:r>
    </w:p>
    <w:p>
      <w:pPr>
        <w:pStyle w:val="Text1"/>
        <w:rPr>
          <w:noProof/>
        </w:rPr>
      </w:pPr>
      <w:r>
        <w:rPr>
          <w:i/>
          <w:noProof/>
        </w:rPr>
        <w:t xml:space="preserve">Løsningstiden </w:t>
      </w:r>
      <w:r>
        <w:rPr>
          <w:noProof/>
        </w:rPr>
        <w:t>er tidsrummet mellem registreringen af hændelsen og fremsendelsen af løsningsoplysninger til udstederen. Dette omfatter også den tid, det tager at lukke hændelsen.</w:t>
      </w:r>
    </w:p>
    <w:p>
      <w:pPr>
        <w:pStyle w:val="Text1"/>
        <w:rPr>
          <w:noProof/>
        </w:rPr>
      </w:pPr>
      <w:r>
        <w:rPr>
          <w:noProof/>
        </w:rPr>
        <w:t>Dette er ikke absolutte frister, da fristerne først beregnes fra det tidspunkt, hvor ITSM reagerer på et servicekald. Når et servicekald fremsendes til Norge, Kommissionen eller en anden part (f.eks. udviklingsteam, ITSM-kontrahenter), medregnes denne tid ikke i ITSM-løsningstiden.</w:t>
      </w:r>
    </w:p>
    <w:p>
      <w:pPr>
        <w:pStyle w:val="Text1"/>
        <w:rPr>
          <w:noProof/>
        </w:rPr>
      </w:pPr>
      <w:r>
        <w:rPr>
          <w:noProof/>
        </w:rPr>
        <w:t>ITSM sikrer, at registrerings- og løsningsfristerne overholdes i mindst 95 % af sagerne i en rapporteringsmåned.</w:t>
      </w:r>
    </w:p>
    <w:tbl>
      <w:tblPr>
        <w:tblW w:w="8200" w:type="dxa"/>
        <w:tblInd w:w="9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1680"/>
        <w:gridCol w:w="3380"/>
        <w:gridCol w:w="3140"/>
      </w:tblGrid>
      <w:tr>
        <w:tc>
          <w:tcPr>
            <w:tcW w:w="1680" w:type="dxa"/>
            <w:shd w:val="clear" w:color="auto" w:fill="BFBFBF"/>
            <w:tcMar>
              <w:top w:w="0" w:type="dxa"/>
              <w:left w:w="108" w:type="dxa"/>
              <w:bottom w:w="0" w:type="dxa"/>
              <w:right w:w="108" w:type="dxa"/>
            </w:tcMar>
          </w:tcPr>
          <w:p>
            <w:pPr>
              <w:pStyle w:val="Text2"/>
              <w:ind w:left="12" w:right="-7916"/>
              <w:jc w:val="left"/>
              <w:rPr>
                <w:noProof/>
              </w:rPr>
            </w:pPr>
            <w:r>
              <w:rPr>
                <w:noProof/>
              </w:rPr>
              <w:t>PRIORITET</w:t>
            </w:r>
          </w:p>
        </w:tc>
        <w:tc>
          <w:tcPr>
            <w:tcW w:w="3380" w:type="dxa"/>
            <w:tcMar>
              <w:top w:w="0" w:type="dxa"/>
              <w:left w:w="108" w:type="dxa"/>
              <w:bottom w:w="0" w:type="dxa"/>
              <w:right w:w="108" w:type="dxa"/>
            </w:tcMar>
          </w:tcPr>
          <w:p>
            <w:pPr>
              <w:pStyle w:val="Text2"/>
              <w:ind w:left="132"/>
              <w:rPr>
                <w:noProof/>
              </w:rPr>
            </w:pPr>
            <w:r>
              <w:rPr>
                <w:noProof/>
              </w:rPr>
              <w:t>REGISTRERINGSTID</w:t>
            </w:r>
          </w:p>
        </w:tc>
        <w:tc>
          <w:tcPr>
            <w:tcW w:w="3140" w:type="dxa"/>
            <w:tcMar>
              <w:top w:w="0" w:type="dxa"/>
              <w:left w:w="108" w:type="dxa"/>
              <w:bottom w:w="0" w:type="dxa"/>
              <w:right w:w="108" w:type="dxa"/>
            </w:tcMar>
          </w:tcPr>
          <w:p>
            <w:pPr>
              <w:pStyle w:val="Text2"/>
              <w:ind w:left="112"/>
              <w:rPr>
                <w:noProof/>
              </w:rPr>
            </w:pPr>
            <w:r>
              <w:rPr>
                <w:noProof/>
              </w:rPr>
              <w:t>LØSNINGSTID</w:t>
            </w:r>
          </w:p>
        </w:tc>
      </w:tr>
      <w:tr>
        <w:tc>
          <w:tcPr>
            <w:tcW w:w="1680" w:type="dxa"/>
            <w:shd w:val="clear" w:color="auto" w:fill="C00000"/>
            <w:tcMar>
              <w:top w:w="0" w:type="dxa"/>
              <w:left w:w="108" w:type="dxa"/>
              <w:bottom w:w="0" w:type="dxa"/>
              <w:right w:w="108" w:type="dxa"/>
            </w:tcMar>
          </w:tcPr>
          <w:p>
            <w:pPr>
              <w:pStyle w:val="Text2"/>
              <w:ind w:left="12" w:right="-7916"/>
              <w:jc w:val="left"/>
              <w:rPr>
                <w:noProof/>
              </w:rPr>
            </w:pPr>
            <w:r>
              <w:rPr>
                <w:noProof/>
              </w:rPr>
              <w:t>P1: kritisk</w:t>
            </w:r>
          </w:p>
        </w:tc>
        <w:tc>
          <w:tcPr>
            <w:tcW w:w="3380" w:type="dxa"/>
            <w:tcMar>
              <w:top w:w="0" w:type="dxa"/>
              <w:left w:w="108" w:type="dxa"/>
              <w:bottom w:w="0" w:type="dxa"/>
              <w:right w:w="108" w:type="dxa"/>
            </w:tcMar>
          </w:tcPr>
          <w:p>
            <w:pPr>
              <w:pStyle w:val="Text2"/>
              <w:ind w:left="132"/>
              <w:rPr>
                <w:noProof/>
              </w:rPr>
            </w:pPr>
            <w:r>
              <w:rPr>
                <w:noProof/>
              </w:rPr>
              <w:t>0,5 t</w:t>
            </w:r>
          </w:p>
        </w:tc>
        <w:tc>
          <w:tcPr>
            <w:tcW w:w="3140" w:type="dxa"/>
            <w:tcMar>
              <w:top w:w="0" w:type="dxa"/>
              <w:left w:w="108" w:type="dxa"/>
              <w:bottom w:w="0" w:type="dxa"/>
              <w:right w:w="108" w:type="dxa"/>
            </w:tcMar>
          </w:tcPr>
          <w:p>
            <w:pPr>
              <w:pStyle w:val="Text2"/>
              <w:ind w:left="112"/>
              <w:rPr>
                <w:noProof/>
              </w:rPr>
            </w:pPr>
            <w:r>
              <w:rPr>
                <w:noProof/>
              </w:rPr>
              <w:t>4 t</w:t>
            </w:r>
          </w:p>
        </w:tc>
      </w:tr>
      <w:tr>
        <w:tc>
          <w:tcPr>
            <w:tcW w:w="1680" w:type="dxa"/>
            <w:shd w:val="clear" w:color="auto" w:fill="FF0000"/>
            <w:tcMar>
              <w:top w:w="0" w:type="dxa"/>
              <w:left w:w="108" w:type="dxa"/>
              <w:bottom w:w="0" w:type="dxa"/>
              <w:right w:w="108" w:type="dxa"/>
            </w:tcMar>
          </w:tcPr>
          <w:p>
            <w:pPr>
              <w:pStyle w:val="Text2"/>
              <w:ind w:left="12" w:right="-7916"/>
              <w:jc w:val="left"/>
              <w:rPr>
                <w:noProof/>
              </w:rPr>
            </w:pPr>
            <w:r>
              <w:rPr>
                <w:noProof/>
              </w:rPr>
              <w:t>P2: høj</w:t>
            </w:r>
          </w:p>
        </w:tc>
        <w:tc>
          <w:tcPr>
            <w:tcW w:w="3380" w:type="dxa"/>
            <w:tcMar>
              <w:top w:w="0" w:type="dxa"/>
              <w:left w:w="108" w:type="dxa"/>
              <w:bottom w:w="0" w:type="dxa"/>
              <w:right w:w="108" w:type="dxa"/>
            </w:tcMar>
          </w:tcPr>
          <w:p>
            <w:pPr>
              <w:pStyle w:val="Text2"/>
              <w:ind w:left="132"/>
              <w:rPr>
                <w:noProof/>
              </w:rPr>
            </w:pPr>
            <w:r>
              <w:rPr>
                <w:noProof/>
              </w:rPr>
              <w:t>0,5 t</w:t>
            </w:r>
          </w:p>
        </w:tc>
        <w:tc>
          <w:tcPr>
            <w:tcW w:w="3140" w:type="dxa"/>
            <w:tcMar>
              <w:top w:w="0" w:type="dxa"/>
              <w:left w:w="108" w:type="dxa"/>
              <w:bottom w:w="0" w:type="dxa"/>
              <w:right w:w="108" w:type="dxa"/>
            </w:tcMar>
          </w:tcPr>
          <w:p>
            <w:pPr>
              <w:pStyle w:val="Text2"/>
              <w:ind w:left="112"/>
              <w:rPr>
                <w:noProof/>
              </w:rPr>
            </w:pPr>
            <w:r>
              <w:rPr>
                <w:noProof/>
              </w:rPr>
              <w:t>13 t (1 dag)</w:t>
            </w:r>
          </w:p>
        </w:tc>
      </w:tr>
      <w:tr>
        <w:tc>
          <w:tcPr>
            <w:tcW w:w="1680" w:type="dxa"/>
            <w:shd w:val="clear" w:color="auto" w:fill="FFC000"/>
            <w:tcMar>
              <w:top w:w="0" w:type="dxa"/>
              <w:left w:w="108" w:type="dxa"/>
              <w:bottom w:w="0" w:type="dxa"/>
              <w:right w:w="108" w:type="dxa"/>
            </w:tcMar>
          </w:tcPr>
          <w:p>
            <w:pPr>
              <w:pStyle w:val="Text2"/>
              <w:ind w:left="12" w:right="-7916"/>
              <w:jc w:val="left"/>
              <w:rPr>
                <w:noProof/>
              </w:rPr>
            </w:pPr>
            <w:r>
              <w:rPr>
                <w:noProof/>
              </w:rPr>
              <w:t>P3: medium</w:t>
            </w:r>
          </w:p>
        </w:tc>
        <w:tc>
          <w:tcPr>
            <w:tcW w:w="3380" w:type="dxa"/>
            <w:tcMar>
              <w:top w:w="0" w:type="dxa"/>
              <w:left w:w="108" w:type="dxa"/>
              <w:bottom w:w="0" w:type="dxa"/>
              <w:right w:w="108" w:type="dxa"/>
            </w:tcMar>
          </w:tcPr>
          <w:p>
            <w:pPr>
              <w:pStyle w:val="Text2"/>
              <w:ind w:left="132"/>
              <w:rPr>
                <w:noProof/>
              </w:rPr>
            </w:pPr>
            <w:r>
              <w:rPr>
                <w:noProof/>
              </w:rPr>
              <w:t>0,5 t</w:t>
            </w:r>
          </w:p>
        </w:tc>
        <w:tc>
          <w:tcPr>
            <w:tcW w:w="3140" w:type="dxa"/>
            <w:tcMar>
              <w:top w:w="0" w:type="dxa"/>
              <w:left w:w="108" w:type="dxa"/>
              <w:bottom w:w="0" w:type="dxa"/>
              <w:right w:w="108" w:type="dxa"/>
            </w:tcMar>
          </w:tcPr>
          <w:p>
            <w:pPr>
              <w:pStyle w:val="Text2"/>
              <w:ind w:left="112"/>
              <w:rPr>
                <w:noProof/>
              </w:rPr>
            </w:pPr>
            <w:r>
              <w:rPr>
                <w:noProof/>
              </w:rPr>
              <w:t>39 t (3 dage)</w:t>
            </w:r>
          </w:p>
        </w:tc>
      </w:tr>
      <w:tr>
        <w:tc>
          <w:tcPr>
            <w:tcW w:w="1680" w:type="dxa"/>
            <w:shd w:val="clear" w:color="auto" w:fill="00B050"/>
            <w:tcMar>
              <w:top w:w="0" w:type="dxa"/>
              <w:left w:w="108" w:type="dxa"/>
              <w:bottom w:w="0" w:type="dxa"/>
              <w:right w:w="108" w:type="dxa"/>
            </w:tcMar>
          </w:tcPr>
          <w:p>
            <w:pPr>
              <w:pStyle w:val="Text2"/>
              <w:ind w:left="12" w:right="-7916"/>
              <w:jc w:val="left"/>
              <w:rPr>
                <w:noProof/>
              </w:rPr>
            </w:pPr>
            <w:r>
              <w:rPr>
                <w:noProof/>
              </w:rPr>
              <w:t>P4: lav</w:t>
            </w:r>
          </w:p>
        </w:tc>
        <w:tc>
          <w:tcPr>
            <w:tcW w:w="3380" w:type="dxa"/>
            <w:tcMar>
              <w:top w:w="0" w:type="dxa"/>
              <w:left w:w="108" w:type="dxa"/>
              <w:bottom w:w="0" w:type="dxa"/>
              <w:right w:w="108" w:type="dxa"/>
            </w:tcMar>
          </w:tcPr>
          <w:p>
            <w:pPr>
              <w:pStyle w:val="Text2"/>
              <w:ind w:left="132"/>
              <w:rPr>
                <w:noProof/>
              </w:rPr>
            </w:pPr>
            <w:r>
              <w:rPr>
                <w:noProof/>
              </w:rPr>
              <w:t>0,5 t</w:t>
            </w:r>
          </w:p>
        </w:tc>
        <w:tc>
          <w:tcPr>
            <w:tcW w:w="3140" w:type="dxa"/>
            <w:tcMar>
              <w:top w:w="0" w:type="dxa"/>
              <w:left w:w="108" w:type="dxa"/>
              <w:bottom w:w="0" w:type="dxa"/>
              <w:right w:w="108" w:type="dxa"/>
            </w:tcMar>
          </w:tcPr>
          <w:p>
            <w:pPr>
              <w:pStyle w:val="Text1"/>
              <w:ind w:left="112"/>
              <w:rPr>
                <w:noProof/>
              </w:rPr>
            </w:pPr>
            <w:r>
              <w:rPr>
                <w:noProof/>
              </w:rPr>
              <w:t>65 t (5 dage)</w:t>
            </w:r>
          </w:p>
        </w:tc>
      </w:tr>
    </w:tbl>
    <w:p>
      <w:pPr>
        <w:spacing w:before="60"/>
        <w:jc w:val="center"/>
        <w:rPr>
          <w:rFonts w:eastAsia="Calibri"/>
          <w:noProof/>
          <w:sz w:val="20"/>
          <w:szCs w:val="20"/>
        </w:rPr>
      </w:pPr>
      <w:bookmarkStart w:id="59" w:name="_Toc485826133"/>
      <w:r>
        <w:rPr>
          <w:noProof/>
        </w:rPr>
        <w:t xml:space="preserve">Tabel </w:t>
      </w:r>
      <w:r>
        <w:rPr>
          <w:rFonts w:eastAsia="Times New Roman"/>
          <w:noProof/>
          <w:sz w:val="20"/>
          <w:szCs w:val="20"/>
        </w:rPr>
        <w:fldChar w:fldCharType="begin"/>
      </w:r>
      <w:r>
        <w:rPr>
          <w:rFonts w:eastAsia="Times New Roman"/>
          <w:noProof/>
          <w:sz w:val="20"/>
          <w:szCs w:val="20"/>
        </w:rPr>
        <w:instrText xml:space="preserve"> SEQ Table \* ARABIC </w:instrText>
      </w:r>
      <w:r>
        <w:rPr>
          <w:rFonts w:eastAsia="Times New Roman"/>
          <w:noProof/>
          <w:sz w:val="20"/>
          <w:szCs w:val="20"/>
        </w:rPr>
        <w:fldChar w:fldCharType="separate"/>
      </w:r>
      <w:r>
        <w:rPr>
          <w:rFonts w:eastAsia="Times New Roman"/>
          <w:noProof/>
          <w:sz w:val="20"/>
          <w:szCs w:val="20"/>
        </w:rPr>
        <w:t>5</w:t>
      </w:r>
      <w:r>
        <w:rPr>
          <w:rFonts w:eastAsia="Times New Roman"/>
          <w:noProof/>
          <w:sz w:val="20"/>
          <w:szCs w:val="20"/>
        </w:rPr>
        <w:fldChar w:fldCharType="end"/>
      </w:r>
      <w:r>
        <w:rPr>
          <w:noProof/>
          <w:sz w:val="20"/>
          <w:szCs w:val="20"/>
        </w:rPr>
        <w:t xml:space="preserve">: </w:t>
      </w:r>
      <w:bookmarkStart w:id="60" w:name="_Toc273103663"/>
      <w:r>
        <w:rPr>
          <w:noProof/>
        </w:rPr>
        <w:t>Registrerings- og løsningstider</w:t>
      </w:r>
      <w:bookmarkEnd w:id="60"/>
      <w:bookmarkEnd w:id="59"/>
      <w:r>
        <w:rPr>
          <w:noProof/>
        </w:rPr>
        <w:t xml:space="preserve"> (arbejdstimer/arbejdsdage)</w:t>
      </w:r>
    </w:p>
    <w:p>
      <w:pPr>
        <w:pStyle w:val="ManualHeading4"/>
        <w:rPr>
          <w:noProof/>
        </w:rPr>
      </w:pPr>
      <w:bookmarkStart w:id="61" w:name="_Toc150588497"/>
      <w:bookmarkStart w:id="62" w:name="_Toc486595028"/>
      <w:r>
        <w:rPr>
          <w:noProof/>
        </w:rPr>
        <w:t>5.1.1.2.</w:t>
      </w:r>
      <w:r>
        <w:rPr>
          <w:noProof/>
        </w:rPr>
        <w:tab/>
      </w:r>
      <w:r>
        <w:rPr>
          <w:i/>
          <w:noProof/>
        </w:rPr>
        <w:t>Rapportering</w:t>
      </w:r>
      <w:bookmarkEnd w:id="61"/>
      <w:bookmarkEnd w:id="62"/>
    </w:p>
    <w:p>
      <w:pPr>
        <w:pStyle w:val="Text1"/>
        <w:rPr>
          <w:noProof/>
        </w:rPr>
      </w:pPr>
      <w:r>
        <w:rPr>
          <w:noProof/>
        </w:rPr>
        <w:t>Kommissionen rapporterer om alle servicekald vedrørende systemerne og applikationerne for administrativt samarbejde og inddrivelse af fordringer på momsområdet som følger:</w:t>
      </w:r>
    </w:p>
    <w:p>
      <w:pPr>
        <w:pStyle w:val="Bullet1"/>
        <w:rPr>
          <w:noProof/>
        </w:rPr>
      </w:pPr>
      <w:r>
        <w:rPr>
          <w:noProof/>
        </w:rPr>
        <w:t>Alle servicekald, der lukkes i løbet af måneden for Norge</w:t>
      </w:r>
    </w:p>
    <w:p>
      <w:pPr>
        <w:pStyle w:val="Bullet1"/>
        <w:rPr>
          <w:noProof/>
        </w:rPr>
      </w:pPr>
      <w:r>
        <w:rPr>
          <w:noProof/>
        </w:rPr>
        <w:t>Alle servicekald, der oprettes i løbet af måneden for Norge</w:t>
      </w:r>
    </w:p>
    <w:p>
      <w:pPr>
        <w:pStyle w:val="Bullet1"/>
        <w:rPr>
          <w:noProof/>
        </w:rPr>
      </w:pPr>
      <w:r>
        <w:rPr>
          <w:noProof/>
        </w:rPr>
        <w:t>Alle servicekald, der endnu ikke er lukket på rapporteringsdatoen og -tidspunktet for Norge.</w:t>
      </w:r>
    </w:p>
    <w:p>
      <w:pPr>
        <w:pStyle w:val="ManualHeading3"/>
        <w:rPr>
          <w:b/>
          <w:noProof/>
        </w:rPr>
      </w:pPr>
      <w:bookmarkStart w:id="63" w:name="_Toc150588498"/>
      <w:bookmarkStart w:id="64" w:name="_Ref265075246"/>
      <w:bookmarkStart w:id="65" w:name="_Ref265075253"/>
      <w:bookmarkStart w:id="66" w:name="_Toc273104871"/>
      <w:bookmarkStart w:id="67" w:name="_Toc486595029"/>
      <w:r>
        <w:rPr>
          <w:b/>
          <w:noProof/>
        </w:rPr>
        <w:t>5.1.2.</w:t>
      </w:r>
      <w:r>
        <w:rPr>
          <w:b/>
          <w:noProof/>
        </w:rPr>
        <w:tab/>
      </w:r>
      <w:r>
        <w:rPr>
          <w:b/>
          <w:noProof/>
          <w:u w:val="single"/>
        </w:rPr>
        <w:t>Statistikservice</w:t>
      </w:r>
      <w:bookmarkEnd w:id="63"/>
      <w:bookmarkEnd w:id="64"/>
      <w:bookmarkEnd w:id="65"/>
      <w:bookmarkEnd w:id="66"/>
      <w:bookmarkEnd w:id="67"/>
    </w:p>
    <w:p>
      <w:pPr>
        <w:pStyle w:val="ManualHeading4"/>
        <w:rPr>
          <w:noProof/>
        </w:rPr>
      </w:pPr>
      <w:bookmarkStart w:id="68" w:name="_Toc150588499"/>
      <w:bookmarkStart w:id="69" w:name="_Ref265097545"/>
      <w:bookmarkStart w:id="70" w:name="_Toc486595030"/>
      <w:r>
        <w:rPr>
          <w:noProof/>
        </w:rPr>
        <w:t>5.1.2.1.</w:t>
      </w:r>
      <w:r>
        <w:rPr>
          <w:noProof/>
        </w:rPr>
        <w:tab/>
      </w:r>
      <w:r>
        <w:rPr>
          <w:i/>
          <w:noProof/>
        </w:rPr>
        <w:t>Aftale</w:t>
      </w:r>
      <w:bookmarkEnd w:id="68"/>
      <w:bookmarkEnd w:id="69"/>
      <w:bookmarkEnd w:id="70"/>
    </w:p>
    <w:p>
      <w:pPr>
        <w:pStyle w:val="Text1"/>
        <w:rPr>
          <w:noProof/>
        </w:rPr>
      </w:pPr>
      <w:r>
        <w:rPr>
          <w:noProof/>
        </w:rPr>
        <w:t>Kommissionen genererer statistiske data vedrørende antallet af udvekslede formularer på moms- og inddrivelsesområdet ved brug af CNN/Mail, der er tilgængelig på ITSM-webportalen.</w:t>
      </w:r>
    </w:p>
    <w:p>
      <w:pPr>
        <w:pStyle w:val="ManualHeading4"/>
        <w:rPr>
          <w:noProof/>
        </w:rPr>
      </w:pPr>
      <w:bookmarkStart w:id="71" w:name="_Toc150588500"/>
      <w:bookmarkStart w:id="72" w:name="_Ref323218048"/>
      <w:bookmarkStart w:id="73" w:name="_Toc486595031"/>
      <w:r>
        <w:rPr>
          <w:noProof/>
        </w:rPr>
        <w:lastRenderedPageBreak/>
        <w:t>5.1.2.2.</w:t>
      </w:r>
      <w:r>
        <w:rPr>
          <w:noProof/>
        </w:rPr>
        <w:tab/>
      </w:r>
      <w:r>
        <w:rPr>
          <w:i/>
          <w:noProof/>
        </w:rPr>
        <w:t>Rapportering</w:t>
      </w:r>
      <w:bookmarkEnd w:id="71"/>
      <w:bookmarkEnd w:id="72"/>
      <w:bookmarkEnd w:id="73"/>
    </w:p>
    <w:p>
      <w:pPr>
        <w:pStyle w:val="Text1"/>
        <w:rPr>
          <w:noProof/>
        </w:rPr>
      </w:pPr>
      <w:r>
        <w:rPr>
          <w:noProof/>
        </w:rPr>
        <w:t xml:space="preserve">Kommissionen udarbejder en rapport om overensstemmelsesafprøvningsrapporterne, når det er relevant, og stiller dem til rådighed for Norge. </w:t>
      </w:r>
    </w:p>
    <w:p>
      <w:pPr>
        <w:pStyle w:val="ManualHeading3"/>
        <w:rPr>
          <w:b/>
          <w:noProof/>
        </w:rPr>
      </w:pPr>
      <w:bookmarkStart w:id="74" w:name="_Toc486595050"/>
      <w:r>
        <w:rPr>
          <w:b/>
          <w:noProof/>
        </w:rPr>
        <w:t>5.1.3.</w:t>
      </w:r>
      <w:r>
        <w:rPr>
          <w:b/>
          <w:noProof/>
        </w:rPr>
        <w:tab/>
      </w:r>
      <w:r>
        <w:rPr>
          <w:b/>
          <w:noProof/>
          <w:u w:val="single"/>
        </w:rPr>
        <w:t>Udveksling af formularer</w:t>
      </w:r>
      <w:r>
        <w:rPr>
          <w:b/>
          <w:noProof/>
        </w:rPr>
        <w:t xml:space="preserve"> </w:t>
      </w:r>
    </w:p>
    <w:p>
      <w:pPr>
        <w:pStyle w:val="ManualHeading4"/>
        <w:rPr>
          <w:noProof/>
        </w:rPr>
      </w:pPr>
      <w:r>
        <w:rPr>
          <w:noProof/>
        </w:rPr>
        <w:t>5.1.3.1.</w:t>
      </w:r>
      <w:r>
        <w:rPr>
          <w:noProof/>
        </w:rPr>
        <w:tab/>
      </w:r>
      <w:bookmarkEnd w:id="74"/>
      <w:r>
        <w:rPr>
          <w:i/>
          <w:noProof/>
        </w:rPr>
        <w:t>Aftale</w:t>
      </w:r>
    </w:p>
    <w:p>
      <w:pPr>
        <w:pStyle w:val="Text1"/>
        <w:rPr>
          <w:noProof/>
        </w:rPr>
      </w:pPr>
      <w:r>
        <w:rPr>
          <w:noProof/>
        </w:rPr>
        <w:t>I nedenstående tabel angives de maksimale videregivelsesfrister eller svartider for udveksling af formularer som defineret i lovgivningen.</w:t>
      </w:r>
    </w:p>
    <w:tbl>
      <w:tblPr>
        <w:tblW w:w="8232"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2163"/>
        <w:gridCol w:w="3995"/>
      </w:tblGrid>
      <w:tr>
        <w:trPr>
          <w:cantSplit/>
          <w:tblHeader/>
        </w:trPr>
        <w:tc>
          <w:tcPr>
            <w:tcW w:w="2074" w:type="dxa"/>
            <w:shd w:val="clear" w:color="auto" w:fill="E0E0E0"/>
            <w:vAlign w:val="center"/>
          </w:tcPr>
          <w:p>
            <w:pPr>
              <w:spacing w:before="0" w:after="200" w:line="276" w:lineRule="auto"/>
              <w:ind w:left="383"/>
              <w:jc w:val="center"/>
              <w:rPr>
                <w:rFonts w:eastAsia="Calibri"/>
                <w:b/>
                <w:i/>
                <w:noProof/>
                <w:szCs w:val="24"/>
              </w:rPr>
            </w:pPr>
            <w:r>
              <w:rPr>
                <w:b/>
                <w:i/>
                <w:noProof/>
                <w:szCs w:val="24"/>
              </w:rPr>
              <w:t>CCN/Mail-mailboks</w:t>
            </w:r>
          </w:p>
        </w:tc>
        <w:tc>
          <w:tcPr>
            <w:tcW w:w="2163" w:type="dxa"/>
            <w:shd w:val="clear" w:color="auto" w:fill="E0E0E0"/>
            <w:vAlign w:val="center"/>
          </w:tcPr>
          <w:p>
            <w:pPr>
              <w:spacing w:before="0" w:after="200" w:line="276" w:lineRule="auto"/>
              <w:jc w:val="left"/>
              <w:rPr>
                <w:rFonts w:eastAsia="Calibri"/>
                <w:b/>
                <w:i/>
                <w:noProof/>
                <w:szCs w:val="24"/>
              </w:rPr>
            </w:pPr>
            <w:r>
              <w:rPr>
                <w:b/>
                <w:i/>
                <w:noProof/>
                <w:szCs w:val="24"/>
              </w:rPr>
              <w:t>Formular</w:t>
            </w:r>
          </w:p>
        </w:tc>
        <w:tc>
          <w:tcPr>
            <w:tcW w:w="3995" w:type="dxa"/>
            <w:shd w:val="clear" w:color="auto" w:fill="E0E0E0"/>
            <w:vAlign w:val="center"/>
          </w:tcPr>
          <w:p>
            <w:pPr>
              <w:spacing w:before="0" w:after="200" w:line="276" w:lineRule="auto"/>
              <w:jc w:val="left"/>
              <w:rPr>
                <w:rFonts w:eastAsia="Calibri"/>
                <w:b/>
                <w:i/>
                <w:noProof/>
                <w:szCs w:val="24"/>
              </w:rPr>
            </w:pPr>
            <w:r>
              <w:rPr>
                <w:b/>
                <w:i/>
                <w:noProof/>
                <w:szCs w:val="24"/>
              </w:rPr>
              <w:t>Frist</w:t>
            </w:r>
          </w:p>
        </w:tc>
      </w:tr>
      <w:tr>
        <w:tc>
          <w:tcPr>
            <w:tcW w:w="2074" w:type="dxa"/>
          </w:tcPr>
          <w:p>
            <w:pPr>
              <w:spacing w:before="0" w:after="200"/>
              <w:ind w:left="143"/>
              <w:jc w:val="left"/>
              <w:rPr>
                <w:rFonts w:eastAsia="Calibri"/>
                <w:iCs/>
                <w:noProof/>
                <w:szCs w:val="24"/>
              </w:rPr>
            </w:pPr>
            <w:r>
              <w:rPr>
                <w:noProof/>
              </w:rPr>
              <w:t>VIESCLO</w:t>
            </w:r>
          </w:p>
        </w:tc>
        <w:tc>
          <w:tcPr>
            <w:tcW w:w="2163" w:type="dxa"/>
          </w:tcPr>
          <w:p>
            <w:pPr>
              <w:spacing w:before="0" w:after="200"/>
              <w:jc w:val="left"/>
              <w:rPr>
                <w:rFonts w:eastAsia="Calibri"/>
                <w:iCs/>
                <w:noProof/>
                <w:szCs w:val="24"/>
              </w:rPr>
            </w:pPr>
            <w:r>
              <w:rPr>
                <w:noProof/>
              </w:rPr>
              <w:t>Udveksling af oplysninger i henhold til aftalens artikel 7, 10, 12 og 18</w:t>
            </w:r>
          </w:p>
          <w:p>
            <w:pPr>
              <w:spacing w:before="0" w:after="200"/>
              <w:jc w:val="left"/>
              <w:rPr>
                <w:rFonts w:eastAsia="Calibri"/>
                <w:iCs/>
                <w:noProof/>
                <w:szCs w:val="24"/>
              </w:rPr>
            </w:pPr>
            <w:r>
              <w:rPr>
                <w:noProof/>
              </w:rPr>
              <w:t>Generel udveksling</w:t>
            </w:r>
          </w:p>
        </w:tc>
        <w:tc>
          <w:tcPr>
            <w:tcW w:w="3995" w:type="dxa"/>
          </w:tcPr>
          <w:p>
            <w:pPr>
              <w:autoSpaceDE w:val="0"/>
              <w:autoSpaceDN w:val="0"/>
              <w:adjustRightInd w:val="0"/>
              <w:spacing w:before="0" w:after="200"/>
              <w:jc w:val="left"/>
              <w:rPr>
                <w:rFonts w:eastAsia="Calibri"/>
                <w:iCs/>
                <w:noProof/>
                <w:szCs w:val="24"/>
              </w:rPr>
            </w:pPr>
            <w:r>
              <w:rPr>
                <w:noProof/>
              </w:rPr>
              <w:t xml:space="preserve">Fristen for meddelelse af oplysninger er hurtigst muligt og </w:t>
            </w:r>
            <w:r>
              <w:rPr>
                <w:iCs/>
                <w:noProof/>
                <w:szCs w:val="24"/>
                <w:u w:val="single"/>
              </w:rPr>
              <w:t>senest tre måneder efter datoen for modtagelsen af anmodningen</w:t>
            </w:r>
            <w:r>
              <w:rPr>
                <w:noProof/>
              </w:rPr>
              <w:t xml:space="preserve"> </w:t>
            </w:r>
            <w:r>
              <w:rPr>
                <w:b/>
                <w:iCs/>
                <w:noProof/>
                <w:szCs w:val="24"/>
              </w:rPr>
              <w:t>(</w:t>
            </w:r>
            <w:r>
              <w:rPr>
                <w:b/>
                <w:i/>
                <w:iCs/>
                <w:noProof/>
                <w:szCs w:val="24"/>
              </w:rPr>
              <w:t>aftalens artikel 8</w:t>
            </w:r>
            <w:r>
              <w:rPr>
                <w:b/>
                <w:iCs/>
                <w:noProof/>
                <w:szCs w:val="24"/>
              </w:rPr>
              <w:t>)</w:t>
            </w:r>
            <w:r>
              <w:rPr>
                <w:noProof/>
              </w:rPr>
              <w:t>.</w:t>
            </w:r>
          </w:p>
          <w:p>
            <w:pPr>
              <w:autoSpaceDE w:val="0"/>
              <w:autoSpaceDN w:val="0"/>
              <w:adjustRightInd w:val="0"/>
              <w:spacing w:before="0" w:after="60"/>
              <w:jc w:val="left"/>
              <w:rPr>
                <w:rFonts w:eastAsia="Calibri"/>
                <w:iCs/>
                <w:noProof/>
                <w:szCs w:val="24"/>
              </w:rPr>
            </w:pPr>
            <w:r>
              <w:rPr>
                <w:noProof/>
              </w:rPr>
              <w:t xml:space="preserve">I tilfælde, hvor de pågældende oplysninger allerede er til den bistandssøgte myndigheds rådighed, nedsættes fristen til højst </w:t>
            </w:r>
            <w:r>
              <w:rPr>
                <w:noProof/>
                <w:u w:val="single"/>
              </w:rPr>
              <w:t>en måned</w:t>
            </w:r>
            <w:r>
              <w:rPr>
                <w:noProof/>
              </w:rPr>
              <w:t xml:space="preserve"> </w:t>
            </w:r>
            <w:r>
              <w:rPr>
                <w:b/>
                <w:noProof/>
              </w:rPr>
              <w:t>(</w:t>
            </w:r>
            <w:r>
              <w:rPr>
                <w:b/>
                <w:i/>
                <w:iCs/>
                <w:noProof/>
                <w:szCs w:val="24"/>
              </w:rPr>
              <w:t>aftalens artikel 8</w:t>
            </w:r>
            <w:r>
              <w:rPr>
                <w:b/>
                <w:noProof/>
              </w:rPr>
              <w:t>)</w:t>
            </w:r>
            <w:r>
              <w:rPr>
                <w:noProof/>
              </w:rPr>
              <w:t>.</w:t>
            </w:r>
          </w:p>
        </w:tc>
      </w:tr>
      <w:tr>
        <w:tc>
          <w:tcPr>
            <w:tcW w:w="2074" w:type="dxa"/>
            <w:tcBorders>
              <w:bottom w:val="single" w:sz="4" w:space="0" w:color="auto"/>
            </w:tcBorders>
          </w:tcPr>
          <w:p>
            <w:pPr>
              <w:spacing w:before="0" w:after="200"/>
              <w:ind w:left="143"/>
              <w:jc w:val="left"/>
              <w:rPr>
                <w:rFonts w:eastAsia="Calibri"/>
                <w:iCs/>
                <w:noProof/>
                <w:szCs w:val="24"/>
              </w:rPr>
            </w:pPr>
            <w:r>
              <w:rPr>
                <w:noProof/>
              </w:rPr>
              <w:t>VIESCLO</w:t>
            </w:r>
          </w:p>
        </w:tc>
        <w:tc>
          <w:tcPr>
            <w:tcW w:w="2163" w:type="dxa"/>
          </w:tcPr>
          <w:p>
            <w:pPr>
              <w:spacing w:before="0" w:after="200"/>
              <w:jc w:val="left"/>
              <w:rPr>
                <w:rFonts w:eastAsia="Calibri"/>
                <w:iCs/>
                <w:noProof/>
                <w:szCs w:val="24"/>
              </w:rPr>
            </w:pPr>
            <w:r>
              <w:rPr>
                <w:noProof/>
              </w:rPr>
              <w:t>Udveksling af oplysninger i henhold til aftalens artikel 7, 10, 12 og 18</w:t>
            </w:r>
          </w:p>
          <w:p>
            <w:pPr>
              <w:spacing w:before="0" w:after="200"/>
              <w:jc w:val="left"/>
              <w:rPr>
                <w:rFonts w:eastAsia="Calibri"/>
                <w:iCs/>
                <w:noProof/>
                <w:szCs w:val="24"/>
              </w:rPr>
            </w:pPr>
            <w:r>
              <w:rPr>
                <w:noProof/>
              </w:rPr>
              <w:t>Anmodning om meddelelse</w:t>
            </w:r>
          </w:p>
        </w:tc>
        <w:tc>
          <w:tcPr>
            <w:tcW w:w="3995" w:type="dxa"/>
            <w:tcBorders>
              <w:top w:val="single" w:sz="4" w:space="0" w:color="auto"/>
              <w:bottom w:val="single" w:sz="4" w:space="0" w:color="auto"/>
              <w:right w:val="single" w:sz="4" w:space="0" w:color="auto"/>
            </w:tcBorders>
          </w:tcPr>
          <w:p>
            <w:pPr>
              <w:autoSpaceDE w:val="0"/>
              <w:autoSpaceDN w:val="0"/>
              <w:adjustRightInd w:val="0"/>
              <w:spacing w:before="0" w:after="60"/>
              <w:jc w:val="left"/>
              <w:rPr>
                <w:rFonts w:eastAsia="Calibri"/>
                <w:iCs/>
                <w:noProof/>
                <w:szCs w:val="24"/>
              </w:rPr>
            </w:pPr>
            <w:r>
              <w:rPr>
                <w:noProof/>
              </w:rPr>
              <w:t xml:space="preserve">Anmodning om meddelelse med omgående svar </w:t>
            </w:r>
            <w:r>
              <w:rPr>
                <w:b/>
                <w:iCs/>
                <w:noProof/>
                <w:szCs w:val="24"/>
              </w:rPr>
              <w:t>(</w:t>
            </w:r>
            <w:r>
              <w:rPr>
                <w:b/>
                <w:i/>
                <w:iCs/>
                <w:noProof/>
                <w:szCs w:val="24"/>
              </w:rPr>
              <w:t>aftalens artikel 12</w:t>
            </w:r>
            <w:r>
              <w:rPr>
                <w:b/>
                <w:iCs/>
                <w:noProof/>
                <w:szCs w:val="24"/>
              </w:rPr>
              <w:t>)</w:t>
            </w:r>
            <w:r>
              <w:rPr>
                <w:noProof/>
              </w:rPr>
              <w:t>.</w:t>
            </w:r>
          </w:p>
        </w:tc>
      </w:tr>
      <w:tr>
        <w:tc>
          <w:tcPr>
            <w:tcW w:w="2074" w:type="dxa"/>
          </w:tcPr>
          <w:p>
            <w:pPr>
              <w:spacing w:before="0" w:after="200"/>
              <w:ind w:left="143"/>
              <w:jc w:val="left"/>
              <w:rPr>
                <w:rFonts w:eastAsia="Calibri"/>
                <w:iCs/>
                <w:noProof/>
                <w:szCs w:val="24"/>
              </w:rPr>
            </w:pPr>
            <w:r>
              <w:rPr>
                <w:noProof/>
              </w:rPr>
              <w:t>TAXFRAUD</w:t>
            </w:r>
          </w:p>
        </w:tc>
        <w:tc>
          <w:tcPr>
            <w:tcW w:w="2163" w:type="dxa"/>
          </w:tcPr>
          <w:p>
            <w:pPr>
              <w:spacing w:before="0" w:after="200"/>
              <w:jc w:val="left"/>
              <w:rPr>
                <w:rFonts w:eastAsia="Calibri"/>
                <w:iCs/>
                <w:noProof/>
                <w:szCs w:val="24"/>
              </w:rPr>
            </w:pPr>
            <w:r>
              <w:rPr>
                <w:noProof/>
              </w:rPr>
              <w:t>Udveksling af oplysninger i henhold til aftalens artikel 7, 10, 12 og 18</w:t>
            </w:r>
          </w:p>
          <w:p>
            <w:pPr>
              <w:spacing w:before="0" w:after="200"/>
              <w:jc w:val="left"/>
              <w:rPr>
                <w:rFonts w:eastAsia="Calibri"/>
                <w:iCs/>
                <w:noProof/>
                <w:szCs w:val="24"/>
              </w:rPr>
            </w:pPr>
            <w:r>
              <w:rPr>
                <w:noProof/>
              </w:rPr>
              <w:t>Udveksling med henblik på bekæmpelse af svig</w:t>
            </w:r>
          </w:p>
        </w:tc>
        <w:tc>
          <w:tcPr>
            <w:tcW w:w="3995" w:type="dxa"/>
          </w:tcPr>
          <w:p>
            <w:pPr>
              <w:autoSpaceDE w:val="0"/>
              <w:autoSpaceDN w:val="0"/>
              <w:adjustRightInd w:val="0"/>
              <w:spacing w:before="0" w:after="60"/>
              <w:jc w:val="left"/>
              <w:rPr>
                <w:rFonts w:eastAsia="Calibri"/>
                <w:iCs/>
                <w:noProof/>
                <w:szCs w:val="24"/>
              </w:rPr>
            </w:pPr>
            <w:r>
              <w:rPr>
                <w:noProof/>
              </w:rPr>
              <w:t xml:space="preserve">Oplysninger om forsvundne forhandlere fremsendes, </w:t>
            </w:r>
            <w:r>
              <w:rPr>
                <w:iCs/>
                <w:noProof/>
                <w:szCs w:val="24"/>
                <w:u w:val="single"/>
              </w:rPr>
              <w:t>så snart oplysningerne foreligger</w:t>
            </w:r>
            <w:r>
              <w:rPr>
                <w:noProof/>
              </w:rPr>
              <w:t>.</w:t>
            </w:r>
          </w:p>
        </w:tc>
      </w:tr>
      <w:tr>
        <w:tc>
          <w:tcPr>
            <w:tcW w:w="2074" w:type="dxa"/>
          </w:tcPr>
          <w:p>
            <w:pPr>
              <w:spacing w:before="0" w:after="200"/>
              <w:ind w:left="143"/>
              <w:jc w:val="left"/>
              <w:rPr>
                <w:rFonts w:eastAsia="Calibri"/>
                <w:iCs/>
                <w:noProof/>
                <w:szCs w:val="24"/>
              </w:rPr>
            </w:pPr>
            <w:r>
              <w:rPr>
                <w:noProof/>
              </w:rPr>
              <w:t>TAXAUTO</w:t>
            </w:r>
          </w:p>
        </w:tc>
        <w:tc>
          <w:tcPr>
            <w:tcW w:w="2163" w:type="dxa"/>
          </w:tcPr>
          <w:p>
            <w:pPr>
              <w:spacing w:before="0" w:after="200"/>
              <w:jc w:val="left"/>
              <w:rPr>
                <w:rFonts w:eastAsia="Calibri"/>
                <w:iCs/>
                <w:noProof/>
                <w:szCs w:val="24"/>
              </w:rPr>
            </w:pPr>
            <w:r>
              <w:rPr>
                <w:noProof/>
              </w:rPr>
              <w:t>Automatisk udveksling</w:t>
            </w:r>
          </w:p>
        </w:tc>
        <w:tc>
          <w:tcPr>
            <w:tcW w:w="3995" w:type="dxa"/>
          </w:tcPr>
          <w:p>
            <w:pPr>
              <w:autoSpaceDE w:val="0"/>
              <w:autoSpaceDN w:val="0"/>
              <w:adjustRightInd w:val="0"/>
              <w:spacing w:before="0" w:after="200"/>
              <w:jc w:val="left"/>
              <w:rPr>
                <w:rFonts w:eastAsia="Calibri"/>
                <w:iCs/>
                <w:noProof/>
                <w:szCs w:val="24"/>
              </w:rPr>
            </w:pPr>
            <w:r>
              <w:rPr>
                <w:noProof/>
              </w:rPr>
              <w:t xml:space="preserve">De kategorier af oplysninger, der skal udveksles automatisk i overensstemmelse med aftalens artikel 11, fastlægges af det blandede udvalg. </w:t>
            </w:r>
          </w:p>
        </w:tc>
      </w:tr>
      <w:tr>
        <w:tc>
          <w:tcPr>
            <w:tcW w:w="2074" w:type="dxa"/>
          </w:tcPr>
          <w:p>
            <w:pPr>
              <w:spacing w:before="0" w:after="200"/>
              <w:ind w:left="143"/>
              <w:jc w:val="left"/>
              <w:rPr>
                <w:rFonts w:eastAsia="Calibri"/>
                <w:iCs/>
                <w:noProof/>
                <w:szCs w:val="24"/>
              </w:rPr>
            </w:pPr>
            <w:r>
              <w:rPr>
                <w:noProof/>
                <w:color w:val="000000"/>
                <w:szCs w:val="24"/>
              </w:rPr>
              <w:t xml:space="preserve">REC-A-CUST, REC-B-VAT, REC-C-EXCISE, REC-D-INCOME-CAP, </w:t>
            </w:r>
            <w:r>
              <w:rPr>
                <w:noProof/>
                <w:color w:val="000000"/>
                <w:szCs w:val="24"/>
              </w:rPr>
              <w:br/>
            </w:r>
            <w:r>
              <w:rPr>
                <w:noProof/>
                <w:color w:val="000000"/>
                <w:szCs w:val="24"/>
              </w:rPr>
              <w:lastRenderedPageBreak/>
              <w:t xml:space="preserve">REC-E-INSUR, REC-F-INHERIT-GIFT, </w:t>
            </w:r>
            <w:r>
              <w:rPr>
                <w:noProof/>
                <w:color w:val="000000"/>
                <w:szCs w:val="24"/>
              </w:rPr>
              <w:br/>
              <w:t xml:space="preserve">REC-G-NAT-IMMOV, </w:t>
            </w:r>
            <w:r>
              <w:rPr>
                <w:noProof/>
                <w:color w:val="000000"/>
                <w:szCs w:val="24"/>
              </w:rPr>
              <w:br/>
              <w:t xml:space="preserve">REC-H-NAT-TRANSP, </w:t>
            </w:r>
            <w:r>
              <w:rPr>
                <w:noProof/>
                <w:color w:val="000000"/>
                <w:szCs w:val="24"/>
              </w:rPr>
              <w:br/>
              <w:t xml:space="preserve">REC-I-NAT-OTHER, </w:t>
            </w:r>
            <w:r>
              <w:rPr>
                <w:noProof/>
                <w:color w:val="000000"/>
                <w:szCs w:val="24"/>
              </w:rPr>
              <w:br/>
              <w:t>REC-J-REGIONAL, REC-K-LOCAL, REC-L-OTHER, REC-M-AGRI</w:t>
            </w:r>
          </w:p>
        </w:tc>
        <w:tc>
          <w:tcPr>
            <w:tcW w:w="2163" w:type="dxa"/>
          </w:tcPr>
          <w:p>
            <w:pPr>
              <w:spacing w:before="0" w:after="200"/>
              <w:jc w:val="left"/>
              <w:rPr>
                <w:rFonts w:eastAsia="Calibri"/>
                <w:iCs/>
                <w:noProof/>
                <w:szCs w:val="24"/>
              </w:rPr>
            </w:pPr>
            <w:r>
              <w:rPr>
                <w:noProof/>
              </w:rPr>
              <w:lastRenderedPageBreak/>
              <w:t>Anmodning om oplysninger i henhold til aftalens artikel 22</w:t>
            </w:r>
          </w:p>
          <w:p>
            <w:pPr>
              <w:spacing w:before="0" w:after="200"/>
              <w:jc w:val="left"/>
              <w:rPr>
                <w:rFonts w:eastAsia="Calibri"/>
                <w:iCs/>
                <w:noProof/>
                <w:szCs w:val="24"/>
              </w:rPr>
            </w:pPr>
            <w:r>
              <w:rPr>
                <w:noProof/>
              </w:rPr>
              <w:lastRenderedPageBreak/>
              <w:t>Anmodning om meddelelse i henhold til aftalens artikel 25</w:t>
            </w:r>
          </w:p>
          <w:p>
            <w:pPr>
              <w:spacing w:before="0" w:after="200"/>
              <w:jc w:val="left"/>
              <w:rPr>
                <w:rFonts w:eastAsia="Calibri"/>
                <w:iCs/>
                <w:noProof/>
                <w:szCs w:val="24"/>
              </w:rPr>
            </w:pPr>
            <w:r>
              <w:rPr>
                <w:noProof/>
              </w:rPr>
              <w:t>Anmodning om inddrivelse i henhold til aftalens artikel 27</w:t>
            </w:r>
          </w:p>
          <w:p>
            <w:pPr>
              <w:spacing w:before="0" w:after="200"/>
              <w:jc w:val="left"/>
              <w:rPr>
                <w:rFonts w:eastAsia="Calibri"/>
                <w:iCs/>
                <w:noProof/>
                <w:szCs w:val="24"/>
              </w:rPr>
            </w:pPr>
            <w:r>
              <w:rPr>
                <w:noProof/>
              </w:rPr>
              <w:t>Anmodning om retsbevarende foranstaltninger i henhold til aftalens artikel 33</w:t>
            </w:r>
          </w:p>
        </w:tc>
        <w:tc>
          <w:tcPr>
            <w:tcW w:w="3995" w:type="dxa"/>
          </w:tcPr>
          <w:p>
            <w:pPr>
              <w:autoSpaceDE w:val="0"/>
              <w:autoSpaceDN w:val="0"/>
              <w:adjustRightInd w:val="0"/>
              <w:spacing w:before="0" w:after="200"/>
              <w:jc w:val="left"/>
              <w:rPr>
                <w:rFonts w:eastAsia="Calibri"/>
                <w:iCs/>
                <w:noProof/>
                <w:szCs w:val="24"/>
              </w:rPr>
            </w:pPr>
            <w:r>
              <w:rPr>
                <w:noProof/>
              </w:rPr>
              <w:lastRenderedPageBreak/>
              <w:t>Anmodning om oplysninger:</w:t>
            </w:r>
          </w:p>
          <w:p>
            <w:pPr>
              <w:autoSpaceDE w:val="0"/>
              <w:autoSpaceDN w:val="0"/>
              <w:adjustRightInd w:val="0"/>
              <w:spacing w:before="0" w:after="200"/>
              <w:jc w:val="left"/>
              <w:rPr>
                <w:rFonts w:eastAsia="Calibri"/>
                <w:iCs/>
                <w:noProof/>
                <w:szCs w:val="24"/>
              </w:rPr>
            </w:pPr>
            <w:r>
              <w:rPr>
                <w:noProof/>
              </w:rPr>
              <w:t>– bekræftelse af modtagelse inden for syv kalenderdage</w:t>
            </w:r>
          </w:p>
          <w:p>
            <w:pPr>
              <w:autoSpaceDE w:val="0"/>
              <w:autoSpaceDN w:val="0"/>
              <w:adjustRightInd w:val="0"/>
              <w:spacing w:before="0" w:after="200"/>
              <w:jc w:val="left"/>
              <w:rPr>
                <w:rFonts w:eastAsia="Calibri"/>
                <w:iCs/>
                <w:noProof/>
                <w:szCs w:val="24"/>
              </w:rPr>
            </w:pPr>
            <w:r>
              <w:rPr>
                <w:noProof/>
              </w:rPr>
              <w:lastRenderedPageBreak/>
              <w:t>– opdatering ved udgangen af den sjette måned fra datoen for bekræftelsen</w:t>
            </w:r>
          </w:p>
          <w:p>
            <w:pPr>
              <w:autoSpaceDE w:val="0"/>
              <w:autoSpaceDN w:val="0"/>
              <w:adjustRightInd w:val="0"/>
              <w:spacing w:before="0" w:after="200"/>
              <w:jc w:val="left"/>
              <w:rPr>
                <w:rFonts w:eastAsia="Calibri"/>
                <w:iCs/>
                <w:noProof/>
                <w:szCs w:val="24"/>
              </w:rPr>
            </w:pPr>
            <w:r>
              <w:rPr>
                <w:noProof/>
              </w:rPr>
              <w:t>Anmodning om meddelelse:</w:t>
            </w:r>
          </w:p>
          <w:p>
            <w:pPr>
              <w:autoSpaceDE w:val="0"/>
              <w:autoSpaceDN w:val="0"/>
              <w:adjustRightInd w:val="0"/>
              <w:spacing w:before="0" w:after="200"/>
              <w:jc w:val="left"/>
              <w:rPr>
                <w:rFonts w:eastAsia="Calibri"/>
                <w:iCs/>
                <w:noProof/>
                <w:szCs w:val="24"/>
              </w:rPr>
            </w:pPr>
            <w:r>
              <w:rPr>
                <w:noProof/>
              </w:rPr>
              <w:t>– bekræftelse af modtagelse inden for syv kalenderdage</w:t>
            </w:r>
          </w:p>
          <w:p>
            <w:pPr>
              <w:autoSpaceDE w:val="0"/>
              <w:autoSpaceDN w:val="0"/>
              <w:adjustRightInd w:val="0"/>
              <w:spacing w:before="0" w:after="200"/>
              <w:jc w:val="left"/>
              <w:rPr>
                <w:rFonts w:eastAsia="Calibri"/>
                <w:iCs/>
                <w:noProof/>
                <w:szCs w:val="24"/>
              </w:rPr>
            </w:pPr>
            <w:r>
              <w:rPr>
                <w:noProof/>
              </w:rPr>
              <w:t>Anmodning om inddrivelse og anmodning om retsbevarende foranstaltninger:</w:t>
            </w:r>
          </w:p>
          <w:p>
            <w:pPr>
              <w:autoSpaceDE w:val="0"/>
              <w:autoSpaceDN w:val="0"/>
              <w:adjustRightInd w:val="0"/>
              <w:spacing w:before="0" w:after="200"/>
              <w:jc w:val="left"/>
              <w:rPr>
                <w:rFonts w:eastAsia="Calibri"/>
                <w:iCs/>
                <w:noProof/>
                <w:szCs w:val="24"/>
              </w:rPr>
            </w:pPr>
            <w:r>
              <w:rPr>
                <w:noProof/>
              </w:rPr>
              <w:t>– bekræftelse af modtagelse inden for syv kalenderdage</w:t>
            </w:r>
          </w:p>
          <w:p>
            <w:pPr>
              <w:autoSpaceDE w:val="0"/>
              <w:autoSpaceDN w:val="0"/>
              <w:adjustRightInd w:val="0"/>
              <w:spacing w:before="0" w:after="200"/>
              <w:jc w:val="left"/>
              <w:rPr>
                <w:rFonts w:eastAsia="Calibri"/>
                <w:iCs/>
                <w:noProof/>
                <w:szCs w:val="24"/>
              </w:rPr>
            </w:pPr>
            <w:r>
              <w:rPr>
                <w:noProof/>
              </w:rPr>
              <w:t>– opdatering ved udgangen af hver sjette måned fra datoen for bekræftelsen</w:t>
            </w:r>
          </w:p>
        </w:tc>
      </w:tr>
    </w:tbl>
    <w:p>
      <w:pPr>
        <w:spacing w:before="60"/>
        <w:jc w:val="center"/>
        <w:rPr>
          <w:rFonts w:eastAsia="Times New Roman"/>
          <w:noProof/>
          <w:sz w:val="20"/>
          <w:szCs w:val="20"/>
        </w:rPr>
      </w:pPr>
      <w:bookmarkStart w:id="75" w:name="_Toc131473835"/>
      <w:bookmarkStart w:id="76" w:name="_Toc131560464"/>
      <w:bookmarkStart w:id="77" w:name="_Toc132079344"/>
      <w:bookmarkStart w:id="78" w:name="_Toc273103665"/>
      <w:bookmarkStart w:id="79" w:name="_Toc485826135"/>
      <w:r>
        <w:rPr>
          <w:noProof/>
        </w:rPr>
        <w:lastRenderedPageBreak/>
        <w:t xml:space="preserve">Tabel </w:t>
      </w:r>
      <w:r>
        <w:rPr>
          <w:rFonts w:eastAsia="Times New Roman"/>
          <w:noProof/>
          <w:sz w:val="20"/>
          <w:szCs w:val="20"/>
        </w:rPr>
        <w:fldChar w:fldCharType="begin"/>
      </w:r>
      <w:r>
        <w:rPr>
          <w:rFonts w:eastAsia="Times New Roman"/>
          <w:noProof/>
          <w:sz w:val="20"/>
          <w:szCs w:val="20"/>
        </w:rPr>
        <w:instrText xml:space="preserve"> SEQ Table \* ARABIC </w:instrText>
      </w:r>
      <w:r>
        <w:rPr>
          <w:rFonts w:eastAsia="Times New Roman"/>
          <w:noProof/>
          <w:sz w:val="20"/>
          <w:szCs w:val="20"/>
        </w:rPr>
        <w:fldChar w:fldCharType="separate"/>
      </w:r>
      <w:r>
        <w:rPr>
          <w:rFonts w:eastAsia="Times New Roman"/>
          <w:noProof/>
          <w:sz w:val="20"/>
          <w:szCs w:val="20"/>
        </w:rPr>
        <w:t>6</w:t>
      </w:r>
      <w:bookmarkEnd w:id="75"/>
      <w:r>
        <w:rPr>
          <w:rFonts w:eastAsia="Times New Roman"/>
          <w:noProof/>
          <w:sz w:val="20"/>
          <w:szCs w:val="20"/>
        </w:rPr>
        <w:fldChar w:fldCharType="end"/>
      </w:r>
      <w:r>
        <w:rPr>
          <w:noProof/>
          <w:sz w:val="20"/>
          <w:szCs w:val="20"/>
        </w:rPr>
        <w:t>: Udveksling af formularer om performance</w:t>
      </w:r>
      <w:bookmarkEnd w:id="76"/>
      <w:bookmarkEnd w:id="77"/>
      <w:bookmarkEnd w:id="78"/>
      <w:bookmarkEnd w:id="79"/>
    </w:p>
    <w:p>
      <w:pPr>
        <w:pStyle w:val="ManualHeading4"/>
        <w:rPr>
          <w:noProof/>
        </w:rPr>
      </w:pPr>
      <w:bookmarkStart w:id="80" w:name="_Toc150588519"/>
      <w:bookmarkStart w:id="81" w:name="_Toc486595053"/>
      <w:r>
        <w:rPr>
          <w:noProof/>
        </w:rPr>
        <w:t>5.1.3.2.</w:t>
      </w:r>
      <w:r>
        <w:rPr>
          <w:noProof/>
        </w:rPr>
        <w:tab/>
      </w:r>
      <w:r>
        <w:rPr>
          <w:i/>
          <w:noProof/>
        </w:rPr>
        <w:t>Rapportering</w:t>
      </w:r>
      <w:bookmarkEnd w:id="80"/>
      <w:bookmarkEnd w:id="81"/>
    </w:p>
    <w:p>
      <w:pPr>
        <w:pStyle w:val="Text1"/>
        <w:rPr>
          <w:iCs/>
          <w:noProof/>
        </w:rPr>
      </w:pPr>
      <w:r>
        <w:rPr>
          <w:noProof/>
        </w:rPr>
        <w:t xml:space="preserve">Norge fremsender ligeledes hvert år statistiske data til Kommissionen via e-mail vedrørende meddelelsen af oplysninger som fastsat i aftalens artikel 20 og 39 </w:t>
      </w:r>
      <w:r>
        <w:rPr>
          <w:iCs/>
          <w:noProof/>
        </w:rPr>
        <w:fldChar w:fldCharType="begin"/>
      </w:r>
      <w:r>
        <w:rPr>
          <w:iCs/>
          <w:noProof/>
        </w:rPr>
        <w:instrText xml:space="preserve"> REF _Ref371673619 \r \h  \* MERGEFORMAT </w:instrText>
      </w:r>
      <w:r>
        <w:rPr>
          <w:iCs/>
          <w:noProof/>
        </w:rPr>
      </w:r>
      <w:r>
        <w:rPr>
          <w:iCs/>
          <w:noProof/>
        </w:rPr>
        <w:fldChar w:fldCharType="separate"/>
      </w:r>
      <w:r>
        <w:rPr>
          <w:iCs/>
          <w:noProof/>
        </w:rPr>
        <w:t>[RD.3.]</w:t>
      </w:r>
      <w:r>
        <w:rPr>
          <w:iCs/>
          <w:noProof/>
        </w:rPr>
        <w:fldChar w:fldCharType="end"/>
      </w:r>
      <w:r>
        <w:rPr>
          <w:noProof/>
        </w:rPr>
        <w:t>.</w:t>
      </w:r>
      <w:r>
        <w:rPr>
          <w:i/>
          <w:noProof/>
          <w:highlight w:val="yellow"/>
        </w:rPr>
        <w:t xml:space="preserve"> </w:t>
      </w:r>
    </w:p>
    <w:p>
      <w:pPr>
        <w:pStyle w:val="ManualHeading3"/>
        <w:rPr>
          <w:b/>
          <w:noProof/>
        </w:rPr>
      </w:pPr>
      <w:bookmarkStart w:id="82" w:name="_Toc150588523"/>
      <w:bookmarkStart w:id="83" w:name="_Toc273104880"/>
      <w:bookmarkStart w:id="84" w:name="_Toc486595057"/>
      <w:r>
        <w:rPr>
          <w:b/>
          <w:noProof/>
        </w:rPr>
        <w:t>5.1.4.</w:t>
      </w:r>
      <w:r>
        <w:rPr>
          <w:b/>
          <w:noProof/>
        </w:rPr>
        <w:tab/>
      </w:r>
      <w:r>
        <w:rPr>
          <w:b/>
          <w:noProof/>
          <w:u w:val="single"/>
        </w:rPr>
        <w:t>Problemstyring</w:t>
      </w:r>
      <w:bookmarkEnd w:id="82"/>
      <w:bookmarkEnd w:id="83"/>
      <w:bookmarkEnd w:id="84"/>
    </w:p>
    <w:p>
      <w:pPr>
        <w:pStyle w:val="ManualHeading4"/>
        <w:rPr>
          <w:noProof/>
        </w:rPr>
      </w:pPr>
      <w:bookmarkStart w:id="85" w:name="_Toc150588524"/>
      <w:bookmarkStart w:id="86" w:name="_Toc486595058"/>
      <w:r>
        <w:rPr>
          <w:noProof/>
        </w:rPr>
        <w:t>5.1.4.1.</w:t>
      </w:r>
      <w:r>
        <w:rPr>
          <w:noProof/>
        </w:rPr>
        <w:tab/>
      </w:r>
      <w:r>
        <w:rPr>
          <w:i/>
          <w:noProof/>
        </w:rPr>
        <w:t>Aftale</w:t>
      </w:r>
      <w:bookmarkEnd w:id="85"/>
      <w:bookmarkEnd w:id="86"/>
    </w:p>
    <w:p>
      <w:pPr>
        <w:pStyle w:val="Text1"/>
        <w:rPr>
          <w:noProof/>
        </w:rPr>
      </w:pPr>
      <w:r>
        <w:rPr>
          <w:noProof/>
        </w:rPr>
        <w:t>Norge vedligeholder en passende problemregistrerings</w:t>
      </w:r>
      <w:r>
        <w:rPr>
          <w:rStyle w:val="FootnoteReference"/>
          <w:noProof/>
        </w:rPr>
        <w:footnoteReference w:id="4"/>
      </w:r>
      <w:r>
        <w:rPr>
          <w:noProof/>
        </w:rPr>
        <w:t>- og opfølgningsmekanisme for problemer, der påvirker Norges applikationsvært, systemsoftware, data og applikationssoftware.</w:t>
      </w:r>
    </w:p>
    <w:p>
      <w:pPr>
        <w:pStyle w:val="Text1"/>
        <w:rPr>
          <w:noProof/>
        </w:rPr>
      </w:pPr>
      <w:r>
        <w:rPr>
          <w:noProof/>
        </w:rPr>
        <w:t>Problemer med enhver del af CCN-nettet (gateways og/eller Exchange Mail-servere) indberettes straks til ITSM.</w:t>
      </w:r>
    </w:p>
    <w:p>
      <w:pPr>
        <w:pStyle w:val="ManualHeading4"/>
        <w:rPr>
          <w:noProof/>
        </w:rPr>
      </w:pPr>
      <w:bookmarkStart w:id="87" w:name="_Toc150588525"/>
      <w:bookmarkStart w:id="88" w:name="_Toc486595059"/>
      <w:r>
        <w:rPr>
          <w:noProof/>
        </w:rPr>
        <w:t>5.1.4.2.</w:t>
      </w:r>
      <w:r>
        <w:rPr>
          <w:noProof/>
        </w:rPr>
        <w:tab/>
      </w:r>
      <w:r>
        <w:rPr>
          <w:i/>
          <w:noProof/>
        </w:rPr>
        <w:t>Rapportering</w:t>
      </w:r>
      <w:bookmarkEnd w:id="87"/>
      <w:bookmarkEnd w:id="88"/>
    </w:p>
    <w:p>
      <w:pPr>
        <w:pStyle w:val="Text1"/>
        <w:rPr>
          <w:noProof/>
        </w:rPr>
      </w:pPr>
      <w:r>
        <w:rPr>
          <w:noProof/>
        </w:rPr>
        <w:t>Norge underretter ITSM, hvis de har et internt problem med den tekniske infrastruktur til deres egne systemer og applikationer til administrativt samarbejde og inddrivelse af fordringer på momsområdet.</w:t>
      </w:r>
    </w:p>
    <w:p>
      <w:pPr>
        <w:pStyle w:val="Text1"/>
        <w:rPr>
          <w:noProof/>
        </w:rPr>
      </w:pPr>
      <w:r>
        <w:rPr>
          <w:noProof/>
        </w:rPr>
        <w:t>Hvis Norge er af den opfattelse, at et problem indberettet til ITSM ikke behandles eller løses eller ikke er behandlet eller løst på en tilfredsstillende måde, underrettes Kommissionen herom så hurtigt som muligt.</w:t>
      </w:r>
    </w:p>
    <w:p>
      <w:pPr>
        <w:pStyle w:val="ManualHeading3"/>
        <w:rPr>
          <w:b/>
          <w:noProof/>
        </w:rPr>
      </w:pPr>
      <w:bookmarkStart w:id="89" w:name="_Toc273104881"/>
      <w:bookmarkStart w:id="90" w:name="_Toc486595060"/>
      <w:r>
        <w:rPr>
          <w:b/>
          <w:noProof/>
        </w:rPr>
        <w:lastRenderedPageBreak/>
        <w:t>5.1.5.</w:t>
      </w:r>
      <w:r>
        <w:rPr>
          <w:b/>
          <w:noProof/>
        </w:rPr>
        <w:tab/>
      </w:r>
      <w:bookmarkStart w:id="91" w:name="_Toc150588526"/>
      <w:r>
        <w:rPr>
          <w:b/>
          <w:noProof/>
          <w:u w:val="single"/>
        </w:rPr>
        <w:t>Sikkerhedsstyring</w:t>
      </w:r>
      <w:bookmarkEnd w:id="91"/>
      <w:bookmarkEnd w:id="89"/>
      <w:bookmarkEnd w:id="90"/>
    </w:p>
    <w:p>
      <w:pPr>
        <w:pStyle w:val="ManualHeading4"/>
        <w:rPr>
          <w:noProof/>
        </w:rPr>
      </w:pPr>
      <w:bookmarkStart w:id="92" w:name="_Toc486595061"/>
      <w:r>
        <w:rPr>
          <w:noProof/>
        </w:rPr>
        <w:t>5.1.5.1.</w:t>
      </w:r>
      <w:r>
        <w:rPr>
          <w:noProof/>
        </w:rPr>
        <w:tab/>
      </w:r>
      <w:bookmarkStart w:id="93" w:name="_Toc150588527"/>
      <w:r>
        <w:rPr>
          <w:i/>
          <w:noProof/>
        </w:rPr>
        <w:t>Aftale</w:t>
      </w:r>
      <w:bookmarkEnd w:id="93"/>
      <w:r>
        <w:rPr>
          <w:rStyle w:val="FootnoteReference"/>
          <w:noProof/>
        </w:rPr>
        <w:footnoteReference w:id="5"/>
      </w:r>
      <w:bookmarkEnd w:id="92"/>
    </w:p>
    <w:p>
      <w:pPr>
        <w:pStyle w:val="Text1"/>
        <w:rPr>
          <w:noProof/>
        </w:rPr>
      </w:pPr>
      <w:r>
        <w:rPr>
          <w:noProof/>
        </w:rPr>
        <w:t>Norge beskytter sine systemer og applikationer for administrativt samarbejde og inddrivelse af fordringer på momsområdet mod brud på sikkerheden og registrerer eventuelle brud på sikkerheden og sikkerhedsmæssige forbedringer.</w:t>
      </w:r>
    </w:p>
    <w:p>
      <w:pPr>
        <w:pStyle w:val="Text1"/>
        <w:rPr>
          <w:noProof/>
        </w:rPr>
      </w:pPr>
      <w:r>
        <w:rPr>
          <w:noProof/>
        </w:rPr>
        <w:t>Norge følger de sikkerhedsanbefalinger og/eller -krav, der er angivet i følgende dokumenter:</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9"/>
        <w:gridCol w:w="1134"/>
        <w:gridCol w:w="1559"/>
      </w:tblGrid>
      <w:tr>
        <w:tc>
          <w:tcPr>
            <w:tcW w:w="5539" w:type="dxa"/>
            <w:shd w:val="clear" w:color="auto" w:fill="BFBFBF"/>
          </w:tcPr>
          <w:p>
            <w:pPr>
              <w:spacing w:before="60"/>
              <w:jc w:val="center"/>
              <w:rPr>
                <w:rFonts w:eastAsia="Times New Roman"/>
                <w:b/>
                <w:noProof/>
                <w:szCs w:val="24"/>
              </w:rPr>
            </w:pPr>
            <w:r>
              <w:rPr>
                <w:b/>
                <w:noProof/>
                <w:szCs w:val="24"/>
              </w:rPr>
              <w:t>Navn</w:t>
            </w:r>
          </w:p>
        </w:tc>
        <w:tc>
          <w:tcPr>
            <w:tcW w:w="1134" w:type="dxa"/>
            <w:shd w:val="clear" w:color="auto" w:fill="BFBFBF"/>
          </w:tcPr>
          <w:p>
            <w:pPr>
              <w:spacing w:before="60"/>
              <w:jc w:val="center"/>
              <w:rPr>
                <w:rFonts w:eastAsia="Times New Roman"/>
                <w:b/>
                <w:noProof/>
                <w:szCs w:val="24"/>
              </w:rPr>
            </w:pPr>
            <w:r>
              <w:rPr>
                <w:b/>
                <w:noProof/>
                <w:szCs w:val="24"/>
              </w:rPr>
              <w:t>Version</w:t>
            </w:r>
          </w:p>
        </w:tc>
        <w:tc>
          <w:tcPr>
            <w:tcW w:w="1559" w:type="dxa"/>
            <w:shd w:val="clear" w:color="auto" w:fill="BFBFBF"/>
          </w:tcPr>
          <w:p>
            <w:pPr>
              <w:spacing w:before="60"/>
              <w:jc w:val="center"/>
              <w:rPr>
                <w:rFonts w:eastAsia="Times New Roman"/>
                <w:b/>
                <w:noProof/>
                <w:szCs w:val="24"/>
              </w:rPr>
            </w:pPr>
            <w:r>
              <w:rPr>
                <w:b/>
                <w:noProof/>
                <w:szCs w:val="24"/>
              </w:rPr>
              <w:t>Dato</w:t>
            </w:r>
          </w:p>
        </w:tc>
      </w:tr>
      <w:tr>
        <w:tc>
          <w:tcPr>
            <w:tcW w:w="5539" w:type="dxa"/>
            <w:shd w:val="clear" w:color="auto" w:fill="auto"/>
          </w:tcPr>
          <w:p>
            <w:pPr>
              <w:spacing w:before="60"/>
              <w:rPr>
                <w:rFonts w:eastAsia="Times New Roman"/>
                <w:noProof/>
                <w:szCs w:val="24"/>
              </w:rPr>
            </w:pPr>
            <w:r>
              <w:rPr>
                <w:noProof/>
              </w:rPr>
              <w:t>Https sikkerhedsanbefalinger – CCN /Mail III Webmail adgang – Ref. CCN /Mail III User Guide for NAs</w:t>
            </w:r>
          </w:p>
        </w:tc>
        <w:tc>
          <w:tcPr>
            <w:tcW w:w="1134" w:type="dxa"/>
            <w:shd w:val="clear" w:color="auto" w:fill="auto"/>
          </w:tcPr>
          <w:p>
            <w:pPr>
              <w:spacing w:before="60"/>
              <w:jc w:val="center"/>
              <w:rPr>
                <w:rFonts w:eastAsia="Times New Roman"/>
                <w:noProof/>
                <w:szCs w:val="24"/>
              </w:rPr>
            </w:pPr>
            <w:r>
              <w:rPr>
                <w:noProof/>
              </w:rPr>
              <w:t>3.0</w:t>
            </w:r>
          </w:p>
        </w:tc>
        <w:tc>
          <w:tcPr>
            <w:tcW w:w="1559" w:type="dxa"/>
            <w:shd w:val="clear" w:color="auto" w:fill="auto"/>
          </w:tcPr>
          <w:p>
            <w:pPr>
              <w:spacing w:before="60"/>
              <w:rPr>
                <w:rFonts w:eastAsia="Times New Roman"/>
                <w:noProof/>
                <w:szCs w:val="24"/>
              </w:rPr>
            </w:pPr>
            <w:r>
              <w:rPr>
                <w:noProof/>
              </w:rPr>
              <w:t>15/6/2012</w:t>
            </w:r>
          </w:p>
        </w:tc>
      </w:tr>
      <w:tr>
        <w:tc>
          <w:tcPr>
            <w:tcW w:w="5539" w:type="dxa"/>
            <w:shd w:val="clear" w:color="auto" w:fill="auto"/>
          </w:tcPr>
          <w:p>
            <w:pPr>
              <w:spacing w:before="60"/>
              <w:rPr>
                <w:rFonts w:eastAsia="Times New Roman"/>
                <w:noProof/>
                <w:szCs w:val="24"/>
              </w:rPr>
            </w:pPr>
            <w:r>
              <w:rPr>
                <w:noProof/>
              </w:rPr>
              <w:t>Https sikkerhedsanbefalinger – CCN /Mail III Webmail adgang – Ref. CCN /Mail III User Guide for NAs</w:t>
            </w:r>
          </w:p>
        </w:tc>
        <w:tc>
          <w:tcPr>
            <w:tcW w:w="1134" w:type="dxa"/>
            <w:shd w:val="clear" w:color="auto" w:fill="auto"/>
          </w:tcPr>
          <w:p>
            <w:pPr>
              <w:spacing w:before="60"/>
              <w:jc w:val="center"/>
              <w:rPr>
                <w:rFonts w:eastAsia="Times New Roman"/>
                <w:noProof/>
                <w:szCs w:val="24"/>
              </w:rPr>
            </w:pPr>
            <w:r>
              <w:rPr>
                <w:noProof/>
              </w:rPr>
              <w:t>4.0</w:t>
            </w:r>
          </w:p>
        </w:tc>
        <w:tc>
          <w:tcPr>
            <w:tcW w:w="1559" w:type="dxa"/>
            <w:shd w:val="clear" w:color="auto" w:fill="auto"/>
          </w:tcPr>
          <w:p>
            <w:pPr>
              <w:spacing w:before="60"/>
              <w:rPr>
                <w:rFonts w:eastAsia="Times New Roman"/>
                <w:noProof/>
                <w:szCs w:val="24"/>
              </w:rPr>
            </w:pPr>
            <w:r>
              <w:rPr>
                <w:noProof/>
              </w:rPr>
              <w:t>11/9/2008</w:t>
            </w:r>
          </w:p>
        </w:tc>
      </w:tr>
    </w:tbl>
    <w:p>
      <w:pPr>
        <w:pStyle w:val="ManualHeading4"/>
        <w:rPr>
          <w:noProof/>
        </w:rPr>
      </w:pPr>
      <w:bookmarkStart w:id="94" w:name="_Toc150588528"/>
      <w:bookmarkStart w:id="95" w:name="_Toc486595062"/>
      <w:r>
        <w:rPr>
          <w:noProof/>
        </w:rPr>
        <w:t>5.1.5.2.</w:t>
      </w:r>
      <w:r>
        <w:rPr>
          <w:noProof/>
        </w:rPr>
        <w:tab/>
      </w:r>
      <w:r>
        <w:rPr>
          <w:i/>
          <w:noProof/>
        </w:rPr>
        <w:t>Rapportering</w:t>
      </w:r>
      <w:bookmarkEnd w:id="94"/>
      <w:bookmarkEnd w:id="95"/>
    </w:p>
    <w:p>
      <w:pPr>
        <w:pStyle w:val="Text1"/>
        <w:rPr>
          <w:noProof/>
        </w:rPr>
      </w:pPr>
      <w:r>
        <w:rPr>
          <w:noProof/>
        </w:rPr>
        <w:t>Norge indberetter eventuelle brud på sikkerheden og trufne foranstaltninger til Kommissionen på ad hoc-basis.</w:t>
      </w:r>
    </w:p>
    <w:p>
      <w:pPr>
        <w:pStyle w:val="ManualHeading2"/>
        <w:rPr>
          <w:noProof/>
        </w:rPr>
      </w:pPr>
      <w:bookmarkStart w:id="96" w:name="_Toc273104882"/>
      <w:bookmarkStart w:id="97" w:name="_Toc486595063"/>
      <w:r>
        <w:rPr>
          <w:noProof/>
        </w:rPr>
        <w:t>5.2.</w:t>
      </w:r>
      <w:r>
        <w:rPr>
          <w:noProof/>
        </w:rPr>
        <w:tab/>
      </w:r>
      <w:bookmarkStart w:id="98" w:name="_Toc150588529"/>
      <w:r>
        <w:rPr>
          <w:noProof/>
        </w:rPr>
        <w:t>NORGES SERVICENIVEAUER</w:t>
      </w:r>
      <w:bookmarkEnd w:id="98"/>
      <w:bookmarkEnd w:id="96"/>
      <w:bookmarkEnd w:id="97"/>
    </w:p>
    <w:p>
      <w:pPr>
        <w:pStyle w:val="ManualHeading3"/>
        <w:rPr>
          <w:b/>
          <w:noProof/>
        </w:rPr>
      </w:pPr>
      <w:bookmarkStart w:id="99" w:name="_Toc117251820"/>
      <w:bookmarkStart w:id="100" w:name="_Toc150588530"/>
      <w:bookmarkStart w:id="101" w:name="_Toc273104883"/>
      <w:bookmarkStart w:id="102" w:name="_Toc486595064"/>
      <w:r>
        <w:rPr>
          <w:b/>
          <w:noProof/>
        </w:rPr>
        <w:t>5.2.1.</w:t>
      </w:r>
      <w:r>
        <w:rPr>
          <w:b/>
          <w:noProof/>
        </w:rPr>
        <w:tab/>
      </w:r>
      <w:r>
        <w:rPr>
          <w:b/>
          <w:noProof/>
          <w:u w:val="single"/>
        </w:rPr>
        <w:t>Alle serviceniveaustyringsområder</w:t>
      </w:r>
      <w:bookmarkEnd w:id="99"/>
      <w:bookmarkEnd w:id="100"/>
      <w:bookmarkEnd w:id="101"/>
      <w:bookmarkEnd w:id="102"/>
    </w:p>
    <w:p>
      <w:pPr>
        <w:pStyle w:val="ManualHeading4"/>
        <w:rPr>
          <w:noProof/>
        </w:rPr>
      </w:pPr>
      <w:bookmarkStart w:id="103" w:name="_Toc150588531"/>
      <w:bookmarkStart w:id="104" w:name="_Toc486595065"/>
      <w:r>
        <w:rPr>
          <w:noProof/>
        </w:rPr>
        <w:t>5.2.1.1.</w:t>
      </w:r>
      <w:r>
        <w:rPr>
          <w:noProof/>
        </w:rPr>
        <w:tab/>
      </w:r>
      <w:r>
        <w:rPr>
          <w:i/>
          <w:noProof/>
        </w:rPr>
        <w:t>Aftale</w:t>
      </w:r>
      <w:bookmarkEnd w:id="103"/>
      <w:bookmarkEnd w:id="104"/>
    </w:p>
    <w:p>
      <w:pPr>
        <w:pStyle w:val="Text1"/>
        <w:rPr>
          <w:noProof/>
        </w:rPr>
      </w:pPr>
      <w:r>
        <w:rPr>
          <w:noProof/>
        </w:rPr>
        <w:t>Norge registrerer problemer med manglende tilgængelighed eller ændringer</w:t>
      </w:r>
      <w:r>
        <w:rPr>
          <w:rStyle w:val="FootnoteReference"/>
          <w:noProof/>
        </w:rPr>
        <w:footnoteReference w:id="6"/>
      </w:r>
      <w:r>
        <w:rPr>
          <w:noProof/>
        </w:rPr>
        <w:t xml:space="preserve"> vedrørende de tekniske, funktionelle og organisatoriske aspekter af Norges systemer og applikationer for administrativt samarbejde og inddrivelse af fordringer på momsområdet.</w:t>
      </w:r>
    </w:p>
    <w:p>
      <w:pPr>
        <w:pStyle w:val="ManualHeading4"/>
        <w:rPr>
          <w:noProof/>
        </w:rPr>
      </w:pPr>
      <w:bookmarkStart w:id="105" w:name="_Toc150588532"/>
      <w:bookmarkStart w:id="106" w:name="_Toc486595066"/>
      <w:r>
        <w:rPr>
          <w:noProof/>
        </w:rPr>
        <w:t>5.2.1.2.</w:t>
      </w:r>
      <w:r>
        <w:rPr>
          <w:noProof/>
        </w:rPr>
        <w:tab/>
      </w:r>
      <w:r>
        <w:rPr>
          <w:i/>
          <w:noProof/>
        </w:rPr>
        <w:t>Rapportering</w:t>
      </w:r>
      <w:bookmarkEnd w:id="105"/>
      <w:bookmarkEnd w:id="106"/>
    </w:p>
    <w:p>
      <w:pPr>
        <w:pStyle w:val="Text1"/>
        <w:rPr>
          <w:noProof/>
        </w:rPr>
      </w:pPr>
      <w:r>
        <w:rPr>
          <w:noProof/>
        </w:rPr>
        <w:t>Norge underretter i påkommende tilfælde ITSM om problemer med manglende tilgængelighed eller ændringer vedrørende de tekniske, funktionelle og organisatoriske aspekter af det norske system. ITSM skal altid underrettes om eventuelle ændringer vedrørende det operationelle personale (operatører, systemadministratorer).</w:t>
      </w:r>
    </w:p>
    <w:p>
      <w:pPr>
        <w:pStyle w:val="ManualHeading3"/>
        <w:rPr>
          <w:b/>
          <w:noProof/>
        </w:rPr>
      </w:pPr>
      <w:bookmarkStart w:id="107" w:name="_Toc150588533"/>
      <w:bookmarkStart w:id="108" w:name="_Toc273104884"/>
      <w:bookmarkStart w:id="109" w:name="_Toc486595067"/>
      <w:r>
        <w:rPr>
          <w:b/>
          <w:noProof/>
        </w:rPr>
        <w:t>5.2.2.</w:t>
      </w:r>
      <w:r>
        <w:rPr>
          <w:b/>
          <w:noProof/>
        </w:rPr>
        <w:tab/>
      </w:r>
      <w:r>
        <w:rPr>
          <w:b/>
          <w:noProof/>
          <w:u w:val="single"/>
        </w:rPr>
        <w:t>Servicedesk</w:t>
      </w:r>
      <w:bookmarkEnd w:id="107"/>
      <w:bookmarkEnd w:id="108"/>
      <w:bookmarkEnd w:id="109"/>
    </w:p>
    <w:p>
      <w:pPr>
        <w:pStyle w:val="ManualHeading4"/>
        <w:rPr>
          <w:noProof/>
        </w:rPr>
      </w:pPr>
      <w:bookmarkStart w:id="110" w:name="_Toc150588534"/>
      <w:bookmarkStart w:id="111" w:name="_Toc486595068"/>
      <w:r>
        <w:rPr>
          <w:noProof/>
        </w:rPr>
        <w:t>5.2.2.1.</w:t>
      </w:r>
      <w:r>
        <w:rPr>
          <w:noProof/>
        </w:rPr>
        <w:tab/>
      </w:r>
      <w:r>
        <w:rPr>
          <w:i/>
          <w:noProof/>
        </w:rPr>
        <w:t>Aftale</w:t>
      </w:r>
      <w:bookmarkEnd w:id="110"/>
      <w:bookmarkEnd w:id="111"/>
    </w:p>
    <w:p>
      <w:pPr>
        <w:pStyle w:val="Text1"/>
        <w:rPr>
          <w:noProof/>
        </w:rPr>
      </w:pPr>
      <w:r>
        <w:rPr>
          <w:noProof/>
        </w:rPr>
        <w:t xml:space="preserve">Norge stiller en servicedesk til håndtering af hændelser, der tilskrives Norge, til rådighed med henblik på at yde bistand og gennemføre test. Servicedeskens åbningstid bør være den samme som ITSM-servicedeskens åbningstid på ITSM-arbejdsdage. Norges servicedesk er som minimum åben kl. 10:00-16:00 CET på arbejdsdage, undtagen på landets nationale helligdage. Det anbefales, at Norges </w:t>
      </w:r>
      <w:r>
        <w:rPr>
          <w:noProof/>
        </w:rPr>
        <w:lastRenderedPageBreak/>
        <w:t>servicedesk følger ITIL-retningslinjerne for servicesupport ved håndtering af spørgsmål og hændelser.</w:t>
      </w:r>
    </w:p>
    <w:p>
      <w:pPr>
        <w:pStyle w:val="ManualHeading4"/>
        <w:rPr>
          <w:noProof/>
        </w:rPr>
      </w:pPr>
      <w:bookmarkStart w:id="112" w:name="_Toc150588535"/>
      <w:bookmarkStart w:id="113" w:name="_Toc486595069"/>
      <w:r>
        <w:rPr>
          <w:noProof/>
        </w:rPr>
        <w:t>5.2.2.2.</w:t>
      </w:r>
      <w:r>
        <w:rPr>
          <w:noProof/>
        </w:rPr>
        <w:tab/>
      </w:r>
      <w:r>
        <w:rPr>
          <w:i/>
          <w:noProof/>
        </w:rPr>
        <w:t>Rapportering</w:t>
      </w:r>
      <w:bookmarkEnd w:id="112"/>
      <w:bookmarkEnd w:id="113"/>
    </w:p>
    <w:p>
      <w:pPr>
        <w:pStyle w:val="Text1"/>
        <w:rPr>
          <w:noProof/>
        </w:rPr>
      </w:pPr>
      <w:r>
        <w:rPr>
          <w:noProof/>
        </w:rPr>
        <w:t>Norge underretter i påkommende tilfælde ITSM om problemer med tilgængelighed i forbindelse med den norske servicedesk.</w:t>
      </w:r>
    </w:p>
    <w:p>
      <w:pPr>
        <w:pStyle w:val="ManualHeading1"/>
        <w:rPr>
          <w:noProof/>
        </w:rPr>
      </w:pPr>
      <w:bookmarkStart w:id="114" w:name="_Toc150588536"/>
      <w:bookmarkStart w:id="115" w:name="_Toc273104885"/>
      <w:bookmarkStart w:id="116" w:name="_Toc486595070"/>
      <w:r>
        <w:rPr>
          <w:noProof/>
        </w:rPr>
        <w:t>6.</w:t>
      </w:r>
      <w:r>
        <w:rPr>
          <w:noProof/>
        </w:rPr>
        <w:tab/>
      </w:r>
      <w:r>
        <w:rPr>
          <w:noProof/>
          <w:u w:val="single"/>
        </w:rPr>
        <w:t>KVALITETSMÅLING</w:t>
      </w:r>
      <w:bookmarkEnd w:id="114"/>
      <w:bookmarkEnd w:id="115"/>
      <w:bookmarkEnd w:id="116"/>
    </w:p>
    <w:p>
      <w:pPr>
        <w:pStyle w:val="ManualHeading2"/>
        <w:rPr>
          <w:noProof/>
        </w:rPr>
      </w:pPr>
      <w:bookmarkStart w:id="117" w:name="_Toc150588537"/>
      <w:bookmarkStart w:id="118" w:name="_Toc273104886"/>
      <w:bookmarkStart w:id="119" w:name="_Toc486595071"/>
      <w:r>
        <w:rPr>
          <w:noProof/>
        </w:rPr>
        <w:t>6.1.</w:t>
      </w:r>
      <w:r>
        <w:rPr>
          <w:noProof/>
        </w:rPr>
        <w:tab/>
        <w:t>AFTALE</w:t>
      </w:r>
      <w:bookmarkEnd w:id="117"/>
      <w:bookmarkEnd w:id="118"/>
      <w:bookmarkEnd w:id="119"/>
    </w:p>
    <w:p>
      <w:pPr>
        <w:pStyle w:val="Text1"/>
        <w:rPr>
          <w:noProof/>
        </w:rPr>
      </w:pPr>
      <w:r>
        <w:rPr>
          <w:noProof/>
        </w:rPr>
        <w:t>Kommissionen evaluerer rapporterne (aktivitetsrapporter genereret af ITSM, meddelelser, statistiske data og andre oplysninger) modtaget fra ITSM og Norge, fastsætter graderne af overholdelse af denne SLA og kontakter i tilfælde af problemer Norge for at løse problemet og sikre, at servicekvaliteten er i overensstemmelse med denne aftale.</w:t>
      </w:r>
    </w:p>
    <w:p>
      <w:pPr>
        <w:pStyle w:val="ManualHeading2"/>
        <w:rPr>
          <w:noProof/>
        </w:rPr>
      </w:pPr>
      <w:bookmarkStart w:id="120" w:name="_Toc150588538"/>
      <w:bookmarkStart w:id="121" w:name="_Toc273104887"/>
      <w:bookmarkStart w:id="122" w:name="_Toc486595072"/>
      <w:r>
        <w:rPr>
          <w:noProof/>
        </w:rPr>
        <w:t>6.2.</w:t>
      </w:r>
      <w:r>
        <w:rPr>
          <w:noProof/>
        </w:rPr>
        <w:tab/>
        <w:t>RAPPORTERING</w:t>
      </w:r>
      <w:bookmarkEnd w:id="120"/>
      <w:bookmarkEnd w:id="121"/>
      <w:bookmarkEnd w:id="122"/>
    </w:p>
    <w:p>
      <w:pPr>
        <w:pStyle w:val="Text1"/>
        <w:rPr>
          <w:noProof/>
        </w:rPr>
      </w:pPr>
      <w:r>
        <w:rPr>
          <w:noProof/>
        </w:rPr>
        <w:t>Kommissionen aflægger månedligt rapport til Norge om serviceniveauet som defineret i afsnit 5.1.2.</w:t>
      </w:r>
    </w:p>
    <w:p>
      <w:pPr>
        <w:pStyle w:val="ManualHeading1"/>
        <w:rPr>
          <w:noProof/>
        </w:rPr>
      </w:pPr>
      <w:bookmarkStart w:id="123" w:name="_Toc150588539"/>
      <w:bookmarkStart w:id="124" w:name="_Toc273104888"/>
      <w:bookmarkStart w:id="125" w:name="_Toc488821743"/>
      <w:r>
        <w:rPr>
          <w:noProof/>
        </w:rPr>
        <w:t>7.</w:t>
      </w:r>
      <w:r>
        <w:rPr>
          <w:noProof/>
        </w:rPr>
        <w:tab/>
      </w:r>
      <w:r>
        <w:rPr>
          <w:noProof/>
          <w:u w:val="single"/>
        </w:rPr>
        <w:t>GODKENDELSE AF SLA</w:t>
      </w:r>
      <w:bookmarkEnd w:id="123"/>
      <w:bookmarkEnd w:id="124"/>
      <w:bookmarkEnd w:id="125"/>
    </w:p>
    <w:p>
      <w:pPr>
        <w:pStyle w:val="Text1"/>
        <w:rPr>
          <w:noProof/>
        </w:rPr>
      </w:pPr>
      <w:r>
        <w:rPr>
          <w:noProof/>
        </w:rPr>
        <w:t>Serviceleveranceaftalen skal godkendes af det blandede udvalg, før den kan træde i kraft.</w:t>
      </w:r>
    </w:p>
    <w:p>
      <w:pPr>
        <w:pStyle w:val="ManualHeading1"/>
        <w:rPr>
          <w:noProof/>
        </w:rPr>
      </w:pPr>
      <w:bookmarkStart w:id="126" w:name="_Toc150588540"/>
      <w:bookmarkStart w:id="127" w:name="_Ref160267046"/>
      <w:bookmarkStart w:id="128" w:name="_Toc273104889"/>
      <w:bookmarkStart w:id="129" w:name="_Toc488821744"/>
      <w:r>
        <w:rPr>
          <w:noProof/>
        </w:rPr>
        <w:t>8.</w:t>
      </w:r>
      <w:r>
        <w:rPr>
          <w:noProof/>
        </w:rPr>
        <w:tab/>
      </w:r>
      <w:r>
        <w:rPr>
          <w:noProof/>
          <w:u w:val="single"/>
        </w:rPr>
        <w:t>ÆNDRINGER AF SLA</w:t>
      </w:r>
      <w:bookmarkEnd w:id="126"/>
      <w:bookmarkEnd w:id="127"/>
      <w:bookmarkEnd w:id="128"/>
      <w:bookmarkEnd w:id="129"/>
    </w:p>
    <w:p>
      <w:pPr>
        <w:pStyle w:val="Text1"/>
        <w:rPr>
          <w:noProof/>
        </w:rPr>
      </w:pPr>
      <w:r>
        <w:rPr>
          <w:noProof/>
        </w:rPr>
        <w:t xml:space="preserve">Serviceleveranceaftalen revideres efter skriftlig anmodning fra Kommissionen eller Norge til det blandede udvalg. </w:t>
      </w:r>
    </w:p>
    <w:p>
      <w:pPr>
        <w:pStyle w:val="Text1"/>
        <w:rPr>
          <w:noProof/>
        </w:rPr>
      </w:pPr>
      <w:r>
        <w:rPr>
          <w:noProof/>
        </w:rPr>
        <w:t>Bestemmelserne i den gældende SLA forbliver i kraft, indtil det blandede udvalg har truffet afgørelse om de foreslåede ændringer. Det blandede udvalg er det beslutningstagende organ for den gældende aftale.</w:t>
      </w:r>
    </w:p>
    <w:p>
      <w:pPr>
        <w:pStyle w:val="ManualHeading1"/>
        <w:rPr>
          <w:noProof/>
        </w:rPr>
      </w:pPr>
      <w:r>
        <w:rPr>
          <w:noProof/>
        </w:rPr>
        <w:t>9.</w:t>
      </w:r>
      <w:r>
        <w:rPr>
          <w:noProof/>
        </w:rPr>
        <w:tab/>
      </w:r>
      <w:r>
        <w:rPr>
          <w:noProof/>
          <w:u w:val="single"/>
        </w:rPr>
        <w:t>KONTAKTPUNKT</w:t>
      </w:r>
    </w:p>
    <w:p>
      <w:pPr>
        <w:pStyle w:val="Text1"/>
        <w:rPr>
          <w:noProof/>
        </w:rPr>
      </w:pPr>
      <w:r>
        <w:rPr>
          <w:noProof/>
        </w:rPr>
        <w:t>Har du spørgsmål eller bemærkninger til dette dokument, er du velkommen til at kontakte:</w:t>
      </w:r>
    </w:p>
    <w:p>
      <w:pPr>
        <w:pStyle w:val="Text1"/>
        <w:rPr>
          <w:noProof/>
        </w:rPr>
      </w:pPr>
      <w:r>
        <w:rPr>
          <w:noProof/>
        </w:rPr>
        <w:t>SERVICEUDBYDER – SERVICEDESK</w:t>
      </w:r>
    </w:p>
    <w:p>
      <w:pPr>
        <w:pStyle w:val="Text1"/>
        <w:rPr>
          <w:noProof/>
        </w:rPr>
      </w:pPr>
      <w:hyperlink r:id="rId18" w:history="1">
        <w:r>
          <w:rPr>
            <w:rStyle w:val="Hyperlink"/>
            <w:noProof/>
          </w:rPr>
          <w:t>support@itsmtaxud.europa.eu</w:t>
        </w:r>
      </w:hyperlink>
      <w:r>
        <w:rPr>
          <w:noProof/>
        </w:rPr>
        <w:t>.</w:t>
      </w:r>
    </w:p>
    <w:p>
      <w:pPr>
        <w:spacing w:before="360" w:after="60"/>
        <w:jc w:val="left"/>
        <w:rPr>
          <w:noProof/>
        </w:rPr>
      </w:pPr>
      <w:r>
        <w:rPr>
          <w:i/>
          <w:noProof/>
          <w:szCs w:val="20"/>
        </w:rPr>
        <w:t>Dato</w:t>
      </w:r>
    </w:p>
    <w:p>
      <w:pPr>
        <w:rPr>
          <w:noProof/>
        </w:rPr>
        <w:sectPr>
          <w:pgSz w:w="11907" w:h="16839"/>
          <w:pgMar w:top="1134" w:right="1417" w:bottom="1134" w:left="1417" w:header="709" w:footer="709" w:gutter="0"/>
          <w:cols w:space="720"/>
          <w:docGrid w:linePitch="360"/>
        </w:sectPr>
      </w:pPr>
    </w:p>
    <w:p>
      <w:pPr>
        <w:pStyle w:val="Annexetitre"/>
        <w:rPr>
          <w:noProof/>
        </w:rPr>
      </w:pPr>
      <w:r>
        <w:rPr>
          <w:noProof/>
        </w:rPr>
        <w:lastRenderedPageBreak/>
        <w:t>TILLÆG 5</w:t>
      </w:r>
    </w:p>
    <w:p>
      <w:pPr>
        <w:pStyle w:val="NormalCentered"/>
        <w:rPr>
          <w:b/>
          <w:noProof/>
        </w:rPr>
      </w:pPr>
      <w:r>
        <w:rPr>
          <w:b/>
          <w:noProof/>
        </w:rPr>
        <w:t>Udkast</w:t>
      </w:r>
      <w:r>
        <w:rPr>
          <w:b/>
          <w:noProof/>
        </w:rPr>
        <w:br/>
        <w:t>AFGØRELSE nr. 5/[dato] fra det blandede udvalg af [dato]</w:t>
      </w:r>
      <w:r>
        <w:rPr>
          <w:b/>
          <w:noProof/>
        </w:rPr>
        <w:br/>
        <w:t>om vedtagelse af serviceleveranceaftalen for det fælles kommunikationsnet/den fælles systemgrænseflade ("CCN/CSI SLA")</w:t>
      </w:r>
    </w:p>
    <w:p>
      <w:pPr>
        <w:pStyle w:val="ManualHeading1"/>
        <w:rPr>
          <w:noProof/>
        </w:rPr>
      </w:pPr>
      <w:r>
        <w:rPr>
          <w:noProof/>
        </w:rPr>
        <w:t>1.</w:t>
      </w:r>
      <w:r>
        <w:rPr>
          <w:noProof/>
        </w:rPr>
        <w:tab/>
      </w:r>
      <w:r>
        <w:rPr>
          <w:noProof/>
          <w:u w:val="single"/>
        </w:rPr>
        <w:t>REFERENCEDOKUMENTER OG GÆLDENDE DOKUMENTER</w:t>
      </w:r>
    </w:p>
    <w:p>
      <w:pPr>
        <w:pStyle w:val="ManualHeading2"/>
        <w:rPr>
          <w:noProof/>
        </w:rPr>
      </w:pPr>
      <w:r>
        <w:rPr>
          <w:noProof/>
        </w:rPr>
        <w:t>1.1.</w:t>
      </w:r>
      <w:r>
        <w:rPr>
          <w:noProof/>
        </w:rPr>
        <w:tab/>
        <w:t>GÆLDENDE RETSAKTER</w:t>
      </w:r>
    </w:p>
    <w:p>
      <w:pPr>
        <w:pStyle w:val="Text1"/>
        <w:rPr>
          <w:noProof/>
        </w:rPr>
      </w:pPr>
      <w:r>
        <w:rPr>
          <w:noProof/>
        </w:rPr>
        <w:t>I denne CCN/CSI SLA tages hensyn til nedenstående liste over aftaler og gældende afgørelser.</w:t>
      </w:r>
      <w:r>
        <w:rPr>
          <w:noProof/>
          <w:highlight w:val="yellow"/>
        </w:rPr>
        <w:t xml:space="preserve"> </w:t>
      </w:r>
    </w:p>
    <w:tbl>
      <w:tblPr>
        <w:tblW w:w="8280"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6840"/>
      </w:tblGrid>
      <w:tr>
        <w:tc>
          <w:tcPr>
            <w:tcW w:w="1440" w:type="dxa"/>
          </w:tcPr>
          <w:p>
            <w:pPr>
              <w:numPr>
                <w:ilvl w:val="0"/>
                <w:numId w:val="33"/>
              </w:numPr>
              <w:spacing w:before="60" w:after="60" w:line="276" w:lineRule="auto"/>
              <w:jc w:val="right"/>
              <w:rPr>
                <w:rFonts w:eastAsia="Times New Roman"/>
                <w:noProof/>
                <w:szCs w:val="24"/>
              </w:rPr>
            </w:pPr>
          </w:p>
        </w:tc>
        <w:tc>
          <w:tcPr>
            <w:tcW w:w="6840" w:type="dxa"/>
          </w:tcPr>
          <w:p>
            <w:pPr>
              <w:spacing w:before="60" w:after="60"/>
              <w:rPr>
                <w:rFonts w:eastAsia="Times New Roman"/>
                <w:noProof/>
                <w:szCs w:val="24"/>
              </w:rPr>
            </w:pPr>
            <w:r>
              <w:rPr>
                <w:noProof/>
              </w:rPr>
              <w:t>Aftale mellem Den Europæiske Union og Kongeriget Norge om administrativt samarbejde, bekæmpelse af svig og inddrivelse af fordringer på momsområdet ("aftalen") (EUT L 195 af 1.8.2018, s. 3)</w:t>
            </w:r>
          </w:p>
          <w:p>
            <w:pPr>
              <w:spacing w:before="60" w:after="60"/>
              <w:rPr>
                <w:rFonts w:eastAsia="Times New Roman"/>
                <w:b/>
                <w:noProof/>
                <w:szCs w:val="24"/>
              </w:rPr>
            </w:pPr>
          </w:p>
        </w:tc>
      </w:tr>
      <w:tr>
        <w:tc>
          <w:tcPr>
            <w:tcW w:w="1440" w:type="dxa"/>
          </w:tcPr>
          <w:p>
            <w:pPr>
              <w:numPr>
                <w:ilvl w:val="0"/>
                <w:numId w:val="33"/>
              </w:numPr>
              <w:spacing w:before="60" w:after="60" w:line="276" w:lineRule="auto"/>
              <w:jc w:val="right"/>
              <w:rPr>
                <w:rFonts w:eastAsia="Times New Roman"/>
                <w:noProof/>
                <w:szCs w:val="24"/>
              </w:rPr>
            </w:pPr>
          </w:p>
        </w:tc>
        <w:tc>
          <w:tcPr>
            <w:tcW w:w="6840" w:type="dxa"/>
          </w:tcPr>
          <w:p>
            <w:pPr>
              <w:spacing w:before="60" w:after="60"/>
              <w:rPr>
                <w:rFonts w:eastAsia="Times New Roman"/>
                <w:i/>
                <w:noProof/>
                <w:szCs w:val="24"/>
              </w:rPr>
            </w:pPr>
            <w:r>
              <w:rPr>
                <w:noProof/>
              </w:rPr>
              <w:t xml:space="preserve">Det XX blandede udvalgs afgørelse om gennemførelse af aftalens artikel 41, stk. 2, litra d), e), g) og h), for så vidt angår standardformularerne, videregivelsen af kommunikation og organiseringen af kontakter af </w:t>
            </w:r>
            <w:r>
              <w:rPr>
                <w:i/>
                <w:noProof/>
                <w:szCs w:val="24"/>
              </w:rPr>
              <w:t>[dato]</w:t>
            </w:r>
          </w:p>
          <w:p>
            <w:pPr>
              <w:spacing w:before="60" w:after="60"/>
              <w:rPr>
                <w:rFonts w:eastAsia="Times New Roman"/>
                <w:noProof/>
                <w:szCs w:val="24"/>
              </w:rPr>
            </w:pPr>
          </w:p>
        </w:tc>
      </w:tr>
    </w:tbl>
    <w:p>
      <w:pPr>
        <w:spacing w:before="60" w:after="0"/>
        <w:jc w:val="center"/>
        <w:rPr>
          <w:rFonts w:eastAsia="Times New Roman"/>
          <w:noProof/>
          <w:sz w:val="20"/>
          <w:szCs w:val="20"/>
        </w:rPr>
      </w:pPr>
      <w:r>
        <w:rPr>
          <w:noProof/>
        </w:rPr>
        <w:t xml:space="preserve">Tabel </w:t>
      </w:r>
      <w:r>
        <w:rPr>
          <w:rFonts w:eastAsia="Times New Roman"/>
          <w:noProof/>
          <w:sz w:val="20"/>
          <w:szCs w:val="20"/>
        </w:rPr>
        <w:fldChar w:fldCharType="begin"/>
      </w:r>
      <w:r>
        <w:rPr>
          <w:rFonts w:eastAsia="Times New Roman"/>
          <w:noProof/>
          <w:sz w:val="20"/>
          <w:szCs w:val="20"/>
        </w:rPr>
        <w:instrText xml:space="preserve"> SEQ Table \* ARABIC </w:instrText>
      </w:r>
      <w:r>
        <w:rPr>
          <w:rFonts w:eastAsia="Times New Roman"/>
          <w:noProof/>
          <w:sz w:val="20"/>
          <w:szCs w:val="20"/>
        </w:rPr>
        <w:fldChar w:fldCharType="separate"/>
      </w:r>
      <w:r>
        <w:rPr>
          <w:rFonts w:eastAsia="Times New Roman"/>
          <w:noProof/>
          <w:sz w:val="20"/>
          <w:szCs w:val="20"/>
        </w:rPr>
        <w:t>7</w:t>
      </w:r>
      <w:r>
        <w:rPr>
          <w:rFonts w:eastAsia="Times New Roman"/>
          <w:noProof/>
          <w:sz w:val="20"/>
          <w:szCs w:val="20"/>
        </w:rPr>
        <w:fldChar w:fldCharType="end"/>
      </w:r>
      <w:r>
        <w:rPr>
          <w:noProof/>
          <w:sz w:val="20"/>
          <w:szCs w:val="20"/>
        </w:rPr>
        <w:t>: Gældende retsakter</w:t>
      </w:r>
    </w:p>
    <w:p>
      <w:pPr>
        <w:pStyle w:val="ManualHeading2"/>
        <w:rPr>
          <w:noProof/>
        </w:rPr>
      </w:pPr>
      <w:r>
        <w:rPr>
          <w:noProof/>
        </w:rPr>
        <w:t>1.2.</w:t>
      </w:r>
      <w:r>
        <w:rPr>
          <w:noProof/>
        </w:rPr>
        <w:tab/>
        <w:t>REFERENCEDOKUMENTER</w:t>
      </w:r>
    </w:p>
    <w:p>
      <w:pPr>
        <w:pStyle w:val="Text1"/>
        <w:rPr>
          <w:noProof/>
        </w:rPr>
      </w:pPr>
      <w:r>
        <w:rPr>
          <w:noProof/>
        </w:rPr>
        <w:t xml:space="preserve">I denne CCN/CSI SLA tages hensyn til oplysningerne i nedenstående referencedokumenter. Gældende versioner af dokumenterne er de tilgængelige versioner på tidspunktet for undertegnelsen af denne aftale. </w:t>
      </w:r>
    </w:p>
    <w:tbl>
      <w:tblPr>
        <w:tblStyle w:val="TableGrid2"/>
        <w:tblW w:w="0" w:type="auto"/>
        <w:tblInd w:w="948" w:type="dxa"/>
        <w:tblLook w:val="04A0" w:firstRow="1" w:lastRow="0" w:firstColumn="1" w:lastColumn="0" w:noHBand="0" w:noVBand="1"/>
      </w:tblPr>
      <w:tblGrid>
        <w:gridCol w:w="948"/>
        <w:gridCol w:w="2760"/>
        <w:gridCol w:w="2503"/>
        <w:gridCol w:w="2069"/>
      </w:tblGrid>
      <w:tr>
        <w:tc>
          <w:tcPr>
            <w:tcW w:w="948" w:type="dxa"/>
            <w:shd w:val="clear" w:color="auto" w:fill="D9D9D9"/>
          </w:tcPr>
          <w:p>
            <w:pPr>
              <w:spacing w:before="0" w:after="0"/>
              <w:rPr>
                <w:rFonts w:eastAsia="Calibri"/>
                <w:b/>
                <w:noProof/>
              </w:rPr>
            </w:pPr>
            <w:r>
              <w:rPr>
                <w:b/>
                <w:noProof/>
              </w:rPr>
              <w:t>ID</w:t>
            </w:r>
          </w:p>
        </w:tc>
        <w:tc>
          <w:tcPr>
            <w:tcW w:w="2760" w:type="dxa"/>
            <w:shd w:val="clear" w:color="auto" w:fill="D9D9D9"/>
          </w:tcPr>
          <w:p>
            <w:pPr>
              <w:spacing w:before="0" w:after="0"/>
              <w:ind w:right="132"/>
              <w:jc w:val="left"/>
              <w:rPr>
                <w:rFonts w:eastAsia="Calibri"/>
                <w:b/>
                <w:noProof/>
              </w:rPr>
            </w:pPr>
            <w:r>
              <w:rPr>
                <w:b/>
                <w:noProof/>
              </w:rPr>
              <w:t>REFERENCE</w:t>
            </w:r>
          </w:p>
        </w:tc>
        <w:tc>
          <w:tcPr>
            <w:tcW w:w="2503" w:type="dxa"/>
            <w:shd w:val="clear" w:color="auto" w:fill="D9D9D9"/>
          </w:tcPr>
          <w:p>
            <w:pPr>
              <w:spacing w:before="0" w:after="0"/>
              <w:rPr>
                <w:rFonts w:eastAsia="Calibri"/>
                <w:b/>
                <w:noProof/>
              </w:rPr>
            </w:pPr>
            <w:r>
              <w:rPr>
                <w:b/>
                <w:noProof/>
              </w:rPr>
              <w:t>TITEL</w:t>
            </w:r>
          </w:p>
        </w:tc>
        <w:tc>
          <w:tcPr>
            <w:tcW w:w="2069" w:type="dxa"/>
            <w:shd w:val="clear" w:color="auto" w:fill="D9D9D9"/>
          </w:tcPr>
          <w:p>
            <w:pPr>
              <w:spacing w:before="0" w:after="0"/>
              <w:rPr>
                <w:rFonts w:eastAsia="Calibri"/>
                <w:b/>
                <w:noProof/>
              </w:rPr>
            </w:pPr>
            <w:r>
              <w:rPr>
                <w:b/>
                <w:noProof/>
              </w:rPr>
              <w:t>VERSION</w:t>
            </w:r>
          </w:p>
        </w:tc>
      </w:tr>
      <w:tr>
        <w:tc>
          <w:tcPr>
            <w:tcW w:w="948" w:type="dxa"/>
            <w:vAlign w:val="bottom"/>
          </w:tcPr>
          <w:p>
            <w:pPr>
              <w:spacing w:before="0" w:after="0"/>
              <w:jc w:val="left"/>
              <w:rPr>
                <w:rFonts w:eastAsia="Calibri"/>
                <w:noProof/>
                <w:szCs w:val="24"/>
              </w:rPr>
            </w:pPr>
            <w:hyperlink r:id="rId19" w:history="1">
              <w:r>
                <w:rPr>
                  <w:noProof/>
                  <w:color w:val="0000FF"/>
                  <w:szCs w:val="24"/>
                  <w:u w:val="single"/>
                </w:rPr>
                <w:t>RD1</w:t>
              </w:r>
            </w:hyperlink>
          </w:p>
        </w:tc>
        <w:tc>
          <w:tcPr>
            <w:tcW w:w="2760" w:type="dxa"/>
            <w:vAlign w:val="bottom"/>
          </w:tcPr>
          <w:p>
            <w:pPr>
              <w:spacing w:before="0" w:after="0"/>
              <w:ind w:right="132"/>
              <w:jc w:val="left"/>
              <w:rPr>
                <w:rFonts w:eastAsia="Calibri"/>
                <w:noProof/>
                <w:szCs w:val="24"/>
              </w:rPr>
            </w:pPr>
            <w:r>
              <w:rPr>
                <w:noProof/>
              </w:rPr>
              <w:t>CCN-COVW-GEN</w:t>
            </w:r>
          </w:p>
        </w:tc>
        <w:tc>
          <w:tcPr>
            <w:tcW w:w="2503" w:type="dxa"/>
            <w:vAlign w:val="bottom"/>
          </w:tcPr>
          <w:p>
            <w:pPr>
              <w:spacing w:before="0" w:after="0"/>
              <w:ind w:left="84" w:right="-747"/>
              <w:jc w:val="left"/>
              <w:rPr>
                <w:rFonts w:eastAsia="Calibri"/>
                <w:noProof/>
                <w:szCs w:val="24"/>
              </w:rPr>
            </w:pPr>
            <w:r>
              <w:rPr>
                <w:noProof/>
              </w:rPr>
              <w:t>CCN/CSI &amp; SPEED2 Systems Overview</w:t>
            </w:r>
          </w:p>
        </w:tc>
        <w:tc>
          <w:tcPr>
            <w:tcW w:w="2069" w:type="dxa"/>
            <w:vAlign w:val="bottom"/>
          </w:tcPr>
          <w:p>
            <w:pPr>
              <w:spacing w:before="0" w:after="0"/>
              <w:ind w:left="84" w:right="-747"/>
              <w:jc w:val="left"/>
              <w:rPr>
                <w:rFonts w:eastAsia="Calibri"/>
                <w:noProof/>
                <w:szCs w:val="24"/>
              </w:rPr>
            </w:pPr>
            <w:r>
              <w:rPr>
                <w:noProof/>
              </w:rPr>
              <w:t>EN18.01</w:t>
            </w:r>
          </w:p>
        </w:tc>
      </w:tr>
      <w:tr>
        <w:tc>
          <w:tcPr>
            <w:tcW w:w="948" w:type="dxa"/>
            <w:vAlign w:val="bottom"/>
          </w:tcPr>
          <w:p>
            <w:pPr>
              <w:spacing w:before="0" w:after="0"/>
              <w:jc w:val="left"/>
              <w:rPr>
                <w:rFonts w:eastAsia="Calibri"/>
                <w:noProof/>
                <w:szCs w:val="24"/>
              </w:rPr>
            </w:pPr>
            <w:hyperlink r:id="rId20" w:history="1">
              <w:r>
                <w:rPr>
                  <w:noProof/>
                  <w:color w:val="0000FF"/>
                  <w:szCs w:val="24"/>
                  <w:u w:val="single"/>
                </w:rPr>
                <w:t>RD2</w:t>
              </w:r>
            </w:hyperlink>
          </w:p>
        </w:tc>
        <w:tc>
          <w:tcPr>
            <w:tcW w:w="2760" w:type="dxa"/>
            <w:vAlign w:val="bottom"/>
          </w:tcPr>
          <w:p>
            <w:pPr>
              <w:spacing w:before="0" w:after="0"/>
              <w:ind w:right="132"/>
              <w:jc w:val="left"/>
              <w:rPr>
                <w:rFonts w:eastAsia="Calibri"/>
                <w:noProof/>
                <w:szCs w:val="24"/>
              </w:rPr>
            </w:pPr>
            <w:r>
              <w:rPr>
                <w:noProof/>
              </w:rPr>
              <w:t>CCN-CMPR-GW</w:t>
            </w:r>
          </w:p>
        </w:tc>
        <w:tc>
          <w:tcPr>
            <w:tcW w:w="2503" w:type="dxa"/>
            <w:vAlign w:val="bottom"/>
          </w:tcPr>
          <w:p>
            <w:pPr>
              <w:spacing w:before="0" w:after="0"/>
              <w:ind w:left="84" w:right="-747"/>
              <w:jc w:val="left"/>
              <w:rPr>
                <w:rFonts w:eastAsia="Calibri"/>
                <w:noProof/>
                <w:szCs w:val="24"/>
              </w:rPr>
            </w:pPr>
            <w:r>
              <w:rPr>
                <w:noProof/>
              </w:rPr>
              <w:t>CCN Gateways Management Procedures</w:t>
            </w:r>
          </w:p>
        </w:tc>
        <w:tc>
          <w:tcPr>
            <w:tcW w:w="2069" w:type="dxa"/>
            <w:vAlign w:val="bottom"/>
          </w:tcPr>
          <w:p>
            <w:pPr>
              <w:spacing w:before="0" w:after="0"/>
              <w:ind w:left="84" w:right="-747"/>
              <w:jc w:val="left"/>
              <w:rPr>
                <w:rFonts w:eastAsia="Calibri"/>
                <w:noProof/>
                <w:szCs w:val="24"/>
              </w:rPr>
            </w:pPr>
            <w:r>
              <w:rPr>
                <w:noProof/>
              </w:rPr>
              <w:t>EN19.20</w:t>
            </w:r>
          </w:p>
        </w:tc>
      </w:tr>
      <w:tr>
        <w:tc>
          <w:tcPr>
            <w:tcW w:w="948" w:type="dxa"/>
            <w:vAlign w:val="bottom"/>
          </w:tcPr>
          <w:p>
            <w:pPr>
              <w:spacing w:before="0" w:after="0"/>
              <w:jc w:val="left"/>
              <w:rPr>
                <w:rFonts w:eastAsia="Calibri"/>
                <w:noProof/>
                <w:szCs w:val="24"/>
              </w:rPr>
            </w:pPr>
            <w:hyperlink r:id="rId21" w:history="1">
              <w:r>
                <w:rPr>
                  <w:noProof/>
                  <w:color w:val="0000FF"/>
                  <w:szCs w:val="24"/>
                  <w:u w:val="single"/>
                </w:rPr>
                <w:t>RD3</w:t>
              </w:r>
            </w:hyperlink>
          </w:p>
        </w:tc>
        <w:tc>
          <w:tcPr>
            <w:tcW w:w="2760" w:type="dxa"/>
            <w:vAlign w:val="bottom"/>
          </w:tcPr>
          <w:p>
            <w:pPr>
              <w:spacing w:before="0" w:after="0"/>
              <w:ind w:right="132"/>
              <w:jc w:val="left"/>
              <w:rPr>
                <w:rFonts w:eastAsia="Calibri"/>
                <w:noProof/>
                <w:szCs w:val="24"/>
              </w:rPr>
            </w:pPr>
            <w:r>
              <w:rPr>
                <w:noProof/>
              </w:rPr>
              <w:t>CCN-CSEC-POL</w:t>
            </w:r>
          </w:p>
        </w:tc>
        <w:tc>
          <w:tcPr>
            <w:tcW w:w="2503" w:type="dxa"/>
            <w:vAlign w:val="bottom"/>
          </w:tcPr>
          <w:p>
            <w:pPr>
              <w:spacing w:before="0" w:after="0"/>
              <w:ind w:left="84" w:right="-747"/>
              <w:jc w:val="left"/>
              <w:rPr>
                <w:rFonts w:eastAsia="Calibri"/>
                <w:noProof/>
                <w:szCs w:val="24"/>
              </w:rPr>
            </w:pPr>
            <w:r>
              <w:rPr>
                <w:noProof/>
              </w:rPr>
              <w:t>CCN/CSI General Security Policy</w:t>
            </w:r>
          </w:p>
        </w:tc>
        <w:tc>
          <w:tcPr>
            <w:tcW w:w="2069" w:type="dxa"/>
            <w:vAlign w:val="bottom"/>
          </w:tcPr>
          <w:p>
            <w:pPr>
              <w:spacing w:before="0" w:after="0"/>
              <w:ind w:left="84" w:right="-747"/>
              <w:jc w:val="left"/>
              <w:rPr>
                <w:rFonts w:eastAsia="Calibri"/>
                <w:noProof/>
                <w:szCs w:val="24"/>
              </w:rPr>
            </w:pPr>
            <w:r>
              <w:rPr>
                <w:noProof/>
              </w:rPr>
              <w:t>EN05.00</w:t>
            </w:r>
          </w:p>
        </w:tc>
      </w:tr>
      <w:tr>
        <w:tc>
          <w:tcPr>
            <w:tcW w:w="948" w:type="dxa"/>
            <w:vAlign w:val="bottom"/>
          </w:tcPr>
          <w:p>
            <w:pPr>
              <w:spacing w:before="0" w:after="0"/>
              <w:jc w:val="left"/>
              <w:rPr>
                <w:rFonts w:eastAsia="Calibri"/>
                <w:noProof/>
                <w:szCs w:val="24"/>
              </w:rPr>
            </w:pPr>
            <w:hyperlink r:id="rId22" w:history="1">
              <w:r>
                <w:rPr>
                  <w:noProof/>
                  <w:color w:val="0000FF"/>
                  <w:szCs w:val="24"/>
                  <w:u w:val="single"/>
                </w:rPr>
                <w:t>RD4</w:t>
              </w:r>
            </w:hyperlink>
          </w:p>
        </w:tc>
        <w:tc>
          <w:tcPr>
            <w:tcW w:w="2760" w:type="dxa"/>
            <w:vAlign w:val="bottom"/>
          </w:tcPr>
          <w:p>
            <w:pPr>
              <w:spacing w:before="0" w:after="0"/>
              <w:ind w:right="132"/>
              <w:jc w:val="left"/>
              <w:rPr>
                <w:rFonts w:eastAsia="Calibri"/>
                <w:noProof/>
                <w:szCs w:val="24"/>
              </w:rPr>
            </w:pPr>
            <w:r>
              <w:rPr>
                <w:noProof/>
              </w:rPr>
              <w:t>CCN-CSEC-BSCK</w:t>
            </w:r>
          </w:p>
        </w:tc>
        <w:tc>
          <w:tcPr>
            <w:tcW w:w="2503" w:type="dxa"/>
            <w:vAlign w:val="bottom"/>
          </w:tcPr>
          <w:p>
            <w:pPr>
              <w:spacing w:before="0" w:after="0"/>
              <w:ind w:left="84" w:right="-747"/>
              <w:jc w:val="left"/>
              <w:rPr>
                <w:rFonts w:eastAsia="Calibri"/>
                <w:noProof/>
                <w:szCs w:val="24"/>
              </w:rPr>
            </w:pPr>
            <w:r>
              <w:rPr>
                <w:noProof/>
              </w:rPr>
              <w:t>CCN/CSI Baseline Security Checklist</w:t>
            </w:r>
          </w:p>
        </w:tc>
        <w:tc>
          <w:tcPr>
            <w:tcW w:w="2069" w:type="dxa"/>
            <w:vAlign w:val="bottom"/>
          </w:tcPr>
          <w:p>
            <w:pPr>
              <w:spacing w:before="0" w:after="0"/>
              <w:ind w:left="84" w:right="-747"/>
              <w:jc w:val="left"/>
              <w:rPr>
                <w:rFonts w:eastAsia="Calibri"/>
                <w:noProof/>
                <w:szCs w:val="24"/>
              </w:rPr>
            </w:pPr>
            <w:r>
              <w:rPr>
                <w:noProof/>
              </w:rPr>
              <w:t>EN03.00</w:t>
            </w:r>
          </w:p>
        </w:tc>
      </w:tr>
      <w:tr>
        <w:tc>
          <w:tcPr>
            <w:tcW w:w="948" w:type="dxa"/>
            <w:vAlign w:val="bottom"/>
          </w:tcPr>
          <w:p>
            <w:pPr>
              <w:spacing w:before="0" w:after="0"/>
              <w:jc w:val="left"/>
              <w:rPr>
                <w:rFonts w:eastAsia="Calibri"/>
                <w:noProof/>
                <w:szCs w:val="24"/>
              </w:rPr>
            </w:pPr>
            <w:hyperlink r:id="rId23" w:history="1">
              <w:r>
                <w:rPr>
                  <w:noProof/>
                  <w:color w:val="0000FF"/>
                  <w:szCs w:val="24"/>
                  <w:u w:val="single"/>
                </w:rPr>
                <w:t>RD5</w:t>
              </w:r>
            </w:hyperlink>
          </w:p>
        </w:tc>
        <w:tc>
          <w:tcPr>
            <w:tcW w:w="2760" w:type="dxa"/>
            <w:vAlign w:val="bottom"/>
          </w:tcPr>
          <w:p>
            <w:pPr>
              <w:spacing w:before="0" w:after="0"/>
              <w:ind w:right="132"/>
              <w:jc w:val="left"/>
              <w:rPr>
                <w:rFonts w:eastAsia="Calibri"/>
                <w:noProof/>
                <w:szCs w:val="24"/>
              </w:rPr>
            </w:pPr>
            <w:r>
              <w:rPr>
                <w:noProof/>
              </w:rPr>
              <w:t>CCN-CLST-ROL</w:t>
            </w:r>
          </w:p>
        </w:tc>
        <w:tc>
          <w:tcPr>
            <w:tcW w:w="2503" w:type="dxa"/>
            <w:vAlign w:val="bottom"/>
          </w:tcPr>
          <w:p>
            <w:pPr>
              <w:spacing w:before="0" w:after="0"/>
              <w:ind w:left="84" w:right="-747"/>
              <w:jc w:val="left"/>
              <w:rPr>
                <w:rFonts w:eastAsia="Calibri"/>
                <w:noProof/>
                <w:szCs w:val="24"/>
              </w:rPr>
            </w:pPr>
            <w:r>
              <w:rPr>
                <w:noProof/>
              </w:rPr>
              <w:t>Beskrivelse af CCN/CSI-roller</w:t>
            </w:r>
          </w:p>
        </w:tc>
        <w:tc>
          <w:tcPr>
            <w:tcW w:w="2069" w:type="dxa"/>
            <w:vAlign w:val="bottom"/>
          </w:tcPr>
          <w:p>
            <w:pPr>
              <w:spacing w:before="0" w:after="0"/>
              <w:ind w:left="84" w:right="-747"/>
              <w:jc w:val="left"/>
              <w:rPr>
                <w:rFonts w:eastAsia="Calibri"/>
                <w:noProof/>
                <w:szCs w:val="24"/>
              </w:rPr>
            </w:pPr>
            <w:r>
              <w:rPr>
                <w:noProof/>
              </w:rPr>
              <w:t>EN02.10</w:t>
            </w:r>
          </w:p>
        </w:tc>
      </w:tr>
      <w:tr>
        <w:tc>
          <w:tcPr>
            <w:tcW w:w="948" w:type="dxa"/>
            <w:vAlign w:val="bottom"/>
          </w:tcPr>
          <w:p>
            <w:pPr>
              <w:spacing w:before="0" w:after="0"/>
              <w:jc w:val="left"/>
              <w:rPr>
                <w:rFonts w:eastAsia="Calibri"/>
                <w:noProof/>
                <w:szCs w:val="24"/>
              </w:rPr>
            </w:pPr>
            <w:hyperlink r:id="rId24" w:history="1">
              <w:r>
                <w:rPr>
                  <w:noProof/>
                  <w:color w:val="0000FF"/>
                  <w:szCs w:val="24"/>
                  <w:u w:val="single"/>
                </w:rPr>
                <w:t>RD6</w:t>
              </w:r>
            </w:hyperlink>
          </w:p>
        </w:tc>
        <w:tc>
          <w:tcPr>
            <w:tcW w:w="2760" w:type="dxa"/>
            <w:vAlign w:val="bottom"/>
          </w:tcPr>
          <w:p>
            <w:pPr>
              <w:spacing w:before="0" w:after="0"/>
              <w:ind w:right="132"/>
              <w:jc w:val="left"/>
              <w:rPr>
                <w:rFonts w:eastAsia="Calibri"/>
                <w:noProof/>
                <w:szCs w:val="24"/>
              </w:rPr>
            </w:pPr>
            <w:r>
              <w:rPr>
                <w:noProof/>
              </w:rPr>
              <w:t>CCN-CNEX-031</w:t>
            </w:r>
          </w:p>
        </w:tc>
        <w:tc>
          <w:tcPr>
            <w:tcW w:w="2503" w:type="dxa"/>
            <w:vAlign w:val="bottom"/>
          </w:tcPr>
          <w:p>
            <w:pPr>
              <w:spacing w:before="0" w:after="0"/>
              <w:ind w:left="84" w:right="-747"/>
              <w:jc w:val="left"/>
              <w:rPr>
                <w:rFonts w:eastAsia="Calibri"/>
                <w:noProof/>
                <w:szCs w:val="24"/>
              </w:rPr>
            </w:pPr>
            <w:r>
              <w:rPr>
                <w:noProof/>
              </w:rPr>
              <w:t>Ekstern note 031 – Procedure for the Move of a CCN/CSI Site</w:t>
            </w:r>
          </w:p>
        </w:tc>
        <w:tc>
          <w:tcPr>
            <w:tcW w:w="2069" w:type="dxa"/>
            <w:vAlign w:val="bottom"/>
          </w:tcPr>
          <w:p>
            <w:pPr>
              <w:spacing w:before="0" w:after="0"/>
              <w:ind w:left="84" w:right="-747"/>
              <w:jc w:val="left"/>
              <w:rPr>
                <w:rFonts w:eastAsia="Calibri"/>
                <w:noProof/>
                <w:szCs w:val="24"/>
              </w:rPr>
            </w:pPr>
            <w:r>
              <w:rPr>
                <w:noProof/>
              </w:rPr>
              <w:t>EN06.20</w:t>
            </w:r>
          </w:p>
        </w:tc>
      </w:tr>
      <w:tr>
        <w:tc>
          <w:tcPr>
            <w:tcW w:w="948" w:type="dxa"/>
            <w:vAlign w:val="bottom"/>
          </w:tcPr>
          <w:p>
            <w:pPr>
              <w:spacing w:before="0" w:after="0"/>
              <w:jc w:val="left"/>
              <w:rPr>
                <w:rFonts w:eastAsia="Calibri"/>
                <w:noProof/>
                <w:szCs w:val="24"/>
              </w:rPr>
            </w:pPr>
            <w:hyperlink r:id="rId25" w:history="1">
              <w:r>
                <w:rPr>
                  <w:noProof/>
                  <w:color w:val="0000FF"/>
                  <w:szCs w:val="24"/>
                  <w:u w:val="single"/>
                </w:rPr>
                <w:t>RD7</w:t>
              </w:r>
            </w:hyperlink>
          </w:p>
        </w:tc>
        <w:tc>
          <w:tcPr>
            <w:tcW w:w="2760" w:type="dxa"/>
            <w:vAlign w:val="bottom"/>
          </w:tcPr>
          <w:p>
            <w:pPr>
              <w:spacing w:before="0" w:after="0"/>
              <w:ind w:right="132"/>
              <w:jc w:val="left"/>
              <w:rPr>
                <w:rFonts w:eastAsia="Calibri"/>
                <w:noProof/>
                <w:szCs w:val="24"/>
              </w:rPr>
            </w:pPr>
            <w:r>
              <w:rPr>
                <w:noProof/>
              </w:rPr>
              <w:t>CCN-CNEX-060</w:t>
            </w:r>
          </w:p>
        </w:tc>
        <w:tc>
          <w:tcPr>
            <w:tcW w:w="2503" w:type="dxa"/>
            <w:vAlign w:val="bottom"/>
          </w:tcPr>
          <w:p>
            <w:pPr>
              <w:spacing w:before="0" w:after="0"/>
              <w:ind w:left="84" w:right="-747"/>
              <w:jc w:val="left"/>
              <w:rPr>
                <w:rFonts w:eastAsia="Calibri"/>
                <w:noProof/>
                <w:szCs w:val="24"/>
              </w:rPr>
            </w:pPr>
            <w:r>
              <w:rPr>
                <w:noProof/>
              </w:rPr>
              <w:t>Ekstern Note 060 – Install new CCN Site</w:t>
            </w:r>
          </w:p>
        </w:tc>
        <w:tc>
          <w:tcPr>
            <w:tcW w:w="2069" w:type="dxa"/>
            <w:vAlign w:val="bottom"/>
          </w:tcPr>
          <w:p>
            <w:pPr>
              <w:spacing w:before="0" w:after="0"/>
              <w:ind w:left="84" w:right="-747"/>
              <w:jc w:val="left"/>
              <w:rPr>
                <w:rFonts w:eastAsia="Calibri"/>
                <w:noProof/>
                <w:szCs w:val="24"/>
              </w:rPr>
            </w:pPr>
            <w:r>
              <w:rPr>
                <w:noProof/>
              </w:rPr>
              <w:t>EN02.20</w:t>
            </w:r>
          </w:p>
        </w:tc>
      </w:tr>
      <w:tr>
        <w:tc>
          <w:tcPr>
            <w:tcW w:w="948" w:type="dxa"/>
            <w:vAlign w:val="bottom"/>
          </w:tcPr>
          <w:p>
            <w:pPr>
              <w:spacing w:before="0" w:after="0"/>
              <w:jc w:val="left"/>
              <w:rPr>
                <w:rFonts w:eastAsia="Calibri"/>
                <w:noProof/>
                <w:szCs w:val="24"/>
              </w:rPr>
            </w:pPr>
            <w:hyperlink r:id="rId26" w:history="1">
              <w:r>
                <w:rPr>
                  <w:noProof/>
                  <w:color w:val="0000FF"/>
                  <w:szCs w:val="24"/>
                  <w:u w:val="single"/>
                </w:rPr>
                <w:t>RD8</w:t>
              </w:r>
            </w:hyperlink>
          </w:p>
        </w:tc>
        <w:tc>
          <w:tcPr>
            <w:tcW w:w="2760" w:type="dxa"/>
            <w:vAlign w:val="bottom"/>
          </w:tcPr>
          <w:p>
            <w:pPr>
              <w:spacing w:before="0" w:after="0"/>
              <w:ind w:right="132"/>
              <w:jc w:val="left"/>
              <w:rPr>
                <w:rFonts w:eastAsia="Calibri"/>
                <w:noProof/>
                <w:szCs w:val="24"/>
              </w:rPr>
            </w:pPr>
            <w:r>
              <w:rPr>
                <w:noProof/>
              </w:rPr>
              <w:t>CCN/CSI-PRG-AP/C-01-MARB</w:t>
            </w:r>
          </w:p>
        </w:tc>
        <w:tc>
          <w:tcPr>
            <w:tcW w:w="2503" w:type="dxa"/>
            <w:vAlign w:val="bottom"/>
          </w:tcPr>
          <w:p>
            <w:pPr>
              <w:spacing w:before="0" w:after="0"/>
              <w:ind w:left="84" w:right="-747"/>
              <w:jc w:val="left"/>
              <w:rPr>
                <w:rFonts w:eastAsia="Calibri"/>
                <w:noProof/>
                <w:szCs w:val="24"/>
              </w:rPr>
            </w:pPr>
            <w:r>
              <w:rPr>
                <w:noProof/>
                <w:color w:val="000000"/>
                <w:szCs w:val="24"/>
              </w:rPr>
              <w:t>CCN/CSI-PRG-AP/C-01-MARB-Application Programming Guide (C Language)</w:t>
            </w:r>
          </w:p>
        </w:tc>
        <w:tc>
          <w:tcPr>
            <w:tcW w:w="2069" w:type="dxa"/>
            <w:vAlign w:val="bottom"/>
          </w:tcPr>
          <w:p>
            <w:pPr>
              <w:spacing w:before="0" w:after="0"/>
              <w:ind w:left="84" w:right="-747"/>
              <w:jc w:val="left"/>
              <w:rPr>
                <w:rFonts w:eastAsia="Calibri"/>
                <w:noProof/>
                <w:szCs w:val="24"/>
              </w:rPr>
            </w:pPr>
            <w:r>
              <w:rPr>
                <w:noProof/>
              </w:rPr>
              <w:t>EN11.00</w:t>
            </w:r>
          </w:p>
        </w:tc>
      </w:tr>
    </w:tbl>
    <w:p>
      <w:pPr>
        <w:spacing w:before="60"/>
        <w:jc w:val="center"/>
        <w:rPr>
          <w:rFonts w:eastAsia="Times New Roman"/>
          <w:noProof/>
          <w:sz w:val="20"/>
          <w:szCs w:val="20"/>
        </w:rPr>
      </w:pPr>
      <w:r>
        <w:rPr>
          <w:noProof/>
        </w:rPr>
        <w:lastRenderedPageBreak/>
        <w:t xml:space="preserve">Tabel </w:t>
      </w:r>
      <w:r>
        <w:rPr>
          <w:rFonts w:eastAsia="Times New Roman"/>
          <w:noProof/>
          <w:sz w:val="20"/>
          <w:szCs w:val="20"/>
        </w:rPr>
        <w:fldChar w:fldCharType="begin"/>
      </w:r>
      <w:r>
        <w:rPr>
          <w:rFonts w:eastAsia="Times New Roman"/>
          <w:noProof/>
          <w:sz w:val="20"/>
          <w:szCs w:val="20"/>
        </w:rPr>
        <w:instrText xml:space="preserve"> SEQ Table \* ARABIC </w:instrText>
      </w:r>
      <w:r>
        <w:rPr>
          <w:rFonts w:eastAsia="Times New Roman"/>
          <w:noProof/>
          <w:sz w:val="20"/>
          <w:szCs w:val="20"/>
        </w:rPr>
        <w:fldChar w:fldCharType="separate"/>
      </w:r>
      <w:r>
        <w:rPr>
          <w:rFonts w:eastAsia="Times New Roman"/>
          <w:noProof/>
          <w:sz w:val="20"/>
          <w:szCs w:val="20"/>
        </w:rPr>
        <w:t>8</w:t>
      </w:r>
      <w:r>
        <w:rPr>
          <w:rFonts w:eastAsia="Times New Roman"/>
          <w:noProof/>
          <w:sz w:val="20"/>
          <w:szCs w:val="20"/>
        </w:rPr>
        <w:fldChar w:fldCharType="end"/>
      </w:r>
      <w:r>
        <w:rPr>
          <w:noProof/>
          <w:sz w:val="20"/>
          <w:szCs w:val="20"/>
        </w:rPr>
        <w:t>: Referencedokumenter</w:t>
      </w:r>
    </w:p>
    <w:p>
      <w:pPr>
        <w:pStyle w:val="ManualHeading1"/>
        <w:rPr>
          <w:noProof/>
        </w:rPr>
      </w:pPr>
      <w:r>
        <w:rPr>
          <w:noProof/>
        </w:rPr>
        <w:t>2.</w:t>
      </w:r>
      <w:r>
        <w:rPr>
          <w:noProof/>
        </w:rPr>
        <w:tab/>
      </w:r>
      <w:r>
        <w:rPr>
          <w:noProof/>
          <w:u w:val="single"/>
        </w:rPr>
        <w:t>TERMINOLOGI</w:t>
      </w:r>
    </w:p>
    <w:p>
      <w:pPr>
        <w:pStyle w:val="ManualHeading2"/>
        <w:rPr>
          <w:noProof/>
        </w:rPr>
      </w:pPr>
      <w:r>
        <w:rPr>
          <w:noProof/>
        </w:rPr>
        <w:t>2.1.</w:t>
      </w:r>
      <w:r>
        <w:rPr>
          <w:noProof/>
        </w:rPr>
        <w:tab/>
        <w:t xml:space="preserve">AKRONYMER </w:t>
      </w:r>
    </w:p>
    <w:tbl>
      <w:tblPr>
        <w:tblStyle w:val="TableGrid"/>
        <w:tblW w:w="8363" w:type="dxa"/>
        <w:tblInd w:w="959" w:type="dxa"/>
        <w:tblLook w:val="04A0" w:firstRow="1" w:lastRow="0" w:firstColumn="1" w:lastColumn="0" w:noHBand="0" w:noVBand="1"/>
      </w:tblPr>
      <w:tblGrid>
        <w:gridCol w:w="2268"/>
        <w:gridCol w:w="6095"/>
      </w:tblGrid>
      <w:tr>
        <w:tc>
          <w:tcPr>
            <w:tcW w:w="2268" w:type="dxa"/>
            <w:shd w:val="clear" w:color="auto" w:fill="D9D9D9" w:themeFill="background1" w:themeFillShade="D9"/>
          </w:tcPr>
          <w:p>
            <w:pPr>
              <w:pStyle w:val="Text1"/>
              <w:spacing w:before="0" w:after="0"/>
              <w:ind w:left="0"/>
              <w:rPr>
                <w:noProof/>
              </w:rPr>
            </w:pPr>
            <w:r>
              <w:rPr>
                <w:b/>
                <w:caps/>
                <w:noProof/>
                <w:szCs w:val="24"/>
              </w:rPr>
              <w:t>Akronymer</w:t>
            </w:r>
          </w:p>
        </w:tc>
        <w:tc>
          <w:tcPr>
            <w:tcW w:w="6095" w:type="dxa"/>
            <w:shd w:val="clear" w:color="auto" w:fill="D9D9D9" w:themeFill="background1" w:themeFillShade="D9"/>
          </w:tcPr>
          <w:p>
            <w:pPr>
              <w:pStyle w:val="Text1"/>
              <w:spacing w:before="0" w:after="0"/>
              <w:ind w:left="0"/>
              <w:rPr>
                <w:b/>
                <w:noProof/>
              </w:rPr>
            </w:pPr>
            <w:r>
              <w:rPr>
                <w:b/>
                <w:noProof/>
              </w:rPr>
              <w:t>DEFINITIONER</w:t>
            </w:r>
          </w:p>
        </w:tc>
      </w:tr>
      <w:tr>
        <w:tc>
          <w:tcPr>
            <w:tcW w:w="2268" w:type="dxa"/>
            <w:vAlign w:val="bottom"/>
          </w:tcPr>
          <w:p>
            <w:pPr>
              <w:pStyle w:val="Text1"/>
              <w:spacing w:before="0" w:after="0"/>
              <w:ind w:left="0"/>
              <w:rPr>
                <w:noProof/>
              </w:rPr>
            </w:pPr>
            <w:r>
              <w:rPr>
                <w:noProof/>
              </w:rPr>
              <w:t>ACT</w:t>
            </w:r>
          </w:p>
        </w:tc>
        <w:tc>
          <w:tcPr>
            <w:tcW w:w="6095" w:type="dxa"/>
            <w:vAlign w:val="bottom"/>
          </w:tcPr>
          <w:p>
            <w:pPr>
              <w:pStyle w:val="Text1"/>
              <w:spacing w:before="0" w:after="0"/>
              <w:ind w:left="0"/>
              <w:rPr>
                <w:noProof/>
              </w:rPr>
            </w:pPr>
            <w:r>
              <w:rPr>
                <w:noProof/>
              </w:rPr>
              <w:t>Værktøj til applikationskonfiguration</w:t>
            </w:r>
          </w:p>
        </w:tc>
      </w:tr>
      <w:tr>
        <w:tc>
          <w:tcPr>
            <w:tcW w:w="2268" w:type="dxa"/>
            <w:vAlign w:val="bottom"/>
          </w:tcPr>
          <w:p>
            <w:pPr>
              <w:pStyle w:val="Text1"/>
              <w:spacing w:before="0" w:after="0"/>
              <w:ind w:left="0"/>
              <w:rPr>
                <w:noProof/>
              </w:rPr>
            </w:pPr>
            <w:r>
              <w:rPr>
                <w:noProof/>
              </w:rPr>
              <w:t>AIX</w:t>
            </w:r>
          </w:p>
        </w:tc>
        <w:tc>
          <w:tcPr>
            <w:tcW w:w="6095" w:type="dxa"/>
            <w:vAlign w:val="bottom"/>
          </w:tcPr>
          <w:p>
            <w:pPr>
              <w:pStyle w:val="Text1"/>
              <w:spacing w:before="0" w:after="0"/>
              <w:ind w:left="0"/>
              <w:rPr>
                <w:noProof/>
              </w:rPr>
            </w:pPr>
            <w:r>
              <w:rPr>
                <w:noProof/>
              </w:rPr>
              <w:t>IBM Unix OS</w:t>
            </w:r>
          </w:p>
        </w:tc>
      </w:tr>
      <w:tr>
        <w:tc>
          <w:tcPr>
            <w:tcW w:w="2268" w:type="dxa"/>
            <w:vAlign w:val="bottom"/>
          </w:tcPr>
          <w:p>
            <w:pPr>
              <w:pStyle w:val="Text1"/>
              <w:spacing w:before="0" w:after="0"/>
              <w:ind w:left="0"/>
              <w:rPr>
                <w:noProof/>
              </w:rPr>
            </w:pPr>
            <w:r>
              <w:rPr>
                <w:noProof/>
              </w:rPr>
              <w:t>CBS</w:t>
            </w:r>
          </w:p>
        </w:tc>
        <w:tc>
          <w:tcPr>
            <w:tcW w:w="6095" w:type="dxa"/>
            <w:vAlign w:val="bottom"/>
          </w:tcPr>
          <w:p>
            <w:pPr>
              <w:pStyle w:val="Text1"/>
              <w:spacing w:before="0" w:after="0"/>
              <w:ind w:left="0"/>
              <w:rPr>
                <w:noProof/>
              </w:rPr>
            </w:pPr>
            <w:r>
              <w:rPr>
                <w:noProof/>
              </w:rPr>
              <w:t>Central Backup Site</w:t>
            </w:r>
          </w:p>
        </w:tc>
      </w:tr>
      <w:tr>
        <w:tc>
          <w:tcPr>
            <w:tcW w:w="2268" w:type="dxa"/>
            <w:vAlign w:val="bottom"/>
          </w:tcPr>
          <w:p>
            <w:pPr>
              <w:pStyle w:val="Text1"/>
              <w:spacing w:before="0" w:after="0"/>
              <w:ind w:left="0"/>
              <w:rPr>
                <w:noProof/>
              </w:rPr>
            </w:pPr>
            <w:r>
              <w:rPr>
                <w:noProof/>
              </w:rPr>
              <w:t>CCN</w:t>
            </w:r>
          </w:p>
        </w:tc>
        <w:tc>
          <w:tcPr>
            <w:tcW w:w="6095" w:type="dxa"/>
            <w:vAlign w:val="bottom"/>
          </w:tcPr>
          <w:p>
            <w:pPr>
              <w:pStyle w:val="Text1"/>
              <w:spacing w:before="0" w:after="0"/>
              <w:ind w:left="0"/>
              <w:rPr>
                <w:noProof/>
              </w:rPr>
            </w:pPr>
            <w:r>
              <w:rPr>
                <w:noProof/>
              </w:rPr>
              <w:t>Fælles kommunikationsnet</w:t>
            </w:r>
          </w:p>
        </w:tc>
      </w:tr>
      <w:tr>
        <w:tc>
          <w:tcPr>
            <w:tcW w:w="2268" w:type="dxa"/>
            <w:vAlign w:val="bottom"/>
          </w:tcPr>
          <w:p>
            <w:pPr>
              <w:pStyle w:val="Text1"/>
              <w:spacing w:before="0" w:after="0"/>
              <w:ind w:left="0"/>
              <w:rPr>
                <w:noProof/>
              </w:rPr>
            </w:pPr>
            <w:r>
              <w:rPr>
                <w:noProof/>
              </w:rPr>
              <w:t>CCN/CSI</w:t>
            </w:r>
          </w:p>
        </w:tc>
        <w:tc>
          <w:tcPr>
            <w:tcW w:w="6095" w:type="dxa"/>
            <w:vAlign w:val="bottom"/>
          </w:tcPr>
          <w:p>
            <w:pPr>
              <w:pStyle w:val="Text1"/>
              <w:spacing w:before="0" w:after="0"/>
              <w:ind w:left="0"/>
              <w:rPr>
                <w:noProof/>
              </w:rPr>
            </w:pPr>
            <w:r>
              <w:rPr>
                <w:noProof/>
              </w:rPr>
              <w:t>Fælles kommunikationsnet/fælles systemgrænseflade</w:t>
            </w:r>
          </w:p>
        </w:tc>
      </w:tr>
      <w:tr>
        <w:tc>
          <w:tcPr>
            <w:tcW w:w="2268" w:type="dxa"/>
            <w:vAlign w:val="bottom"/>
          </w:tcPr>
          <w:p>
            <w:pPr>
              <w:pStyle w:val="Text1"/>
              <w:spacing w:before="0" w:after="0"/>
              <w:ind w:left="0"/>
              <w:rPr>
                <w:noProof/>
              </w:rPr>
            </w:pPr>
            <w:r>
              <w:rPr>
                <w:noProof/>
              </w:rPr>
              <w:t>CCN/WAN</w:t>
            </w:r>
          </w:p>
        </w:tc>
        <w:tc>
          <w:tcPr>
            <w:tcW w:w="6095" w:type="dxa"/>
            <w:vAlign w:val="bottom"/>
          </w:tcPr>
          <w:p>
            <w:pPr>
              <w:pStyle w:val="Text1"/>
              <w:spacing w:before="0" w:after="0"/>
              <w:ind w:left="0"/>
              <w:rPr>
                <w:noProof/>
              </w:rPr>
            </w:pPr>
            <w:r>
              <w:rPr>
                <w:noProof/>
              </w:rPr>
              <w:t>Serviceramme for levering af nettjenester til CCN</w:t>
            </w:r>
          </w:p>
        </w:tc>
      </w:tr>
      <w:tr>
        <w:tc>
          <w:tcPr>
            <w:tcW w:w="2268" w:type="dxa"/>
            <w:vAlign w:val="bottom"/>
          </w:tcPr>
          <w:p>
            <w:pPr>
              <w:pStyle w:val="Text1"/>
              <w:spacing w:before="0" w:after="0"/>
              <w:ind w:left="0"/>
              <w:rPr>
                <w:noProof/>
              </w:rPr>
            </w:pPr>
            <w:r>
              <w:rPr>
                <w:noProof/>
              </w:rPr>
              <w:t>CI</w:t>
            </w:r>
          </w:p>
        </w:tc>
        <w:tc>
          <w:tcPr>
            <w:tcW w:w="6095" w:type="dxa"/>
            <w:vAlign w:val="bottom"/>
          </w:tcPr>
          <w:p>
            <w:pPr>
              <w:pStyle w:val="Text1"/>
              <w:spacing w:before="0" w:after="0"/>
              <w:ind w:left="0"/>
              <w:rPr>
                <w:noProof/>
              </w:rPr>
            </w:pPr>
            <w:r>
              <w:rPr>
                <w:noProof/>
              </w:rPr>
              <w:t>Konfigurationselement</w:t>
            </w:r>
          </w:p>
        </w:tc>
      </w:tr>
      <w:tr>
        <w:tc>
          <w:tcPr>
            <w:tcW w:w="2268" w:type="dxa"/>
          </w:tcPr>
          <w:p>
            <w:pPr>
              <w:pStyle w:val="Text1"/>
              <w:spacing w:before="0" w:after="0"/>
              <w:ind w:left="0"/>
              <w:rPr>
                <w:noProof/>
              </w:rPr>
            </w:pPr>
            <w:r>
              <w:rPr>
                <w:noProof/>
              </w:rPr>
              <w:t>CIRCABC</w:t>
            </w:r>
          </w:p>
        </w:tc>
        <w:tc>
          <w:tcPr>
            <w:tcW w:w="6095" w:type="dxa"/>
          </w:tcPr>
          <w:p>
            <w:pPr>
              <w:pStyle w:val="Text1"/>
              <w:spacing w:before="0" w:after="0"/>
              <w:ind w:left="0"/>
              <w:rPr>
                <w:noProof/>
              </w:rPr>
            </w:pPr>
            <w:r>
              <w:rPr>
                <w:noProof/>
              </w:rPr>
              <w:t>Kommunikations- og oplysningsressourcecenter for forvaltninger, virksomheder og borgere</w:t>
            </w:r>
          </w:p>
        </w:tc>
      </w:tr>
      <w:tr>
        <w:tc>
          <w:tcPr>
            <w:tcW w:w="2268" w:type="dxa"/>
          </w:tcPr>
          <w:p>
            <w:pPr>
              <w:pStyle w:val="Text1"/>
              <w:spacing w:before="0" w:after="0"/>
              <w:ind w:left="0"/>
              <w:rPr>
                <w:noProof/>
              </w:rPr>
            </w:pPr>
            <w:r>
              <w:rPr>
                <w:noProof/>
              </w:rPr>
              <w:t>COTS</w:t>
            </w:r>
          </w:p>
        </w:tc>
        <w:tc>
          <w:tcPr>
            <w:tcW w:w="6095" w:type="dxa"/>
          </w:tcPr>
          <w:p>
            <w:pPr>
              <w:pStyle w:val="Text1"/>
              <w:spacing w:before="0" w:after="0"/>
              <w:ind w:left="0"/>
              <w:rPr>
                <w:noProof/>
              </w:rPr>
            </w:pPr>
            <w:r>
              <w:rPr>
                <w:noProof/>
              </w:rPr>
              <w:t>Kommercielt tilgængeligt udstyr</w:t>
            </w:r>
          </w:p>
        </w:tc>
      </w:tr>
      <w:tr>
        <w:tc>
          <w:tcPr>
            <w:tcW w:w="2268" w:type="dxa"/>
            <w:vAlign w:val="bottom"/>
          </w:tcPr>
          <w:p>
            <w:pPr>
              <w:pStyle w:val="Text1"/>
              <w:spacing w:before="0" w:after="0"/>
              <w:ind w:left="0"/>
              <w:rPr>
                <w:noProof/>
              </w:rPr>
            </w:pPr>
            <w:r>
              <w:rPr>
                <w:noProof/>
              </w:rPr>
              <w:t>CPR</w:t>
            </w:r>
          </w:p>
        </w:tc>
        <w:tc>
          <w:tcPr>
            <w:tcW w:w="6095" w:type="dxa"/>
            <w:vAlign w:val="bottom"/>
          </w:tcPr>
          <w:p>
            <w:pPr>
              <w:pStyle w:val="Text1"/>
              <w:spacing w:before="0" w:after="0"/>
              <w:ind w:left="0"/>
              <w:rPr>
                <w:noProof/>
              </w:rPr>
            </w:pPr>
            <w:r>
              <w:rPr>
                <w:noProof/>
              </w:rPr>
              <w:t>Customer Premises Router</w:t>
            </w:r>
          </w:p>
        </w:tc>
      </w:tr>
      <w:tr>
        <w:tc>
          <w:tcPr>
            <w:tcW w:w="2268" w:type="dxa"/>
            <w:vAlign w:val="bottom"/>
          </w:tcPr>
          <w:p>
            <w:pPr>
              <w:pStyle w:val="Text1"/>
              <w:spacing w:before="0" w:after="0"/>
              <w:ind w:left="0"/>
              <w:rPr>
                <w:noProof/>
              </w:rPr>
            </w:pPr>
            <w:r>
              <w:rPr>
                <w:noProof/>
              </w:rPr>
              <w:t>CSA</w:t>
            </w:r>
          </w:p>
        </w:tc>
        <w:tc>
          <w:tcPr>
            <w:tcW w:w="6095" w:type="dxa"/>
            <w:vAlign w:val="bottom"/>
          </w:tcPr>
          <w:p>
            <w:pPr>
              <w:pStyle w:val="Text1"/>
              <w:spacing w:before="0" w:after="0"/>
              <w:ind w:left="0"/>
              <w:rPr>
                <w:noProof/>
              </w:rPr>
            </w:pPr>
            <w:r>
              <w:rPr>
                <w:noProof/>
              </w:rPr>
              <w:t>CCN-sikkerhedsadministrator</w:t>
            </w:r>
          </w:p>
        </w:tc>
      </w:tr>
      <w:tr>
        <w:tc>
          <w:tcPr>
            <w:tcW w:w="2268" w:type="dxa"/>
            <w:vAlign w:val="bottom"/>
          </w:tcPr>
          <w:p>
            <w:pPr>
              <w:pStyle w:val="Text1"/>
              <w:spacing w:before="0" w:after="0"/>
              <w:ind w:left="0"/>
              <w:rPr>
                <w:noProof/>
              </w:rPr>
            </w:pPr>
            <w:r>
              <w:rPr>
                <w:noProof/>
              </w:rPr>
              <w:t>CSI</w:t>
            </w:r>
          </w:p>
        </w:tc>
        <w:tc>
          <w:tcPr>
            <w:tcW w:w="6095" w:type="dxa"/>
            <w:vAlign w:val="bottom"/>
          </w:tcPr>
          <w:p>
            <w:pPr>
              <w:pStyle w:val="Text1"/>
              <w:spacing w:before="0" w:after="0"/>
              <w:ind w:left="0"/>
              <w:rPr>
                <w:noProof/>
              </w:rPr>
            </w:pPr>
            <w:r>
              <w:rPr>
                <w:noProof/>
              </w:rPr>
              <w:t>Fælles systemgrænseflade</w:t>
            </w:r>
          </w:p>
        </w:tc>
      </w:tr>
      <w:tr>
        <w:tc>
          <w:tcPr>
            <w:tcW w:w="2268" w:type="dxa"/>
            <w:vAlign w:val="bottom"/>
          </w:tcPr>
          <w:p>
            <w:pPr>
              <w:pStyle w:val="Text1"/>
              <w:spacing w:before="0" w:after="0"/>
              <w:ind w:left="0"/>
              <w:rPr>
                <w:noProof/>
              </w:rPr>
            </w:pPr>
            <w:r>
              <w:rPr>
                <w:noProof/>
              </w:rPr>
              <w:t>GD</w:t>
            </w:r>
          </w:p>
        </w:tc>
        <w:tc>
          <w:tcPr>
            <w:tcW w:w="6095" w:type="dxa"/>
            <w:vAlign w:val="bottom"/>
          </w:tcPr>
          <w:p>
            <w:pPr>
              <w:pStyle w:val="Text1"/>
              <w:spacing w:before="0" w:after="0"/>
              <w:ind w:left="0"/>
              <w:rPr>
                <w:noProof/>
              </w:rPr>
            </w:pPr>
            <w:r>
              <w:rPr>
                <w:noProof/>
              </w:rPr>
              <w:t>Generaldirektorat</w:t>
            </w:r>
          </w:p>
        </w:tc>
      </w:tr>
      <w:tr>
        <w:tc>
          <w:tcPr>
            <w:tcW w:w="2268" w:type="dxa"/>
            <w:vAlign w:val="bottom"/>
          </w:tcPr>
          <w:p>
            <w:pPr>
              <w:pStyle w:val="Text1"/>
              <w:spacing w:before="0" w:after="0"/>
              <w:ind w:left="0"/>
              <w:rPr>
                <w:noProof/>
              </w:rPr>
            </w:pPr>
            <w:r>
              <w:rPr>
                <w:noProof/>
              </w:rPr>
              <w:t>DMZ</w:t>
            </w:r>
          </w:p>
        </w:tc>
        <w:tc>
          <w:tcPr>
            <w:tcW w:w="6095" w:type="dxa"/>
            <w:vAlign w:val="bottom"/>
          </w:tcPr>
          <w:p>
            <w:pPr>
              <w:pStyle w:val="Text1"/>
              <w:spacing w:before="0" w:after="0"/>
              <w:ind w:left="0"/>
              <w:rPr>
                <w:noProof/>
              </w:rPr>
            </w:pPr>
            <w:r>
              <w:rPr>
                <w:noProof/>
              </w:rPr>
              <w:t>Demilitariseret zone</w:t>
            </w:r>
          </w:p>
        </w:tc>
      </w:tr>
      <w:tr>
        <w:tc>
          <w:tcPr>
            <w:tcW w:w="2268" w:type="dxa"/>
            <w:vAlign w:val="bottom"/>
          </w:tcPr>
          <w:p>
            <w:pPr>
              <w:pStyle w:val="Text1"/>
              <w:spacing w:before="0" w:after="0"/>
              <w:ind w:left="0"/>
              <w:rPr>
                <w:noProof/>
              </w:rPr>
            </w:pPr>
            <w:r>
              <w:rPr>
                <w:noProof/>
              </w:rPr>
              <w:t>EC</w:t>
            </w:r>
          </w:p>
        </w:tc>
        <w:tc>
          <w:tcPr>
            <w:tcW w:w="6095" w:type="dxa"/>
            <w:vAlign w:val="bottom"/>
          </w:tcPr>
          <w:p>
            <w:pPr>
              <w:pStyle w:val="Text1"/>
              <w:spacing w:before="0" w:after="0"/>
              <w:ind w:left="0"/>
              <w:rPr>
                <w:noProof/>
              </w:rPr>
            </w:pPr>
            <w:r>
              <w:rPr>
                <w:noProof/>
              </w:rPr>
              <w:t>Europa-Kommissionen</w:t>
            </w:r>
          </w:p>
        </w:tc>
      </w:tr>
      <w:tr>
        <w:tc>
          <w:tcPr>
            <w:tcW w:w="2268" w:type="dxa"/>
            <w:vAlign w:val="bottom"/>
          </w:tcPr>
          <w:p>
            <w:pPr>
              <w:pStyle w:val="Text1"/>
              <w:spacing w:before="0" w:after="0"/>
              <w:ind w:left="0"/>
              <w:rPr>
                <w:noProof/>
              </w:rPr>
            </w:pPr>
            <w:r>
              <w:rPr>
                <w:noProof/>
              </w:rPr>
              <w:t>ESTAT</w:t>
            </w:r>
          </w:p>
        </w:tc>
        <w:tc>
          <w:tcPr>
            <w:tcW w:w="6095" w:type="dxa"/>
            <w:vAlign w:val="bottom"/>
          </w:tcPr>
          <w:p>
            <w:pPr>
              <w:pStyle w:val="Text1"/>
              <w:spacing w:before="0" w:after="0"/>
              <w:ind w:left="0"/>
              <w:rPr>
                <w:noProof/>
              </w:rPr>
            </w:pPr>
            <w:r>
              <w:rPr>
                <w:noProof/>
              </w:rPr>
              <w:t>Eurostat</w:t>
            </w:r>
          </w:p>
        </w:tc>
      </w:tr>
      <w:tr>
        <w:tc>
          <w:tcPr>
            <w:tcW w:w="2268" w:type="dxa"/>
            <w:vAlign w:val="bottom"/>
          </w:tcPr>
          <w:p>
            <w:pPr>
              <w:pStyle w:val="Text1"/>
              <w:spacing w:before="0" w:after="0"/>
              <w:ind w:left="0"/>
              <w:rPr>
                <w:noProof/>
              </w:rPr>
            </w:pPr>
            <w:r>
              <w:rPr>
                <w:noProof/>
              </w:rPr>
              <w:t>FW</w:t>
            </w:r>
          </w:p>
        </w:tc>
        <w:tc>
          <w:tcPr>
            <w:tcW w:w="6095" w:type="dxa"/>
            <w:vAlign w:val="bottom"/>
          </w:tcPr>
          <w:p>
            <w:pPr>
              <w:pStyle w:val="Text1"/>
              <w:spacing w:before="0" w:after="0"/>
              <w:ind w:left="0"/>
              <w:rPr>
                <w:noProof/>
              </w:rPr>
            </w:pPr>
            <w:r>
              <w:rPr>
                <w:noProof/>
              </w:rPr>
              <w:t>Firewall</w:t>
            </w:r>
          </w:p>
        </w:tc>
      </w:tr>
      <w:tr>
        <w:tc>
          <w:tcPr>
            <w:tcW w:w="2268" w:type="dxa"/>
            <w:vAlign w:val="bottom"/>
          </w:tcPr>
          <w:p>
            <w:pPr>
              <w:pStyle w:val="Text1"/>
              <w:spacing w:before="0" w:after="0"/>
              <w:ind w:left="0"/>
              <w:rPr>
                <w:noProof/>
              </w:rPr>
            </w:pPr>
            <w:r>
              <w:rPr>
                <w:noProof/>
              </w:rPr>
              <w:t>HPUX</w:t>
            </w:r>
          </w:p>
        </w:tc>
        <w:tc>
          <w:tcPr>
            <w:tcW w:w="6095" w:type="dxa"/>
            <w:vAlign w:val="bottom"/>
          </w:tcPr>
          <w:p>
            <w:pPr>
              <w:pStyle w:val="Text1"/>
              <w:spacing w:before="0" w:after="0"/>
              <w:ind w:left="0"/>
              <w:rPr>
                <w:noProof/>
                <w:lang w:val="sv-SE"/>
              </w:rPr>
            </w:pPr>
            <w:r>
              <w:rPr>
                <w:noProof/>
                <w:lang w:val="sv-SE"/>
              </w:rPr>
              <w:t>Hewlett Packard Unix Operating System</w:t>
            </w:r>
          </w:p>
        </w:tc>
      </w:tr>
      <w:tr>
        <w:tc>
          <w:tcPr>
            <w:tcW w:w="2268" w:type="dxa"/>
            <w:vAlign w:val="bottom"/>
          </w:tcPr>
          <w:p>
            <w:pPr>
              <w:pStyle w:val="Text1"/>
              <w:spacing w:before="0" w:after="0"/>
              <w:ind w:left="0"/>
              <w:rPr>
                <w:noProof/>
              </w:rPr>
            </w:pPr>
            <w:r>
              <w:rPr>
                <w:noProof/>
              </w:rPr>
              <w:t>HTTP</w:t>
            </w:r>
          </w:p>
        </w:tc>
        <w:tc>
          <w:tcPr>
            <w:tcW w:w="6095" w:type="dxa"/>
            <w:vAlign w:val="bottom"/>
          </w:tcPr>
          <w:p>
            <w:pPr>
              <w:pStyle w:val="Text1"/>
              <w:spacing w:before="0" w:after="0"/>
              <w:ind w:left="0"/>
              <w:rPr>
                <w:noProof/>
              </w:rPr>
            </w:pPr>
            <w:r>
              <w:rPr>
                <w:noProof/>
              </w:rPr>
              <w:t>Hyper Text Transport Protocol</w:t>
            </w:r>
          </w:p>
        </w:tc>
      </w:tr>
      <w:tr>
        <w:tc>
          <w:tcPr>
            <w:tcW w:w="2268" w:type="dxa"/>
            <w:vAlign w:val="bottom"/>
          </w:tcPr>
          <w:p>
            <w:pPr>
              <w:pStyle w:val="Text1"/>
              <w:spacing w:before="0" w:after="0"/>
              <w:ind w:left="0"/>
              <w:rPr>
                <w:noProof/>
              </w:rPr>
            </w:pPr>
            <w:r>
              <w:rPr>
                <w:noProof/>
              </w:rPr>
              <w:t>HTTPS</w:t>
            </w:r>
          </w:p>
        </w:tc>
        <w:tc>
          <w:tcPr>
            <w:tcW w:w="6095" w:type="dxa"/>
            <w:vAlign w:val="bottom"/>
          </w:tcPr>
          <w:p>
            <w:pPr>
              <w:pStyle w:val="Text1"/>
              <w:spacing w:before="0" w:after="0"/>
              <w:ind w:left="0"/>
              <w:rPr>
                <w:noProof/>
                <w:lang w:val="nb-NO"/>
              </w:rPr>
            </w:pPr>
            <w:r>
              <w:rPr>
                <w:noProof/>
                <w:lang w:val="nb-NO"/>
              </w:rPr>
              <w:t>Hyper Text Transport Protocol – sikker</w:t>
            </w:r>
          </w:p>
        </w:tc>
      </w:tr>
      <w:tr>
        <w:tc>
          <w:tcPr>
            <w:tcW w:w="2268" w:type="dxa"/>
            <w:vAlign w:val="bottom"/>
          </w:tcPr>
          <w:p>
            <w:pPr>
              <w:pStyle w:val="Text1"/>
              <w:spacing w:before="0" w:after="0"/>
              <w:ind w:left="0"/>
              <w:rPr>
                <w:noProof/>
              </w:rPr>
            </w:pPr>
            <w:r>
              <w:rPr>
                <w:noProof/>
              </w:rPr>
              <w:t>HVAC</w:t>
            </w:r>
          </w:p>
        </w:tc>
        <w:tc>
          <w:tcPr>
            <w:tcW w:w="6095" w:type="dxa"/>
            <w:vAlign w:val="bottom"/>
          </w:tcPr>
          <w:p>
            <w:pPr>
              <w:pStyle w:val="Text1"/>
              <w:spacing w:before="0" w:after="0"/>
              <w:ind w:left="0"/>
              <w:rPr>
                <w:noProof/>
              </w:rPr>
            </w:pPr>
            <w:r>
              <w:rPr>
                <w:noProof/>
              </w:rPr>
              <w:t>Varme, ventilation og luftkonditionering</w:t>
            </w:r>
          </w:p>
        </w:tc>
      </w:tr>
      <w:tr>
        <w:tc>
          <w:tcPr>
            <w:tcW w:w="2268" w:type="dxa"/>
            <w:vAlign w:val="bottom"/>
          </w:tcPr>
          <w:p>
            <w:pPr>
              <w:pStyle w:val="Text1"/>
              <w:spacing w:before="0" w:after="0"/>
              <w:ind w:left="0"/>
              <w:rPr>
                <w:noProof/>
              </w:rPr>
            </w:pPr>
            <w:r>
              <w:rPr>
                <w:noProof/>
              </w:rPr>
              <w:t>HW</w:t>
            </w:r>
          </w:p>
        </w:tc>
        <w:tc>
          <w:tcPr>
            <w:tcW w:w="6095" w:type="dxa"/>
            <w:vAlign w:val="bottom"/>
          </w:tcPr>
          <w:p>
            <w:pPr>
              <w:pStyle w:val="Text1"/>
              <w:spacing w:before="0" w:after="0"/>
              <w:ind w:left="0"/>
              <w:rPr>
                <w:noProof/>
              </w:rPr>
            </w:pPr>
            <w:r>
              <w:rPr>
                <w:noProof/>
              </w:rPr>
              <w:t>Hardware</w:t>
            </w:r>
          </w:p>
        </w:tc>
      </w:tr>
      <w:tr>
        <w:tc>
          <w:tcPr>
            <w:tcW w:w="2268" w:type="dxa"/>
            <w:vAlign w:val="bottom"/>
          </w:tcPr>
          <w:p>
            <w:pPr>
              <w:pStyle w:val="Text1"/>
              <w:spacing w:before="0" w:after="0"/>
              <w:ind w:left="0"/>
              <w:rPr>
                <w:noProof/>
              </w:rPr>
            </w:pPr>
            <w:r>
              <w:rPr>
                <w:noProof/>
              </w:rPr>
              <w:t>IKT</w:t>
            </w:r>
          </w:p>
        </w:tc>
        <w:tc>
          <w:tcPr>
            <w:tcW w:w="6095" w:type="dxa"/>
            <w:vAlign w:val="bottom"/>
          </w:tcPr>
          <w:p>
            <w:pPr>
              <w:pStyle w:val="Text1"/>
              <w:spacing w:before="0" w:after="0"/>
              <w:ind w:left="0"/>
              <w:rPr>
                <w:noProof/>
              </w:rPr>
            </w:pPr>
            <w:r>
              <w:rPr>
                <w:noProof/>
              </w:rPr>
              <w:t>Informations- og kommunikationsteknologi</w:t>
            </w:r>
          </w:p>
        </w:tc>
      </w:tr>
      <w:tr>
        <w:tc>
          <w:tcPr>
            <w:tcW w:w="2268" w:type="dxa"/>
            <w:vAlign w:val="bottom"/>
          </w:tcPr>
          <w:p>
            <w:pPr>
              <w:pStyle w:val="Text1"/>
              <w:spacing w:before="0" w:after="0"/>
              <w:ind w:left="0"/>
              <w:rPr>
                <w:noProof/>
              </w:rPr>
            </w:pPr>
            <w:r>
              <w:rPr>
                <w:noProof/>
              </w:rPr>
              <w:t>IMAP</w:t>
            </w:r>
          </w:p>
        </w:tc>
        <w:tc>
          <w:tcPr>
            <w:tcW w:w="6095" w:type="dxa"/>
            <w:vAlign w:val="bottom"/>
          </w:tcPr>
          <w:p>
            <w:pPr>
              <w:pStyle w:val="Text1"/>
              <w:spacing w:before="0" w:after="0"/>
              <w:ind w:left="0"/>
              <w:rPr>
                <w:noProof/>
              </w:rPr>
            </w:pPr>
            <w:r>
              <w:rPr>
                <w:noProof/>
              </w:rPr>
              <w:t>Internet Message Access Protocol</w:t>
            </w:r>
          </w:p>
        </w:tc>
      </w:tr>
      <w:tr>
        <w:tc>
          <w:tcPr>
            <w:tcW w:w="2268" w:type="dxa"/>
            <w:vAlign w:val="bottom"/>
          </w:tcPr>
          <w:p>
            <w:pPr>
              <w:pStyle w:val="Text1"/>
              <w:spacing w:before="0" w:after="0"/>
              <w:ind w:left="0"/>
              <w:rPr>
                <w:noProof/>
              </w:rPr>
            </w:pPr>
            <w:r>
              <w:rPr>
                <w:noProof/>
              </w:rPr>
              <w:t>IP</w:t>
            </w:r>
          </w:p>
        </w:tc>
        <w:tc>
          <w:tcPr>
            <w:tcW w:w="6095" w:type="dxa"/>
            <w:vAlign w:val="bottom"/>
          </w:tcPr>
          <w:p>
            <w:pPr>
              <w:pStyle w:val="Text1"/>
              <w:spacing w:before="0" w:after="0"/>
              <w:ind w:left="0"/>
              <w:rPr>
                <w:noProof/>
              </w:rPr>
            </w:pPr>
            <w:r>
              <w:rPr>
                <w:noProof/>
              </w:rPr>
              <w:t>Internetprotokol</w:t>
            </w:r>
          </w:p>
        </w:tc>
      </w:tr>
      <w:tr>
        <w:tc>
          <w:tcPr>
            <w:tcW w:w="2268" w:type="dxa"/>
            <w:vAlign w:val="bottom"/>
          </w:tcPr>
          <w:p>
            <w:pPr>
              <w:pStyle w:val="Text1"/>
              <w:spacing w:before="0" w:after="0"/>
              <w:ind w:left="0"/>
              <w:rPr>
                <w:noProof/>
              </w:rPr>
            </w:pPr>
            <w:r>
              <w:rPr>
                <w:noProof/>
              </w:rPr>
              <w:t>ITCAM</w:t>
            </w:r>
          </w:p>
        </w:tc>
        <w:tc>
          <w:tcPr>
            <w:tcW w:w="6095" w:type="dxa"/>
            <w:vAlign w:val="bottom"/>
          </w:tcPr>
          <w:p>
            <w:pPr>
              <w:pStyle w:val="Text1"/>
              <w:spacing w:before="0" w:after="0"/>
              <w:ind w:left="0"/>
              <w:rPr>
                <w:noProof/>
                <w:lang w:val="it-IT"/>
              </w:rPr>
            </w:pPr>
            <w:r>
              <w:rPr>
                <w:noProof/>
                <w:lang w:val="it-IT"/>
              </w:rPr>
              <w:t>IBM Tivoli Composite Application Manager</w:t>
            </w:r>
          </w:p>
        </w:tc>
      </w:tr>
      <w:tr>
        <w:tc>
          <w:tcPr>
            <w:tcW w:w="2268" w:type="dxa"/>
            <w:vAlign w:val="bottom"/>
          </w:tcPr>
          <w:p>
            <w:pPr>
              <w:pStyle w:val="Text1"/>
              <w:spacing w:before="0" w:after="0"/>
              <w:ind w:left="0"/>
              <w:rPr>
                <w:noProof/>
              </w:rPr>
            </w:pPr>
            <w:r>
              <w:rPr>
                <w:noProof/>
              </w:rPr>
              <w:t>ITS</w:t>
            </w:r>
          </w:p>
        </w:tc>
        <w:tc>
          <w:tcPr>
            <w:tcW w:w="6095" w:type="dxa"/>
            <w:vAlign w:val="bottom"/>
          </w:tcPr>
          <w:p>
            <w:pPr>
              <w:pStyle w:val="Text1"/>
              <w:spacing w:before="0" w:after="0"/>
              <w:ind w:left="0"/>
              <w:rPr>
                <w:noProof/>
              </w:rPr>
            </w:pPr>
            <w:r>
              <w:rPr>
                <w:noProof/>
              </w:rPr>
              <w:t>IT-tjenester</w:t>
            </w:r>
          </w:p>
        </w:tc>
      </w:tr>
      <w:tr>
        <w:tc>
          <w:tcPr>
            <w:tcW w:w="2268" w:type="dxa"/>
            <w:vAlign w:val="bottom"/>
          </w:tcPr>
          <w:p>
            <w:pPr>
              <w:pStyle w:val="Text1"/>
              <w:spacing w:before="0" w:after="0"/>
              <w:ind w:left="0"/>
              <w:rPr>
                <w:noProof/>
              </w:rPr>
            </w:pPr>
            <w:r>
              <w:rPr>
                <w:noProof/>
              </w:rPr>
              <w:t>ITSM</w:t>
            </w:r>
          </w:p>
        </w:tc>
        <w:tc>
          <w:tcPr>
            <w:tcW w:w="6095" w:type="dxa"/>
            <w:vAlign w:val="bottom"/>
          </w:tcPr>
          <w:p>
            <w:pPr>
              <w:pStyle w:val="Text1"/>
              <w:spacing w:before="0" w:after="0"/>
              <w:ind w:left="0"/>
              <w:rPr>
                <w:noProof/>
              </w:rPr>
            </w:pPr>
            <w:r>
              <w:rPr>
                <w:noProof/>
              </w:rPr>
              <w:t>IT-servicemanagement</w:t>
            </w:r>
          </w:p>
        </w:tc>
      </w:tr>
      <w:tr>
        <w:tc>
          <w:tcPr>
            <w:tcW w:w="2268" w:type="dxa"/>
            <w:vAlign w:val="bottom"/>
          </w:tcPr>
          <w:p>
            <w:pPr>
              <w:pStyle w:val="Text1"/>
              <w:spacing w:before="0" w:after="0"/>
              <w:ind w:left="0"/>
              <w:rPr>
                <w:noProof/>
              </w:rPr>
            </w:pPr>
            <w:r>
              <w:rPr>
                <w:noProof/>
              </w:rPr>
              <w:t>LAN</w:t>
            </w:r>
          </w:p>
        </w:tc>
        <w:tc>
          <w:tcPr>
            <w:tcW w:w="6095" w:type="dxa"/>
            <w:vAlign w:val="bottom"/>
          </w:tcPr>
          <w:p>
            <w:pPr>
              <w:pStyle w:val="Text1"/>
              <w:spacing w:before="0" w:after="0"/>
              <w:ind w:left="0"/>
              <w:rPr>
                <w:noProof/>
              </w:rPr>
            </w:pPr>
            <w:r>
              <w:rPr>
                <w:noProof/>
              </w:rPr>
              <w:t>Local Area Network (lokalt datanet)</w:t>
            </w:r>
          </w:p>
        </w:tc>
      </w:tr>
      <w:tr>
        <w:tc>
          <w:tcPr>
            <w:tcW w:w="2268" w:type="dxa"/>
            <w:vAlign w:val="bottom"/>
          </w:tcPr>
          <w:p>
            <w:pPr>
              <w:pStyle w:val="Text1"/>
              <w:spacing w:before="0" w:after="0"/>
              <w:ind w:left="0"/>
              <w:rPr>
                <w:noProof/>
              </w:rPr>
            </w:pPr>
            <w:r>
              <w:rPr>
                <w:noProof/>
              </w:rPr>
              <w:t>LSA</w:t>
            </w:r>
          </w:p>
        </w:tc>
        <w:tc>
          <w:tcPr>
            <w:tcW w:w="6095" w:type="dxa"/>
            <w:vAlign w:val="bottom"/>
          </w:tcPr>
          <w:p>
            <w:pPr>
              <w:pStyle w:val="Text1"/>
              <w:spacing w:before="0" w:after="0"/>
              <w:ind w:left="0"/>
              <w:rPr>
                <w:noProof/>
              </w:rPr>
            </w:pPr>
            <w:r>
              <w:rPr>
                <w:noProof/>
              </w:rPr>
              <w:t>Lokal systemadministrator</w:t>
            </w:r>
          </w:p>
        </w:tc>
      </w:tr>
      <w:tr>
        <w:tc>
          <w:tcPr>
            <w:tcW w:w="2268" w:type="dxa"/>
            <w:vAlign w:val="bottom"/>
          </w:tcPr>
          <w:p>
            <w:pPr>
              <w:pStyle w:val="Text1"/>
              <w:spacing w:before="0" w:after="0"/>
              <w:ind w:left="0"/>
              <w:rPr>
                <w:noProof/>
              </w:rPr>
            </w:pPr>
            <w:r>
              <w:rPr>
                <w:noProof/>
              </w:rPr>
              <w:t>MQ</w:t>
            </w:r>
          </w:p>
        </w:tc>
        <w:tc>
          <w:tcPr>
            <w:tcW w:w="6095" w:type="dxa"/>
            <w:vAlign w:val="bottom"/>
          </w:tcPr>
          <w:p>
            <w:pPr>
              <w:pStyle w:val="Text1"/>
              <w:spacing w:before="0" w:after="0"/>
              <w:ind w:left="0"/>
              <w:rPr>
                <w:noProof/>
              </w:rPr>
            </w:pPr>
            <w:r>
              <w:rPr>
                <w:noProof/>
              </w:rPr>
              <w:t>IBM MQ Series SW</w:t>
            </w:r>
          </w:p>
        </w:tc>
      </w:tr>
      <w:tr>
        <w:tc>
          <w:tcPr>
            <w:tcW w:w="2268" w:type="dxa"/>
            <w:vAlign w:val="bottom"/>
          </w:tcPr>
          <w:p>
            <w:pPr>
              <w:pStyle w:val="Text1"/>
              <w:spacing w:before="0" w:after="0"/>
              <w:ind w:left="0"/>
              <w:rPr>
                <w:noProof/>
              </w:rPr>
            </w:pPr>
            <w:r>
              <w:rPr>
                <w:noProof/>
              </w:rPr>
              <w:t>MVS</w:t>
            </w:r>
          </w:p>
        </w:tc>
        <w:tc>
          <w:tcPr>
            <w:tcW w:w="6095" w:type="dxa"/>
            <w:vAlign w:val="bottom"/>
          </w:tcPr>
          <w:p>
            <w:pPr>
              <w:pStyle w:val="Text1"/>
              <w:spacing w:before="0" w:after="0"/>
              <w:ind w:left="0"/>
              <w:rPr>
                <w:noProof/>
              </w:rPr>
            </w:pPr>
            <w:r>
              <w:rPr>
                <w:noProof/>
              </w:rPr>
              <w:t>Multiple Virtual Storage</w:t>
            </w:r>
          </w:p>
        </w:tc>
      </w:tr>
      <w:tr>
        <w:tc>
          <w:tcPr>
            <w:tcW w:w="2268" w:type="dxa"/>
            <w:vAlign w:val="bottom"/>
          </w:tcPr>
          <w:p>
            <w:pPr>
              <w:pStyle w:val="Text1"/>
              <w:spacing w:before="0" w:after="0"/>
              <w:ind w:left="0"/>
              <w:rPr>
                <w:noProof/>
              </w:rPr>
            </w:pPr>
            <w:r>
              <w:rPr>
                <w:noProof/>
              </w:rPr>
              <w:t>N/A</w:t>
            </w:r>
          </w:p>
        </w:tc>
        <w:tc>
          <w:tcPr>
            <w:tcW w:w="6095" w:type="dxa"/>
            <w:vAlign w:val="bottom"/>
          </w:tcPr>
          <w:p>
            <w:pPr>
              <w:pStyle w:val="Text1"/>
              <w:spacing w:before="0" w:after="0"/>
              <w:ind w:left="0"/>
              <w:rPr>
                <w:noProof/>
              </w:rPr>
            </w:pPr>
            <w:r>
              <w:rPr>
                <w:noProof/>
              </w:rPr>
              <w:t>Ikke relevant</w:t>
            </w:r>
          </w:p>
        </w:tc>
      </w:tr>
      <w:tr>
        <w:tc>
          <w:tcPr>
            <w:tcW w:w="2268" w:type="dxa"/>
            <w:vAlign w:val="bottom"/>
          </w:tcPr>
          <w:p>
            <w:pPr>
              <w:pStyle w:val="Text1"/>
              <w:spacing w:before="0" w:after="0"/>
              <w:ind w:left="0"/>
              <w:rPr>
                <w:noProof/>
              </w:rPr>
            </w:pPr>
            <w:r>
              <w:rPr>
                <w:noProof/>
              </w:rPr>
              <w:t>NA</w:t>
            </w:r>
          </w:p>
        </w:tc>
        <w:tc>
          <w:tcPr>
            <w:tcW w:w="6095" w:type="dxa"/>
            <w:vAlign w:val="bottom"/>
          </w:tcPr>
          <w:p>
            <w:pPr>
              <w:pStyle w:val="Text1"/>
              <w:spacing w:before="0" w:after="0"/>
              <w:ind w:left="0"/>
              <w:rPr>
                <w:noProof/>
              </w:rPr>
            </w:pPr>
            <w:r>
              <w:rPr>
                <w:noProof/>
              </w:rPr>
              <w:t>National myndighed</w:t>
            </w:r>
          </w:p>
        </w:tc>
      </w:tr>
      <w:tr>
        <w:tc>
          <w:tcPr>
            <w:tcW w:w="2268" w:type="dxa"/>
            <w:vAlign w:val="bottom"/>
          </w:tcPr>
          <w:p>
            <w:pPr>
              <w:pStyle w:val="Text1"/>
              <w:spacing w:before="0" w:after="0"/>
              <w:ind w:left="0"/>
              <w:rPr>
                <w:noProof/>
              </w:rPr>
            </w:pPr>
            <w:r>
              <w:rPr>
                <w:noProof/>
              </w:rPr>
              <w:t>NDI</w:t>
            </w:r>
          </w:p>
        </w:tc>
        <w:tc>
          <w:tcPr>
            <w:tcW w:w="6095" w:type="dxa"/>
            <w:vAlign w:val="bottom"/>
          </w:tcPr>
          <w:p>
            <w:pPr>
              <w:pStyle w:val="Text1"/>
              <w:spacing w:before="0" w:after="0"/>
              <w:ind w:left="0"/>
              <w:rPr>
                <w:noProof/>
              </w:rPr>
            </w:pPr>
            <w:r>
              <w:rPr>
                <w:noProof/>
              </w:rPr>
              <w:t>National Domain Interface</w:t>
            </w:r>
          </w:p>
        </w:tc>
      </w:tr>
      <w:tr>
        <w:tc>
          <w:tcPr>
            <w:tcW w:w="2268" w:type="dxa"/>
            <w:vAlign w:val="bottom"/>
          </w:tcPr>
          <w:p>
            <w:pPr>
              <w:pStyle w:val="Text1"/>
              <w:spacing w:before="0" w:after="0"/>
              <w:ind w:left="0"/>
              <w:rPr>
                <w:noProof/>
              </w:rPr>
            </w:pPr>
            <w:r>
              <w:rPr>
                <w:noProof/>
              </w:rPr>
              <w:t>OBS</w:t>
            </w:r>
          </w:p>
        </w:tc>
        <w:tc>
          <w:tcPr>
            <w:tcW w:w="6095" w:type="dxa"/>
            <w:vAlign w:val="bottom"/>
          </w:tcPr>
          <w:p>
            <w:pPr>
              <w:pStyle w:val="Text1"/>
              <w:spacing w:before="0" w:after="0"/>
              <w:ind w:left="0"/>
              <w:rPr>
                <w:noProof/>
              </w:rPr>
            </w:pPr>
            <w:r>
              <w:rPr>
                <w:noProof/>
              </w:rPr>
              <w:t>Orange Business Services</w:t>
            </w:r>
          </w:p>
        </w:tc>
      </w:tr>
      <w:tr>
        <w:tc>
          <w:tcPr>
            <w:tcW w:w="2268" w:type="dxa"/>
            <w:vAlign w:val="bottom"/>
          </w:tcPr>
          <w:p>
            <w:pPr>
              <w:pStyle w:val="Text1"/>
              <w:spacing w:before="0" w:after="0"/>
              <w:ind w:left="0"/>
              <w:rPr>
                <w:noProof/>
              </w:rPr>
            </w:pPr>
            <w:r>
              <w:rPr>
                <w:noProof/>
              </w:rPr>
              <w:t>OLA</w:t>
            </w:r>
          </w:p>
        </w:tc>
        <w:tc>
          <w:tcPr>
            <w:tcW w:w="6095" w:type="dxa"/>
            <w:vAlign w:val="bottom"/>
          </w:tcPr>
          <w:p>
            <w:pPr>
              <w:pStyle w:val="Text1"/>
              <w:spacing w:before="0" w:after="0"/>
              <w:ind w:left="0"/>
              <w:rPr>
                <w:noProof/>
              </w:rPr>
            </w:pPr>
            <w:r>
              <w:rPr>
                <w:noProof/>
              </w:rPr>
              <w:t>Operational Level Agreement (driftsleveranceaftale)</w:t>
            </w:r>
          </w:p>
        </w:tc>
      </w:tr>
      <w:tr>
        <w:tc>
          <w:tcPr>
            <w:tcW w:w="2268" w:type="dxa"/>
            <w:vAlign w:val="bottom"/>
          </w:tcPr>
          <w:p>
            <w:pPr>
              <w:pStyle w:val="Text1"/>
              <w:spacing w:before="0" w:after="0"/>
              <w:ind w:left="0"/>
              <w:rPr>
                <w:noProof/>
              </w:rPr>
            </w:pPr>
            <w:r>
              <w:rPr>
                <w:noProof/>
              </w:rPr>
              <w:t>OLAF</w:t>
            </w:r>
          </w:p>
        </w:tc>
        <w:tc>
          <w:tcPr>
            <w:tcW w:w="6095" w:type="dxa"/>
            <w:vAlign w:val="bottom"/>
          </w:tcPr>
          <w:p>
            <w:pPr>
              <w:pStyle w:val="Text1"/>
              <w:spacing w:before="0" w:after="0"/>
              <w:ind w:left="0"/>
              <w:rPr>
                <w:noProof/>
              </w:rPr>
            </w:pPr>
            <w:r>
              <w:rPr>
                <w:noProof/>
              </w:rPr>
              <w:t>Det Europæiske Kontor for Bekæmpelse af Svig</w:t>
            </w:r>
          </w:p>
        </w:tc>
      </w:tr>
      <w:tr>
        <w:tc>
          <w:tcPr>
            <w:tcW w:w="2268" w:type="dxa"/>
            <w:vAlign w:val="bottom"/>
          </w:tcPr>
          <w:p>
            <w:pPr>
              <w:pStyle w:val="Text1"/>
              <w:spacing w:before="0" w:after="0"/>
              <w:ind w:left="0"/>
              <w:rPr>
                <w:noProof/>
              </w:rPr>
            </w:pPr>
            <w:r>
              <w:rPr>
                <w:noProof/>
              </w:rPr>
              <w:t>OS</w:t>
            </w:r>
          </w:p>
        </w:tc>
        <w:tc>
          <w:tcPr>
            <w:tcW w:w="6095" w:type="dxa"/>
            <w:vAlign w:val="bottom"/>
          </w:tcPr>
          <w:p>
            <w:pPr>
              <w:pStyle w:val="Text1"/>
              <w:spacing w:before="0" w:after="0"/>
              <w:ind w:left="0"/>
              <w:rPr>
                <w:noProof/>
              </w:rPr>
            </w:pPr>
            <w:r>
              <w:rPr>
                <w:noProof/>
              </w:rPr>
              <w:t>Operativsystem</w:t>
            </w:r>
          </w:p>
        </w:tc>
      </w:tr>
      <w:tr>
        <w:tc>
          <w:tcPr>
            <w:tcW w:w="2268" w:type="dxa"/>
            <w:vAlign w:val="bottom"/>
          </w:tcPr>
          <w:p>
            <w:pPr>
              <w:pStyle w:val="Text1"/>
              <w:spacing w:before="0" w:after="0"/>
              <w:ind w:left="0"/>
              <w:rPr>
                <w:noProof/>
              </w:rPr>
            </w:pPr>
            <w:r>
              <w:rPr>
                <w:noProof/>
              </w:rPr>
              <w:t>OSP</w:t>
            </w:r>
          </w:p>
        </w:tc>
        <w:tc>
          <w:tcPr>
            <w:tcW w:w="6095" w:type="dxa"/>
            <w:vAlign w:val="bottom"/>
          </w:tcPr>
          <w:p>
            <w:pPr>
              <w:pStyle w:val="Text1"/>
              <w:spacing w:before="0" w:after="0"/>
              <w:ind w:left="0"/>
              <w:rPr>
                <w:noProof/>
              </w:rPr>
            </w:pPr>
            <w:r>
              <w:rPr>
                <w:noProof/>
              </w:rPr>
              <w:t>Serviceudbyderens forpligtelse</w:t>
            </w:r>
          </w:p>
        </w:tc>
      </w:tr>
      <w:tr>
        <w:tc>
          <w:tcPr>
            <w:tcW w:w="2268" w:type="dxa"/>
            <w:vAlign w:val="bottom"/>
          </w:tcPr>
          <w:p>
            <w:pPr>
              <w:pStyle w:val="Text1"/>
              <w:spacing w:before="0" w:after="0"/>
              <w:ind w:left="0"/>
              <w:rPr>
                <w:noProof/>
              </w:rPr>
            </w:pPr>
            <w:r>
              <w:rPr>
                <w:noProof/>
              </w:rPr>
              <w:t>OSR</w:t>
            </w:r>
          </w:p>
        </w:tc>
        <w:tc>
          <w:tcPr>
            <w:tcW w:w="6095" w:type="dxa"/>
            <w:vAlign w:val="bottom"/>
          </w:tcPr>
          <w:p>
            <w:pPr>
              <w:pStyle w:val="Text1"/>
              <w:spacing w:before="0" w:after="0"/>
              <w:ind w:left="0"/>
              <w:rPr>
                <w:noProof/>
              </w:rPr>
            </w:pPr>
            <w:r>
              <w:rPr>
                <w:noProof/>
              </w:rPr>
              <w:t>Serviceanmoderens forpligtelse</w:t>
            </w:r>
          </w:p>
        </w:tc>
      </w:tr>
      <w:tr>
        <w:tc>
          <w:tcPr>
            <w:tcW w:w="2268" w:type="dxa"/>
            <w:vAlign w:val="bottom"/>
          </w:tcPr>
          <w:p>
            <w:pPr>
              <w:pStyle w:val="Text1"/>
              <w:spacing w:before="0" w:after="0"/>
              <w:ind w:left="0"/>
              <w:rPr>
                <w:noProof/>
              </w:rPr>
            </w:pPr>
            <w:r>
              <w:rPr>
                <w:noProof/>
              </w:rPr>
              <w:t>POL</w:t>
            </w:r>
          </w:p>
        </w:tc>
        <w:tc>
          <w:tcPr>
            <w:tcW w:w="6095" w:type="dxa"/>
            <w:vAlign w:val="bottom"/>
          </w:tcPr>
          <w:p>
            <w:pPr>
              <w:pStyle w:val="Text1"/>
              <w:spacing w:before="0" w:after="0"/>
              <w:ind w:left="0"/>
              <w:rPr>
                <w:noProof/>
              </w:rPr>
            </w:pPr>
            <w:r>
              <w:rPr>
                <w:noProof/>
              </w:rPr>
              <w:t>Politik</w:t>
            </w:r>
          </w:p>
        </w:tc>
      </w:tr>
      <w:tr>
        <w:tc>
          <w:tcPr>
            <w:tcW w:w="2268" w:type="dxa"/>
            <w:vAlign w:val="bottom"/>
          </w:tcPr>
          <w:p>
            <w:pPr>
              <w:pStyle w:val="Text1"/>
              <w:spacing w:before="0" w:after="0"/>
              <w:ind w:left="0"/>
              <w:rPr>
                <w:noProof/>
              </w:rPr>
            </w:pPr>
            <w:r>
              <w:rPr>
                <w:noProof/>
              </w:rPr>
              <w:lastRenderedPageBreak/>
              <w:t>PoP</w:t>
            </w:r>
          </w:p>
        </w:tc>
        <w:tc>
          <w:tcPr>
            <w:tcW w:w="6095" w:type="dxa"/>
            <w:vAlign w:val="bottom"/>
          </w:tcPr>
          <w:p>
            <w:pPr>
              <w:pStyle w:val="Text1"/>
              <w:spacing w:before="0" w:after="0"/>
              <w:ind w:left="0"/>
              <w:rPr>
                <w:noProof/>
              </w:rPr>
            </w:pPr>
            <w:r>
              <w:rPr>
                <w:noProof/>
              </w:rPr>
              <w:t>Opkoblingspunkt (point of presence)</w:t>
            </w:r>
          </w:p>
        </w:tc>
      </w:tr>
      <w:tr>
        <w:tc>
          <w:tcPr>
            <w:tcW w:w="2268" w:type="dxa"/>
            <w:vAlign w:val="bottom"/>
          </w:tcPr>
          <w:p>
            <w:pPr>
              <w:pStyle w:val="Text1"/>
              <w:spacing w:before="0" w:after="0"/>
              <w:ind w:left="0"/>
              <w:rPr>
                <w:noProof/>
              </w:rPr>
            </w:pPr>
            <w:r>
              <w:rPr>
                <w:noProof/>
              </w:rPr>
              <w:t>PRG</w:t>
            </w:r>
          </w:p>
        </w:tc>
        <w:tc>
          <w:tcPr>
            <w:tcW w:w="6095" w:type="dxa"/>
            <w:vAlign w:val="bottom"/>
          </w:tcPr>
          <w:p>
            <w:pPr>
              <w:pStyle w:val="Text1"/>
              <w:spacing w:before="0" w:after="0"/>
              <w:ind w:left="0"/>
              <w:rPr>
                <w:noProof/>
              </w:rPr>
            </w:pPr>
            <w:r>
              <w:rPr>
                <w:noProof/>
              </w:rPr>
              <w:t>Program</w:t>
            </w:r>
          </w:p>
        </w:tc>
      </w:tr>
      <w:tr>
        <w:tc>
          <w:tcPr>
            <w:tcW w:w="2268" w:type="dxa"/>
            <w:vAlign w:val="bottom"/>
          </w:tcPr>
          <w:p>
            <w:pPr>
              <w:pStyle w:val="Text1"/>
              <w:spacing w:before="0" w:after="0"/>
              <w:ind w:left="0"/>
              <w:rPr>
                <w:noProof/>
              </w:rPr>
            </w:pPr>
            <w:r>
              <w:rPr>
                <w:noProof/>
              </w:rPr>
              <w:t>QA</w:t>
            </w:r>
          </w:p>
        </w:tc>
        <w:tc>
          <w:tcPr>
            <w:tcW w:w="6095" w:type="dxa"/>
            <w:vAlign w:val="bottom"/>
          </w:tcPr>
          <w:p>
            <w:pPr>
              <w:pStyle w:val="Text1"/>
              <w:spacing w:before="0" w:after="0"/>
              <w:ind w:left="0"/>
              <w:rPr>
                <w:noProof/>
              </w:rPr>
            </w:pPr>
            <w:r>
              <w:rPr>
                <w:noProof/>
              </w:rPr>
              <w:t>Kvalitetssikring</w:t>
            </w:r>
          </w:p>
        </w:tc>
      </w:tr>
      <w:tr>
        <w:tc>
          <w:tcPr>
            <w:tcW w:w="2268" w:type="dxa"/>
            <w:vAlign w:val="bottom"/>
          </w:tcPr>
          <w:p>
            <w:pPr>
              <w:pStyle w:val="Text1"/>
              <w:spacing w:before="0" w:after="0"/>
              <w:ind w:left="0"/>
              <w:rPr>
                <w:noProof/>
              </w:rPr>
            </w:pPr>
            <w:r>
              <w:rPr>
                <w:noProof/>
              </w:rPr>
              <w:t>RAP</w:t>
            </w:r>
          </w:p>
        </w:tc>
        <w:tc>
          <w:tcPr>
            <w:tcW w:w="6095" w:type="dxa"/>
            <w:vAlign w:val="bottom"/>
          </w:tcPr>
          <w:p>
            <w:pPr>
              <w:pStyle w:val="Text1"/>
              <w:spacing w:before="0" w:after="0"/>
              <w:ind w:left="0"/>
              <w:rPr>
                <w:noProof/>
              </w:rPr>
            </w:pPr>
            <w:r>
              <w:rPr>
                <w:noProof/>
              </w:rPr>
              <w:t>Remote API Proxy</w:t>
            </w:r>
          </w:p>
        </w:tc>
      </w:tr>
      <w:tr>
        <w:tc>
          <w:tcPr>
            <w:tcW w:w="2268" w:type="dxa"/>
            <w:vAlign w:val="bottom"/>
          </w:tcPr>
          <w:p>
            <w:pPr>
              <w:pStyle w:val="Text1"/>
              <w:spacing w:before="0" w:after="0"/>
              <w:ind w:left="0"/>
              <w:rPr>
                <w:noProof/>
              </w:rPr>
            </w:pPr>
            <w:r>
              <w:rPr>
                <w:noProof/>
              </w:rPr>
              <w:t>RD</w:t>
            </w:r>
          </w:p>
        </w:tc>
        <w:tc>
          <w:tcPr>
            <w:tcW w:w="6095" w:type="dxa"/>
            <w:vAlign w:val="bottom"/>
          </w:tcPr>
          <w:p>
            <w:pPr>
              <w:pStyle w:val="Text1"/>
              <w:spacing w:before="0" w:after="0"/>
              <w:ind w:left="0"/>
              <w:rPr>
                <w:noProof/>
              </w:rPr>
            </w:pPr>
            <w:r>
              <w:rPr>
                <w:noProof/>
              </w:rPr>
              <w:t>Referencedokument</w:t>
            </w:r>
          </w:p>
        </w:tc>
      </w:tr>
      <w:tr>
        <w:tc>
          <w:tcPr>
            <w:tcW w:w="2268" w:type="dxa"/>
            <w:vAlign w:val="bottom"/>
          </w:tcPr>
          <w:p>
            <w:pPr>
              <w:pStyle w:val="Text1"/>
              <w:spacing w:before="0" w:after="0"/>
              <w:ind w:left="0"/>
              <w:rPr>
                <w:noProof/>
              </w:rPr>
            </w:pPr>
            <w:r>
              <w:rPr>
                <w:noProof/>
              </w:rPr>
              <w:t>REV</w:t>
            </w:r>
          </w:p>
        </w:tc>
        <w:tc>
          <w:tcPr>
            <w:tcW w:w="6095" w:type="dxa"/>
            <w:vAlign w:val="bottom"/>
          </w:tcPr>
          <w:p>
            <w:pPr>
              <w:pStyle w:val="Text1"/>
              <w:spacing w:before="0" w:after="0"/>
              <w:ind w:left="0"/>
              <w:rPr>
                <w:noProof/>
              </w:rPr>
            </w:pPr>
            <w:r>
              <w:rPr>
                <w:noProof/>
              </w:rPr>
              <w:t>Revision</w:t>
            </w:r>
          </w:p>
        </w:tc>
      </w:tr>
      <w:tr>
        <w:tc>
          <w:tcPr>
            <w:tcW w:w="2268" w:type="dxa"/>
            <w:vAlign w:val="bottom"/>
          </w:tcPr>
          <w:p>
            <w:pPr>
              <w:pStyle w:val="Text1"/>
              <w:spacing w:before="0" w:after="0"/>
              <w:ind w:left="0"/>
              <w:rPr>
                <w:noProof/>
              </w:rPr>
            </w:pPr>
            <w:r>
              <w:rPr>
                <w:noProof/>
              </w:rPr>
              <w:t>RFA</w:t>
            </w:r>
          </w:p>
        </w:tc>
        <w:tc>
          <w:tcPr>
            <w:tcW w:w="6095" w:type="dxa"/>
            <w:vAlign w:val="bottom"/>
          </w:tcPr>
          <w:p>
            <w:pPr>
              <w:pStyle w:val="Text1"/>
              <w:spacing w:before="0" w:after="0"/>
              <w:ind w:left="0"/>
              <w:rPr>
                <w:noProof/>
              </w:rPr>
            </w:pPr>
            <w:r>
              <w:rPr>
                <w:noProof/>
              </w:rPr>
              <w:t>Anmodning om foranstaltninger</w:t>
            </w:r>
          </w:p>
        </w:tc>
      </w:tr>
      <w:tr>
        <w:tc>
          <w:tcPr>
            <w:tcW w:w="2268" w:type="dxa"/>
            <w:vAlign w:val="bottom"/>
          </w:tcPr>
          <w:p>
            <w:pPr>
              <w:pStyle w:val="Text1"/>
              <w:spacing w:before="0" w:after="0"/>
              <w:ind w:left="0"/>
              <w:rPr>
                <w:noProof/>
              </w:rPr>
            </w:pPr>
            <w:r>
              <w:rPr>
                <w:noProof/>
              </w:rPr>
              <w:t>ROL</w:t>
            </w:r>
          </w:p>
        </w:tc>
        <w:tc>
          <w:tcPr>
            <w:tcW w:w="6095" w:type="dxa"/>
            <w:vAlign w:val="bottom"/>
          </w:tcPr>
          <w:p>
            <w:pPr>
              <w:pStyle w:val="Text1"/>
              <w:spacing w:before="0" w:after="0"/>
              <w:ind w:left="0"/>
              <w:rPr>
                <w:noProof/>
              </w:rPr>
            </w:pPr>
            <w:r>
              <w:rPr>
                <w:noProof/>
              </w:rPr>
              <w:t>Rolle</w:t>
            </w:r>
          </w:p>
        </w:tc>
      </w:tr>
      <w:tr>
        <w:tc>
          <w:tcPr>
            <w:tcW w:w="2268" w:type="dxa"/>
            <w:vAlign w:val="bottom"/>
          </w:tcPr>
          <w:p>
            <w:pPr>
              <w:pStyle w:val="Text1"/>
              <w:spacing w:before="0" w:after="0"/>
              <w:ind w:left="0"/>
              <w:rPr>
                <w:noProof/>
              </w:rPr>
            </w:pPr>
            <w:r>
              <w:rPr>
                <w:noProof/>
              </w:rPr>
              <w:t>SFI</w:t>
            </w:r>
          </w:p>
        </w:tc>
        <w:tc>
          <w:tcPr>
            <w:tcW w:w="6095" w:type="dxa"/>
            <w:vAlign w:val="bottom"/>
          </w:tcPr>
          <w:p>
            <w:pPr>
              <w:pStyle w:val="Text1"/>
              <w:spacing w:before="0" w:after="0"/>
              <w:ind w:left="0"/>
              <w:rPr>
                <w:noProof/>
              </w:rPr>
            </w:pPr>
            <w:r>
              <w:rPr>
                <w:noProof/>
              </w:rPr>
              <w:t>Submit For Information</w:t>
            </w:r>
          </w:p>
        </w:tc>
      </w:tr>
      <w:tr>
        <w:tc>
          <w:tcPr>
            <w:tcW w:w="2268" w:type="dxa"/>
            <w:vAlign w:val="bottom"/>
          </w:tcPr>
          <w:p>
            <w:pPr>
              <w:pStyle w:val="Text1"/>
              <w:spacing w:before="0" w:after="0"/>
              <w:ind w:left="0"/>
              <w:rPr>
                <w:noProof/>
              </w:rPr>
            </w:pPr>
            <w:r>
              <w:rPr>
                <w:noProof/>
              </w:rPr>
              <w:t>SMTP</w:t>
            </w:r>
          </w:p>
        </w:tc>
        <w:tc>
          <w:tcPr>
            <w:tcW w:w="6095" w:type="dxa"/>
            <w:vAlign w:val="bottom"/>
          </w:tcPr>
          <w:p>
            <w:pPr>
              <w:pStyle w:val="Text1"/>
              <w:spacing w:before="0" w:after="0"/>
              <w:ind w:left="0"/>
              <w:rPr>
                <w:noProof/>
              </w:rPr>
            </w:pPr>
            <w:r>
              <w:rPr>
                <w:noProof/>
              </w:rPr>
              <w:t>Simple Mail Transport Protocol</w:t>
            </w:r>
          </w:p>
        </w:tc>
      </w:tr>
      <w:tr>
        <w:tc>
          <w:tcPr>
            <w:tcW w:w="2268" w:type="dxa"/>
            <w:vAlign w:val="bottom"/>
          </w:tcPr>
          <w:p>
            <w:pPr>
              <w:pStyle w:val="Text1"/>
              <w:spacing w:before="0" w:after="0"/>
              <w:ind w:left="0"/>
              <w:rPr>
                <w:noProof/>
              </w:rPr>
            </w:pPr>
            <w:r>
              <w:rPr>
                <w:noProof/>
              </w:rPr>
              <w:t>SQI</w:t>
            </w:r>
          </w:p>
        </w:tc>
        <w:tc>
          <w:tcPr>
            <w:tcW w:w="6095" w:type="dxa"/>
            <w:vAlign w:val="bottom"/>
          </w:tcPr>
          <w:p>
            <w:pPr>
              <w:pStyle w:val="Text1"/>
              <w:spacing w:before="0" w:after="0"/>
              <w:ind w:left="0"/>
              <w:rPr>
                <w:noProof/>
              </w:rPr>
            </w:pPr>
            <w:r>
              <w:rPr>
                <w:noProof/>
              </w:rPr>
              <w:t>Servicekvalitetsindikator</w:t>
            </w:r>
          </w:p>
        </w:tc>
      </w:tr>
      <w:tr>
        <w:tc>
          <w:tcPr>
            <w:tcW w:w="2268" w:type="dxa"/>
            <w:vAlign w:val="bottom"/>
          </w:tcPr>
          <w:p>
            <w:pPr>
              <w:pStyle w:val="Text1"/>
              <w:spacing w:before="0" w:after="0"/>
              <w:ind w:left="0"/>
              <w:rPr>
                <w:noProof/>
              </w:rPr>
            </w:pPr>
            <w:r>
              <w:rPr>
                <w:noProof/>
              </w:rPr>
              <w:t>SSG</w:t>
            </w:r>
          </w:p>
        </w:tc>
        <w:tc>
          <w:tcPr>
            <w:tcW w:w="6095" w:type="dxa"/>
            <w:vAlign w:val="bottom"/>
          </w:tcPr>
          <w:p>
            <w:pPr>
              <w:pStyle w:val="Text1"/>
              <w:spacing w:before="0" w:after="0"/>
              <w:ind w:left="0"/>
              <w:rPr>
                <w:noProof/>
              </w:rPr>
            </w:pPr>
            <w:r>
              <w:rPr>
                <w:noProof/>
              </w:rPr>
              <w:t>Secure Services Gateways (Juniper-krypteringsudstyr)</w:t>
            </w:r>
          </w:p>
        </w:tc>
      </w:tr>
      <w:tr>
        <w:tc>
          <w:tcPr>
            <w:tcW w:w="2268" w:type="dxa"/>
            <w:vAlign w:val="bottom"/>
          </w:tcPr>
          <w:p>
            <w:pPr>
              <w:pStyle w:val="Text1"/>
              <w:spacing w:before="0" w:after="0"/>
              <w:ind w:left="0"/>
              <w:rPr>
                <w:noProof/>
              </w:rPr>
            </w:pPr>
            <w:r>
              <w:rPr>
                <w:noProof/>
              </w:rPr>
              <w:t>SW</w:t>
            </w:r>
          </w:p>
        </w:tc>
        <w:tc>
          <w:tcPr>
            <w:tcW w:w="6095" w:type="dxa"/>
            <w:vAlign w:val="bottom"/>
          </w:tcPr>
          <w:p>
            <w:pPr>
              <w:pStyle w:val="Text1"/>
              <w:spacing w:before="0" w:after="0"/>
              <w:ind w:left="0"/>
              <w:rPr>
                <w:noProof/>
              </w:rPr>
            </w:pPr>
            <w:r>
              <w:rPr>
                <w:noProof/>
              </w:rPr>
              <w:t>Software</w:t>
            </w:r>
          </w:p>
        </w:tc>
      </w:tr>
      <w:tr>
        <w:tc>
          <w:tcPr>
            <w:tcW w:w="2268" w:type="dxa"/>
            <w:vAlign w:val="bottom"/>
          </w:tcPr>
          <w:p>
            <w:pPr>
              <w:pStyle w:val="Text1"/>
              <w:spacing w:before="0" w:after="0"/>
              <w:ind w:left="0"/>
              <w:rPr>
                <w:noProof/>
              </w:rPr>
            </w:pPr>
            <w:r>
              <w:rPr>
                <w:noProof/>
              </w:rPr>
              <w:t>TAXUD</w:t>
            </w:r>
          </w:p>
        </w:tc>
        <w:tc>
          <w:tcPr>
            <w:tcW w:w="6095" w:type="dxa"/>
            <w:vAlign w:val="bottom"/>
          </w:tcPr>
          <w:p>
            <w:pPr>
              <w:pStyle w:val="Text1"/>
              <w:spacing w:before="0" w:after="0"/>
              <w:ind w:left="0"/>
              <w:rPr>
                <w:noProof/>
              </w:rPr>
            </w:pPr>
            <w:r>
              <w:rPr>
                <w:noProof/>
              </w:rPr>
              <w:t>Beskatning og toldunion</w:t>
            </w:r>
          </w:p>
        </w:tc>
      </w:tr>
      <w:tr>
        <w:tc>
          <w:tcPr>
            <w:tcW w:w="2268" w:type="dxa"/>
            <w:vAlign w:val="bottom"/>
          </w:tcPr>
          <w:p>
            <w:pPr>
              <w:pStyle w:val="Text1"/>
              <w:spacing w:before="0" w:after="0"/>
              <w:ind w:left="0"/>
              <w:rPr>
                <w:noProof/>
              </w:rPr>
            </w:pPr>
            <w:r>
              <w:rPr>
                <w:noProof/>
              </w:rPr>
              <w:t>TCP</w:t>
            </w:r>
          </w:p>
        </w:tc>
        <w:tc>
          <w:tcPr>
            <w:tcW w:w="6095" w:type="dxa"/>
            <w:vAlign w:val="bottom"/>
          </w:tcPr>
          <w:p>
            <w:pPr>
              <w:pStyle w:val="Text1"/>
              <w:spacing w:before="0" w:after="0"/>
              <w:ind w:left="0"/>
              <w:rPr>
                <w:noProof/>
              </w:rPr>
            </w:pPr>
            <w:r>
              <w:rPr>
                <w:noProof/>
              </w:rPr>
              <w:t>Transmission Control Protocol</w:t>
            </w:r>
          </w:p>
        </w:tc>
      </w:tr>
      <w:tr>
        <w:tc>
          <w:tcPr>
            <w:tcW w:w="2268" w:type="dxa"/>
            <w:vAlign w:val="bottom"/>
          </w:tcPr>
          <w:p>
            <w:pPr>
              <w:pStyle w:val="Text1"/>
              <w:spacing w:before="0" w:after="0"/>
              <w:ind w:left="0"/>
              <w:rPr>
                <w:noProof/>
              </w:rPr>
            </w:pPr>
            <w:r>
              <w:rPr>
                <w:noProof/>
              </w:rPr>
              <w:t>UPS</w:t>
            </w:r>
          </w:p>
        </w:tc>
        <w:tc>
          <w:tcPr>
            <w:tcW w:w="6095" w:type="dxa"/>
            <w:vAlign w:val="bottom"/>
          </w:tcPr>
          <w:p>
            <w:pPr>
              <w:pStyle w:val="Text1"/>
              <w:spacing w:before="0" w:after="0"/>
              <w:ind w:left="0"/>
              <w:rPr>
                <w:noProof/>
              </w:rPr>
            </w:pPr>
            <w:r>
              <w:rPr>
                <w:noProof/>
              </w:rPr>
              <w:t>Kontinuerlig strømforsyning</w:t>
            </w:r>
          </w:p>
        </w:tc>
      </w:tr>
      <w:tr>
        <w:tc>
          <w:tcPr>
            <w:tcW w:w="2268" w:type="dxa"/>
            <w:vAlign w:val="bottom"/>
          </w:tcPr>
          <w:p>
            <w:pPr>
              <w:pStyle w:val="Text1"/>
              <w:spacing w:before="0" w:after="0"/>
              <w:ind w:left="0"/>
              <w:rPr>
                <w:noProof/>
              </w:rPr>
            </w:pPr>
            <w:r>
              <w:rPr>
                <w:noProof/>
              </w:rPr>
              <w:t>VM</w:t>
            </w:r>
          </w:p>
        </w:tc>
        <w:tc>
          <w:tcPr>
            <w:tcW w:w="6095" w:type="dxa"/>
            <w:vAlign w:val="bottom"/>
          </w:tcPr>
          <w:p>
            <w:pPr>
              <w:pStyle w:val="Text1"/>
              <w:spacing w:before="0" w:after="0"/>
              <w:ind w:left="0"/>
              <w:rPr>
                <w:noProof/>
              </w:rPr>
            </w:pPr>
            <w:r>
              <w:rPr>
                <w:noProof/>
              </w:rPr>
              <w:t>Virtuel maskine</w:t>
            </w:r>
          </w:p>
        </w:tc>
      </w:tr>
      <w:tr>
        <w:tc>
          <w:tcPr>
            <w:tcW w:w="2268" w:type="dxa"/>
            <w:vAlign w:val="bottom"/>
          </w:tcPr>
          <w:p>
            <w:pPr>
              <w:pStyle w:val="Text1"/>
              <w:spacing w:before="0" w:after="0"/>
              <w:ind w:left="0"/>
              <w:rPr>
                <w:noProof/>
              </w:rPr>
            </w:pPr>
            <w:r>
              <w:rPr>
                <w:noProof/>
              </w:rPr>
              <w:t>VPN</w:t>
            </w:r>
          </w:p>
        </w:tc>
        <w:tc>
          <w:tcPr>
            <w:tcW w:w="6095" w:type="dxa"/>
            <w:vAlign w:val="bottom"/>
          </w:tcPr>
          <w:p>
            <w:pPr>
              <w:pStyle w:val="Text1"/>
              <w:spacing w:before="0" w:after="0"/>
              <w:ind w:left="0"/>
              <w:rPr>
                <w:noProof/>
              </w:rPr>
            </w:pPr>
            <w:r>
              <w:rPr>
                <w:noProof/>
              </w:rPr>
              <w:t xml:space="preserve">Virtuelt privat net </w:t>
            </w:r>
          </w:p>
        </w:tc>
      </w:tr>
      <w:tr>
        <w:tc>
          <w:tcPr>
            <w:tcW w:w="2268" w:type="dxa"/>
            <w:vAlign w:val="bottom"/>
          </w:tcPr>
          <w:p>
            <w:pPr>
              <w:pStyle w:val="Text1"/>
              <w:spacing w:before="0" w:after="0"/>
              <w:ind w:left="0"/>
              <w:rPr>
                <w:noProof/>
              </w:rPr>
            </w:pPr>
            <w:r>
              <w:rPr>
                <w:noProof/>
              </w:rPr>
              <w:t>WAN</w:t>
            </w:r>
          </w:p>
        </w:tc>
        <w:tc>
          <w:tcPr>
            <w:tcW w:w="6095" w:type="dxa"/>
            <w:vAlign w:val="bottom"/>
          </w:tcPr>
          <w:p>
            <w:pPr>
              <w:pStyle w:val="Text1"/>
              <w:spacing w:before="0" w:after="0"/>
              <w:ind w:left="0"/>
              <w:rPr>
                <w:noProof/>
              </w:rPr>
            </w:pPr>
            <w:r>
              <w:rPr>
                <w:noProof/>
              </w:rPr>
              <w:t>Wide Area Network</w:t>
            </w:r>
          </w:p>
        </w:tc>
      </w:tr>
    </w:tbl>
    <w:p>
      <w:pPr>
        <w:spacing w:before="60"/>
        <w:jc w:val="center"/>
        <w:rPr>
          <w:rFonts w:eastAsia="Times New Roman"/>
          <w:noProof/>
          <w:sz w:val="20"/>
          <w:szCs w:val="20"/>
        </w:rPr>
      </w:pPr>
      <w:r>
        <w:rPr>
          <w:noProof/>
        </w:rPr>
        <w:t xml:space="preserve">Tabel </w:t>
      </w:r>
      <w:r>
        <w:rPr>
          <w:rFonts w:eastAsia="Times New Roman"/>
          <w:noProof/>
          <w:sz w:val="20"/>
          <w:szCs w:val="20"/>
        </w:rPr>
        <w:fldChar w:fldCharType="begin"/>
      </w:r>
      <w:r>
        <w:rPr>
          <w:rFonts w:eastAsia="Times New Roman"/>
          <w:noProof/>
          <w:sz w:val="20"/>
          <w:szCs w:val="20"/>
        </w:rPr>
        <w:instrText xml:space="preserve"> SEQ Table \* ARABIC </w:instrText>
      </w:r>
      <w:r>
        <w:rPr>
          <w:rFonts w:eastAsia="Times New Roman"/>
          <w:noProof/>
          <w:sz w:val="20"/>
          <w:szCs w:val="20"/>
        </w:rPr>
        <w:fldChar w:fldCharType="separate"/>
      </w:r>
      <w:r>
        <w:rPr>
          <w:rFonts w:eastAsia="Times New Roman"/>
          <w:noProof/>
          <w:sz w:val="20"/>
          <w:szCs w:val="20"/>
        </w:rPr>
        <w:t>9</w:t>
      </w:r>
      <w:r>
        <w:rPr>
          <w:rFonts w:eastAsia="Times New Roman"/>
          <w:noProof/>
          <w:sz w:val="20"/>
          <w:szCs w:val="20"/>
        </w:rPr>
        <w:fldChar w:fldCharType="end"/>
      </w:r>
      <w:r>
        <w:rPr>
          <w:noProof/>
          <w:sz w:val="20"/>
          <w:szCs w:val="20"/>
        </w:rPr>
        <w:t xml:space="preserve">: Akronymer </w:t>
      </w:r>
    </w:p>
    <w:p>
      <w:pPr>
        <w:pStyle w:val="ManualHeading2"/>
        <w:rPr>
          <w:noProof/>
        </w:rPr>
      </w:pPr>
      <w:r>
        <w:rPr>
          <w:noProof/>
        </w:rPr>
        <w:t>2.2.</w:t>
      </w:r>
      <w:r>
        <w:rPr>
          <w:noProof/>
        </w:rPr>
        <w:tab/>
        <w:t>DEFINITIONER AF UDTRYK I CCN/CSI SLA</w:t>
      </w:r>
    </w:p>
    <w:tbl>
      <w:tblPr>
        <w:tblStyle w:val="TableGrid"/>
        <w:tblW w:w="8363" w:type="dxa"/>
        <w:tblInd w:w="959" w:type="dxa"/>
        <w:tblLook w:val="04A0" w:firstRow="1" w:lastRow="0" w:firstColumn="1" w:lastColumn="0" w:noHBand="0" w:noVBand="1"/>
      </w:tblPr>
      <w:tblGrid>
        <w:gridCol w:w="2483"/>
        <w:gridCol w:w="5880"/>
      </w:tblGrid>
      <w:tr>
        <w:tc>
          <w:tcPr>
            <w:tcW w:w="2268" w:type="dxa"/>
            <w:shd w:val="clear" w:color="auto" w:fill="D9D9D9" w:themeFill="background1" w:themeFillShade="D9"/>
          </w:tcPr>
          <w:p>
            <w:pPr>
              <w:pStyle w:val="Text1"/>
              <w:spacing w:before="0" w:after="0"/>
              <w:ind w:left="0"/>
              <w:rPr>
                <w:noProof/>
              </w:rPr>
            </w:pPr>
            <w:r>
              <w:rPr>
                <w:b/>
                <w:caps/>
                <w:noProof/>
                <w:szCs w:val="24"/>
              </w:rPr>
              <w:t>Udtryk</w:t>
            </w:r>
          </w:p>
        </w:tc>
        <w:tc>
          <w:tcPr>
            <w:tcW w:w="6095" w:type="dxa"/>
            <w:shd w:val="clear" w:color="auto" w:fill="D9D9D9" w:themeFill="background1" w:themeFillShade="D9"/>
          </w:tcPr>
          <w:p>
            <w:pPr>
              <w:pStyle w:val="Text1"/>
              <w:spacing w:before="0" w:after="0"/>
              <w:ind w:left="0"/>
              <w:rPr>
                <w:b/>
                <w:noProof/>
              </w:rPr>
            </w:pPr>
            <w:r>
              <w:rPr>
                <w:b/>
                <w:noProof/>
              </w:rPr>
              <w:t>BESKRIVELSE</w:t>
            </w:r>
          </w:p>
        </w:tc>
      </w:tr>
      <w:tr>
        <w:tc>
          <w:tcPr>
            <w:tcW w:w="2268" w:type="dxa"/>
          </w:tcPr>
          <w:p>
            <w:pPr>
              <w:pStyle w:val="Text1"/>
              <w:spacing w:before="0" w:after="0"/>
              <w:ind w:left="0"/>
              <w:rPr>
                <w:noProof/>
              </w:rPr>
            </w:pPr>
            <w:r>
              <w:rPr>
                <w:b/>
                <w:noProof/>
                <w:szCs w:val="24"/>
              </w:rPr>
              <w:t>Rapporteringsperiode</w:t>
            </w:r>
          </w:p>
        </w:tc>
        <w:tc>
          <w:tcPr>
            <w:tcW w:w="6095" w:type="dxa"/>
          </w:tcPr>
          <w:p>
            <w:pPr>
              <w:pStyle w:val="Text1"/>
              <w:spacing w:before="0" w:after="0"/>
              <w:ind w:left="0"/>
              <w:rPr>
                <w:noProof/>
              </w:rPr>
            </w:pPr>
            <w:r>
              <w:rPr>
                <w:noProof/>
              </w:rPr>
              <w:t xml:space="preserve">En måned </w:t>
            </w:r>
          </w:p>
        </w:tc>
      </w:tr>
      <w:tr>
        <w:tc>
          <w:tcPr>
            <w:tcW w:w="2268" w:type="dxa"/>
          </w:tcPr>
          <w:p>
            <w:pPr>
              <w:pStyle w:val="Text1"/>
              <w:spacing w:before="0" w:after="0"/>
              <w:ind w:left="0"/>
              <w:rPr>
                <w:noProof/>
              </w:rPr>
            </w:pPr>
            <w:r>
              <w:rPr>
                <w:b/>
                <w:noProof/>
                <w:szCs w:val="24"/>
              </w:rPr>
              <w:t>Arbejdsdag</w:t>
            </w:r>
          </w:p>
        </w:tc>
        <w:tc>
          <w:tcPr>
            <w:tcW w:w="6095" w:type="dxa"/>
          </w:tcPr>
          <w:p>
            <w:pPr>
              <w:pStyle w:val="Text1"/>
              <w:spacing w:before="0" w:after="0"/>
              <w:ind w:left="0"/>
              <w:rPr>
                <w:noProof/>
              </w:rPr>
            </w:pPr>
            <w:r>
              <w:rPr>
                <w:noProof/>
              </w:rPr>
              <w:t>Arbejdsdagene er arbejdsdagene for serviceudbyderens servicedesk. Disse er syv dage om ugen, herunder helligdage.</w:t>
            </w:r>
          </w:p>
        </w:tc>
      </w:tr>
      <w:tr>
        <w:tc>
          <w:tcPr>
            <w:tcW w:w="2268" w:type="dxa"/>
          </w:tcPr>
          <w:p>
            <w:pPr>
              <w:pStyle w:val="Text1"/>
              <w:spacing w:before="0" w:after="0"/>
              <w:ind w:left="0"/>
              <w:rPr>
                <w:noProof/>
              </w:rPr>
            </w:pPr>
            <w:r>
              <w:rPr>
                <w:b/>
                <w:noProof/>
                <w:szCs w:val="24"/>
              </w:rPr>
              <w:t>Åbningstid</w:t>
            </w:r>
          </w:p>
        </w:tc>
        <w:tc>
          <w:tcPr>
            <w:tcW w:w="6095" w:type="dxa"/>
          </w:tcPr>
          <w:p>
            <w:pPr>
              <w:pStyle w:val="Text1"/>
              <w:spacing w:before="0" w:after="0"/>
              <w:ind w:left="0"/>
              <w:rPr>
                <w:noProof/>
              </w:rPr>
            </w:pPr>
            <w:r>
              <w:rPr>
                <w:noProof/>
              </w:rPr>
              <w:t>Åbningstiden er åbningstiden for serviceudbyderens servicedesk, der er døgnåben på arbejdsdage.</w:t>
            </w:r>
          </w:p>
        </w:tc>
      </w:tr>
      <w:tr>
        <w:tc>
          <w:tcPr>
            <w:tcW w:w="2268" w:type="dxa"/>
          </w:tcPr>
          <w:p>
            <w:pPr>
              <w:pStyle w:val="Text1"/>
              <w:spacing w:before="0" w:after="0"/>
              <w:ind w:left="0"/>
              <w:rPr>
                <w:noProof/>
              </w:rPr>
            </w:pPr>
            <w:r>
              <w:rPr>
                <w:b/>
                <w:noProof/>
                <w:szCs w:val="24"/>
              </w:rPr>
              <w:t>Serviceperiode</w:t>
            </w:r>
          </w:p>
        </w:tc>
        <w:tc>
          <w:tcPr>
            <w:tcW w:w="6095" w:type="dxa"/>
          </w:tcPr>
          <w:p>
            <w:pPr>
              <w:keepNext/>
              <w:keepLines/>
              <w:spacing w:before="0" w:line="276" w:lineRule="auto"/>
              <w:rPr>
                <w:rFonts w:eastAsia="Calibri"/>
                <w:noProof/>
                <w:szCs w:val="24"/>
              </w:rPr>
            </w:pPr>
            <w:r>
              <w:rPr>
                <w:noProof/>
              </w:rPr>
              <w:t>Serviceudbyderens "serviceperiode" er de timer, hvor servicedeskfunktionen er dækket. Servicen sikres af serviceudbyderens servicedesk, der er døgnåben syv dage om ugen, herunder helligdage.</w:t>
            </w:r>
          </w:p>
          <w:p>
            <w:pPr>
              <w:pStyle w:val="Text1"/>
              <w:spacing w:before="0" w:after="0"/>
              <w:ind w:left="0"/>
              <w:rPr>
                <w:noProof/>
              </w:rPr>
            </w:pPr>
            <w:r>
              <w:rPr>
                <w:noProof/>
              </w:rPr>
              <w:t>Afhængigt af CI-servicevinduet svares øjeblikkeligt (24*7) eller næste dag. Anmodninger pr. brev, fax, e-mail og ad elektronisk vej (via ITSM-portalen) accepteres på et hvilket som helst tidspunkt. Indkommende anmodninger registreres som "servicekald" i serviceudbyderens system til forvaltning af servicedesken.</w:t>
            </w:r>
          </w:p>
        </w:tc>
      </w:tr>
    </w:tbl>
    <w:p>
      <w:pPr>
        <w:spacing w:before="60"/>
        <w:jc w:val="center"/>
        <w:rPr>
          <w:rFonts w:eastAsia="Times New Roman"/>
          <w:noProof/>
          <w:sz w:val="20"/>
          <w:szCs w:val="20"/>
        </w:rPr>
      </w:pPr>
      <w:r>
        <w:rPr>
          <w:noProof/>
        </w:rPr>
        <w:t xml:space="preserve">Tabel </w:t>
      </w:r>
      <w:r>
        <w:rPr>
          <w:rFonts w:eastAsia="Times New Roman"/>
          <w:noProof/>
          <w:sz w:val="20"/>
          <w:szCs w:val="20"/>
        </w:rPr>
        <w:fldChar w:fldCharType="begin"/>
      </w:r>
      <w:r>
        <w:rPr>
          <w:rFonts w:eastAsia="Times New Roman"/>
          <w:noProof/>
          <w:sz w:val="20"/>
          <w:szCs w:val="20"/>
        </w:rPr>
        <w:instrText xml:space="preserve"> SEQ Table \* ARABIC </w:instrText>
      </w:r>
      <w:r>
        <w:rPr>
          <w:rFonts w:eastAsia="Times New Roman"/>
          <w:noProof/>
          <w:sz w:val="20"/>
          <w:szCs w:val="20"/>
        </w:rPr>
        <w:fldChar w:fldCharType="separate"/>
      </w:r>
      <w:r>
        <w:rPr>
          <w:rFonts w:eastAsia="Times New Roman"/>
          <w:noProof/>
          <w:sz w:val="20"/>
          <w:szCs w:val="20"/>
        </w:rPr>
        <w:t>10</w:t>
      </w:r>
      <w:r>
        <w:rPr>
          <w:rFonts w:eastAsia="Times New Roman"/>
          <w:noProof/>
          <w:sz w:val="20"/>
          <w:szCs w:val="20"/>
        </w:rPr>
        <w:fldChar w:fldCharType="end"/>
      </w:r>
      <w:r>
        <w:rPr>
          <w:noProof/>
          <w:sz w:val="20"/>
          <w:szCs w:val="20"/>
        </w:rPr>
        <w:t>: Definitioner</w:t>
      </w:r>
    </w:p>
    <w:p>
      <w:pPr>
        <w:pStyle w:val="ManualHeading1"/>
        <w:rPr>
          <w:noProof/>
        </w:rPr>
      </w:pPr>
      <w:r>
        <w:rPr>
          <w:noProof/>
        </w:rPr>
        <w:t>3.</w:t>
      </w:r>
      <w:r>
        <w:rPr>
          <w:noProof/>
        </w:rPr>
        <w:tab/>
      </w:r>
      <w:r>
        <w:rPr>
          <w:noProof/>
          <w:u w:val="single"/>
        </w:rPr>
        <w:t>INDLEDNING</w:t>
      </w:r>
    </w:p>
    <w:p>
      <w:pPr>
        <w:pStyle w:val="Text1"/>
        <w:rPr>
          <w:noProof/>
        </w:rPr>
      </w:pPr>
      <w:r>
        <w:rPr>
          <w:noProof/>
        </w:rPr>
        <w:t xml:space="preserve">Dette dokument er en serviceleveranceaftale for det fælles kommunikationsnet/den fælles systemgrænseflade (CCN/CSI SLA) mellem Europa-Kommissionen ("serviceudbyderen") og Kongeriget Norge ("serviceanmoderen"), under et benævnt "parterne i SLA'en". </w:t>
      </w:r>
    </w:p>
    <w:p>
      <w:pPr>
        <w:pStyle w:val="Text1"/>
        <w:rPr>
          <w:rFonts w:eastAsia="Calibri"/>
          <w:noProof/>
        </w:rPr>
      </w:pPr>
      <w:r>
        <w:rPr>
          <w:noProof/>
        </w:rPr>
        <w:lastRenderedPageBreak/>
        <w:t>"Serviceudbyderen" omfatter navnlig GD TAXUD's organisatoriske enheder som anført nedenfor:</w:t>
      </w:r>
    </w:p>
    <w:p>
      <w:pPr>
        <w:pStyle w:val="Bullet1"/>
        <w:rPr>
          <w:noProof/>
        </w:rPr>
      </w:pPr>
      <w:r>
        <w:rPr>
          <w:noProof/>
        </w:rPr>
        <w:t>GD TAXUD, Kontor B2, der samordner alle CCN/CSI-aktiviteter</w:t>
      </w:r>
    </w:p>
    <w:p>
      <w:pPr>
        <w:pStyle w:val="Bullet1"/>
        <w:rPr>
          <w:noProof/>
        </w:rPr>
      </w:pPr>
      <w:r>
        <w:rPr>
          <w:noProof/>
        </w:rPr>
        <w:t>ITSM3 Operations, der leverer operationelle ydelser</w:t>
      </w:r>
    </w:p>
    <w:p>
      <w:pPr>
        <w:pStyle w:val="Bullet1"/>
        <w:rPr>
          <w:noProof/>
        </w:rPr>
      </w:pPr>
      <w:r>
        <w:rPr>
          <w:noProof/>
        </w:rPr>
        <w:t>CCN2DEV, der leverer CCN-software (udviklingsmæssige og korrektive vedligeholdelsestjenester)</w:t>
      </w:r>
    </w:p>
    <w:p>
      <w:pPr>
        <w:pStyle w:val="Bullet1"/>
        <w:rPr>
          <w:noProof/>
        </w:rPr>
      </w:pPr>
      <w:r>
        <w:rPr>
          <w:noProof/>
        </w:rPr>
        <w:t>Transeuropæisk kernenetudbyder (CCN/WAN, i øjeblikket OBS).</w:t>
      </w:r>
    </w:p>
    <w:p>
      <w:pPr>
        <w:pStyle w:val="Text1"/>
        <w:rPr>
          <w:noProof/>
        </w:rPr>
      </w:pPr>
      <w:r>
        <w:rPr>
          <w:noProof/>
        </w:rPr>
        <w:t>Afhængigt af karakteren af den ønskede service udføres opgaven af en af serviceudbyderne.</w:t>
      </w:r>
    </w:p>
    <w:p>
      <w:pPr>
        <w:pStyle w:val="Text1"/>
        <w:rPr>
          <w:noProof/>
        </w:rPr>
      </w:pPr>
      <w:r>
        <w:rPr>
          <w:noProof/>
        </w:rPr>
        <w:t>"Serviceanmoderen" er de nationale skattemyndigheder i Norge. De pågældende organisatoriske enheder hos de nationale myndigheder er:</w:t>
      </w:r>
    </w:p>
    <w:p>
      <w:pPr>
        <w:pStyle w:val="Bullet1"/>
        <w:rPr>
          <w:noProof/>
        </w:rPr>
      </w:pPr>
      <w:r>
        <w:rPr>
          <w:noProof/>
        </w:rPr>
        <w:t xml:space="preserve">Det </w:t>
      </w:r>
      <w:r>
        <w:rPr>
          <w:b/>
          <w:noProof/>
        </w:rPr>
        <w:t>nationale CCN-supportcenter</w:t>
      </w:r>
      <w:r>
        <w:rPr>
          <w:noProof/>
        </w:rPr>
        <w:t xml:space="preserve"> med ansvar for support til og forvaltning af GD TAXUD's CCN-infrastrukturudstyr installeret i de nationale myndigheders lokaler og den nationale infrastruktur til støtte for de applikationer, der kører over CCN/CSI-infrastrukturen</w:t>
      </w:r>
    </w:p>
    <w:p>
      <w:pPr>
        <w:pStyle w:val="Bullet1"/>
        <w:rPr>
          <w:noProof/>
        </w:rPr>
      </w:pPr>
      <w:r>
        <w:rPr>
          <w:noProof/>
        </w:rPr>
        <w:t xml:space="preserve">Det </w:t>
      </w:r>
      <w:r>
        <w:rPr>
          <w:b/>
          <w:noProof/>
        </w:rPr>
        <w:t>nationale applikationssupportcenter</w:t>
      </w:r>
      <w:r>
        <w:rPr>
          <w:noProof/>
        </w:rPr>
        <w:t xml:space="preserve"> med ansvar for den nationale support til Kommissionens applikationer, der kører i det nationale domæne og anvender CCN/CSI-infrastrukturtjenester</w:t>
      </w:r>
    </w:p>
    <w:p>
      <w:pPr>
        <w:pStyle w:val="Bullet1"/>
        <w:rPr>
          <w:noProof/>
        </w:rPr>
      </w:pPr>
      <w:r>
        <w:rPr>
          <w:noProof/>
        </w:rPr>
        <w:t xml:space="preserve">De </w:t>
      </w:r>
      <w:r>
        <w:rPr>
          <w:b/>
          <w:noProof/>
        </w:rPr>
        <w:t>nationale applikationsudviklingsteam</w:t>
      </w:r>
      <w:r>
        <w:rPr>
          <w:noProof/>
        </w:rPr>
        <w:t xml:space="preserve"> med ansvar for udviklingen af applikationer ved brug af CCN/CSI-infrastrukturen, herunder deres underleverandører.</w:t>
      </w:r>
    </w:p>
    <w:p>
      <w:pPr>
        <w:pStyle w:val="ManualHeading2"/>
        <w:rPr>
          <w:noProof/>
        </w:rPr>
      </w:pPr>
      <w:bookmarkStart w:id="130" w:name="_Toc379626066"/>
      <w:bookmarkStart w:id="131" w:name="_Toc409143222"/>
      <w:bookmarkStart w:id="132" w:name="_Toc409152246"/>
      <w:bookmarkStart w:id="133" w:name="_Toc409169397"/>
      <w:bookmarkStart w:id="134" w:name="_Toc409657261"/>
      <w:bookmarkStart w:id="135" w:name="_Toc409839178"/>
      <w:bookmarkStart w:id="136" w:name="_Toc409839288"/>
      <w:bookmarkStart w:id="137" w:name="_Toc410559165"/>
      <w:bookmarkStart w:id="138" w:name="_Toc416876762"/>
      <w:r>
        <w:rPr>
          <w:noProof/>
        </w:rPr>
        <w:t>3.1.</w:t>
      </w:r>
      <w:r>
        <w:rPr>
          <w:noProof/>
        </w:rPr>
        <w:tab/>
        <w:t>Anvendelsesområde for CCN/CSI SLA</w:t>
      </w:r>
    </w:p>
    <w:p>
      <w:pPr>
        <w:pStyle w:val="Text1"/>
        <w:rPr>
          <w:rFonts w:eastAsia="Calibri"/>
          <w:noProof/>
          <w:sz w:val="22"/>
        </w:rPr>
      </w:pPr>
      <w:r>
        <w:rPr>
          <w:noProof/>
        </w:rPr>
        <w:t>I henhold til artikel 5 i aftalen vedtages "en aftale om serviceniveauet, der sikrer den tekniske kvalitet og kvantitet af ydelserne med henblik på driften af kommunikations- og informationsudvekslingssystemerne".</w:t>
      </w:r>
    </w:p>
    <w:p>
      <w:pPr>
        <w:pStyle w:val="Text1"/>
        <w:rPr>
          <w:rFonts w:eastAsia="Calibri"/>
          <w:noProof/>
          <w:sz w:val="22"/>
        </w:rPr>
      </w:pPr>
      <w:r>
        <w:rPr>
          <w:noProof/>
        </w:rPr>
        <w:t>I denne CCN/CSI SLA fastsættes forbindelserne mellem Kommissionen (serviceudbyderen) og Kongeriget Norge (serviceanmoderen) for så vidt angår den operationelle fase af det fælles kommunikationsnet/den fælles systemgrænseflade ("CCN/CSI-systemet").</w:t>
      </w:r>
    </w:p>
    <w:p>
      <w:pPr>
        <w:pStyle w:val="Text1"/>
        <w:rPr>
          <w:noProof/>
        </w:rPr>
      </w:pPr>
      <w:r>
        <w:rPr>
          <w:noProof/>
        </w:rPr>
        <w:t xml:space="preserve">Den fastlægger det krævede niveau for den service, der leveres til serviceanmoderen. Den sikrer ligeledes en fælles forståelse af det forventede serviceniveau og det ansvar, der påhviler parterne i SLA'en. </w:t>
      </w:r>
    </w:p>
    <w:p>
      <w:pPr>
        <w:pStyle w:val="Text1"/>
        <w:rPr>
          <w:noProof/>
        </w:rPr>
      </w:pPr>
      <w:r>
        <w:rPr>
          <w:noProof/>
        </w:rPr>
        <w:t xml:space="preserve">I dette dokument beskrives de ydelser og det serviceniveau, der tilbydes i øjeblikket af serviceudbyderen. </w:t>
      </w:r>
    </w:p>
    <w:p>
      <w:pPr>
        <w:pStyle w:val="Text1"/>
        <w:rPr>
          <w:noProof/>
        </w:rPr>
      </w:pPr>
      <w:r>
        <w:rPr>
          <w:noProof/>
        </w:rPr>
        <w:t>Alle mål i CCN/CSI SLA'en gælder udelukkende under normale arbejdsvilkår.</w:t>
      </w:r>
    </w:p>
    <w:p>
      <w:pPr>
        <w:pStyle w:val="Text1"/>
        <w:rPr>
          <w:noProof/>
        </w:rPr>
      </w:pPr>
      <w:r>
        <w:rPr>
          <w:noProof/>
        </w:rPr>
        <w:t>I tilfælde af force majeure hæfter ingen af parterne for undladelse af at opfylde sine forpligtelser, når denne undladelse skyldes naturkatastrofer (herunder brand, oversvømmelse, jordskælv, storm, orkan eller andre naturkatastrofer), krig, invasion, fjendtlige handlinger (hvad enten der er erklæret krig eller ej), borgerkrig, oprør, revolution, opstand, militær eller civil magtovertagelse eller konfiskering, terrorhandlinger, nationalisering, statslige sanktioner, blokade, embargo, arbejdskonflikt, strejke, lockout eller kortvarig eller længerevarende afbrydelse af strømforsyningen i det kommercielle elnet.</w:t>
      </w:r>
    </w:p>
    <w:p>
      <w:pPr>
        <w:pStyle w:val="ManualHeading2"/>
        <w:rPr>
          <w:noProof/>
        </w:rPr>
      </w:pPr>
      <w:bookmarkStart w:id="139" w:name="_Toc445210943"/>
      <w:bookmarkEnd w:id="130"/>
      <w:bookmarkEnd w:id="131"/>
      <w:bookmarkEnd w:id="132"/>
      <w:bookmarkEnd w:id="133"/>
      <w:bookmarkEnd w:id="134"/>
      <w:bookmarkEnd w:id="135"/>
      <w:bookmarkEnd w:id="136"/>
      <w:bookmarkEnd w:id="137"/>
      <w:bookmarkEnd w:id="138"/>
      <w:bookmarkEnd w:id="139"/>
      <w:r>
        <w:rPr>
          <w:noProof/>
        </w:rPr>
        <w:lastRenderedPageBreak/>
        <w:t>3.2.</w:t>
      </w:r>
      <w:r>
        <w:rPr>
          <w:noProof/>
        </w:rPr>
        <w:tab/>
        <w:t>DEFINITION AF CCN/CSI-TJENESTER OG DERES KARAKTERISTIKA</w:t>
      </w:r>
    </w:p>
    <w:p>
      <w:pPr>
        <w:pStyle w:val="Text1"/>
        <w:rPr>
          <w:noProof/>
        </w:rPr>
      </w:pPr>
      <w:r>
        <w:rPr>
          <w:noProof/>
        </w:rPr>
        <w:t>Det fælles kommunikationsnet/den fælles systemgrænseflade er et værktøj til udveksling af skatteoplysninger mellem de nationale myndigheder inden for beskatning og bekæmpelse af svig. De vigtigste karakteristika ved CCN/CSI-systemets infrastruktur er angivet nedenfor:</w:t>
      </w:r>
    </w:p>
    <w:tbl>
      <w:tblPr>
        <w:tblStyle w:val="TableGrid"/>
        <w:tblW w:w="8221" w:type="dxa"/>
        <w:tblInd w:w="959" w:type="dxa"/>
        <w:tblLook w:val="04A0" w:firstRow="1" w:lastRow="0" w:firstColumn="1" w:lastColumn="0" w:noHBand="0" w:noVBand="1"/>
      </w:tblPr>
      <w:tblGrid>
        <w:gridCol w:w="2524"/>
        <w:gridCol w:w="5697"/>
      </w:tblGrid>
      <w:tr>
        <w:tc>
          <w:tcPr>
            <w:tcW w:w="2126" w:type="dxa"/>
            <w:shd w:val="clear" w:color="auto" w:fill="D9D9D9" w:themeFill="background1" w:themeFillShade="D9"/>
          </w:tcPr>
          <w:p>
            <w:pPr>
              <w:pStyle w:val="Text1"/>
              <w:ind w:left="0"/>
              <w:rPr>
                <w:b/>
                <w:noProof/>
              </w:rPr>
            </w:pPr>
            <w:r>
              <w:rPr>
                <w:b/>
                <w:noProof/>
              </w:rPr>
              <w:t>TRANSEUROPÆISK</w:t>
            </w:r>
          </w:p>
        </w:tc>
        <w:tc>
          <w:tcPr>
            <w:tcW w:w="6095" w:type="dxa"/>
            <w:shd w:val="clear" w:color="auto" w:fill="auto"/>
          </w:tcPr>
          <w:p>
            <w:pPr>
              <w:pStyle w:val="Text1"/>
              <w:ind w:left="0"/>
              <w:jc w:val="left"/>
              <w:rPr>
                <w:noProof/>
              </w:rPr>
            </w:pPr>
            <w:r>
              <w:rPr>
                <w:noProof/>
              </w:rPr>
              <w:t>CCN/CSI giver serviceanmodere global WAN-adgang gennem en række opkoblingspunkter (PoP) i alle medlemsstater, tiltrædelseslande og Norge. CCN/CSI-kernenettet har den nødvendige kapacitet og modstandsdygtighed, således at serviceanmoderne sikres en høj grad af tilgængelighed.</w:t>
            </w:r>
          </w:p>
        </w:tc>
      </w:tr>
      <w:tr>
        <w:tc>
          <w:tcPr>
            <w:tcW w:w="2126" w:type="dxa"/>
            <w:shd w:val="clear" w:color="auto" w:fill="D9D9D9" w:themeFill="background1" w:themeFillShade="D9"/>
          </w:tcPr>
          <w:p>
            <w:pPr>
              <w:pStyle w:val="Text1"/>
              <w:ind w:left="0"/>
              <w:rPr>
                <w:b/>
                <w:noProof/>
              </w:rPr>
            </w:pPr>
            <w:r>
              <w:rPr>
                <w:b/>
                <w:noProof/>
              </w:rPr>
              <w:t>MULTI-PLATFORM</w:t>
            </w:r>
          </w:p>
        </w:tc>
        <w:tc>
          <w:tcPr>
            <w:tcW w:w="6095" w:type="dxa"/>
            <w:shd w:val="clear" w:color="auto" w:fill="auto"/>
          </w:tcPr>
          <w:p>
            <w:pPr>
              <w:pStyle w:val="Text1"/>
              <w:ind w:left="0"/>
              <w:jc w:val="left"/>
              <w:rPr>
                <w:noProof/>
              </w:rPr>
            </w:pPr>
            <w:r>
              <w:rPr>
                <w:noProof/>
              </w:rPr>
              <w:t>Der sikres interoperabilitet mellem forskellige platforme (Windows, Linux, Solaris, AIX, HPUX, SVR4, IBM MVS osv.) gennem en meget mobil kommunikationsstak (CSI), der er installeret på almindelige nationale applikationsplatforme.</w:t>
            </w:r>
          </w:p>
        </w:tc>
      </w:tr>
      <w:tr>
        <w:tc>
          <w:tcPr>
            <w:tcW w:w="2126" w:type="dxa"/>
            <w:shd w:val="clear" w:color="auto" w:fill="D9D9D9" w:themeFill="background1" w:themeFillShade="D9"/>
          </w:tcPr>
          <w:p>
            <w:pPr>
              <w:pStyle w:val="Text1"/>
              <w:ind w:left="0"/>
              <w:rPr>
                <w:b/>
                <w:noProof/>
              </w:rPr>
            </w:pPr>
            <w:r>
              <w:rPr>
                <w:b/>
                <w:noProof/>
              </w:rPr>
              <w:t>MULTI-PROTOKOL</w:t>
            </w:r>
          </w:p>
        </w:tc>
        <w:tc>
          <w:tcPr>
            <w:tcW w:w="6095" w:type="dxa"/>
            <w:shd w:val="clear" w:color="auto" w:fill="auto"/>
          </w:tcPr>
          <w:p>
            <w:pPr>
              <w:keepLines/>
              <w:spacing w:before="0" w:after="0"/>
              <w:jc w:val="left"/>
              <w:rPr>
                <w:rFonts w:eastAsia="Calibri"/>
                <w:noProof/>
                <w:szCs w:val="24"/>
              </w:rPr>
            </w:pPr>
            <w:r>
              <w:rPr>
                <w:noProof/>
              </w:rPr>
              <w:t>Det understøtter forskellige protokoller og udvekslingsparadigmer:</w:t>
            </w:r>
          </w:p>
          <w:p>
            <w:pPr>
              <w:keepLines/>
              <w:numPr>
                <w:ilvl w:val="0"/>
                <w:numId w:val="14"/>
              </w:numPr>
              <w:spacing w:before="0" w:after="0"/>
              <w:contextualSpacing/>
              <w:jc w:val="left"/>
              <w:rPr>
                <w:rFonts w:eastAsia="Calibri"/>
                <w:noProof/>
                <w:szCs w:val="24"/>
              </w:rPr>
            </w:pPr>
            <w:r>
              <w:rPr>
                <w:noProof/>
              </w:rPr>
              <w:t>CSI-protokol, der understøtter asynkrone og synkrone (forespørgsel/svar) meddelelsesparadigmer (CCN/CSI-kanal)</w:t>
            </w:r>
          </w:p>
          <w:p>
            <w:pPr>
              <w:keepLines/>
              <w:numPr>
                <w:ilvl w:val="0"/>
                <w:numId w:val="14"/>
              </w:numPr>
              <w:spacing w:before="0" w:after="0"/>
              <w:contextualSpacing/>
              <w:jc w:val="left"/>
              <w:rPr>
                <w:rFonts w:eastAsia="Calibri"/>
                <w:noProof/>
                <w:szCs w:val="24"/>
              </w:rPr>
            </w:pPr>
            <w:r>
              <w:rPr>
                <w:noProof/>
              </w:rPr>
              <w:t>HTTP/S-protokol for interaktiv adgang til CCN-intranettjenester (CCN-intranetkanal)</w:t>
            </w:r>
          </w:p>
          <w:p>
            <w:pPr>
              <w:pStyle w:val="Text1"/>
              <w:ind w:left="0"/>
              <w:jc w:val="left"/>
              <w:rPr>
                <w:noProof/>
              </w:rPr>
            </w:pPr>
            <w:r>
              <w:rPr>
                <w:noProof/>
              </w:rPr>
              <w:t>POP-, IMAP- og SMTP-protokoller for udveksling af e-mail mellem nationale myndigheder, men også mellem applikationer (CCN Mail III-kanal).</w:t>
            </w:r>
          </w:p>
        </w:tc>
      </w:tr>
      <w:tr>
        <w:tc>
          <w:tcPr>
            <w:tcW w:w="2126" w:type="dxa"/>
            <w:shd w:val="clear" w:color="auto" w:fill="D9D9D9" w:themeFill="background1" w:themeFillShade="D9"/>
          </w:tcPr>
          <w:p>
            <w:pPr>
              <w:pStyle w:val="Text1"/>
              <w:ind w:left="0"/>
              <w:rPr>
                <w:b/>
                <w:noProof/>
              </w:rPr>
            </w:pPr>
            <w:r>
              <w:rPr>
                <w:b/>
                <w:noProof/>
              </w:rPr>
              <w:t>SIKKER</w:t>
            </w:r>
          </w:p>
        </w:tc>
        <w:tc>
          <w:tcPr>
            <w:tcW w:w="6095" w:type="dxa"/>
            <w:shd w:val="clear" w:color="auto" w:fill="auto"/>
          </w:tcPr>
          <w:p>
            <w:pPr>
              <w:keepLines/>
              <w:spacing w:before="0" w:after="0"/>
              <w:jc w:val="left"/>
              <w:rPr>
                <w:rFonts w:eastAsia="Calibri"/>
                <w:noProof/>
                <w:szCs w:val="24"/>
              </w:rPr>
            </w:pPr>
            <w:r>
              <w:rPr>
                <w:noProof/>
              </w:rPr>
              <w:t>Udveksling af oplysninger via CCN/CSI-nettet beskyttes for at sikre optimal fortrolighed og dataintegritet. Sikkerhedstjenester omfatter:</w:t>
            </w:r>
          </w:p>
          <w:p>
            <w:pPr>
              <w:keepLines/>
              <w:numPr>
                <w:ilvl w:val="0"/>
                <w:numId w:val="15"/>
              </w:numPr>
              <w:spacing w:before="0" w:after="0"/>
              <w:contextualSpacing/>
              <w:jc w:val="left"/>
              <w:rPr>
                <w:rFonts w:eastAsia="Calibri"/>
                <w:noProof/>
                <w:szCs w:val="24"/>
              </w:rPr>
            </w:pPr>
            <w:r>
              <w:rPr>
                <w:noProof/>
              </w:rPr>
              <w:t xml:space="preserve">Site-to-site IPSec256-bits-kryptering og beskyttelse mod uønsket adgang ved installation af firewall-/krypteringsudstyr på alle CCN/CSI-sites </w:t>
            </w:r>
          </w:p>
          <w:p>
            <w:pPr>
              <w:keepLines/>
              <w:numPr>
                <w:ilvl w:val="0"/>
                <w:numId w:val="15"/>
              </w:numPr>
              <w:spacing w:before="0" w:after="0"/>
              <w:contextualSpacing/>
              <w:jc w:val="left"/>
              <w:rPr>
                <w:rFonts w:eastAsia="Calibri"/>
                <w:noProof/>
                <w:szCs w:val="24"/>
              </w:rPr>
            </w:pPr>
            <w:r>
              <w:rPr>
                <w:noProof/>
              </w:rPr>
              <w:t>Adgangskontrolmekanismer (autentificering, autorisation, registrering) på webstedsniveau ved CCN-gateway understøttet af lokale forvaltningsredskaber (ADM3G)</w:t>
            </w:r>
          </w:p>
          <w:p>
            <w:pPr>
              <w:pStyle w:val="Text1"/>
              <w:ind w:left="0"/>
              <w:jc w:val="left"/>
              <w:rPr>
                <w:noProof/>
              </w:rPr>
            </w:pPr>
            <w:r>
              <w:rPr>
                <w:noProof/>
              </w:rPr>
              <w:t xml:space="preserve">Sikkerhed på sessionsniveau ved kryptering på meddelelsesniveau (CSI sikker), SSL v.3 gensidig autentificering og kryptering (HTTPS), POP-S og IMAP-S (sikker e-mailoverførsel). </w:t>
            </w:r>
          </w:p>
        </w:tc>
      </w:tr>
      <w:tr>
        <w:tc>
          <w:tcPr>
            <w:tcW w:w="2126" w:type="dxa"/>
            <w:shd w:val="clear" w:color="auto" w:fill="D9D9D9" w:themeFill="background1" w:themeFillShade="D9"/>
          </w:tcPr>
          <w:p>
            <w:pPr>
              <w:pStyle w:val="Text1"/>
              <w:ind w:left="0"/>
              <w:rPr>
                <w:b/>
                <w:noProof/>
              </w:rPr>
            </w:pPr>
            <w:r>
              <w:rPr>
                <w:b/>
                <w:noProof/>
              </w:rPr>
              <w:t>ADMINISTRERET</w:t>
            </w:r>
          </w:p>
        </w:tc>
        <w:tc>
          <w:tcPr>
            <w:tcW w:w="6095" w:type="dxa"/>
            <w:shd w:val="clear" w:color="auto" w:fill="auto"/>
          </w:tcPr>
          <w:p>
            <w:pPr>
              <w:keepLines/>
              <w:spacing w:before="0" w:after="0"/>
              <w:jc w:val="left"/>
              <w:rPr>
                <w:rFonts w:eastAsia="Calibri"/>
                <w:noProof/>
              </w:rPr>
            </w:pPr>
            <w:r>
              <w:rPr>
                <w:noProof/>
              </w:rPr>
              <w:t>CCN/CSI-infrastrukturen giver ligeledes serviceanmodere adgang til administrerede tjenester, herunder:</w:t>
            </w:r>
          </w:p>
          <w:p>
            <w:pPr>
              <w:keepLines/>
              <w:numPr>
                <w:ilvl w:val="0"/>
                <w:numId w:val="16"/>
              </w:numPr>
              <w:spacing w:before="0" w:after="0"/>
              <w:contextualSpacing/>
              <w:jc w:val="left"/>
              <w:rPr>
                <w:rFonts w:eastAsia="Calibri"/>
                <w:noProof/>
              </w:rPr>
            </w:pPr>
            <w:r>
              <w:rPr>
                <w:noProof/>
              </w:rPr>
              <w:t>Central overvågning</w:t>
            </w:r>
          </w:p>
          <w:p>
            <w:pPr>
              <w:keepLines/>
              <w:numPr>
                <w:ilvl w:val="0"/>
                <w:numId w:val="16"/>
              </w:numPr>
              <w:spacing w:before="0" w:after="0"/>
              <w:contextualSpacing/>
              <w:jc w:val="left"/>
              <w:rPr>
                <w:rFonts w:eastAsia="Calibri"/>
                <w:noProof/>
              </w:rPr>
            </w:pPr>
            <w:r>
              <w:rPr>
                <w:noProof/>
              </w:rPr>
              <w:t>Logning af hændelser</w:t>
            </w:r>
          </w:p>
          <w:p>
            <w:pPr>
              <w:keepLines/>
              <w:numPr>
                <w:ilvl w:val="0"/>
                <w:numId w:val="16"/>
              </w:numPr>
              <w:spacing w:before="0" w:after="0"/>
              <w:contextualSpacing/>
              <w:jc w:val="left"/>
              <w:rPr>
                <w:rFonts w:eastAsia="Calibri"/>
                <w:noProof/>
              </w:rPr>
            </w:pPr>
            <w:r>
              <w:rPr>
                <w:noProof/>
              </w:rPr>
              <w:lastRenderedPageBreak/>
              <w:t>Produktionen af statistiske data vedrørende CSI-og CCN Mail III-meddelelsesudveksling (størrelse, antal meddelelser, matrix) og statistiske data vedrørende CCN-gateways og CCN Mail III</w:t>
            </w:r>
          </w:p>
          <w:p>
            <w:pPr>
              <w:keepLines/>
              <w:numPr>
                <w:ilvl w:val="0"/>
                <w:numId w:val="16"/>
              </w:numPr>
              <w:spacing w:before="0" w:after="0"/>
              <w:contextualSpacing/>
              <w:jc w:val="left"/>
              <w:rPr>
                <w:rFonts w:eastAsia="Calibri"/>
                <w:noProof/>
              </w:rPr>
            </w:pPr>
            <w:r>
              <w:rPr>
                <w:noProof/>
              </w:rPr>
              <w:t>Brugerstyring (ADM3G) og oplysningstjenester</w:t>
            </w:r>
          </w:p>
          <w:p>
            <w:pPr>
              <w:keepLines/>
              <w:numPr>
                <w:ilvl w:val="0"/>
                <w:numId w:val="16"/>
              </w:numPr>
              <w:spacing w:before="0" w:after="0"/>
              <w:contextualSpacing/>
              <w:jc w:val="left"/>
              <w:rPr>
                <w:rFonts w:eastAsia="Calibri"/>
                <w:noProof/>
              </w:rPr>
            </w:pPr>
            <w:r>
              <w:rPr>
                <w:noProof/>
              </w:rPr>
              <w:t>Validering af CSI-stakke</w:t>
            </w:r>
          </w:p>
          <w:p>
            <w:pPr>
              <w:keepLines/>
              <w:numPr>
                <w:ilvl w:val="0"/>
                <w:numId w:val="16"/>
              </w:numPr>
              <w:spacing w:before="0" w:after="0"/>
              <w:contextualSpacing/>
              <w:jc w:val="left"/>
              <w:rPr>
                <w:rFonts w:eastAsia="Calibri"/>
                <w:noProof/>
              </w:rPr>
            </w:pPr>
            <w:r>
              <w:rPr>
                <w:noProof/>
              </w:rPr>
              <w:t>Portaltjenester:</w:t>
            </w:r>
          </w:p>
          <w:p>
            <w:pPr>
              <w:keepLines/>
              <w:numPr>
                <w:ilvl w:val="1"/>
                <w:numId w:val="16"/>
              </w:numPr>
              <w:spacing w:before="0" w:after="0"/>
              <w:contextualSpacing/>
              <w:jc w:val="left"/>
              <w:rPr>
                <w:rFonts w:eastAsia="Calibri"/>
                <w:noProof/>
              </w:rPr>
            </w:pPr>
            <w:r>
              <w:rPr>
                <w:noProof/>
              </w:rPr>
              <w:t>CCN-portalen: Onlineadgang til statistiske data, onlineforvaltning af API-proxyservere med fjernadgang</w:t>
            </w:r>
          </w:p>
          <w:p>
            <w:pPr>
              <w:keepLines/>
              <w:numPr>
                <w:ilvl w:val="1"/>
                <w:numId w:val="16"/>
              </w:numPr>
              <w:spacing w:before="0" w:after="0"/>
              <w:contextualSpacing/>
              <w:jc w:val="left"/>
              <w:rPr>
                <w:rFonts w:eastAsia="Calibri"/>
                <w:noProof/>
              </w:rPr>
            </w:pPr>
            <w:r>
              <w:rPr>
                <w:noProof/>
              </w:rPr>
              <w:t>ITSM-portalen: Elektronisk nyhedsbrev, elektronisk dokumentation og CSI-stakpakker, CCN Ofte stillede spørgsmål (FAQ)</w:t>
            </w:r>
          </w:p>
          <w:p>
            <w:pPr>
              <w:keepLines/>
              <w:numPr>
                <w:ilvl w:val="0"/>
                <w:numId w:val="16"/>
              </w:numPr>
              <w:spacing w:before="0" w:after="0"/>
              <w:contextualSpacing/>
              <w:jc w:val="left"/>
              <w:rPr>
                <w:rFonts w:eastAsia="Calibri"/>
                <w:noProof/>
              </w:rPr>
            </w:pPr>
            <w:r>
              <w:rPr>
                <w:noProof/>
              </w:rPr>
              <w:t xml:space="preserve">ACT (værktøj til applikationskonfiguration) </w:t>
            </w:r>
          </w:p>
          <w:p>
            <w:pPr>
              <w:pStyle w:val="Text1"/>
              <w:ind w:left="0"/>
              <w:jc w:val="left"/>
              <w:rPr>
                <w:noProof/>
              </w:rPr>
            </w:pPr>
            <w:r>
              <w:rPr>
                <w:noProof/>
              </w:rPr>
              <w:t>Sporing af servicekald og onlinesupport.</w:t>
            </w:r>
          </w:p>
        </w:tc>
      </w:tr>
    </w:tbl>
    <w:p>
      <w:pPr>
        <w:spacing w:before="60"/>
        <w:jc w:val="center"/>
        <w:rPr>
          <w:rFonts w:eastAsia="Times New Roman"/>
          <w:noProof/>
          <w:sz w:val="20"/>
          <w:szCs w:val="20"/>
        </w:rPr>
      </w:pPr>
      <w:bookmarkStart w:id="140" w:name="_Toc490755345"/>
      <w:r>
        <w:rPr>
          <w:noProof/>
          <w:sz w:val="20"/>
          <w:szCs w:val="20"/>
        </w:rPr>
        <w:lastRenderedPageBreak/>
        <w:t>Tabel 5: CCN/CSI-tjenesternes karakteristika</w:t>
      </w:r>
      <w:bookmarkEnd w:id="140"/>
    </w:p>
    <w:p>
      <w:pPr>
        <w:pStyle w:val="ManualHeading2"/>
        <w:rPr>
          <w:noProof/>
        </w:rPr>
      </w:pPr>
      <w:r>
        <w:rPr>
          <w:noProof/>
        </w:rPr>
        <w:t>3.3.</w:t>
      </w:r>
      <w:r>
        <w:rPr>
          <w:noProof/>
        </w:rPr>
        <w:tab/>
        <w:t>AFTALEPERIODE</w:t>
      </w:r>
    </w:p>
    <w:p>
      <w:pPr>
        <w:pStyle w:val="Text1"/>
        <w:rPr>
          <w:noProof/>
        </w:rPr>
      </w:pPr>
      <w:r>
        <w:rPr>
          <w:noProof/>
        </w:rPr>
        <w:t>CCN/CSI SLA'en er bindende for parterne fra dagen efter aftalens godkendelse i det blandede udvalg, der er nedsat ved aftalens artikel 41 ("det blandede udvalg").</w:t>
      </w:r>
    </w:p>
    <w:p>
      <w:pPr>
        <w:pStyle w:val="ManualHeading1"/>
        <w:rPr>
          <w:noProof/>
        </w:rPr>
      </w:pPr>
      <w:bookmarkStart w:id="141" w:name="_Toc490755314"/>
      <w:r>
        <w:rPr>
          <w:noProof/>
        </w:rPr>
        <w:t>4.</w:t>
      </w:r>
      <w:r>
        <w:rPr>
          <w:noProof/>
        </w:rPr>
        <w:tab/>
      </w:r>
      <w:r>
        <w:rPr>
          <w:noProof/>
          <w:u w:val="single"/>
        </w:rPr>
        <w:t>ANSVARSOMRÅDER</w:t>
      </w:r>
      <w:r>
        <w:rPr>
          <w:noProof/>
        </w:rPr>
        <w:t xml:space="preserve"> </w:t>
      </w:r>
    </w:p>
    <w:p>
      <w:pPr>
        <w:pStyle w:val="ManualHeading2"/>
        <w:rPr>
          <w:noProof/>
        </w:rPr>
      </w:pPr>
      <w:bookmarkStart w:id="142" w:name="_Toc490755326"/>
      <w:r>
        <w:rPr>
          <w:noProof/>
        </w:rPr>
        <w:t>4.1</w:t>
      </w:r>
      <w:r>
        <w:rPr>
          <w:noProof/>
        </w:rPr>
        <w:tab/>
        <w:t>SERVICEUDBYDERENS FORPLIGTELSER (OSP)</w:t>
      </w:r>
      <w:bookmarkEnd w:id="142"/>
    </w:p>
    <w:p>
      <w:pPr>
        <w:pStyle w:val="Text1"/>
        <w:rPr>
          <w:noProof/>
        </w:rPr>
      </w:pPr>
      <w:r>
        <w:rPr>
          <w:noProof/>
        </w:rPr>
        <w:t>Serviceudbyderen skal:</w:t>
      </w:r>
    </w:p>
    <w:tbl>
      <w:tblPr>
        <w:tblStyle w:val="TableGrid"/>
        <w:tblW w:w="8363" w:type="dxa"/>
        <w:tblInd w:w="959" w:type="dxa"/>
        <w:tblLook w:val="04A0" w:firstRow="1" w:lastRow="0" w:firstColumn="1" w:lastColumn="0" w:noHBand="0" w:noVBand="1"/>
      </w:tblPr>
      <w:tblGrid>
        <w:gridCol w:w="2692"/>
        <w:gridCol w:w="5671"/>
      </w:tblGrid>
      <w:tr>
        <w:tc>
          <w:tcPr>
            <w:tcW w:w="2692" w:type="dxa"/>
            <w:shd w:val="clear" w:color="auto" w:fill="D9D9D9"/>
          </w:tcPr>
          <w:p>
            <w:pPr>
              <w:pStyle w:val="Text1"/>
              <w:ind w:left="0"/>
              <w:rPr>
                <w:b/>
                <w:noProof/>
              </w:rPr>
            </w:pPr>
            <w:r>
              <w:rPr>
                <w:b/>
                <w:noProof/>
                <w:szCs w:val="24"/>
              </w:rPr>
              <w:t>[OSP</w:t>
            </w:r>
            <w:r>
              <w:rPr>
                <w:rFonts w:eastAsia="Calibri"/>
                <w:b/>
                <w:noProof/>
                <w:szCs w:val="24"/>
              </w:rPr>
              <w:fldChar w:fldCharType="begin"/>
            </w:r>
            <w:r>
              <w:rPr>
                <w:rFonts w:eastAsia="Calibri"/>
                <w:b/>
                <w:noProof/>
                <w:szCs w:val="24"/>
              </w:rPr>
              <w:instrText xml:space="preserve"> SEQ OSP \* ARABIC </w:instrText>
            </w:r>
            <w:r>
              <w:rPr>
                <w:rFonts w:eastAsia="Calibri"/>
                <w:b/>
                <w:noProof/>
                <w:szCs w:val="24"/>
              </w:rPr>
              <w:fldChar w:fldCharType="separate"/>
            </w:r>
            <w:r>
              <w:rPr>
                <w:rFonts w:eastAsia="Calibri"/>
                <w:b/>
                <w:noProof/>
                <w:szCs w:val="24"/>
              </w:rPr>
              <w:t>1</w:t>
            </w:r>
            <w:r>
              <w:rPr>
                <w:rFonts w:eastAsia="Calibri"/>
                <w:b/>
                <w:noProof/>
                <w:szCs w:val="24"/>
              </w:rPr>
              <w:fldChar w:fldCharType="end"/>
            </w:r>
            <w:r>
              <w:rPr>
                <w:b/>
                <w:noProof/>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pStyle w:val="Text1"/>
              <w:ind w:left="0"/>
              <w:rPr>
                <w:rFonts w:eastAsia="Calibri"/>
                <w:noProof/>
                <w:color w:val="000000"/>
                <w:szCs w:val="24"/>
              </w:rPr>
            </w:pPr>
            <w:r>
              <w:rPr>
                <w:noProof/>
              </w:rPr>
              <w:t>Drive CCN/CSI-netinfrastrukturen for at sikre de serviceniveauer, der er beskrevet i afsnit 8.</w:t>
            </w:r>
          </w:p>
        </w:tc>
      </w:tr>
      <w:tr>
        <w:tc>
          <w:tcPr>
            <w:tcW w:w="2692" w:type="dxa"/>
            <w:shd w:val="clear" w:color="auto" w:fill="D9D9D9"/>
          </w:tcPr>
          <w:p>
            <w:pPr>
              <w:pStyle w:val="Text1"/>
              <w:ind w:left="0"/>
              <w:rPr>
                <w:b/>
                <w:noProof/>
              </w:rPr>
            </w:pPr>
            <w:r>
              <w:rPr>
                <w:b/>
                <w:noProof/>
                <w:szCs w:val="24"/>
              </w:rPr>
              <w:t>[OSP</w:t>
            </w:r>
            <w:r>
              <w:rPr>
                <w:rFonts w:eastAsia="Calibri"/>
                <w:b/>
                <w:noProof/>
                <w:szCs w:val="24"/>
              </w:rPr>
              <w:fldChar w:fldCharType="begin"/>
            </w:r>
            <w:r>
              <w:rPr>
                <w:rFonts w:eastAsia="Calibri"/>
                <w:b/>
                <w:noProof/>
                <w:szCs w:val="24"/>
              </w:rPr>
              <w:instrText xml:space="preserve"> SEQ OSP \* ARABIC </w:instrText>
            </w:r>
            <w:r>
              <w:rPr>
                <w:rFonts w:eastAsia="Calibri"/>
                <w:b/>
                <w:noProof/>
                <w:szCs w:val="24"/>
              </w:rPr>
              <w:fldChar w:fldCharType="separate"/>
            </w:r>
            <w:r>
              <w:rPr>
                <w:rFonts w:eastAsia="Calibri"/>
                <w:b/>
                <w:noProof/>
                <w:szCs w:val="24"/>
              </w:rPr>
              <w:t>2</w:t>
            </w:r>
            <w:r>
              <w:rPr>
                <w:rFonts w:eastAsia="Calibri"/>
                <w:b/>
                <w:noProof/>
                <w:szCs w:val="24"/>
              </w:rPr>
              <w:fldChar w:fldCharType="end"/>
            </w:r>
            <w:r>
              <w:rPr>
                <w:b/>
                <w:noProof/>
                <w:szCs w:val="24"/>
              </w:rPr>
              <w:t>]</w:t>
            </w:r>
          </w:p>
        </w:tc>
        <w:tc>
          <w:tcPr>
            <w:tcW w:w="5671" w:type="dxa"/>
            <w:shd w:val="clear" w:color="auto" w:fill="auto"/>
          </w:tcPr>
          <w:p>
            <w:pPr>
              <w:pStyle w:val="Text1"/>
              <w:ind w:left="0"/>
              <w:rPr>
                <w:rFonts w:eastAsia="Calibri"/>
                <w:noProof/>
                <w:color w:val="000000"/>
                <w:szCs w:val="24"/>
              </w:rPr>
            </w:pPr>
            <w:r>
              <w:rPr>
                <w:noProof/>
              </w:rPr>
              <w:t>Udvælge de forskellige CCN/CSI-infrastruktur og softwarekomponenter.</w:t>
            </w:r>
          </w:p>
        </w:tc>
      </w:tr>
      <w:tr>
        <w:tc>
          <w:tcPr>
            <w:tcW w:w="2692" w:type="dxa"/>
            <w:shd w:val="clear" w:color="auto" w:fill="D9D9D9"/>
          </w:tcPr>
          <w:p>
            <w:pPr>
              <w:pStyle w:val="Text1"/>
              <w:ind w:left="0"/>
              <w:rPr>
                <w:b/>
                <w:noProof/>
              </w:rPr>
            </w:pPr>
            <w:r>
              <w:rPr>
                <w:b/>
                <w:noProof/>
                <w:szCs w:val="24"/>
              </w:rPr>
              <w:t>[OSP</w:t>
            </w:r>
            <w:r>
              <w:rPr>
                <w:rFonts w:eastAsia="Calibri"/>
                <w:b/>
                <w:noProof/>
                <w:szCs w:val="24"/>
              </w:rPr>
              <w:fldChar w:fldCharType="begin"/>
            </w:r>
            <w:r>
              <w:rPr>
                <w:rFonts w:eastAsia="Calibri"/>
                <w:b/>
                <w:noProof/>
                <w:szCs w:val="24"/>
              </w:rPr>
              <w:instrText xml:space="preserve"> SEQ OSP \* ARABIC </w:instrText>
            </w:r>
            <w:r>
              <w:rPr>
                <w:rFonts w:eastAsia="Calibri"/>
                <w:b/>
                <w:noProof/>
                <w:szCs w:val="24"/>
              </w:rPr>
              <w:fldChar w:fldCharType="separate"/>
            </w:r>
            <w:r>
              <w:rPr>
                <w:rFonts w:eastAsia="Calibri"/>
                <w:b/>
                <w:noProof/>
                <w:szCs w:val="24"/>
              </w:rPr>
              <w:t>3</w:t>
            </w:r>
            <w:r>
              <w:rPr>
                <w:rFonts w:eastAsia="Calibri"/>
                <w:b/>
                <w:noProof/>
                <w:szCs w:val="24"/>
              </w:rPr>
              <w:fldChar w:fldCharType="end"/>
            </w:r>
            <w:r>
              <w:rPr>
                <w:b/>
                <w:noProof/>
                <w:szCs w:val="24"/>
              </w:rPr>
              <w:t>]</w:t>
            </w:r>
          </w:p>
        </w:tc>
        <w:tc>
          <w:tcPr>
            <w:tcW w:w="5671" w:type="dxa"/>
            <w:shd w:val="clear" w:color="auto" w:fill="auto"/>
          </w:tcPr>
          <w:p>
            <w:pPr>
              <w:pStyle w:val="Text1"/>
              <w:ind w:left="0"/>
              <w:rPr>
                <w:rFonts w:eastAsia="Calibri"/>
                <w:noProof/>
                <w:color w:val="000000"/>
                <w:szCs w:val="24"/>
              </w:rPr>
            </w:pPr>
            <w:r>
              <w:rPr>
                <w:noProof/>
              </w:rPr>
              <w:t xml:space="preserve">Sikre vedligeholdelsen af hardware og software, for så vidt angår GD TAXUD's CCN-infrastrukturudstyr (f.eks. CCN-gateways) installeret i serviceudbydernes lokaler samt de centrale CCN Mail III-servere. </w:t>
            </w:r>
          </w:p>
        </w:tc>
      </w:tr>
      <w:tr>
        <w:tc>
          <w:tcPr>
            <w:tcW w:w="2692" w:type="dxa"/>
            <w:shd w:val="clear" w:color="auto" w:fill="D9D9D9"/>
          </w:tcPr>
          <w:p>
            <w:pPr>
              <w:pStyle w:val="Text1"/>
              <w:ind w:left="0"/>
              <w:rPr>
                <w:b/>
                <w:noProof/>
              </w:rPr>
            </w:pPr>
            <w:r>
              <w:rPr>
                <w:b/>
                <w:noProof/>
                <w:szCs w:val="24"/>
              </w:rPr>
              <w:t>[OSP</w:t>
            </w:r>
            <w:r>
              <w:rPr>
                <w:rFonts w:eastAsia="Calibri"/>
                <w:b/>
                <w:noProof/>
                <w:szCs w:val="24"/>
              </w:rPr>
              <w:fldChar w:fldCharType="begin"/>
            </w:r>
            <w:r>
              <w:rPr>
                <w:rFonts w:eastAsia="Calibri"/>
                <w:b/>
                <w:noProof/>
                <w:szCs w:val="24"/>
              </w:rPr>
              <w:instrText xml:space="preserve"> SEQ OSP \* ARABIC </w:instrText>
            </w:r>
            <w:r>
              <w:rPr>
                <w:rFonts w:eastAsia="Calibri"/>
                <w:b/>
                <w:noProof/>
                <w:szCs w:val="24"/>
              </w:rPr>
              <w:fldChar w:fldCharType="separate"/>
            </w:r>
            <w:r>
              <w:rPr>
                <w:rFonts w:eastAsia="Calibri"/>
                <w:b/>
                <w:noProof/>
                <w:szCs w:val="24"/>
              </w:rPr>
              <w:t>4</w:t>
            </w:r>
            <w:r>
              <w:rPr>
                <w:rFonts w:eastAsia="Calibri"/>
                <w:b/>
                <w:noProof/>
                <w:szCs w:val="24"/>
              </w:rPr>
              <w:fldChar w:fldCharType="end"/>
            </w:r>
            <w:r>
              <w:rPr>
                <w:b/>
                <w:noProof/>
                <w:szCs w:val="24"/>
              </w:rPr>
              <w:t>]</w:t>
            </w:r>
          </w:p>
        </w:tc>
        <w:tc>
          <w:tcPr>
            <w:tcW w:w="5671" w:type="dxa"/>
            <w:shd w:val="clear" w:color="auto" w:fill="auto"/>
          </w:tcPr>
          <w:p>
            <w:pPr>
              <w:pStyle w:val="Text1"/>
              <w:ind w:left="0"/>
              <w:rPr>
                <w:rFonts w:eastAsia="Calibri"/>
                <w:noProof/>
                <w:color w:val="000000"/>
                <w:szCs w:val="24"/>
              </w:rPr>
            </w:pPr>
            <w:r>
              <w:rPr>
                <w:noProof/>
              </w:rPr>
              <w:t>Sikre overvågningen af GD TAXUD's CCN-infrastrukturudstyr installeret i serviceanmodernes lokaler.</w:t>
            </w:r>
          </w:p>
        </w:tc>
      </w:tr>
      <w:tr>
        <w:tc>
          <w:tcPr>
            <w:tcW w:w="2692" w:type="dxa"/>
            <w:shd w:val="clear" w:color="auto" w:fill="D9D9D9"/>
          </w:tcPr>
          <w:p>
            <w:pPr>
              <w:pStyle w:val="Text1"/>
              <w:ind w:left="0"/>
              <w:rPr>
                <w:b/>
                <w:noProof/>
              </w:rPr>
            </w:pPr>
            <w:r>
              <w:rPr>
                <w:b/>
                <w:noProof/>
                <w:szCs w:val="24"/>
              </w:rPr>
              <w:t>[OSP</w:t>
            </w:r>
            <w:r>
              <w:rPr>
                <w:rFonts w:eastAsia="Calibri"/>
                <w:b/>
                <w:noProof/>
                <w:szCs w:val="24"/>
              </w:rPr>
              <w:fldChar w:fldCharType="begin"/>
            </w:r>
            <w:r>
              <w:rPr>
                <w:rFonts w:eastAsia="Calibri"/>
                <w:b/>
                <w:noProof/>
                <w:szCs w:val="24"/>
              </w:rPr>
              <w:instrText xml:space="preserve"> SEQ OSP \* ARABIC </w:instrText>
            </w:r>
            <w:r>
              <w:rPr>
                <w:rFonts w:eastAsia="Calibri"/>
                <w:b/>
                <w:noProof/>
                <w:szCs w:val="24"/>
              </w:rPr>
              <w:fldChar w:fldCharType="separate"/>
            </w:r>
            <w:r>
              <w:rPr>
                <w:rFonts w:eastAsia="Calibri"/>
                <w:b/>
                <w:noProof/>
                <w:szCs w:val="24"/>
              </w:rPr>
              <w:t>5</w:t>
            </w:r>
            <w:r>
              <w:rPr>
                <w:rFonts w:eastAsia="Calibri"/>
                <w:b/>
                <w:noProof/>
                <w:szCs w:val="24"/>
              </w:rPr>
              <w:fldChar w:fldCharType="end"/>
            </w:r>
            <w:r>
              <w:rPr>
                <w:b/>
                <w:noProof/>
                <w:szCs w:val="24"/>
              </w:rPr>
              <w:t>]</w:t>
            </w:r>
          </w:p>
        </w:tc>
        <w:tc>
          <w:tcPr>
            <w:tcW w:w="5671" w:type="dxa"/>
            <w:shd w:val="clear" w:color="auto" w:fill="auto"/>
          </w:tcPr>
          <w:p>
            <w:pPr>
              <w:pStyle w:val="Text1"/>
              <w:ind w:left="0"/>
              <w:rPr>
                <w:rFonts w:eastAsia="Calibri"/>
                <w:noProof/>
                <w:color w:val="000000"/>
                <w:szCs w:val="24"/>
              </w:rPr>
            </w:pPr>
            <w:r>
              <w:rPr>
                <w:noProof/>
              </w:rPr>
              <w:t>Forvalte CCN/CSI-auditfilerne.</w:t>
            </w:r>
          </w:p>
        </w:tc>
      </w:tr>
      <w:tr>
        <w:tc>
          <w:tcPr>
            <w:tcW w:w="2692" w:type="dxa"/>
            <w:shd w:val="clear" w:color="auto" w:fill="D9D9D9"/>
          </w:tcPr>
          <w:p>
            <w:pPr>
              <w:pStyle w:val="Text1"/>
              <w:ind w:left="0"/>
              <w:rPr>
                <w:b/>
                <w:noProof/>
              </w:rPr>
            </w:pPr>
            <w:r>
              <w:rPr>
                <w:b/>
                <w:noProof/>
                <w:szCs w:val="24"/>
              </w:rPr>
              <w:t>[OSP</w:t>
            </w:r>
            <w:r>
              <w:rPr>
                <w:rFonts w:eastAsia="Calibri"/>
                <w:b/>
                <w:noProof/>
                <w:szCs w:val="24"/>
              </w:rPr>
              <w:fldChar w:fldCharType="begin"/>
            </w:r>
            <w:r>
              <w:rPr>
                <w:rFonts w:eastAsia="Calibri"/>
                <w:b/>
                <w:noProof/>
                <w:szCs w:val="24"/>
              </w:rPr>
              <w:instrText xml:space="preserve"> SEQ OSP \* ARABIC </w:instrText>
            </w:r>
            <w:r>
              <w:rPr>
                <w:rFonts w:eastAsia="Calibri"/>
                <w:b/>
                <w:noProof/>
                <w:szCs w:val="24"/>
              </w:rPr>
              <w:fldChar w:fldCharType="separate"/>
            </w:r>
            <w:r>
              <w:rPr>
                <w:rFonts w:eastAsia="Calibri"/>
                <w:b/>
                <w:noProof/>
                <w:szCs w:val="24"/>
              </w:rPr>
              <w:t>6</w:t>
            </w:r>
            <w:r>
              <w:rPr>
                <w:rFonts w:eastAsia="Calibri"/>
                <w:b/>
                <w:noProof/>
                <w:szCs w:val="24"/>
              </w:rPr>
              <w:fldChar w:fldCharType="end"/>
            </w:r>
            <w:r>
              <w:rPr>
                <w:b/>
                <w:noProof/>
                <w:szCs w:val="24"/>
              </w:rPr>
              <w:t>]</w:t>
            </w:r>
          </w:p>
        </w:tc>
        <w:tc>
          <w:tcPr>
            <w:tcW w:w="5671" w:type="dxa"/>
            <w:shd w:val="clear" w:color="auto" w:fill="auto"/>
          </w:tcPr>
          <w:p>
            <w:pPr>
              <w:pStyle w:val="Text1"/>
              <w:ind w:left="0"/>
              <w:rPr>
                <w:rFonts w:eastAsia="Calibri"/>
                <w:noProof/>
                <w:color w:val="000000"/>
                <w:szCs w:val="24"/>
              </w:rPr>
            </w:pPr>
            <w:r>
              <w:rPr>
                <w:noProof/>
              </w:rPr>
              <w:t>Forvalte CCN/CSI-adresseplanen.</w:t>
            </w:r>
          </w:p>
        </w:tc>
      </w:tr>
      <w:tr>
        <w:tc>
          <w:tcPr>
            <w:tcW w:w="2692" w:type="dxa"/>
            <w:shd w:val="clear" w:color="auto" w:fill="D9D9D9"/>
          </w:tcPr>
          <w:p>
            <w:pPr>
              <w:pStyle w:val="Text1"/>
              <w:ind w:left="0"/>
              <w:rPr>
                <w:b/>
                <w:noProof/>
              </w:rPr>
            </w:pPr>
            <w:r>
              <w:rPr>
                <w:b/>
                <w:noProof/>
                <w:szCs w:val="24"/>
              </w:rPr>
              <w:t>[OSP</w:t>
            </w:r>
            <w:r>
              <w:rPr>
                <w:rFonts w:eastAsia="Calibri"/>
                <w:b/>
                <w:noProof/>
                <w:szCs w:val="24"/>
              </w:rPr>
              <w:fldChar w:fldCharType="begin"/>
            </w:r>
            <w:r>
              <w:rPr>
                <w:rFonts w:eastAsia="Calibri"/>
                <w:b/>
                <w:noProof/>
                <w:szCs w:val="24"/>
              </w:rPr>
              <w:instrText xml:space="preserve"> SEQ OSP \* ARABIC </w:instrText>
            </w:r>
            <w:r>
              <w:rPr>
                <w:rFonts w:eastAsia="Calibri"/>
                <w:b/>
                <w:noProof/>
                <w:szCs w:val="24"/>
              </w:rPr>
              <w:fldChar w:fldCharType="separate"/>
            </w:r>
            <w:r>
              <w:rPr>
                <w:rFonts w:eastAsia="Calibri"/>
                <w:b/>
                <w:noProof/>
                <w:szCs w:val="24"/>
              </w:rPr>
              <w:t>7</w:t>
            </w:r>
            <w:r>
              <w:rPr>
                <w:rFonts w:eastAsia="Calibri"/>
                <w:b/>
                <w:noProof/>
                <w:szCs w:val="24"/>
              </w:rPr>
              <w:fldChar w:fldCharType="end"/>
            </w:r>
            <w:r>
              <w:rPr>
                <w:b/>
                <w:noProof/>
                <w:szCs w:val="24"/>
              </w:rPr>
              <w:t>]</w:t>
            </w:r>
          </w:p>
        </w:tc>
        <w:tc>
          <w:tcPr>
            <w:tcW w:w="5671" w:type="dxa"/>
            <w:shd w:val="clear" w:color="auto" w:fill="auto"/>
          </w:tcPr>
          <w:p>
            <w:pPr>
              <w:spacing w:before="0" w:after="0"/>
              <w:ind w:right="33"/>
              <w:jc w:val="left"/>
              <w:rPr>
                <w:rFonts w:eastAsia="Calibri"/>
                <w:noProof/>
                <w:szCs w:val="24"/>
              </w:rPr>
            </w:pPr>
            <w:r>
              <w:rPr>
                <w:noProof/>
              </w:rPr>
              <w:t>Overholde reglerne og henstillingerne i "sikkerhedsdokumenterne":</w:t>
            </w:r>
          </w:p>
          <w:p>
            <w:pPr>
              <w:numPr>
                <w:ilvl w:val="0"/>
                <w:numId w:val="17"/>
              </w:numPr>
              <w:spacing w:before="0" w:after="0"/>
              <w:ind w:right="33"/>
              <w:contextualSpacing/>
              <w:jc w:val="left"/>
              <w:rPr>
                <w:rFonts w:eastAsia="Calibri"/>
                <w:noProof/>
                <w:szCs w:val="24"/>
              </w:rPr>
            </w:pPr>
            <w:r>
              <w:rPr>
                <w:noProof/>
              </w:rPr>
              <w:t xml:space="preserve">CCN/CSI General Security Policy </w:t>
            </w:r>
            <w:hyperlink r:id="rId27" w:history="1">
              <w:r>
                <w:rPr>
                  <w:noProof/>
                  <w:color w:val="0000FF"/>
                  <w:szCs w:val="24"/>
                  <w:u w:val="single"/>
                </w:rPr>
                <w:t>RD3</w:t>
              </w:r>
            </w:hyperlink>
          </w:p>
          <w:p>
            <w:pPr>
              <w:pStyle w:val="Text1"/>
              <w:ind w:left="0"/>
              <w:rPr>
                <w:rFonts w:eastAsia="Calibri"/>
                <w:noProof/>
                <w:color w:val="000000"/>
                <w:szCs w:val="24"/>
              </w:rPr>
            </w:pPr>
            <w:r>
              <w:rPr>
                <w:noProof/>
              </w:rPr>
              <w:lastRenderedPageBreak/>
              <w:t xml:space="preserve">CCN/CSI Baseline Security Checklist </w:t>
            </w:r>
            <w:hyperlink w:anchor="RD4" w:history="1">
              <w:r>
                <w:rPr>
                  <w:noProof/>
                  <w:color w:val="0000FF"/>
                  <w:szCs w:val="24"/>
                  <w:u w:val="single"/>
                </w:rPr>
                <w:t>RD4</w:t>
              </w:r>
            </w:hyperlink>
            <w:r>
              <w:rPr>
                <w:noProof/>
              </w:rPr>
              <w:t>.</w:t>
            </w:r>
          </w:p>
        </w:tc>
      </w:tr>
      <w:tr>
        <w:tc>
          <w:tcPr>
            <w:tcW w:w="2692" w:type="dxa"/>
            <w:shd w:val="clear" w:color="auto" w:fill="D9D9D9"/>
          </w:tcPr>
          <w:p>
            <w:pPr>
              <w:pStyle w:val="Text1"/>
              <w:ind w:left="0"/>
              <w:rPr>
                <w:b/>
                <w:noProof/>
              </w:rPr>
            </w:pPr>
            <w:r>
              <w:rPr>
                <w:b/>
                <w:noProof/>
                <w:szCs w:val="24"/>
              </w:rPr>
              <w:lastRenderedPageBreak/>
              <w:t>[OSP8]</w:t>
            </w:r>
          </w:p>
        </w:tc>
        <w:tc>
          <w:tcPr>
            <w:tcW w:w="5671" w:type="dxa"/>
            <w:shd w:val="clear" w:color="auto" w:fill="auto"/>
          </w:tcPr>
          <w:p>
            <w:pPr>
              <w:pStyle w:val="Text1"/>
              <w:ind w:left="0"/>
              <w:rPr>
                <w:rFonts w:eastAsia="Calibri"/>
                <w:noProof/>
                <w:color w:val="000000"/>
                <w:szCs w:val="24"/>
              </w:rPr>
            </w:pPr>
            <w:r>
              <w:rPr>
                <w:noProof/>
              </w:rPr>
              <w:t>Serviceanmoderen skal fra tid til anden sikre, at nettilgængeligheden ikke reduceres på grund af vedligeholdelse eller anden forventet manglende tilgængelighed. I så fald skal serviceanmoderen underrette serviceudbyderen mindst 1 måned i forvejen. Hvis serviceanmoderen ikke kan overholde denne frist, vil GD TAXUD vurdere situationen.</w:t>
            </w:r>
          </w:p>
        </w:tc>
      </w:tr>
      <w:tr>
        <w:tc>
          <w:tcPr>
            <w:tcW w:w="2692" w:type="dxa"/>
            <w:shd w:val="clear" w:color="auto" w:fill="D9D9D9"/>
          </w:tcPr>
          <w:p>
            <w:pPr>
              <w:pStyle w:val="Text1"/>
              <w:ind w:left="0"/>
              <w:rPr>
                <w:b/>
                <w:noProof/>
              </w:rPr>
            </w:pPr>
            <w:r>
              <w:rPr>
                <w:b/>
                <w:noProof/>
                <w:szCs w:val="24"/>
              </w:rPr>
              <w:t>[OSP9]</w:t>
            </w:r>
          </w:p>
        </w:tc>
        <w:tc>
          <w:tcPr>
            <w:tcW w:w="5671" w:type="dxa"/>
            <w:shd w:val="clear" w:color="auto" w:fill="auto"/>
          </w:tcPr>
          <w:p>
            <w:pPr>
              <w:pStyle w:val="Text1"/>
              <w:ind w:left="0"/>
              <w:rPr>
                <w:rFonts w:eastAsia="Calibri"/>
                <w:noProof/>
                <w:color w:val="000000"/>
                <w:szCs w:val="24"/>
              </w:rPr>
            </w:pPr>
            <w:r>
              <w:rPr>
                <w:noProof/>
              </w:rPr>
              <w:t>Alle de softwarelicenser, der kører på CCN-gateways, vil blive leveret af GD TAXUD.</w:t>
            </w:r>
          </w:p>
        </w:tc>
      </w:tr>
      <w:tr>
        <w:tc>
          <w:tcPr>
            <w:tcW w:w="2692" w:type="dxa"/>
            <w:shd w:val="clear" w:color="auto" w:fill="D9D9D9"/>
          </w:tcPr>
          <w:p>
            <w:pPr>
              <w:pStyle w:val="Text1"/>
              <w:ind w:left="0"/>
              <w:rPr>
                <w:b/>
                <w:noProof/>
              </w:rPr>
            </w:pPr>
            <w:r>
              <w:rPr>
                <w:b/>
                <w:noProof/>
                <w:szCs w:val="24"/>
              </w:rPr>
              <w:t>[OSP10]</w:t>
            </w:r>
          </w:p>
        </w:tc>
        <w:tc>
          <w:tcPr>
            <w:tcW w:w="5671" w:type="dxa"/>
            <w:shd w:val="clear" w:color="auto" w:fill="auto"/>
          </w:tcPr>
          <w:p>
            <w:pPr>
              <w:pStyle w:val="Text1"/>
              <w:ind w:left="0"/>
              <w:rPr>
                <w:rFonts w:eastAsia="Calibri"/>
                <w:noProof/>
                <w:color w:val="000000"/>
                <w:szCs w:val="24"/>
              </w:rPr>
            </w:pPr>
            <w:r>
              <w:rPr>
                <w:noProof/>
              </w:rPr>
              <w:t xml:space="preserve">Overholde CCN/CSI-sites backuppolitik (jf. </w:t>
            </w:r>
            <w:hyperlink w:anchor="RD2" w:history="1">
              <w:r>
                <w:rPr>
                  <w:noProof/>
                  <w:color w:val="0000FF"/>
                  <w:szCs w:val="24"/>
                </w:rPr>
                <w:t>RD2</w:t>
              </w:r>
            </w:hyperlink>
            <w:r>
              <w:rPr>
                <w:noProof/>
              </w:rPr>
              <w:t>).</w:t>
            </w:r>
          </w:p>
        </w:tc>
      </w:tr>
      <w:tr>
        <w:tc>
          <w:tcPr>
            <w:tcW w:w="2692" w:type="dxa"/>
            <w:shd w:val="clear" w:color="auto" w:fill="D9D9D9"/>
          </w:tcPr>
          <w:p>
            <w:pPr>
              <w:pStyle w:val="Text1"/>
              <w:ind w:left="0"/>
              <w:rPr>
                <w:b/>
                <w:noProof/>
              </w:rPr>
            </w:pPr>
            <w:r>
              <w:rPr>
                <w:b/>
                <w:noProof/>
                <w:szCs w:val="24"/>
              </w:rPr>
              <w:t>[OSP11]</w:t>
            </w:r>
          </w:p>
        </w:tc>
        <w:tc>
          <w:tcPr>
            <w:tcW w:w="5671" w:type="dxa"/>
            <w:shd w:val="clear" w:color="auto" w:fill="auto"/>
          </w:tcPr>
          <w:p>
            <w:pPr>
              <w:pStyle w:val="Text1"/>
              <w:ind w:left="0"/>
              <w:rPr>
                <w:rFonts w:eastAsia="Calibri"/>
                <w:noProof/>
                <w:color w:val="000000"/>
                <w:szCs w:val="24"/>
              </w:rPr>
            </w:pPr>
            <w:r>
              <w:rPr>
                <w:noProof/>
              </w:rPr>
              <w:t xml:space="preserve">Revidere systemet som defineret i </w:t>
            </w:r>
            <w:hyperlink w:anchor="RD2" w:history="1">
              <w:r>
                <w:rPr>
                  <w:noProof/>
                  <w:color w:val="0000FF"/>
                  <w:szCs w:val="24"/>
                </w:rPr>
                <w:t>RD2</w:t>
              </w:r>
            </w:hyperlink>
            <w:r>
              <w:rPr>
                <w:noProof/>
              </w:rPr>
              <w:t>.</w:t>
            </w:r>
          </w:p>
        </w:tc>
      </w:tr>
      <w:tr>
        <w:tc>
          <w:tcPr>
            <w:tcW w:w="2692" w:type="dxa"/>
            <w:tcBorders>
              <w:top w:val="single" w:sz="4" w:space="0" w:color="auto"/>
              <w:left w:val="single" w:sz="4" w:space="0" w:color="auto"/>
              <w:bottom w:val="single" w:sz="4" w:space="0" w:color="auto"/>
              <w:right w:val="single" w:sz="4" w:space="0" w:color="auto"/>
            </w:tcBorders>
            <w:shd w:val="clear" w:color="auto" w:fill="D9D9D9"/>
          </w:tcPr>
          <w:p>
            <w:pPr>
              <w:pStyle w:val="Text1"/>
              <w:ind w:left="0"/>
              <w:rPr>
                <w:b/>
                <w:noProof/>
              </w:rPr>
            </w:pPr>
            <w:r>
              <w:rPr>
                <w:b/>
                <w:noProof/>
                <w:szCs w:val="24"/>
              </w:rPr>
              <w:t>[OSP12]</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pStyle w:val="Text1"/>
              <w:ind w:left="0"/>
              <w:rPr>
                <w:rFonts w:eastAsia="Calibri"/>
                <w:noProof/>
                <w:color w:val="000000"/>
                <w:szCs w:val="24"/>
              </w:rPr>
            </w:pPr>
            <w:r>
              <w:rPr>
                <w:noProof/>
              </w:rPr>
              <w:t xml:space="preserve">Foretage systemsikkerhedskontrollen som defineret i </w:t>
            </w:r>
            <w:hyperlink w:anchor="RD2" w:history="1">
              <w:r>
                <w:rPr>
                  <w:noProof/>
                  <w:color w:val="0000FF"/>
                  <w:szCs w:val="24"/>
                </w:rPr>
                <w:t>RD2</w:t>
              </w:r>
            </w:hyperlink>
            <w:r>
              <w:rPr>
                <w:noProof/>
              </w:rPr>
              <w:t>.</w:t>
            </w:r>
          </w:p>
        </w:tc>
      </w:tr>
    </w:tbl>
    <w:p>
      <w:pPr>
        <w:spacing w:before="60"/>
        <w:jc w:val="center"/>
        <w:rPr>
          <w:rFonts w:eastAsia="Times New Roman"/>
          <w:noProof/>
          <w:sz w:val="20"/>
          <w:szCs w:val="20"/>
        </w:rPr>
      </w:pPr>
      <w:bookmarkStart w:id="143" w:name="_Toc159212009"/>
      <w:bookmarkStart w:id="144" w:name="_Toc490755346"/>
      <w:r>
        <w:rPr>
          <w:noProof/>
          <w:sz w:val="20"/>
          <w:szCs w:val="20"/>
        </w:rPr>
        <w:t>Tabel 6: Serviceudbyderens forpligtelser (OSP)</w:t>
      </w:r>
      <w:bookmarkEnd w:id="143"/>
      <w:bookmarkEnd w:id="144"/>
    </w:p>
    <w:p>
      <w:pPr>
        <w:pStyle w:val="ManualHeading2"/>
        <w:rPr>
          <w:noProof/>
        </w:rPr>
      </w:pPr>
      <w:bookmarkStart w:id="145" w:name="_Ref374535365"/>
      <w:bookmarkStart w:id="146" w:name="_Toc490755327"/>
      <w:r>
        <w:rPr>
          <w:noProof/>
        </w:rPr>
        <w:t>4.2.</w:t>
      </w:r>
      <w:r>
        <w:rPr>
          <w:noProof/>
        </w:rPr>
        <w:tab/>
        <w:t>SERVICEANMODERENS FORPLIGTELSER (OSR)</w:t>
      </w:r>
      <w:bookmarkEnd w:id="145"/>
      <w:bookmarkEnd w:id="146"/>
    </w:p>
    <w:p>
      <w:pPr>
        <w:pStyle w:val="Text1"/>
        <w:rPr>
          <w:noProof/>
        </w:rPr>
      </w:pPr>
      <w:r>
        <w:rPr>
          <w:noProof/>
        </w:rPr>
        <w:t>Serviceanmoderen skal:</w:t>
      </w:r>
    </w:p>
    <w:tbl>
      <w:tblPr>
        <w:tblStyle w:val="TableGrid"/>
        <w:tblW w:w="8363" w:type="dxa"/>
        <w:tblInd w:w="959" w:type="dxa"/>
        <w:tblLook w:val="04A0" w:firstRow="1" w:lastRow="0" w:firstColumn="1" w:lastColumn="0" w:noHBand="0" w:noVBand="1"/>
      </w:tblPr>
      <w:tblGrid>
        <w:gridCol w:w="2692"/>
        <w:gridCol w:w="5671"/>
      </w:tblGrid>
      <w:tr>
        <w:tc>
          <w:tcPr>
            <w:tcW w:w="8363" w:type="dxa"/>
            <w:gridSpan w:val="2"/>
            <w:shd w:val="clear" w:color="auto" w:fill="D9D9D9" w:themeFill="background1" w:themeFillShade="D9"/>
          </w:tcPr>
          <w:p>
            <w:pPr>
              <w:pStyle w:val="Text1"/>
              <w:ind w:left="0"/>
              <w:jc w:val="center"/>
              <w:rPr>
                <w:noProof/>
                <w:szCs w:val="24"/>
              </w:rPr>
            </w:pPr>
            <w:r>
              <w:rPr>
                <w:b/>
                <w:noProof/>
                <w:szCs w:val="24"/>
              </w:rPr>
              <w:t>Teknik og infrastruktur</w:t>
            </w:r>
          </w:p>
        </w:tc>
      </w:tr>
      <w:tr>
        <w:tc>
          <w:tcPr>
            <w:tcW w:w="2692" w:type="dxa"/>
            <w:tcBorders>
              <w:top w:val="single" w:sz="4" w:space="0" w:color="auto"/>
              <w:left w:val="single" w:sz="4" w:space="0" w:color="auto"/>
              <w:bottom w:val="single" w:sz="4" w:space="0" w:color="auto"/>
              <w:right w:val="single" w:sz="4" w:space="0" w:color="auto"/>
            </w:tcBorders>
            <w:shd w:val="clear" w:color="auto" w:fill="D9D9D9"/>
          </w:tcPr>
          <w:p>
            <w:pPr>
              <w:pStyle w:val="Text1"/>
              <w:ind w:left="0"/>
              <w:rPr>
                <w:b/>
                <w:noProof/>
              </w:rPr>
            </w:pPr>
            <w:r>
              <w:rPr>
                <w:b/>
                <w:noProof/>
                <w:szCs w:val="24"/>
              </w:rPr>
              <w:t>[OSR</w:t>
            </w:r>
            <w:r>
              <w:rPr>
                <w:rFonts w:eastAsia="Calibri"/>
                <w:b/>
                <w:noProof/>
                <w:szCs w:val="24"/>
              </w:rPr>
              <w:fldChar w:fldCharType="begin"/>
            </w:r>
            <w:r>
              <w:rPr>
                <w:rFonts w:eastAsia="Calibri"/>
                <w:b/>
                <w:noProof/>
                <w:szCs w:val="24"/>
              </w:rPr>
              <w:instrText xml:space="preserve"> SEQ OSC \* ARABIC </w:instrText>
            </w:r>
            <w:r>
              <w:rPr>
                <w:rFonts w:eastAsia="Calibri"/>
                <w:b/>
                <w:noProof/>
                <w:szCs w:val="24"/>
              </w:rPr>
              <w:fldChar w:fldCharType="separate"/>
            </w:r>
            <w:r>
              <w:rPr>
                <w:rFonts w:eastAsia="Calibri"/>
                <w:b/>
                <w:noProof/>
                <w:szCs w:val="24"/>
              </w:rPr>
              <w:t>1</w:t>
            </w:r>
            <w:r>
              <w:rPr>
                <w:rFonts w:eastAsia="Calibri"/>
                <w:b/>
                <w:noProof/>
                <w:szCs w:val="24"/>
              </w:rPr>
              <w:fldChar w:fldCharType="end"/>
            </w:r>
            <w:r>
              <w:rPr>
                <w:b/>
                <w:noProof/>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spacing w:before="0" w:after="0"/>
              <w:ind w:right="33"/>
              <w:jc w:val="left"/>
              <w:rPr>
                <w:rFonts w:eastAsia="Calibri"/>
                <w:noProof/>
                <w:szCs w:val="24"/>
              </w:rPr>
            </w:pPr>
            <w:r>
              <w:rPr>
                <w:noProof/>
              </w:rPr>
              <w:t>Installere GD TAXUD's CCN-infrastrukturudstyr leveret af GD TAXUD og sikre, at der er passende:</w:t>
            </w:r>
          </w:p>
          <w:p>
            <w:pPr>
              <w:numPr>
                <w:ilvl w:val="0"/>
                <w:numId w:val="20"/>
              </w:numPr>
              <w:spacing w:before="0" w:after="0"/>
              <w:ind w:right="33"/>
              <w:jc w:val="left"/>
              <w:rPr>
                <w:rFonts w:eastAsia="Calibri"/>
                <w:noProof/>
                <w:szCs w:val="24"/>
              </w:rPr>
            </w:pPr>
            <w:r>
              <w:rPr>
                <w:noProof/>
              </w:rPr>
              <w:t xml:space="preserve">rack-/lagerplads </w:t>
            </w:r>
          </w:p>
          <w:p>
            <w:pPr>
              <w:numPr>
                <w:ilvl w:val="0"/>
                <w:numId w:val="20"/>
              </w:numPr>
              <w:spacing w:before="0" w:after="0"/>
              <w:ind w:right="33"/>
              <w:jc w:val="left"/>
              <w:rPr>
                <w:rFonts w:eastAsia="Calibri"/>
                <w:noProof/>
                <w:szCs w:val="24"/>
              </w:rPr>
            </w:pPr>
            <w:r>
              <w:rPr>
                <w:noProof/>
              </w:rPr>
              <w:t>elektrisk strømforsyning</w:t>
            </w:r>
          </w:p>
          <w:p>
            <w:pPr>
              <w:pStyle w:val="Text1"/>
              <w:spacing w:before="0" w:after="0"/>
              <w:ind w:left="0"/>
              <w:jc w:val="left"/>
              <w:rPr>
                <w:rFonts w:eastAsia="Calibri"/>
                <w:noProof/>
                <w:color w:val="000000"/>
                <w:szCs w:val="24"/>
              </w:rPr>
            </w:pPr>
            <w:r>
              <w:rPr>
                <w:noProof/>
              </w:rPr>
              <w:t>HVAC</w:t>
            </w:r>
          </w:p>
        </w:tc>
      </w:tr>
      <w:tr>
        <w:tc>
          <w:tcPr>
            <w:tcW w:w="2692" w:type="dxa"/>
            <w:tcBorders>
              <w:top w:val="single" w:sz="4" w:space="0" w:color="auto"/>
              <w:left w:val="single" w:sz="4" w:space="0" w:color="auto"/>
              <w:bottom w:val="single" w:sz="4" w:space="0" w:color="auto"/>
              <w:right w:val="single" w:sz="4" w:space="0" w:color="auto"/>
            </w:tcBorders>
            <w:shd w:val="clear" w:color="auto" w:fill="D9D9D9"/>
          </w:tcPr>
          <w:p>
            <w:pPr>
              <w:pStyle w:val="Text1"/>
              <w:ind w:left="0"/>
              <w:rPr>
                <w:b/>
                <w:noProof/>
              </w:rPr>
            </w:pPr>
            <w:r>
              <w:rPr>
                <w:b/>
                <w:noProof/>
                <w:szCs w:val="24"/>
              </w:rPr>
              <w:t>[OSR</w:t>
            </w:r>
            <w:r>
              <w:rPr>
                <w:rFonts w:eastAsia="Calibri"/>
                <w:b/>
                <w:noProof/>
                <w:szCs w:val="24"/>
              </w:rPr>
              <w:fldChar w:fldCharType="begin"/>
            </w:r>
            <w:r>
              <w:rPr>
                <w:rFonts w:eastAsia="Calibri"/>
                <w:b/>
                <w:noProof/>
                <w:szCs w:val="24"/>
              </w:rPr>
              <w:instrText xml:space="preserve"> SEQ OSC \* ARABIC </w:instrText>
            </w:r>
            <w:r>
              <w:rPr>
                <w:rFonts w:eastAsia="Calibri"/>
                <w:b/>
                <w:noProof/>
                <w:szCs w:val="24"/>
              </w:rPr>
              <w:fldChar w:fldCharType="separate"/>
            </w:r>
            <w:r>
              <w:rPr>
                <w:rFonts w:eastAsia="Calibri"/>
                <w:b/>
                <w:noProof/>
                <w:szCs w:val="24"/>
              </w:rPr>
              <w:t>2</w:t>
            </w:r>
            <w:r>
              <w:rPr>
                <w:rFonts w:eastAsia="Calibri"/>
                <w:b/>
                <w:noProof/>
                <w:szCs w:val="24"/>
              </w:rPr>
              <w:fldChar w:fldCharType="end"/>
            </w:r>
            <w:r>
              <w:rPr>
                <w:b/>
                <w:noProof/>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pStyle w:val="Text1"/>
              <w:spacing w:before="0" w:after="0"/>
              <w:ind w:left="0"/>
              <w:jc w:val="left"/>
              <w:rPr>
                <w:rFonts w:eastAsia="Calibri"/>
                <w:noProof/>
                <w:color w:val="000000"/>
                <w:szCs w:val="24"/>
              </w:rPr>
            </w:pPr>
            <w:r>
              <w:rPr>
                <w:noProof/>
              </w:rPr>
              <w:t>Sikre, at CCN/CSI-komponenterne er "elektrisk" tilsluttet den kontinuerlige strømforsyning. Specifikke tilpasninger til lokale standarder (f.eks. adapterstik) skal leveres af serviceanmoderen.</w:t>
            </w:r>
          </w:p>
        </w:tc>
      </w:tr>
      <w:tr>
        <w:tc>
          <w:tcPr>
            <w:tcW w:w="8363" w:type="dxa"/>
            <w:gridSpan w:val="2"/>
            <w:shd w:val="clear" w:color="auto" w:fill="D9D9D9" w:themeFill="background1" w:themeFillShade="D9"/>
          </w:tcPr>
          <w:p>
            <w:pPr>
              <w:pStyle w:val="Text1"/>
              <w:ind w:left="0"/>
              <w:jc w:val="center"/>
              <w:rPr>
                <w:noProof/>
                <w:szCs w:val="24"/>
              </w:rPr>
            </w:pPr>
            <w:r>
              <w:rPr>
                <w:b/>
                <w:noProof/>
                <w:szCs w:val="24"/>
              </w:rPr>
              <w:t>Drift og organisering</w:t>
            </w:r>
          </w:p>
        </w:tc>
      </w:tr>
      <w:tr>
        <w:tc>
          <w:tcPr>
            <w:tcW w:w="2692" w:type="dxa"/>
            <w:tcBorders>
              <w:top w:val="single" w:sz="4" w:space="0" w:color="auto"/>
              <w:left w:val="single" w:sz="4" w:space="0" w:color="auto"/>
              <w:bottom w:val="single" w:sz="4" w:space="0" w:color="auto"/>
              <w:right w:val="single" w:sz="4" w:space="0" w:color="auto"/>
            </w:tcBorders>
            <w:shd w:val="clear" w:color="auto" w:fill="D9D9D9"/>
          </w:tcPr>
          <w:p>
            <w:pPr>
              <w:pStyle w:val="Text1"/>
              <w:ind w:left="0"/>
              <w:rPr>
                <w:b/>
                <w:noProof/>
              </w:rPr>
            </w:pPr>
            <w:r>
              <w:rPr>
                <w:b/>
                <w:noProof/>
                <w:szCs w:val="24"/>
              </w:rPr>
              <w:t>[OSR</w:t>
            </w:r>
            <w:r>
              <w:rPr>
                <w:rFonts w:eastAsia="Calibri"/>
                <w:b/>
                <w:noProof/>
                <w:szCs w:val="24"/>
              </w:rPr>
              <w:fldChar w:fldCharType="begin"/>
            </w:r>
            <w:r>
              <w:rPr>
                <w:rFonts w:eastAsia="Calibri"/>
                <w:b/>
                <w:noProof/>
                <w:szCs w:val="24"/>
              </w:rPr>
              <w:instrText xml:space="preserve"> SEQ OSC \* ARABIC </w:instrText>
            </w:r>
            <w:r>
              <w:rPr>
                <w:rFonts w:eastAsia="Calibri"/>
                <w:b/>
                <w:noProof/>
                <w:szCs w:val="24"/>
              </w:rPr>
              <w:fldChar w:fldCharType="separate"/>
            </w:r>
            <w:r>
              <w:rPr>
                <w:rFonts w:eastAsia="Calibri"/>
                <w:b/>
                <w:noProof/>
                <w:szCs w:val="24"/>
              </w:rPr>
              <w:t>3</w:t>
            </w:r>
            <w:r>
              <w:rPr>
                <w:rFonts w:eastAsia="Calibri"/>
                <w:b/>
                <w:noProof/>
                <w:szCs w:val="24"/>
              </w:rPr>
              <w:fldChar w:fldCharType="end"/>
            </w:r>
            <w:r>
              <w:rPr>
                <w:b/>
                <w:noProof/>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pStyle w:val="Text1"/>
              <w:ind w:left="0"/>
              <w:rPr>
                <w:rFonts w:eastAsia="Calibri"/>
                <w:noProof/>
                <w:color w:val="000000"/>
                <w:szCs w:val="24"/>
              </w:rPr>
            </w:pPr>
            <w:r>
              <w:rPr>
                <w:noProof/>
              </w:rPr>
              <w:t xml:space="preserve">Udpege personale til at varetage de roller, der er anført i </w:t>
            </w:r>
            <w:hyperlink r:id="rId28" w:history="1">
              <w:r>
                <w:rPr>
                  <w:noProof/>
                  <w:color w:val="0000FF"/>
                  <w:szCs w:val="24"/>
                  <w:u w:val="single"/>
                </w:rPr>
                <w:t>RD5</w:t>
              </w:r>
            </w:hyperlink>
            <w:r>
              <w:rPr>
                <w:noProof/>
              </w:rPr>
              <w:t xml:space="preserve">. </w:t>
            </w:r>
          </w:p>
        </w:tc>
      </w:tr>
      <w:tr>
        <w:tc>
          <w:tcPr>
            <w:tcW w:w="2692" w:type="dxa"/>
            <w:tcBorders>
              <w:top w:val="single" w:sz="4" w:space="0" w:color="auto"/>
              <w:left w:val="single" w:sz="4" w:space="0" w:color="auto"/>
              <w:bottom w:val="single" w:sz="4" w:space="0" w:color="auto"/>
              <w:right w:val="single" w:sz="4" w:space="0" w:color="auto"/>
            </w:tcBorders>
            <w:shd w:val="clear" w:color="auto" w:fill="D9D9D9"/>
          </w:tcPr>
          <w:p>
            <w:pPr>
              <w:pStyle w:val="Text1"/>
              <w:ind w:left="0"/>
              <w:rPr>
                <w:b/>
                <w:noProof/>
              </w:rPr>
            </w:pPr>
            <w:r>
              <w:rPr>
                <w:b/>
                <w:noProof/>
                <w:szCs w:val="24"/>
              </w:rPr>
              <w:t>[OSR</w:t>
            </w:r>
            <w:r>
              <w:rPr>
                <w:rFonts w:eastAsia="Calibri"/>
                <w:b/>
                <w:noProof/>
                <w:szCs w:val="24"/>
              </w:rPr>
              <w:fldChar w:fldCharType="begin"/>
            </w:r>
            <w:r>
              <w:rPr>
                <w:rFonts w:eastAsia="Calibri"/>
                <w:b/>
                <w:noProof/>
                <w:szCs w:val="24"/>
              </w:rPr>
              <w:instrText xml:space="preserve"> SEQ OSC \* ARABIC </w:instrText>
            </w:r>
            <w:r>
              <w:rPr>
                <w:rFonts w:eastAsia="Calibri"/>
                <w:b/>
                <w:noProof/>
                <w:szCs w:val="24"/>
              </w:rPr>
              <w:fldChar w:fldCharType="separate"/>
            </w:r>
            <w:r>
              <w:rPr>
                <w:rFonts w:eastAsia="Calibri"/>
                <w:b/>
                <w:noProof/>
                <w:szCs w:val="24"/>
              </w:rPr>
              <w:t>4</w:t>
            </w:r>
            <w:r>
              <w:rPr>
                <w:rFonts w:eastAsia="Calibri"/>
                <w:b/>
                <w:noProof/>
                <w:szCs w:val="24"/>
              </w:rPr>
              <w:fldChar w:fldCharType="end"/>
            </w:r>
            <w:r>
              <w:rPr>
                <w:b/>
                <w:noProof/>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spacing w:before="0" w:after="0"/>
              <w:ind w:right="33"/>
              <w:rPr>
                <w:rFonts w:eastAsia="Calibri"/>
                <w:noProof/>
                <w:szCs w:val="24"/>
              </w:rPr>
            </w:pPr>
            <w:r>
              <w:rPr>
                <w:noProof/>
              </w:rPr>
              <w:t>Sikre tilstedeværelse uden for normal arbejdstid, når det skønnes nødvendigt og efter anmodning fra tjenesteyderen.</w:t>
            </w:r>
          </w:p>
          <w:p>
            <w:pPr>
              <w:pStyle w:val="Text1"/>
              <w:ind w:left="0"/>
              <w:rPr>
                <w:rFonts w:eastAsia="Calibri"/>
                <w:noProof/>
                <w:color w:val="000000"/>
                <w:szCs w:val="24"/>
              </w:rPr>
            </w:pPr>
            <w:r>
              <w:rPr>
                <w:noProof/>
              </w:rPr>
              <w:t xml:space="preserve">I forbindelse med visse operationer udført af backbone carrier eller serviceudbyderen kan koordineringen og/eller tilstedeværelsen af LSA'en fra serviceforbrugeren være påkrævet. Der vil være mindst en måneds varsel, således at disse aktiviteter kan planlægges. Dette skal ske i fuldt samarbejde af hensyn til den komplekse planlægning som følge af antallet af </w:t>
            </w:r>
            <w:r>
              <w:rPr>
                <w:noProof/>
              </w:rPr>
              <w:lastRenderedPageBreak/>
              <w:t>sites.</w:t>
            </w:r>
          </w:p>
        </w:tc>
      </w:tr>
      <w:tr>
        <w:tc>
          <w:tcPr>
            <w:tcW w:w="2692" w:type="dxa"/>
            <w:tcBorders>
              <w:top w:val="single" w:sz="4" w:space="0" w:color="auto"/>
              <w:left w:val="single" w:sz="4" w:space="0" w:color="auto"/>
              <w:bottom w:val="single" w:sz="4" w:space="0" w:color="auto"/>
              <w:right w:val="single" w:sz="4" w:space="0" w:color="auto"/>
            </w:tcBorders>
            <w:shd w:val="clear" w:color="auto" w:fill="D9D9D9"/>
          </w:tcPr>
          <w:p>
            <w:pPr>
              <w:pStyle w:val="Text1"/>
              <w:ind w:left="0"/>
              <w:rPr>
                <w:b/>
                <w:noProof/>
              </w:rPr>
            </w:pPr>
            <w:r>
              <w:rPr>
                <w:b/>
                <w:noProof/>
                <w:szCs w:val="24"/>
              </w:rPr>
              <w:lastRenderedPageBreak/>
              <w:t>[OSR</w:t>
            </w:r>
            <w:r>
              <w:rPr>
                <w:rFonts w:eastAsia="Calibri"/>
                <w:b/>
                <w:noProof/>
                <w:szCs w:val="24"/>
              </w:rPr>
              <w:fldChar w:fldCharType="begin"/>
            </w:r>
            <w:r>
              <w:rPr>
                <w:rFonts w:eastAsia="Calibri"/>
                <w:b/>
                <w:noProof/>
                <w:szCs w:val="24"/>
              </w:rPr>
              <w:instrText xml:space="preserve"> SEQ OSC \* ARABIC </w:instrText>
            </w:r>
            <w:r>
              <w:rPr>
                <w:rFonts w:eastAsia="Calibri"/>
                <w:b/>
                <w:noProof/>
                <w:szCs w:val="24"/>
              </w:rPr>
              <w:fldChar w:fldCharType="separate"/>
            </w:r>
            <w:r>
              <w:rPr>
                <w:rFonts w:eastAsia="Calibri"/>
                <w:b/>
                <w:noProof/>
                <w:szCs w:val="24"/>
              </w:rPr>
              <w:t>5</w:t>
            </w:r>
            <w:r>
              <w:rPr>
                <w:rFonts w:eastAsia="Calibri"/>
                <w:b/>
                <w:noProof/>
                <w:szCs w:val="24"/>
              </w:rPr>
              <w:fldChar w:fldCharType="end"/>
            </w:r>
            <w:r>
              <w:rPr>
                <w:b/>
                <w:noProof/>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pStyle w:val="Text1"/>
              <w:ind w:left="0"/>
              <w:rPr>
                <w:rFonts w:eastAsia="Calibri"/>
                <w:noProof/>
                <w:color w:val="000000"/>
                <w:szCs w:val="24"/>
              </w:rPr>
            </w:pPr>
            <w:r>
              <w:rPr>
                <w:noProof/>
              </w:rPr>
              <w:t>Aldrig afbryde dele af GD TAXUD's CCN-infrastrukturudstyr uden en formel tilladelse fra serviceudbyderen.</w:t>
            </w:r>
          </w:p>
        </w:tc>
      </w:tr>
      <w:tr>
        <w:tc>
          <w:tcPr>
            <w:tcW w:w="2692" w:type="dxa"/>
            <w:tcBorders>
              <w:top w:val="single" w:sz="4" w:space="0" w:color="auto"/>
              <w:left w:val="single" w:sz="4" w:space="0" w:color="auto"/>
              <w:bottom w:val="single" w:sz="4" w:space="0" w:color="auto"/>
              <w:right w:val="single" w:sz="4" w:space="0" w:color="auto"/>
            </w:tcBorders>
            <w:shd w:val="clear" w:color="auto" w:fill="D9D9D9"/>
          </w:tcPr>
          <w:p>
            <w:pPr>
              <w:pStyle w:val="Text1"/>
              <w:ind w:left="0"/>
              <w:rPr>
                <w:b/>
                <w:noProof/>
              </w:rPr>
            </w:pPr>
            <w:r>
              <w:rPr>
                <w:b/>
                <w:noProof/>
                <w:szCs w:val="24"/>
              </w:rPr>
              <w:t>[OSR</w:t>
            </w:r>
            <w:r>
              <w:rPr>
                <w:rFonts w:eastAsia="Calibri"/>
                <w:b/>
                <w:noProof/>
                <w:szCs w:val="24"/>
              </w:rPr>
              <w:fldChar w:fldCharType="begin"/>
            </w:r>
            <w:r>
              <w:rPr>
                <w:rFonts w:eastAsia="Calibri"/>
                <w:b/>
                <w:noProof/>
                <w:szCs w:val="24"/>
              </w:rPr>
              <w:instrText xml:space="preserve"> SEQ OSC \* ARABIC </w:instrText>
            </w:r>
            <w:r>
              <w:rPr>
                <w:rFonts w:eastAsia="Calibri"/>
                <w:b/>
                <w:noProof/>
                <w:szCs w:val="24"/>
              </w:rPr>
              <w:fldChar w:fldCharType="separate"/>
            </w:r>
            <w:r>
              <w:rPr>
                <w:rFonts w:eastAsia="Calibri"/>
                <w:b/>
                <w:noProof/>
                <w:szCs w:val="24"/>
              </w:rPr>
              <w:t>6</w:t>
            </w:r>
            <w:r>
              <w:rPr>
                <w:rFonts w:eastAsia="Calibri"/>
                <w:b/>
                <w:noProof/>
                <w:szCs w:val="24"/>
              </w:rPr>
              <w:fldChar w:fldCharType="end"/>
            </w:r>
            <w:r>
              <w:rPr>
                <w:b/>
                <w:noProof/>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pStyle w:val="Text1"/>
              <w:ind w:left="0"/>
              <w:rPr>
                <w:rFonts w:eastAsia="Calibri"/>
                <w:noProof/>
                <w:color w:val="000000"/>
                <w:szCs w:val="24"/>
              </w:rPr>
            </w:pPr>
            <w:r>
              <w:rPr>
                <w:noProof/>
              </w:rPr>
              <w:t>Anmode om en formel tilladelse fra serviceudbyderen før installering af supplerende hardware- eller softwarekomponenter, der ikke indgår i standardleveringspakken, på GD TAXUD's CCN-infrastrukturudstyr.</w:t>
            </w:r>
          </w:p>
        </w:tc>
      </w:tr>
      <w:tr>
        <w:tc>
          <w:tcPr>
            <w:tcW w:w="2692" w:type="dxa"/>
            <w:tcBorders>
              <w:top w:val="single" w:sz="4" w:space="0" w:color="auto"/>
              <w:left w:val="single" w:sz="4" w:space="0" w:color="auto"/>
              <w:bottom w:val="single" w:sz="4" w:space="0" w:color="auto"/>
              <w:right w:val="single" w:sz="4" w:space="0" w:color="auto"/>
            </w:tcBorders>
            <w:shd w:val="clear" w:color="auto" w:fill="D9D9D9"/>
          </w:tcPr>
          <w:p>
            <w:pPr>
              <w:pStyle w:val="Text1"/>
              <w:ind w:left="0"/>
              <w:rPr>
                <w:b/>
                <w:noProof/>
              </w:rPr>
            </w:pPr>
            <w:r>
              <w:rPr>
                <w:b/>
                <w:noProof/>
                <w:szCs w:val="24"/>
              </w:rPr>
              <w:t>[OSR</w:t>
            </w:r>
            <w:r>
              <w:rPr>
                <w:rFonts w:eastAsia="Calibri"/>
                <w:b/>
                <w:noProof/>
                <w:szCs w:val="24"/>
              </w:rPr>
              <w:fldChar w:fldCharType="begin"/>
            </w:r>
            <w:r>
              <w:rPr>
                <w:rFonts w:eastAsia="Calibri"/>
                <w:b/>
                <w:noProof/>
                <w:szCs w:val="24"/>
              </w:rPr>
              <w:instrText xml:space="preserve"> SEQ OSC \* ARABIC </w:instrText>
            </w:r>
            <w:r>
              <w:rPr>
                <w:rFonts w:eastAsia="Calibri"/>
                <w:b/>
                <w:noProof/>
                <w:szCs w:val="24"/>
              </w:rPr>
              <w:fldChar w:fldCharType="separate"/>
            </w:r>
            <w:r>
              <w:rPr>
                <w:rFonts w:eastAsia="Calibri"/>
                <w:b/>
                <w:noProof/>
                <w:szCs w:val="24"/>
              </w:rPr>
              <w:t>7</w:t>
            </w:r>
            <w:r>
              <w:rPr>
                <w:rFonts w:eastAsia="Calibri"/>
                <w:b/>
                <w:noProof/>
                <w:szCs w:val="24"/>
              </w:rPr>
              <w:fldChar w:fldCharType="end"/>
            </w:r>
            <w:r>
              <w:rPr>
                <w:b/>
                <w:noProof/>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pStyle w:val="Text1"/>
              <w:ind w:left="0"/>
              <w:rPr>
                <w:rFonts w:eastAsia="Calibri"/>
                <w:noProof/>
                <w:color w:val="000000"/>
                <w:szCs w:val="24"/>
              </w:rPr>
            </w:pPr>
            <w:r>
              <w:rPr>
                <w:noProof/>
              </w:rPr>
              <w:t>Redegøre klart for de formodede/rapporterede hændelser, der indberettes af serviceanmoderen.</w:t>
            </w:r>
          </w:p>
        </w:tc>
      </w:tr>
      <w:tr>
        <w:tc>
          <w:tcPr>
            <w:tcW w:w="2692" w:type="dxa"/>
            <w:tcBorders>
              <w:top w:val="single" w:sz="4" w:space="0" w:color="auto"/>
              <w:left w:val="single" w:sz="4" w:space="0" w:color="auto"/>
              <w:bottom w:val="single" w:sz="4" w:space="0" w:color="auto"/>
              <w:right w:val="single" w:sz="4" w:space="0" w:color="auto"/>
            </w:tcBorders>
            <w:shd w:val="clear" w:color="auto" w:fill="D9D9D9"/>
          </w:tcPr>
          <w:p>
            <w:pPr>
              <w:pStyle w:val="Text1"/>
              <w:ind w:left="0"/>
              <w:rPr>
                <w:b/>
                <w:noProof/>
              </w:rPr>
            </w:pPr>
            <w:r>
              <w:rPr>
                <w:b/>
                <w:noProof/>
                <w:szCs w:val="24"/>
              </w:rPr>
              <w:t>[OSR</w:t>
            </w:r>
            <w:r>
              <w:rPr>
                <w:rFonts w:eastAsia="Calibri"/>
                <w:b/>
                <w:noProof/>
                <w:szCs w:val="24"/>
              </w:rPr>
              <w:fldChar w:fldCharType="begin"/>
            </w:r>
            <w:r>
              <w:rPr>
                <w:rFonts w:eastAsia="Calibri"/>
                <w:b/>
                <w:noProof/>
                <w:szCs w:val="24"/>
              </w:rPr>
              <w:instrText xml:space="preserve"> SEQ OSC \* ARABIC </w:instrText>
            </w:r>
            <w:r>
              <w:rPr>
                <w:rFonts w:eastAsia="Calibri"/>
                <w:b/>
                <w:noProof/>
                <w:szCs w:val="24"/>
              </w:rPr>
              <w:fldChar w:fldCharType="separate"/>
            </w:r>
            <w:r>
              <w:rPr>
                <w:rFonts w:eastAsia="Calibri"/>
                <w:b/>
                <w:noProof/>
                <w:szCs w:val="24"/>
              </w:rPr>
              <w:t>8</w:t>
            </w:r>
            <w:r>
              <w:rPr>
                <w:rFonts w:eastAsia="Calibri"/>
                <w:b/>
                <w:noProof/>
                <w:szCs w:val="24"/>
              </w:rPr>
              <w:fldChar w:fldCharType="end"/>
            </w:r>
            <w:r>
              <w:rPr>
                <w:b/>
                <w:noProof/>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pStyle w:val="Text1"/>
              <w:ind w:left="0"/>
              <w:rPr>
                <w:rFonts w:eastAsia="Calibri"/>
                <w:noProof/>
                <w:color w:val="000000"/>
                <w:szCs w:val="24"/>
              </w:rPr>
            </w:pPr>
            <w:r>
              <w:rPr>
                <w:noProof/>
              </w:rPr>
              <w:t>Samarbejde aktivt med serviceudbyderen og/eller dennes repræsentanter, når det er nødvendigt i forbindelse med levering af ydelser.</w:t>
            </w:r>
          </w:p>
        </w:tc>
      </w:tr>
      <w:tr>
        <w:tc>
          <w:tcPr>
            <w:tcW w:w="8363" w:type="dxa"/>
            <w:gridSpan w:val="2"/>
            <w:tcBorders>
              <w:top w:val="single" w:sz="4" w:space="0" w:color="auto"/>
              <w:left w:val="single" w:sz="4" w:space="0" w:color="auto"/>
              <w:bottom w:val="single" w:sz="4" w:space="0" w:color="auto"/>
              <w:right w:val="single" w:sz="4" w:space="0" w:color="auto"/>
            </w:tcBorders>
            <w:shd w:val="clear" w:color="auto" w:fill="D9D9D9"/>
          </w:tcPr>
          <w:p>
            <w:pPr>
              <w:pStyle w:val="Text1"/>
              <w:ind w:left="0"/>
              <w:jc w:val="center"/>
              <w:rPr>
                <w:rFonts w:eastAsia="Calibri"/>
                <w:b/>
                <w:noProof/>
                <w:szCs w:val="24"/>
              </w:rPr>
            </w:pPr>
            <w:r>
              <w:rPr>
                <w:b/>
                <w:noProof/>
                <w:szCs w:val="24"/>
              </w:rPr>
              <w:t>Kommunikation</w:t>
            </w:r>
          </w:p>
        </w:tc>
      </w:tr>
      <w:tr>
        <w:tc>
          <w:tcPr>
            <w:tcW w:w="2692" w:type="dxa"/>
            <w:tcBorders>
              <w:top w:val="single" w:sz="4" w:space="0" w:color="auto"/>
              <w:left w:val="single" w:sz="4" w:space="0" w:color="auto"/>
              <w:bottom w:val="single" w:sz="4" w:space="0" w:color="auto"/>
              <w:right w:val="single" w:sz="4" w:space="0" w:color="auto"/>
            </w:tcBorders>
            <w:shd w:val="clear" w:color="auto" w:fill="D9D9D9"/>
          </w:tcPr>
          <w:p>
            <w:pPr>
              <w:pStyle w:val="Text1"/>
              <w:ind w:left="0"/>
              <w:rPr>
                <w:rFonts w:eastAsia="Calibri"/>
                <w:b/>
                <w:noProof/>
                <w:szCs w:val="24"/>
              </w:rPr>
            </w:pPr>
            <w:r>
              <w:rPr>
                <w:b/>
                <w:noProof/>
                <w:szCs w:val="24"/>
              </w:rPr>
              <w:t>[OSR</w:t>
            </w:r>
            <w:r>
              <w:rPr>
                <w:rFonts w:eastAsia="Calibri"/>
                <w:b/>
                <w:noProof/>
                <w:szCs w:val="24"/>
              </w:rPr>
              <w:fldChar w:fldCharType="begin"/>
            </w:r>
            <w:r>
              <w:rPr>
                <w:rFonts w:eastAsia="Calibri"/>
                <w:b/>
                <w:noProof/>
                <w:szCs w:val="24"/>
              </w:rPr>
              <w:instrText xml:space="preserve"> SEQ OSC \* ARABIC </w:instrText>
            </w:r>
            <w:r>
              <w:rPr>
                <w:rFonts w:eastAsia="Calibri"/>
                <w:b/>
                <w:noProof/>
                <w:szCs w:val="24"/>
              </w:rPr>
              <w:fldChar w:fldCharType="separate"/>
            </w:r>
            <w:r>
              <w:rPr>
                <w:rFonts w:eastAsia="Calibri"/>
                <w:b/>
                <w:noProof/>
                <w:szCs w:val="24"/>
              </w:rPr>
              <w:t>9</w:t>
            </w:r>
            <w:r>
              <w:rPr>
                <w:rFonts w:eastAsia="Calibri"/>
                <w:b/>
                <w:noProof/>
                <w:szCs w:val="24"/>
              </w:rPr>
              <w:fldChar w:fldCharType="end"/>
            </w:r>
            <w:r>
              <w:rPr>
                <w:b/>
                <w:noProof/>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pStyle w:val="Text1"/>
              <w:ind w:left="0"/>
              <w:rPr>
                <w:rFonts w:eastAsia="Calibri"/>
                <w:noProof/>
                <w:szCs w:val="24"/>
              </w:rPr>
            </w:pPr>
            <w:r>
              <w:rPr>
                <w:noProof/>
              </w:rPr>
              <w:t>Udelukkende anvende kontaktpunkterne hos serviceudbyderen og i egen organisation.</w:t>
            </w:r>
          </w:p>
        </w:tc>
      </w:tr>
      <w:tr>
        <w:tc>
          <w:tcPr>
            <w:tcW w:w="2692" w:type="dxa"/>
            <w:tcBorders>
              <w:top w:val="single" w:sz="4" w:space="0" w:color="auto"/>
              <w:left w:val="single" w:sz="4" w:space="0" w:color="auto"/>
              <w:bottom w:val="single" w:sz="4" w:space="0" w:color="auto"/>
              <w:right w:val="single" w:sz="4" w:space="0" w:color="auto"/>
            </w:tcBorders>
            <w:shd w:val="clear" w:color="auto" w:fill="D9D9D9"/>
          </w:tcPr>
          <w:p>
            <w:pPr>
              <w:pStyle w:val="Text1"/>
              <w:ind w:left="0"/>
              <w:rPr>
                <w:rFonts w:eastAsia="Calibri"/>
                <w:b/>
                <w:noProof/>
                <w:szCs w:val="24"/>
              </w:rPr>
            </w:pPr>
            <w:r>
              <w:rPr>
                <w:b/>
                <w:noProof/>
                <w:szCs w:val="24"/>
              </w:rPr>
              <w:t>[OSR</w:t>
            </w:r>
            <w:r>
              <w:rPr>
                <w:rFonts w:eastAsia="Calibri"/>
                <w:b/>
                <w:noProof/>
                <w:szCs w:val="24"/>
              </w:rPr>
              <w:fldChar w:fldCharType="begin"/>
            </w:r>
            <w:r>
              <w:rPr>
                <w:rFonts w:eastAsia="Calibri"/>
                <w:b/>
                <w:noProof/>
                <w:szCs w:val="24"/>
              </w:rPr>
              <w:instrText xml:space="preserve"> SEQ OSC \* ARABIC </w:instrText>
            </w:r>
            <w:r>
              <w:rPr>
                <w:rFonts w:eastAsia="Calibri"/>
                <w:b/>
                <w:noProof/>
                <w:szCs w:val="24"/>
              </w:rPr>
              <w:fldChar w:fldCharType="separate"/>
            </w:r>
            <w:r>
              <w:rPr>
                <w:rFonts w:eastAsia="Calibri"/>
                <w:b/>
                <w:noProof/>
                <w:szCs w:val="24"/>
              </w:rPr>
              <w:t>10</w:t>
            </w:r>
            <w:r>
              <w:rPr>
                <w:rFonts w:eastAsia="Calibri"/>
                <w:b/>
                <w:noProof/>
                <w:szCs w:val="24"/>
              </w:rPr>
              <w:fldChar w:fldCharType="end"/>
            </w:r>
            <w:r>
              <w:rPr>
                <w:b/>
                <w:noProof/>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pStyle w:val="Text1"/>
              <w:ind w:left="0"/>
              <w:rPr>
                <w:rFonts w:eastAsia="Calibri"/>
                <w:noProof/>
                <w:szCs w:val="24"/>
              </w:rPr>
            </w:pPr>
            <w:r>
              <w:rPr>
                <w:noProof/>
              </w:rPr>
              <w:t>Underrette serviceudbyderen om ethvert fravær af kontaktpunkter i serviceudbyderens åbningstid eller som minimum sikre, at der er personale, som kan afløse kontaktpunkterne.</w:t>
            </w:r>
          </w:p>
        </w:tc>
      </w:tr>
      <w:tr>
        <w:tc>
          <w:tcPr>
            <w:tcW w:w="2692" w:type="dxa"/>
            <w:tcBorders>
              <w:top w:val="single" w:sz="4" w:space="0" w:color="auto"/>
              <w:left w:val="single" w:sz="4" w:space="0" w:color="auto"/>
              <w:bottom w:val="single" w:sz="4" w:space="0" w:color="auto"/>
              <w:right w:val="single" w:sz="4" w:space="0" w:color="auto"/>
            </w:tcBorders>
            <w:shd w:val="clear" w:color="auto" w:fill="D9D9D9"/>
          </w:tcPr>
          <w:p>
            <w:pPr>
              <w:pStyle w:val="Text1"/>
              <w:ind w:left="0"/>
              <w:rPr>
                <w:rFonts w:eastAsia="Calibri"/>
                <w:b/>
                <w:noProof/>
                <w:szCs w:val="24"/>
              </w:rPr>
            </w:pPr>
            <w:r>
              <w:rPr>
                <w:b/>
                <w:noProof/>
                <w:szCs w:val="24"/>
              </w:rPr>
              <w:t>[OSR</w:t>
            </w:r>
            <w:r>
              <w:rPr>
                <w:rFonts w:eastAsia="Calibri"/>
                <w:b/>
                <w:noProof/>
                <w:szCs w:val="24"/>
              </w:rPr>
              <w:fldChar w:fldCharType="begin"/>
            </w:r>
            <w:r>
              <w:rPr>
                <w:rFonts w:eastAsia="Calibri"/>
                <w:b/>
                <w:noProof/>
                <w:szCs w:val="24"/>
              </w:rPr>
              <w:instrText xml:space="preserve"> SEQ OSC \* ARABIC </w:instrText>
            </w:r>
            <w:r>
              <w:rPr>
                <w:rFonts w:eastAsia="Calibri"/>
                <w:b/>
                <w:noProof/>
                <w:szCs w:val="24"/>
              </w:rPr>
              <w:fldChar w:fldCharType="separate"/>
            </w:r>
            <w:r>
              <w:rPr>
                <w:rFonts w:eastAsia="Calibri"/>
                <w:b/>
                <w:noProof/>
                <w:szCs w:val="24"/>
              </w:rPr>
              <w:t>11</w:t>
            </w:r>
            <w:r>
              <w:rPr>
                <w:rFonts w:eastAsia="Calibri"/>
                <w:b/>
                <w:noProof/>
                <w:szCs w:val="24"/>
              </w:rPr>
              <w:fldChar w:fldCharType="end"/>
            </w:r>
            <w:r>
              <w:rPr>
                <w:b/>
                <w:noProof/>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pStyle w:val="Text1"/>
              <w:ind w:left="0"/>
              <w:rPr>
                <w:rFonts w:eastAsia="Calibri"/>
                <w:noProof/>
                <w:szCs w:val="24"/>
              </w:rPr>
            </w:pPr>
            <w:r>
              <w:rPr>
                <w:noProof/>
              </w:rPr>
              <w:t>Underrette serviceudbyderen om enhver ændring af kontaktpunkter senest fem arbejdsdage inden denne ændring træder i kraft.</w:t>
            </w:r>
          </w:p>
        </w:tc>
      </w:tr>
      <w:tr>
        <w:tc>
          <w:tcPr>
            <w:tcW w:w="2692" w:type="dxa"/>
            <w:tcBorders>
              <w:top w:val="single" w:sz="4" w:space="0" w:color="auto"/>
              <w:left w:val="single" w:sz="4" w:space="0" w:color="auto"/>
              <w:bottom w:val="single" w:sz="4" w:space="0" w:color="auto"/>
              <w:right w:val="single" w:sz="4" w:space="0" w:color="auto"/>
            </w:tcBorders>
            <w:shd w:val="clear" w:color="auto" w:fill="D9D9D9"/>
          </w:tcPr>
          <w:p>
            <w:pPr>
              <w:pStyle w:val="Text1"/>
              <w:ind w:left="0"/>
              <w:rPr>
                <w:rFonts w:eastAsia="Calibri"/>
                <w:b/>
                <w:noProof/>
                <w:szCs w:val="24"/>
              </w:rPr>
            </w:pPr>
            <w:r>
              <w:rPr>
                <w:b/>
                <w:noProof/>
                <w:szCs w:val="24"/>
              </w:rPr>
              <w:t>[OSR</w:t>
            </w:r>
            <w:r>
              <w:rPr>
                <w:rFonts w:eastAsia="Calibri"/>
                <w:b/>
                <w:noProof/>
                <w:szCs w:val="24"/>
              </w:rPr>
              <w:fldChar w:fldCharType="begin"/>
            </w:r>
            <w:r>
              <w:rPr>
                <w:rFonts w:eastAsia="Calibri"/>
                <w:b/>
                <w:noProof/>
                <w:szCs w:val="24"/>
              </w:rPr>
              <w:instrText xml:space="preserve"> SEQ OSC \* ARABIC </w:instrText>
            </w:r>
            <w:r>
              <w:rPr>
                <w:rFonts w:eastAsia="Calibri"/>
                <w:b/>
                <w:noProof/>
                <w:szCs w:val="24"/>
              </w:rPr>
              <w:fldChar w:fldCharType="separate"/>
            </w:r>
            <w:r>
              <w:rPr>
                <w:rFonts w:eastAsia="Calibri"/>
                <w:b/>
                <w:noProof/>
                <w:szCs w:val="24"/>
              </w:rPr>
              <w:t>12</w:t>
            </w:r>
            <w:r>
              <w:rPr>
                <w:rFonts w:eastAsia="Calibri"/>
                <w:b/>
                <w:noProof/>
                <w:szCs w:val="24"/>
              </w:rPr>
              <w:fldChar w:fldCharType="end"/>
            </w:r>
            <w:r>
              <w:rPr>
                <w:b/>
                <w:noProof/>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spacing w:before="0" w:after="0"/>
              <w:ind w:right="33"/>
              <w:jc w:val="left"/>
              <w:rPr>
                <w:rFonts w:eastAsia="Calibri"/>
                <w:noProof/>
                <w:szCs w:val="24"/>
              </w:rPr>
            </w:pPr>
            <w:r>
              <w:rPr>
                <w:noProof/>
              </w:rPr>
              <w:t>Underrette serviceudbyderen om planlagt infrastrukturvedligeholdelse, der kan påvirke GD TAXUD's CCN-infrastrukturudstyr installeret i serviceforbrugerens lokaler (mindst en uge i forvejen for alt udstyr).</w:t>
            </w:r>
          </w:p>
          <w:p>
            <w:pPr>
              <w:pStyle w:val="Text1"/>
              <w:ind w:left="0"/>
              <w:rPr>
                <w:rFonts w:eastAsia="Calibri"/>
                <w:noProof/>
                <w:szCs w:val="24"/>
              </w:rPr>
            </w:pPr>
            <w:r>
              <w:rPr>
                <w:noProof/>
              </w:rPr>
              <w:t>Eksempel: planlagte strøm- eller netinfrastrukturafbrydelser, DC-overførsel, IP-adresseændringer osv.</w:t>
            </w:r>
          </w:p>
        </w:tc>
      </w:tr>
      <w:tr>
        <w:tc>
          <w:tcPr>
            <w:tcW w:w="2692" w:type="dxa"/>
            <w:tcBorders>
              <w:top w:val="single" w:sz="4" w:space="0" w:color="auto"/>
              <w:left w:val="single" w:sz="4" w:space="0" w:color="auto"/>
              <w:bottom w:val="single" w:sz="4" w:space="0" w:color="auto"/>
              <w:right w:val="single" w:sz="4" w:space="0" w:color="auto"/>
            </w:tcBorders>
            <w:shd w:val="clear" w:color="auto" w:fill="D9D9D9"/>
          </w:tcPr>
          <w:p>
            <w:pPr>
              <w:pStyle w:val="Text1"/>
              <w:ind w:left="0"/>
              <w:rPr>
                <w:rFonts w:eastAsia="Calibri"/>
                <w:b/>
                <w:noProof/>
                <w:szCs w:val="24"/>
              </w:rPr>
            </w:pPr>
            <w:r>
              <w:rPr>
                <w:b/>
                <w:noProof/>
                <w:szCs w:val="24"/>
              </w:rPr>
              <w:t>[OSR</w:t>
            </w:r>
            <w:r>
              <w:rPr>
                <w:rFonts w:eastAsia="Calibri"/>
                <w:b/>
                <w:noProof/>
                <w:szCs w:val="24"/>
              </w:rPr>
              <w:fldChar w:fldCharType="begin"/>
            </w:r>
            <w:r>
              <w:rPr>
                <w:rFonts w:eastAsia="Calibri"/>
                <w:b/>
                <w:noProof/>
                <w:szCs w:val="24"/>
              </w:rPr>
              <w:instrText xml:space="preserve"> SEQ OSC \* ARABIC </w:instrText>
            </w:r>
            <w:r>
              <w:rPr>
                <w:rFonts w:eastAsia="Calibri"/>
                <w:b/>
                <w:noProof/>
                <w:szCs w:val="24"/>
              </w:rPr>
              <w:fldChar w:fldCharType="separate"/>
            </w:r>
            <w:r>
              <w:rPr>
                <w:rFonts w:eastAsia="Calibri"/>
                <w:b/>
                <w:noProof/>
                <w:szCs w:val="24"/>
              </w:rPr>
              <w:t>13</w:t>
            </w:r>
            <w:r>
              <w:rPr>
                <w:rFonts w:eastAsia="Calibri"/>
                <w:b/>
                <w:noProof/>
                <w:szCs w:val="24"/>
              </w:rPr>
              <w:fldChar w:fldCharType="end"/>
            </w:r>
            <w:r>
              <w:rPr>
                <w:b/>
                <w:noProof/>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pStyle w:val="Text1"/>
              <w:ind w:left="0"/>
              <w:rPr>
                <w:rFonts w:eastAsia="Calibri"/>
                <w:noProof/>
                <w:szCs w:val="24"/>
              </w:rPr>
            </w:pPr>
            <w:r>
              <w:rPr>
                <w:noProof/>
              </w:rPr>
              <w:t>Underrette serviceudbyderen om eventuelle eksterne problemer såsom strømsvigt, der forstyrrer driften af CCN-gateways og -applikationsplatforme.</w:t>
            </w:r>
          </w:p>
        </w:tc>
      </w:tr>
      <w:tr>
        <w:tc>
          <w:tcPr>
            <w:tcW w:w="2692" w:type="dxa"/>
            <w:tcBorders>
              <w:top w:val="single" w:sz="4" w:space="0" w:color="auto"/>
              <w:left w:val="single" w:sz="4" w:space="0" w:color="auto"/>
              <w:bottom w:val="single" w:sz="4" w:space="0" w:color="auto"/>
              <w:right w:val="single" w:sz="4" w:space="0" w:color="auto"/>
            </w:tcBorders>
            <w:shd w:val="clear" w:color="auto" w:fill="D9D9D9"/>
          </w:tcPr>
          <w:p>
            <w:pPr>
              <w:pStyle w:val="Text1"/>
              <w:ind w:left="0"/>
              <w:rPr>
                <w:rFonts w:eastAsia="Calibri"/>
                <w:b/>
                <w:noProof/>
                <w:szCs w:val="24"/>
              </w:rPr>
            </w:pPr>
            <w:r>
              <w:rPr>
                <w:b/>
                <w:noProof/>
                <w:szCs w:val="24"/>
              </w:rPr>
              <w:t>[OSR</w:t>
            </w:r>
            <w:r>
              <w:rPr>
                <w:rFonts w:eastAsia="Calibri"/>
                <w:b/>
                <w:noProof/>
                <w:szCs w:val="24"/>
              </w:rPr>
              <w:fldChar w:fldCharType="begin"/>
            </w:r>
            <w:r>
              <w:rPr>
                <w:rFonts w:eastAsia="Calibri"/>
                <w:b/>
                <w:noProof/>
                <w:szCs w:val="24"/>
              </w:rPr>
              <w:instrText xml:space="preserve"> SEQ OSC \* ARABIC </w:instrText>
            </w:r>
            <w:r>
              <w:rPr>
                <w:rFonts w:eastAsia="Calibri"/>
                <w:b/>
                <w:noProof/>
                <w:szCs w:val="24"/>
              </w:rPr>
              <w:fldChar w:fldCharType="separate"/>
            </w:r>
            <w:r>
              <w:rPr>
                <w:rFonts w:eastAsia="Calibri"/>
                <w:b/>
                <w:noProof/>
                <w:szCs w:val="24"/>
              </w:rPr>
              <w:t>14</w:t>
            </w:r>
            <w:r>
              <w:rPr>
                <w:rFonts w:eastAsia="Calibri"/>
                <w:b/>
                <w:noProof/>
                <w:szCs w:val="24"/>
              </w:rPr>
              <w:fldChar w:fldCharType="end"/>
            </w:r>
            <w:r>
              <w:rPr>
                <w:b/>
                <w:noProof/>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pStyle w:val="Text1"/>
              <w:ind w:left="0"/>
              <w:rPr>
                <w:rFonts w:eastAsia="Calibri"/>
                <w:noProof/>
                <w:szCs w:val="24"/>
              </w:rPr>
            </w:pPr>
            <w:r>
              <w:rPr>
                <w:noProof/>
              </w:rPr>
              <w:t xml:space="preserve">Underrette serviceudbyderen gennem en formel anmodning mindst seks måneder i forvejen om enhver flytning af GD TAXUD's CCN-infrastrukturudstyr. Serviceanmoderen afholder omkostningerne forbundet med flytningen af operationer. Se </w:t>
            </w:r>
            <w:hyperlink r:id="rId29" w:history="1">
              <w:r>
                <w:rPr>
                  <w:noProof/>
                  <w:color w:val="0000FF"/>
                  <w:szCs w:val="24"/>
                  <w:u w:val="single"/>
                </w:rPr>
                <w:t>RD6</w:t>
              </w:r>
            </w:hyperlink>
            <w:r>
              <w:rPr>
                <w:noProof/>
              </w:rPr>
              <w:t xml:space="preserve"> for yderlige </w:t>
            </w:r>
            <w:r>
              <w:rPr>
                <w:noProof/>
              </w:rPr>
              <w:lastRenderedPageBreak/>
              <w:t>oplysninger om proceduren.</w:t>
            </w:r>
          </w:p>
        </w:tc>
      </w:tr>
      <w:tr>
        <w:tc>
          <w:tcPr>
            <w:tcW w:w="2692" w:type="dxa"/>
            <w:tcBorders>
              <w:top w:val="single" w:sz="4" w:space="0" w:color="auto"/>
              <w:left w:val="single" w:sz="4" w:space="0" w:color="auto"/>
              <w:bottom w:val="single" w:sz="4" w:space="0" w:color="auto"/>
              <w:right w:val="single" w:sz="4" w:space="0" w:color="auto"/>
            </w:tcBorders>
            <w:shd w:val="clear" w:color="auto" w:fill="D9D9D9"/>
          </w:tcPr>
          <w:p>
            <w:pPr>
              <w:pStyle w:val="Text1"/>
              <w:ind w:left="0"/>
              <w:rPr>
                <w:rFonts w:eastAsia="Calibri"/>
                <w:b/>
                <w:noProof/>
                <w:szCs w:val="24"/>
              </w:rPr>
            </w:pPr>
            <w:r>
              <w:rPr>
                <w:b/>
                <w:noProof/>
                <w:szCs w:val="24"/>
              </w:rPr>
              <w:lastRenderedPageBreak/>
              <w:t>[OSR</w:t>
            </w:r>
            <w:r>
              <w:rPr>
                <w:rFonts w:eastAsia="Calibri"/>
                <w:b/>
                <w:noProof/>
                <w:szCs w:val="24"/>
              </w:rPr>
              <w:fldChar w:fldCharType="begin"/>
            </w:r>
            <w:r>
              <w:rPr>
                <w:rFonts w:eastAsia="Calibri"/>
                <w:b/>
                <w:noProof/>
                <w:szCs w:val="24"/>
              </w:rPr>
              <w:instrText xml:space="preserve"> SEQ OSC \* ARABIC </w:instrText>
            </w:r>
            <w:r>
              <w:rPr>
                <w:rFonts w:eastAsia="Calibri"/>
                <w:b/>
                <w:noProof/>
                <w:szCs w:val="24"/>
              </w:rPr>
              <w:fldChar w:fldCharType="separate"/>
            </w:r>
            <w:r>
              <w:rPr>
                <w:rFonts w:eastAsia="Calibri"/>
                <w:b/>
                <w:noProof/>
                <w:szCs w:val="24"/>
              </w:rPr>
              <w:t>15</w:t>
            </w:r>
            <w:r>
              <w:rPr>
                <w:rFonts w:eastAsia="Calibri"/>
                <w:b/>
                <w:noProof/>
                <w:szCs w:val="24"/>
              </w:rPr>
              <w:fldChar w:fldCharType="end"/>
            </w:r>
            <w:r>
              <w:rPr>
                <w:b/>
                <w:noProof/>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pStyle w:val="Text1"/>
              <w:ind w:left="0"/>
              <w:rPr>
                <w:rFonts w:eastAsia="Calibri"/>
                <w:noProof/>
                <w:szCs w:val="24"/>
              </w:rPr>
            </w:pPr>
            <w:r>
              <w:rPr>
                <w:noProof/>
              </w:rPr>
              <w:t>Underrette serviceudbyderen om enhver afbrydelse af de sikrede forbindelser mellem GD TAXUD's CCN-infrastruktur og serviceanmoderen (national myndighed eller GD).</w:t>
            </w:r>
          </w:p>
        </w:tc>
      </w:tr>
      <w:tr>
        <w:tc>
          <w:tcPr>
            <w:tcW w:w="2692" w:type="dxa"/>
            <w:tcBorders>
              <w:top w:val="single" w:sz="4" w:space="0" w:color="auto"/>
              <w:left w:val="single" w:sz="4" w:space="0" w:color="auto"/>
              <w:bottom w:val="single" w:sz="4" w:space="0" w:color="auto"/>
              <w:right w:val="single" w:sz="4" w:space="0" w:color="auto"/>
            </w:tcBorders>
            <w:shd w:val="clear" w:color="auto" w:fill="D9D9D9"/>
          </w:tcPr>
          <w:p>
            <w:pPr>
              <w:pStyle w:val="Text1"/>
              <w:ind w:left="0"/>
              <w:rPr>
                <w:rFonts w:eastAsia="Calibri"/>
                <w:b/>
                <w:noProof/>
                <w:szCs w:val="24"/>
              </w:rPr>
            </w:pPr>
            <w:r>
              <w:rPr>
                <w:b/>
                <w:noProof/>
                <w:szCs w:val="24"/>
              </w:rPr>
              <w:t>[OSR</w:t>
            </w:r>
            <w:r>
              <w:rPr>
                <w:rFonts w:eastAsia="Calibri"/>
                <w:b/>
                <w:noProof/>
                <w:szCs w:val="24"/>
              </w:rPr>
              <w:fldChar w:fldCharType="begin"/>
            </w:r>
            <w:r>
              <w:rPr>
                <w:rFonts w:eastAsia="Calibri"/>
                <w:b/>
                <w:noProof/>
                <w:szCs w:val="24"/>
              </w:rPr>
              <w:instrText xml:space="preserve"> SEQ OSC \* ARABIC </w:instrText>
            </w:r>
            <w:r>
              <w:rPr>
                <w:rFonts w:eastAsia="Calibri"/>
                <w:b/>
                <w:noProof/>
                <w:szCs w:val="24"/>
              </w:rPr>
              <w:fldChar w:fldCharType="separate"/>
            </w:r>
            <w:r>
              <w:rPr>
                <w:rFonts w:eastAsia="Calibri"/>
                <w:b/>
                <w:noProof/>
                <w:szCs w:val="24"/>
              </w:rPr>
              <w:t>16</w:t>
            </w:r>
            <w:r>
              <w:rPr>
                <w:rFonts w:eastAsia="Calibri"/>
                <w:b/>
                <w:noProof/>
                <w:szCs w:val="24"/>
              </w:rPr>
              <w:fldChar w:fldCharType="end"/>
            </w:r>
            <w:r>
              <w:rPr>
                <w:b/>
                <w:noProof/>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pStyle w:val="Text1"/>
              <w:ind w:left="0"/>
              <w:rPr>
                <w:rFonts w:eastAsia="Calibri"/>
                <w:noProof/>
                <w:szCs w:val="24"/>
              </w:rPr>
            </w:pPr>
            <w:r>
              <w:rPr>
                <w:noProof/>
              </w:rPr>
              <w:t>Underrette tjenesteyderen om enhver afbrydelse af applikationsplatformene.</w:t>
            </w:r>
          </w:p>
        </w:tc>
      </w:tr>
      <w:tr>
        <w:tc>
          <w:tcPr>
            <w:tcW w:w="2692" w:type="dxa"/>
            <w:tcBorders>
              <w:top w:val="single" w:sz="4" w:space="0" w:color="auto"/>
              <w:left w:val="single" w:sz="4" w:space="0" w:color="auto"/>
              <w:bottom w:val="single" w:sz="4" w:space="0" w:color="auto"/>
              <w:right w:val="single" w:sz="4" w:space="0" w:color="auto"/>
            </w:tcBorders>
            <w:shd w:val="clear" w:color="auto" w:fill="D9D9D9"/>
          </w:tcPr>
          <w:p>
            <w:pPr>
              <w:pStyle w:val="Text1"/>
              <w:ind w:left="0"/>
              <w:rPr>
                <w:rFonts w:eastAsia="Calibri"/>
                <w:b/>
                <w:noProof/>
                <w:szCs w:val="24"/>
              </w:rPr>
            </w:pPr>
            <w:r>
              <w:rPr>
                <w:b/>
                <w:noProof/>
                <w:szCs w:val="24"/>
              </w:rPr>
              <w:t>[OSR28]</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pStyle w:val="Text1"/>
              <w:ind w:left="0"/>
              <w:rPr>
                <w:rFonts w:eastAsia="Calibri"/>
                <w:noProof/>
                <w:szCs w:val="24"/>
              </w:rPr>
            </w:pPr>
            <w:r>
              <w:rPr>
                <w:noProof/>
              </w:rPr>
              <w:t>Serviceanmoderen anmodes om at meddele eventuelle planlagte lokale strømafbrydelser i datacentre og datarum (herunder WAN) 1 (en) arbejdsuge i forvejen, således at GD TAXUD har mulighed for at etablere den nødvendige kommunikation med alle andre involverede interessenter.</w:t>
            </w:r>
          </w:p>
        </w:tc>
      </w:tr>
      <w:tr>
        <w:tc>
          <w:tcPr>
            <w:tcW w:w="8363" w:type="dxa"/>
            <w:gridSpan w:val="2"/>
            <w:tcBorders>
              <w:top w:val="single" w:sz="4" w:space="0" w:color="auto"/>
              <w:left w:val="single" w:sz="4" w:space="0" w:color="auto"/>
              <w:bottom w:val="single" w:sz="4" w:space="0" w:color="auto"/>
              <w:right w:val="single" w:sz="4" w:space="0" w:color="auto"/>
            </w:tcBorders>
            <w:shd w:val="clear" w:color="auto" w:fill="D9D9D9"/>
          </w:tcPr>
          <w:p>
            <w:pPr>
              <w:pStyle w:val="Text1"/>
              <w:ind w:left="0"/>
              <w:jc w:val="center"/>
              <w:rPr>
                <w:rFonts w:eastAsia="Calibri"/>
                <w:b/>
                <w:noProof/>
                <w:szCs w:val="24"/>
              </w:rPr>
            </w:pPr>
            <w:r>
              <w:rPr>
                <w:b/>
                <w:noProof/>
                <w:szCs w:val="24"/>
              </w:rPr>
              <w:t>Sikkerhed og brugerstyring</w:t>
            </w:r>
          </w:p>
        </w:tc>
      </w:tr>
      <w:tr>
        <w:tc>
          <w:tcPr>
            <w:tcW w:w="2692" w:type="dxa"/>
            <w:tcBorders>
              <w:top w:val="single" w:sz="4" w:space="0" w:color="auto"/>
              <w:left w:val="single" w:sz="4" w:space="0" w:color="auto"/>
              <w:bottom w:val="single" w:sz="4" w:space="0" w:color="auto"/>
              <w:right w:val="single" w:sz="4" w:space="0" w:color="auto"/>
            </w:tcBorders>
            <w:shd w:val="clear" w:color="auto" w:fill="D9D9D9"/>
          </w:tcPr>
          <w:p>
            <w:pPr>
              <w:pStyle w:val="Text1"/>
              <w:ind w:left="0"/>
              <w:rPr>
                <w:rFonts w:eastAsia="Calibri"/>
                <w:b/>
                <w:noProof/>
                <w:szCs w:val="24"/>
              </w:rPr>
            </w:pPr>
            <w:r>
              <w:rPr>
                <w:b/>
                <w:noProof/>
                <w:szCs w:val="24"/>
              </w:rPr>
              <w:t>[OSR</w:t>
            </w:r>
            <w:r>
              <w:rPr>
                <w:rFonts w:eastAsia="Calibri"/>
                <w:b/>
                <w:noProof/>
                <w:szCs w:val="24"/>
              </w:rPr>
              <w:fldChar w:fldCharType="begin"/>
            </w:r>
            <w:r>
              <w:rPr>
                <w:rFonts w:eastAsia="Calibri"/>
                <w:b/>
                <w:noProof/>
                <w:szCs w:val="24"/>
              </w:rPr>
              <w:instrText xml:space="preserve"> SEQ OSC \* ARABIC </w:instrText>
            </w:r>
            <w:r>
              <w:rPr>
                <w:rFonts w:eastAsia="Calibri"/>
                <w:b/>
                <w:noProof/>
                <w:szCs w:val="24"/>
              </w:rPr>
              <w:fldChar w:fldCharType="separate"/>
            </w:r>
            <w:r>
              <w:rPr>
                <w:rFonts w:eastAsia="Calibri"/>
                <w:b/>
                <w:noProof/>
                <w:szCs w:val="24"/>
              </w:rPr>
              <w:t>17</w:t>
            </w:r>
            <w:r>
              <w:rPr>
                <w:rFonts w:eastAsia="Calibri"/>
                <w:b/>
                <w:noProof/>
                <w:szCs w:val="24"/>
              </w:rPr>
              <w:fldChar w:fldCharType="end"/>
            </w:r>
            <w:r>
              <w:rPr>
                <w:b/>
                <w:noProof/>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pStyle w:val="Text1"/>
              <w:ind w:left="0"/>
              <w:rPr>
                <w:rFonts w:eastAsia="Calibri"/>
                <w:noProof/>
                <w:szCs w:val="24"/>
              </w:rPr>
            </w:pPr>
            <w:r>
              <w:rPr>
                <w:noProof/>
              </w:rPr>
              <w:t xml:space="preserve">Styre de lokale brugerkonti på CCN-gateway (jf. </w:t>
            </w:r>
            <w:hyperlink w:anchor="RD2" w:history="1">
              <w:r>
                <w:rPr>
                  <w:noProof/>
                  <w:color w:val="0000FF"/>
                  <w:szCs w:val="24"/>
                </w:rPr>
                <w:t>RD2</w:t>
              </w:r>
            </w:hyperlink>
            <w:r>
              <w:rPr>
                <w:noProof/>
              </w:rPr>
              <w:t>).</w:t>
            </w:r>
          </w:p>
        </w:tc>
      </w:tr>
      <w:tr>
        <w:tc>
          <w:tcPr>
            <w:tcW w:w="2692" w:type="dxa"/>
            <w:tcBorders>
              <w:top w:val="single" w:sz="4" w:space="0" w:color="auto"/>
              <w:left w:val="single" w:sz="4" w:space="0" w:color="auto"/>
              <w:bottom w:val="single" w:sz="4" w:space="0" w:color="auto"/>
              <w:right w:val="single" w:sz="4" w:space="0" w:color="auto"/>
            </w:tcBorders>
            <w:shd w:val="clear" w:color="auto" w:fill="D9D9D9"/>
          </w:tcPr>
          <w:p>
            <w:pPr>
              <w:pStyle w:val="Text1"/>
              <w:ind w:left="0"/>
              <w:rPr>
                <w:rFonts w:eastAsia="Calibri"/>
                <w:b/>
                <w:noProof/>
                <w:szCs w:val="24"/>
              </w:rPr>
            </w:pPr>
            <w:r>
              <w:rPr>
                <w:b/>
                <w:noProof/>
                <w:szCs w:val="24"/>
              </w:rPr>
              <w:t>[OSR</w:t>
            </w:r>
            <w:r>
              <w:rPr>
                <w:rFonts w:eastAsia="Calibri"/>
                <w:b/>
                <w:noProof/>
                <w:szCs w:val="24"/>
              </w:rPr>
              <w:fldChar w:fldCharType="begin"/>
            </w:r>
            <w:r>
              <w:rPr>
                <w:rFonts w:eastAsia="Calibri"/>
                <w:b/>
                <w:noProof/>
                <w:szCs w:val="24"/>
              </w:rPr>
              <w:instrText xml:space="preserve"> SEQ OSC \* ARABIC </w:instrText>
            </w:r>
            <w:r>
              <w:rPr>
                <w:rFonts w:eastAsia="Calibri"/>
                <w:b/>
                <w:noProof/>
                <w:szCs w:val="24"/>
              </w:rPr>
              <w:fldChar w:fldCharType="separate"/>
            </w:r>
            <w:r>
              <w:rPr>
                <w:rFonts w:eastAsia="Calibri"/>
                <w:b/>
                <w:noProof/>
                <w:szCs w:val="24"/>
              </w:rPr>
              <w:t>18</w:t>
            </w:r>
            <w:r>
              <w:rPr>
                <w:rFonts w:eastAsia="Calibri"/>
                <w:b/>
                <w:noProof/>
                <w:szCs w:val="24"/>
              </w:rPr>
              <w:fldChar w:fldCharType="end"/>
            </w:r>
            <w:r>
              <w:rPr>
                <w:b/>
                <w:noProof/>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pStyle w:val="Text1"/>
              <w:ind w:left="0"/>
              <w:rPr>
                <w:rFonts w:eastAsia="Calibri"/>
                <w:noProof/>
                <w:szCs w:val="24"/>
              </w:rPr>
            </w:pPr>
            <w:r>
              <w:rPr>
                <w:noProof/>
              </w:rPr>
              <w:t>Give fysisk adgang til udstyr og personale inden for rammerne af serviceudbyderens bemyndigelse, når det er påkrævet.</w:t>
            </w:r>
          </w:p>
        </w:tc>
      </w:tr>
      <w:tr>
        <w:tc>
          <w:tcPr>
            <w:tcW w:w="2692" w:type="dxa"/>
            <w:tcBorders>
              <w:top w:val="single" w:sz="4" w:space="0" w:color="auto"/>
              <w:left w:val="single" w:sz="4" w:space="0" w:color="auto"/>
              <w:bottom w:val="single" w:sz="4" w:space="0" w:color="auto"/>
              <w:right w:val="single" w:sz="4" w:space="0" w:color="auto"/>
            </w:tcBorders>
            <w:shd w:val="clear" w:color="auto" w:fill="D9D9D9"/>
          </w:tcPr>
          <w:p>
            <w:pPr>
              <w:pStyle w:val="Text1"/>
              <w:ind w:left="0"/>
              <w:rPr>
                <w:rFonts w:eastAsia="Calibri"/>
                <w:b/>
                <w:noProof/>
                <w:szCs w:val="24"/>
              </w:rPr>
            </w:pPr>
            <w:r>
              <w:rPr>
                <w:b/>
                <w:noProof/>
                <w:szCs w:val="24"/>
              </w:rPr>
              <w:t>[OSR</w:t>
            </w:r>
            <w:r>
              <w:rPr>
                <w:rFonts w:eastAsia="Calibri"/>
                <w:b/>
                <w:noProof/>
                <w:szCs w:val="24"/>
              </w:rPr>
              <w:fldChar w:fldCharType="begin"/>
            </w:r>
            <w:r>
              <w:rPr>
                <w:rFonts w:eastAsia="Calibri"/>
                <w:b/>
                <w:noProof/>
                <w:szCs w:val="24"/>
              </w:rPr>
              <w:instrText xml:space="preserve"> SEQ OSC \* ARABIC </w:instrText>
            </w:r>
            <w:r>
              <w:rPr>
                <w:rFonts w:eastAsia="Calibri"/>
                <w:b/>
                <w:noProof/>
                <w:szCs w:val="24"/>
              </w:rPr>
              <w:fldChar w:fldCharType="separate"/>
            </w:r>
            <w:r>
              <w:rPr>
                <w:rFonts w:eastAsia="Calibri"/>
                <w:b/>
                <w:noProof/>
                <w:szCs w:val="24"/>
              </w:rPr>
              <w:t>19</w:t>
            </w:r>
            <w:r>
              <w:rPr>
                <w:rFonts w:eastAsia="Calibri"/>
                <w:b/>
                <w:noProof/>
                <w:szCs w:val="24"/>
              </w:rPr>
              <w:fldChar w:fldCharType="end"/>
            </w:r>
            <w:r>
              <w:rPr>
                <w:b/>
                <w:noProof/>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pStyle w:val="Text1"/>
              <w:ind w:left="0"/>
              <w:rPr>
                <w:rFonts w:eastAsia="Calibri"/>
                <w:noProof/>
                <w:szCs w:val="24"/>
              </w:rPr>
            </w:pPr>
            <w:r>
              <w:rPr>
                <w:noProof/>
              </w:rPr>
              <w:t xml:space="preserve">Tillade passende TCP-porte i serviceudbyderens netværk (nationalt domæne) (jf. </w:t>
            </w:r>
            <w:hyperlink w:anchor="RD2" w:history="1">
              <w:r>
                <w:rPr>
                  <w:noProof/>
                  <w:color w:val="0000FF"/>
                  <w:szCs w:val="24"/>
                </w:rPr>
                <w:t>RD2</w:t>
              </w:r>
            </w:hyperlink>
            <w:r>
              <w:rPr>
                <w:noProof/>
              </w:rPr>
              <w:t>).</w:t>
            </w:r>
          </w:p>
        </w:tc>
      </w:tr>
      <w:tr>
        <w:tc>
          <w:tcPr>
            <w:tcW w:w="2692" w:type="dxa"/>
            <w:tcBorders>
              <w:top w:val="single" w:sz="4" w:space="0" w:color="auto"/>
              <w:left w:val="single" w:sz="4" w:space="0" w:color="auto"/>
              <w:bottom w:val="single" w:sz="4" w:space="0" w:color="auto"/>
              <w:right w:val="single" w:sz="4" w:space="0" w:color="auto"/>
            </w:tcBorders>
            <w:shd w:val="clear" w:color="auto" w:fill="D9D9D9"/>
          </w:tcPr>
          <w:p>
            <w:pPr>
              <w:pStyle w:val="Text1"/>
              <w:ind w:left="0"/>
              <w:rPr>
                <w:rFonts w:eastAsia="Calibri"/>
                <w:b/>
                <w:noProof/>
                <w:szCs w:val="24"/>
              </w:rPr>
            </w:pPr>
            <w:r>
              <w:rPr>
                <w:b/>
                <w:noProof/>
                <w:szCs w:val="24"/>
              </w:rPr>
              <w:t>[OSR</w:t>
            </w:r>
            <w:r>
              <w:rPr>
                <w:rFonts w:eastAsia="Calibri"/>
                <w:b/>
                <w:noProof/>
                <w:szCs w:val="24"/>
              </w:rPr>
              <w:fldChar w:fldCharType="begin"/>
            </w:r>
            <w:r>
              <w:rPr>
                <w:rFonts w:eastAsia="Calibri"/>
                <w:b/>
                <w:noProof/>
                <w:szCs w:val="24"/>
              </w:rPr>
              <w:instrText xml:space="preserve"> SEQ OSC \* ARABIC </w:instrText>
            </w:r>
            <w:r>
              <w:rPr>
                <w:rFonts w:eastAsia="Calibri"/>
                <w:b/>
                <w:noProof/>
                <w:szCs w:val="24"/>
              </w:rPr>
              <w:fldChar w:fldCharType="separate"/>
            </w:r>
            <w:r>
              <w:rPr>
                <w:rFonts w:eastAsia="Calibri"/>
                <w:b/>
                <w:noProof/>
                <w:szCs w:val="24"/>
              </w:rPr>
              <w:t>20</w:t>
            </w:r>
            <w:r>
              <w:rPr>
                <w:rFonts w:eastAsia="Calibri"/>
                <w:b/>
                <w:noProof/>
                <w:szCs w:val="24"/>
              </w:rPr>
              <w:fldChar w:fldCharType="end"/>
            </w:r>
            <w:r>
              <w:rPr>
                <w:b/>
                <w:noProof/>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pStyle w:val="Text1"/>
              <w:ind w:left="0"/>
              <w:rPr>
                <w:rFonts w:eastAsia="Calibri"/>
                <w:noProof/>
                <w:szCs w:val="24"/>
              </w:rPr>
            </w:pPr>
            <w:r>
              <w:rPr>
                <w:noProof/>
              </w:rPr>
              <w:t>Sikre, at netværkskrypteringsudstyret (i øjeblikket Juniper SSG) på serviceanmoderens site er installeret i et adgangskontrolleret område.</w:t>
            </w:r>
          </w:p>
        </w:tc>
      </w:tr>
      <w:tr>
        <w:tc>
          <w:tcPr>
            <w:tcW w:w="2692" w:type="dxa"/>
            <w:tcBorders>
              <w:top w:val="single" w:sz="4" w:space="0" w:color="auto"/>
              <w:left w:val="single" w:sz="4" w:space="0" w:color="auto"/>
              <w:bottom w:val="single" w:sz="4" w:space="0" w:color="auto"/>
              <w:right w:val="single" w:sz="4" w:space="0" w:color="auto"/>
            </w:tcBorders>
            <w:shd w:val="clear" w:color="auto" w:fill="D9D9D9"/>
          </w:tcPr>
          <w:p>
            <w:pPr>
              <w:pStyle w:val="Text1"/>
              <w:ind w:left="0"/>
              <w:rPr>
                <w:rFonts w:eastAsia="Calibri"/>
                <w:b/>
                <w:noProof/>
                <w:szCs w:val="24"/>
              </w:rPr>
            </w:pPr>
            <w:r>
              <w:rPr>
                <w:b/>
                <w:noProof/>
                <w:szCs w:val="24"/>
              </w:rPr>
              <w:t>[OSR</w:t>
            </w:r>
            <w:r>
              <w:rPr>
                <w:rFonts w:eastAsia="Calibri"/>
                <w:b/>
                <w:noProof/>
                <w:szCs w:val="24"/>
              </w:rPr>
              <w:fldChar w:fldCharType="begin"/>
            </w:r>
            <w:r>
              <w:rPr>
                <w:rFonts w:eastAsia="Calibri"/>
                <w:b/>
                <w:noProof/>
                <w:szCs w:val="24"/>
              </w:rPr>
              <w:instrText xml:space="preserve"> SEQ OSC \* ARABIC </w:instrText>
            </w:r>
            <w:r>
              <w:rPr>
                <w:rFonts w:eastAsia="Calibri"/>
                <w:b/>
                <w:noProof/>
                <w:szCs w:val="24"/>
              </w:rPr>
              <w:fldChar w:fldCharType="separate"/>
            </w:r>
            <w:r>
              <w:rPr>
                <w:rFonts w:eastAsia="Calibri"/>
                <w:b/>
                <w:noProof/>
                <w:szCs w:val="24"/>
              </w:rPr>
              <w:t>21</w:t>
            </w:r>
            <w:r>
              <w:rPr>
                <w:rFonts w:eastAsia="Calibri"/>
                <w:b/>
                <w:noProof/>
                <w:szCs w:val="24"/>
              </w:rPr>
              <w:fldChar w:fldCharType="end"/>
            </w:r>
            <w:r>
              <w:rPr>
                <w:b/>
                <w:noProof/>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pStyle w:val="Text1"/>
              <w:ind w:left="0"/>
              <w:rPr>
                <w:rFonts w:eastAsia="Calibri"/>
                <w:noProof/>
                <w:szCs w:val="24"/>
              </w:rPr>
            </w:pPr>
            <w:r>
              <w:rPr>
                <w:noProof/>
              </w:rPr>
              <w:t>Begrænse adgangen til alt udstyr i GD TAXUD's CCN-infrastruktur til autoriseret personale. Der gives kun adgang efter anmodning fra CSA. Uønsket adgang til dette udstyr kan bringe sikkerheden i fare eller som minimum forårsage netudfald.</w:t>
            </w:r>
          </w:p>
        </w:tc>
      </w:tr>
      <w:tr>
        <w:tc>
          <w:tcPr>
            <w:tcW w:w="2692" w:type="dxa"/>
            <w:tcBorders>
              <w:top w:val="single" w:sz="4" w:space="0" w:color="auto"/>
              <w:left w:val="single" w:sz="4" w:space="0" w:color="auto"/>
              <w:bottom w:val="single" w:sz="4" w:space="0" w:color="auto"/>
              <w:right w:val="single" w:sz="4" w:space="0" w:color="auto"/>
            </w:tcBorders>
            <w:shd w:val="clear" w:color="auto" w:fill="D9D9D9"/>
          </w:tcPr>
          <w:p>
            <w:pPr>
              <w:pStyle w:val="Text1"/>
              <w:ind w:left="0"/>
              <w:rPr>
                <w:rFonts w:eastAsia="Calibri"/>
                <w:b/>
                <w:noProof/>
                <w:szCs w:val="24"/>
              </w:rPr>
            </w:pPr>
            <w:r>
              <w:rPr>
                <w:b/>
                <w:noProof/>
                <w:szCs w:val="24"/>
              </w:rPr>
              <w:t>[OSR</w:t>
            </w:r>
            <w:r>
              <w:rPr>
                <w:rFonts w:eastAsia="Calibri"/>
                <w:b/>
                <w:noProof/>
                <w:szCs w:val="24"/>
              </w:rPr>
              <w:fldChar w:fldCharType="begin"/>
            </w:r>
            <w:r>
              <w:rPr>
                <w:rFonts w:eastAsia="Calibri"/>
                <w:b/>
                <w:noProof/>
                <w:szCs w:val="24"/>
              </w:rPr>
              <w:instrText xml:space="preserve"> SEQ OSC \* ARABIC </w:instrText>
            </w:r>
            <w:r>
              <w:rPr>
                <w:rFonts w:eastAsia="Calibri"/>
                <w:b/>
                <w:noProof/>
                <w:szCs w:val="24"/>
              </w:rPr>
              <w:fldChar w:fldCharType="separate"/>
            </w:r>
            <w:r>
              <w:rPr>
                <w:rFonts w:eastAsia="Calibri"/>
                <w:b/>
                <w:noProof/>
                <w:szCs w:val="24"/>
              </w:rPr>
              <w:t>22</w:t>
            </w:r>
            <w:r>
              <w:rPr>
                <w:rFonts w:eastAsia="Calibri"/>
                <w:b/>
                <w:noProof/>
                <w:szCs w:val="24"/>
              </w:rPr>
              <w:fldChar w:fldCharType="end"/>
            </w:r>
            <w:r>
              <w:rPr>
                <w:b/>
                <w:noProof/>
                <w:szCs w:val="24"/>
              </w:rPr>
              <w:t>]</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spacing w:before="0" w:after="0"/>
              <w:ind w:right="33"/>
              <w:jc w:val="left"/>
              <w:rPr>
                <w:rFonts w:eastAsia="Calibri"/>
                <w:noProof/>
                <w:szCs w:val="24"/>
              </w:rPr>
            </w:pPr>
            <w:r>
              <w:rPr>
                <w:noProof/>
              </w:rPr>
              <w:t>Overholde reglerne og henstillingerne i "sikkerhedsdokumenterne":</w:t>
            </w:r>
          </w:p>
          <w:p>
            <w:pPr>
              <w:numPr>
                <w:ilvl w:val="0"/>
                <w:numId w:val="18"/>
              </w:numPr>
              <w:spacing w:before="0" w:after="0"/>
              <w:ind w:right="33"/>
              <w:contextualSpacing/>
              <w:jc w:val="left"/>
              <w:rPr>
                <w:rFonts w:eastAsia="Calibri"/>
                <w:noProof/>
                <w:szCs w:val="24"/>
              </w:rPr>
            </w:pPr>
            <w:r>
              <w:rPr>
                <w:noProof/>
              </w:rPr>
              <w:t xml:space="preserve">CCN/CSI General Security Policy </w:t>
            </w:r>
            <w:hyperlink r:id="rId30" w:history="1">
              <w:r>
                <w:rPr>
                  <w:noProof/>
                  <w:color w:val="0000FF"/>
                  <w:szCs w:val="24"/>
                  <w:u w:val="single"/>
                </w:rPr>
                <w:t>RD5</w:t>
              </w:r>
            </w:hyperlink>
          </w:p>
          <w:p>
            <w:pPr>
              <w:pStyle w:val="Text1"/>
              <w:numPr>
                <w:ilvl w:val="0"/>
                <w:numId w:val="38"/>
              </w:numPr>
              <w:rPr>
                <w:rFonts w:eastAsia="Calibri"/>
                <w:noProof/>
                <w:szCs w:val="24"/>
              </w:rPr>
            </w:pPr>
            <w:r>
              <w:rPr>
                <w:noProof/>
              </w:rPr>
              <w:t xml:space="preserve">CCN/CSI Baseline Security Checklist </w:t>
            </w:r>
            <w:hyperlink r:id="rId31" w:history="1">
              <w:r>
                <w:rPr>
                  <w:rStyle w:val="Hyperlink"/>
                  <w:noProof/>
                </w:rPr>
                <w:t>RD6</w:t>
              </w:r>
            </w:hyperlink>
            <w:r>
              <w:rPr>
                <w:noProof/>
              </w:rPr>
              <w:t>.</w:t>
            </w:r>
          </w:p>
        </w:tc>
      </w:tr>
      <w:tr>
        <w:tc>
          <w:tcPr>
            <w:tcW w:w="8363" w:type="dxa"/>
            <w:gridSpan w:val="2"/>
            <w:tcBorders>
              <w:top w:val="single" w:sz="4" w:space="0" w:color="auto"/>
              <w:left w:val="single" w:sz="4" w:space="0" w:color="auto"/>
              <w:bottom w:val="single" w:sz="4" w:space="0" w:color="auto"/>
              <w:right w:val="single" w:sz="4" w:space="0" w:color="auto"/>
            </w:tcBorders>
            <w:shd w:val="clear" w:color="auto" w:fill="D9D9D9"/>
          </w:tcPr>
          <w:p>
            <w:pPr>
              <w:pStyle w:val="Text1"/>
              <w:ind w:left="0"/>
              <w:jc w:val="center"/>
              <w:rPr>
                <w:rFonts w:eastAsia="Calibri"/>
                <w:noProof/>
                <w:szCs w:val="24"/>
              </w:rPr>
            </w:pPr>
            <w:r>
              <w:rPr>
                <w:b/>
                <w:noProof/>
                <w:szCs w:val="24"/>
              </w:rPr>
              <w:t>Forvaltning og udvikling af applikationer</w:t>
            </w:r>
          </w:p>
        </w:tc>
      </w:tr>
      <w:tr>
        <w:tc>
          <w:tcPr>
            <w:tcW w:w="2692" w:type="dxa"/>
            <w:tcBorders>
              <w:top w:val="single" w:sz="4" w:space="0" w:color="auto"/>
              <w:left w:val="single" w:sz="4" w:space="0" w:color="auto"/>
              <w:bottom w:val="single" w:sz="4" w:space="0" w:color="auto"/>
              <w:right w:val="single" w:sz="4" w:space="0" w:color="auto"/>
            </w:tcBorders>
            <w:shd w:val="clear" w:color="auto" w:fill="D9D9D9"/>
          </w:tcPr>
          <w:p>
            <w:pPr>
              <w:pStyle w:val="Text1"/>
              <w:ind w:left="0"/>
              <w:rPr>
                <w:rFonts w:eastAsia="Calibri"/>
                <w:b/>
                <w:noProof/>
                <w:szCs w:val="24"/>
              </w:rPr>
            </w:pPr>
            <w:r>
              <w:rPr>
                <w:b/>
                <w:noProof/>
                <w:szCs w:val="24"/>
              </w:rPr>
              <w:t>[OSR27]</w:t>
            </w:r>
          </w:p>
        </w:tc>
        <w:tc>
          <w:tcPr>
            <w:tcW w:w="5671" w:type="dxa"/>
            <w:tcBorders>
              <w:top w:val="single" w:sz="4" w:space="0" w:color="auto"/>
              <w:left w:val="single" w:sz="4" w:space="0" w:color="auto"/>
              <w:bottom w:val="single" w:sz="4" w:space="0" w:color="auto"/>
              <w:right w:val="single" w:sz="4" w:space="0" w:color="auto"/>
            </w:tcBorders>
            <w:shd w:val="clear" w:color="auto" w:fill="auto"/>
          </w:tcPr>
          <w:p>
            <w:pPr>
              <w:pStyle w:val="Text1"/>
              <w:ind w:left="0"/>
              <w:rPr>
                <w:rFonts w:eastAsia="Calibri"/>
                <w:noProof/>
                <w:szCs w:val="24"/>
              </w:rPr>
            </w:pPr>
            <w:r>
              <w:rPr>
                <w:noProof/>
              </w:rPr>
              <w:t xml:space="preserve">Serviceanmoderen er eneansvarlig for udvikling, support og forvaltning af sine applikationer. Serviceanmoderen skal overholde de regler, der er defineret i </w:t>
            </w:r>
            <w:hyperlink w:anchor="RD8" w:history="1">
              <w:r>
                <w:rPr>
                  <w:noProof/>
                  <w:color w:val="0000FF"/>
                  <w:szCs w:val="24"/>
                </w:rPr>
                <w:t>RD8</w:t>
              </w:r>
            </w:hyperlink>
            <w:r>
              <w:rPr>
                <w:noProof/>
              </w:rPr>
              <w:t>.</w:t>
            </w:r>
          </w:p>
        </w:tc>
      </w:tr>
    </w:tbl>
    <w:p>
      <w:pPr>
        <w:spacing w:before="60"/>
        <w:jc w:val="center"/>
        <w:rPr>
          <w:rFonts w:eastAsia="Times New Roman"/>
          <w:noProof/>
          <w:sz w:val="20"/>
          <w:szCs w:val="20"/>
        </w:rPr>
      </w:pPr>
      <w:bookmarkStart w:id="147" w:name="_Toc159212010"/>
      <w:bookmarkStart w:id="148" w:name="_Toc490755347"/>
      <w:r>
        <w:rPr>
          <w:noProof/>
          <w:sz w:val="20"/>
          <w:szCs w:val="20"/>
        </w:rPr>
        <w:t>Tabel 7: SERVICEANMODERENS FORPLIGTELSER (OSR)</w:t>
      </w:r>
      <w:bookmarkEnd w:id="147"/>
      <w:bookmarkEnd w:id="148"/>
    </w:p>
    <w:p>
      <w:pPr>
        <w:pStyle w:val="ManualHeading2"/>
        <w:rPr>
          <w:noProof/>
        </w:rPr>
      </w:pPr>
      <w:r>
        <w:rPr>
          <w:noProof/>
        </w:rPr>
        <w:lastRenderedPageBreak/>
        <w:t>4.3.</w:t>
      </w:r>
      <w:r>
        <w:rPr>
          <w:noProof/>
        </w:rPr>
        <w:tab/>
        <w:t>YDELSER, DER LEVERES AF SERVICEUDBYDEREN</w:t>
      </w:r>
    </w:p>
    <w:p>
      <w:pPr>
        <w:pStyle w:val="ManualHeading3"/>
        <w:rPr>
          <w:b/>
          <w:noProof/>
        </w:rPr>
      </w:pPr>
      <w:bookmarkStart w:id="149" w:name="_Toc490755317"/>
      <w:bookmarkEnd w:id="141"/>
      <w:r>
        <w:rPr>
          <w:b/>
          <w:noProof/>
        </w:rPr>
        <w:t>4.3.1.</w:t>
      </w:r>
      <w:r>
        <w:rPr>
          <w:b/>
          <w:noProof/>
        </w:rPr>
        <w:tab/>
      </w:r>
      <w:r>
        <w:rPr>
          <w:b/>
          <w:noProof/>
          <w:u w:val="single"/>
        </w:rPr>
        <w:t>IT-servicedesk</w:t>
      </w:r>
      <w:bookmarkEnd w:id="149"/>
      <w:r>
        <w:rPr>
          <w:b/>
          <w:noProof/>
        </w:rPr>
        <w:t xml:space="preserve"> </w:t>
      </w:r>
    </w:p>
    <w:p>
      <w:pPr>
        <w:pStyle w:val="Text1"/>
        <w:rPr>
          <w:noProof/>
        </w:rPr>
      </w:pPr>
      <w:r>
        <w:rPr>
          <w:noProof/>
        </w:rPr>
        <w:t>Serviceudbyderen driver en konsolideret IT-servicedesk med fokus på hændelses- og problemstyring. IT-servicedesken udvider viften af klassiske helpdesktjenester og tilbyder en mere globalt fokuseret tilgang, der gør det muligt at integrere forretningsprocesser i CCN/CSI-serviceforvaltningen.</w:t>
      </w:r>
    </w:p>
    <w:p>
      <w:pPr>
        <w:pStyle w:val="Text1"/>
        <w:rPr>
          <w:noProof/>
        </w:rPr>
      </w:pPr>
      <w:r>
        <w:rPr>
          <w:noProof/>
        </w:rPr>
        <w:t>IT-servicedesken håndterer ikke udelukkende hændelser, problemer og spørgsmål, men tilvejebringer ligeledes en grænseflade for andre aktiviteter såsom ændringsanmodninger, vedligeholdelseskontrakter, softwarelicenser, serviceniveaustyring, konfigurationsstyring, styring af tilgængelighed, sikkerhedsstyring og styring af IT-servicekontinuitet (beredskab).</w:t>
      </w:r>
    </w:p>
    <w:p>
      <w:pPr>
        <w:pStyle w:val="Text1"/>
        <w:rPr>
          <w:noProof/>
        </w:rPr>
      </w:pPr>
      <w:r>
        <w:rPr>
          <w:noProof/>
        </w:rPr>
        <w:t>IT-servicedesken meddeler ligeledes spontant serviceanmoderen eventuelle hastende oplysninger og fungerer således som et center, der fremsender oplysninger til serviceanmoderen.</w:t>
      </w:r>
    </w:p>
    <w:p>
      <w:pPr>
        <w:pStyle w:val="Text1"/>
        <w:rPr>
          <w:noProof/>
        </w:rPr>
      </w:pPr>
      <w:r>
        <w:rPr>
          <w:noProof/>
        </w:rPr>
        <w:t>En meddelelse er defineret som en meddelelse udstedt af serviceudbyderen, der advarer serviceanmoderen om en hændelse, der kan påvirke CCN/CSI-operationerne: utilgængelig gateway, systemudfald, funktionsfejl, infrastrukturvedligeholdelse eller softwareopdatering.</w:t>
      </w:r>
    </w:p>
    <w:p>
      <w:pPr>
        <w:pStyle w:val="Text1"/>
        <w:rPr>
          <w:b/>
          <w:noProof/>
          <w:sz w:val="22"/>
        </w:rPr>
      </w:pPr>
      <w:r>
        <w:rPr>
          <w:noProof/>
        </w:rPr>
        <w:t>IT-servicedeskens grænseflade til serviceanmoderen opnås gennem serviceudbyderens kontaktpunkt eller gennem ITSM-webportalen, som leverer onlinetjenester til serviceanmoderen såsom sporing af servicekald, værktøjet til applikationskonfiguration og CCN-webportalen, hvor der bl.a. er mulighed for at downloade CSI-pakker og få adgang til statistiske data og overvågningsoplysninger.</w:t>
      </w:r>
    </w:p>
    <w:p>
      <w:pPr>
        <w:pStyle w:val="ManualHeading4"/>
        <w:rPr>
          <w:noProof/>
        </w:rPr>
      </w:pPr>
      <w:r>
        <w:rPr>
          <w:noProof/>
        </w:rPr>
        <w:t>4.3.1.1.</w:t>
      </w:r>
      <w:r>
        <w:rPr>
          <w:noProof/>
        </w:rPr>
        <w:tab/>
      </w:r>
      <w:r>
        <w:rPr>
          <w:i/>
          <w:noProof/>
        </w:rPr>
        <w:t>Hændelses- og problemstyring</w:t>
      </w:r>
    </w:p>
    <w:p>
      <w:pPr>
        <w:pStyle w:val="Text1"/>
        <w:rPr>
          <w:noProof/>
        </w:rPr>
      </w:pPr>
      <w:r>
        <w:rPr>
          <w:noProof/>
        </w:rPr>
        <w:t>Denne service vedrører hændelser, der kan tilskrives servicedeskens brugere (herunder systemdrift). En hændelse kan defineres som en simpel anmodning om oplysninger eller præcisering, men kan også klassificeres som indberetning af en ikkeoverensstemmende specifik komponent.</w:t>
      </w:r>
    </w:p>
    <w:p>
      <w:pPr>
        <w:pStyle w:val="Text1"/>
        <w:rPr>
          <w:noProof/>
        </w:rPr>
      </w:pPr>
      <w:r>
        <w:rPr>
          <w:noProof/>
        </w:rPr>
        <w:t>En hændelse defineres som en uforudset begivenhed, der ikke er en del af den almindelige drift af infrastrukturen, eller et svigt, der forringer en operationel CCN/CSI-tjeneste. En hændelse er løst, når tjenesten er genoprettet.</w:t>
      </w:r>
    </w:p>
    <w:p>
      <w:pPr>
        <w:pStyle w:val="Text1"/>
        <w:rPr>
          <w:noProof/>
        </w:rPr>
      </w:pPr>
      <w:r>
        <w:rPr>
          <w:noProof/>
        </w:rPr>
        <w:t>Hændelsen kan være relateret til følgende konfigurationselementer (CI):</w:t>
      </w:r>
    </w:p>
    <w:p>
      <w:pPr>
        <w:pStyle w:val="Bullet1"/>
        <w:rPr>
          <w:noProof/>
        </w:rPr>
      </w:pPr>
      <w:r>
        <w:rPr>
          <w:noProof/>
        </w:rPr>
        <w:t>Hardware, som serviceudbyderen er ansvarlig for: CCN-gateways, sikkerhedsudstyr, CPR-routere (Customer Premises Routers) og andet netværkskonnektivitetsudstyr på EuroDomain (GD TAXUD's CCN-infrastruktur) LAN</w:t>
      </w:r>
    </w:p>
    <w:p>
      <w:pPr>
        <w:pStyle w:val="Bullet1"/>
        <w:rPr>
          <w:noProof/>
        </w:rPr>
      </w:pPr>
      <w:r>
        <w:rPr>
          <w:noProof/>
        </w:rPr>
        <w:t>Den software, der kører på krypteringsudstyret</w:t>
      </w:r>
    </w:p>
    <w:p>
      <w:pPr>
        <w:pStyle w:val="Bullet1"/>
        <w:rPr>
          <w:noProof/>
        </w:rPr>
      </w:pPr>
      <w:r>
        <w:rPr>
          <w:noProof/>
        </w:rPr>
        <w:t>Den systemsoftware, der kører på gateways: operativsystem, grundlæggende kommunikationssoftware såsom TCP/IP osv.</w:t>
      </w:r>
    </w:p>
    <w:p>
      <w:pPr>
        <w:pStyle w:val="Bullet1"/>
        <w:rPr>
          <w:noProof/>
        </w:rPr>
      </w:pPr>
      <w:r>
        <w:rPr>
          <w:noProof/>
        </w:rPr>
        <w:t>Tredjepartssoftware, der kører på gateways såsom Tuxedos MQSeries, Sun ONE Directory Server, PostgreSQL, Apache osv.</w:t>
      </w:r>
    </w:p>
    <w:p>
      <w:pPr>
        <w:pStyle w:val="Bullet1"/>
        <w:rPr>
          <w:noProof/>
        </w:rPr>
      </w:pPr>
      <w:r>
        <w:rPr>
          <w:noProof/>
        </w:rPr>
        <w:t>CCN Mail III</w:t>
      </w:r>
    </w:p>
    <w:p>
      <w:pPr>
        <w:pStyle w:val="Bullet1"/>
        <w:rPr>
          <w:noProof/>
        </w:rPr>
      </w:pPr>
      <w:r>
        <w:rPr>
          <w:noProof/>
        </w:rPr>
        <w:t>Den CCN/CSI-software, der kører på gateways</w:t>
      </w:r>
    </w:p>
    <w:p>
      <w:pPr>
        <w:pStyle w:val="Bullet1"/>
        <w:rPr>
          <w:noProof/>
        </w:rPr>
      </w:pPr>
      <w:r>
        <w:rPr>
          <w:noProof/>
        </w:rPr>
        <w:lastRenderedPageBreak/>
        <w:t>Den CSI-software, der kører på applikationsplatformene</w:t>
      </w:r>
    </w:p>
    <w:p>
      <w:pPr>
        <w:pStyle w:val="Bullet1"/>
        <w:rPr>
          <w:noProof/>
        </w:rPr>
      </w:pPr>
      <w:r>
        <w:rPr>
          <w:noProof/>
        </w:rPr>
        <w:t>SIAP (Secure Internet Access Point) – Unified Defence.</w:t>
      </w:r>
    </w:p>
    <w:p>
      <w:pPr>
        <w:pStyle w:val="Text1"/>
        <w:rPr>
          <w:noProof/>
        </w:rPr>
      </w:pPr>
      <w:r>
        <w:rPr>
          <w:noProof/>
        </w:rPr>
        <w:t>Et problem identificeres enten ud fra en enkelt hændelse, som har en yderst negativ indvirkning på tjenesten til brugeren, og hvis årsag er ukendt, eller ud fra flere hændelser, der udviser de samme symptomer. Et problem er løst, når årsagen er identificeret og afhjulpet.</w:t>
      </w:r>
    </w:p>
    <w:p>
      <w:pPr>
        <w:pStyle w:val="Text1"/>
        <w:rPr>
          <w:noProof/>
        </w:rPr>
      </w:pPr>
      <w:r>
        <w:rPr>
          <w:noProof/>
        </w:rPr>
        <w:t xml:space="preserve">Når der indtræffer en hændelse, undersøges situationen for at genoprette den operationelle CCN/CSI-tjeneste (om nødvendigt) og for at finde den bagvedliggende årsag til hændelsen. Serviceudbyderen bidrager til at løse hændelser i den nationale myndigheds applikationssoftware, på grænsefladeniveau med CCN/CSI, hvis dette ikke indvirker på de andre ydelser, der leveres af serviceudbyderen. Serviceudbyderens bistand består i at tilvejebringe oplysninger om korrekt anvendelse af CCN/CSI. </w:t>
      </w:r>
      <w:r>
        <w:rPr>
          <w:b/>
          <w:noProof/>
          <w:u w:val="single"/>
        </w:rPr>
        <w:t>Den består ikke i at deltage i fejlretningen af den nationale myndigheds applikationssoftware.</w:t>
      </w:r>
    </w:p>
    <w:p>
      <w:pPr>
        <w:pStyle w:val="ManualHeading3"/>
        <w:rPr>
          <w:b/>
          <w:noProof/>
        </w:rPr>
      </w:pPr>
      <w:bookmarkStart w:id="150" w:name="_Toc490755318"/>
      <w:r>
        <w:rPr>
          <w:b/>
          <w:noProof/>
        </w:rPr>
        <w:t>4.3.2.</w:t>
      </w:r>
      <w:r>
        <w:rPr>
          <w:b/>
          <w:noProof/>
        </w:rPr>
        <w:tab/>
      </w:r>
      <w:r>
        <w:rPr>
          <w:b/>
          <w:noProof/>
          <w:u w:val="single"/>
        </w:rPr>
        <w:t>Værktøjer, der understøtter serviceforvaltningen</w:t>
      </w:r>
      <w:bookmarkEnd w:id="150"/>
      <w:r>
        <w:rPr>
          <w:b/>
          <w:noProof/>
        </w:rPr>
        <w:t xml:space="preserve"> </w:t>
      </w:r>
    </w:p>
    <w:p>
      <w:pPr>
        <w:pStyle w:val="Text1"/>
        <w:rPr>
          <w:noProof/>
        </w:rPr>
      </w:pPr>
      <w:r>
        <w:rPr>
          <w:noProof/>
        </w:rPr>
        <w:t>Overvågningen af CCN-gatewayinfrastrukturen, applikationerne og CCN-køerne understøttes af produktfamilien IBM ® Tivoli Monitoring (Tivoli Monitoring) og IBM Tivoli Composite Application Manager (ITCAM).</w:t>
      </w:r>
    </w:p>
    <w:p>
      <w:pPr>
        <w:pStyle w:val="Text1"/>
        <w:rPr>
          <w:noProof/>
        </w:rPr>
      </w:pPr>
      <w:r>
        <w:rPr>
          <w:noProof/>
        </w:rPr>
        <w:t xml:space="preserve">CCN Tivoli Monitoring and Reporting service, der er baseret på IBM Tivoli Monitoring suite, indeholder følgende funktioner: </w:t>
      </w:r>
    </w:p>
    <w:p>
      <w:pPr>
        <w:pStyle w:val="Bullet1"/>
        <w:rPr>
          <w:noProof/>
        </w:rPr>
      </w:pPr>
      <w:r>
        <w:rPr>
          <w:noProof/>
        </w:rPr>
        <w:t>overvågning af applikationskøerne på CCN-gateways (WebSphere MQ)</w:t>
      </w:r>
    </w:p>
    <w:p>
      <w:pPr>
        <w:pStyle w:val="Bullet1"/>
        <w:rPr>
          <w:noProof/>
        </w:rPr>
      </w:pPr>
      <w:r>
        <w:rPr>
          <w:noProof/>
        </w:rPr>
        <w:t>overvågning af operativsystemets status på CCN-gateways</w:t>
      </w:r>
    </w:p>
    <w:p>
      <w:pPr>
        <w:pStyle w:val="Bullet1"/>
        <w:rPr>
          <w:noProof/>
        </w:rPr>
      </w:pPr>
      <w:r>
        <w:rPr>
          <w:noProof/>
        </w:rPr>
        <w:t>CPU-forbrug, diskkapacitet, hukommelsesforbrug, netværksforbrug, processer</w:t>
      </w:r>
    </w:p>
    <w:p>
      <w:pPr>
        <w:pStyle w:val="Bullet1"/>
        <w:rPr>
          <w:noProof/>
        </w:rPr>
      </w:pPr>
      <w:r>
        <w:rPr>
          <w:noProof/>
        </w:rPr>
        <w:t>overvågning af hardware uden for båndet</w:t>
      </w:r>
    </w:p>
    <w:p>
      <w:pPr>
        <w:pStyle w:val="Bullet1"/>
        <w:rPr>
          <w:noProof/>
        </w:rPr>
      </w:pPr>
      <w:r>
        <w:rPr>
          <w:noProof/>
        </w:rPr>
        <w:t>overvågning af kørselsprocesserne for CCN-komponenter på CCN-gateways</w:t>
      </w:r>
    </w:p>
    <w:p>
      <w:pPr>
        <w:pStyle w:val="Bullet1"/>
        <w:rPr>
          <w:noProof/>
        </w:rPr>
      </w:pPr>
      <w:r>
        <w:rPr>
          <w:noProof/>
        </w:rPr>
        <w:t>overvågning af CCN Mail III-infrastrukturen</w:t>
      </w:r>
    </w:p>
    <w:p>
      <w:pPr>
        <w:pStyle w:val="Bullet1"/>
        <w:rPr>
          <w:noProof/>
        </w:rPr>
      </w:pPr>
      <w:r>
        <w:rPr>
          <w:noProof/>
        </w:rPr>
        <w:t>overblik til brugerne af CCN Tivoli over de tidligere overvågede oplysninger</w:t>
      </w:r>
    </w:p>
    <w:p>
      <w:pPr>
        <w:pStyle w:val="Bullet1"/>
        <w:rPr>
          <w:noProof/>
        </w:rPr>
      </w:pPr>
      <w:r>
        <w:rPr>
          <w:noProof/>
        </w:rPr>
        <w:t>generering af foruddefinerede advarsler om de tidligere overvågede komponenter</w:t>
      </w:r>
    </w:p>
    <w:p>
      <w:pPr>
        <w:pStyle w:val="Bullet1"/>
        <w:rPr>
          <w:noProof/>
        </w:rPr>
      </w:pPr>
      <w:r>
        <w:rPr>
          <w:noProof/>
        </w:rPr>
        <w:t>fremlæggelse af rapporter baseret på indsamlede historiske data (CCN Tivoli Data Warehouse)</w:t>
      </w:r>
    </w:p>
    <w:p>
      <w:pPr>
        <w:pStyle w:val="Bullet1"/>
        <w:rPr>
          <w:noProof/>
        </w:rPr>
      </w:pPr>
      <w:r>
        <w:rPr>
          <w:noProof/>
        </w:rPr>
        <w:t>tilvejebringelse af oplysninger om CCN/CSI-infrastrukturens tilgængelighed og performance over tid, rapportering om vigtige udviklingstendenser på en sammenhængende og integreret måde.</w:t>
      </w:r>
    </w:p>
    <w:p>
      <w:pPr>
        <w:pStyle w:val="ManualHeading3"/>
        <w:rPr>
          <w:b/>
          <w:noProof/>
        </w:rPr>
      </w:pPr>
      <w:bookmarkStart w:id="151" w:name="_Toc490755319"/>
      <w:r>
        <w:rPr>
          <w:b/>
          <w:noProof/>
        </w:rPr>
        <w:t>4.3.3.</w:t>
      </w:r>
      <w:r>
        <w:rPr>
          <w:b/>
          <w:noProof/>
        </w:rPr>
        <w:tab/>
      </w:r>
      <w:r>
        <w:rPr>
          <w:b/>
          <w:noProof/>
          <w:u w:val="single"/>
        </w:rPr>
        <w:t>IKT-infrastrukturforvaltning og -operationer</w:t>
      </w:r>
      <w:bookmarkEnd w:id="151"/>
    </w:p>
    <w:p>
      <w:pPr>
        <w:pStyle w:val="Text1"/>
        <w:rPr>
          <w:noProof/>
        </w:rPr>
      </w:pPr>
      <w:r>
        <w:rPr>
          <w:noProof/>
        </w:rPr>
        <w:t>Serviceudbyderen opfordres til at installere, drive og vedligeholde den operationelle CCN/CSI-infrastruktur for at garantere de aftalte tilgængelighedsniveauer.</w:t>
      </w:r>
    </w:p>
    <w:p>
      <w:pPr>
        <w:pStyle w:val="Text1"/>
        <w:rPr>
          <w:noProof/>
        </w:rPr>
      </w:pPr>
      <w:r>
        <w:rPr>
          <w:noProof/>
        </w:rPr>
        <w:t xml:space="preserve">Den operationelle CCN/CSI-infrastruktur består af EuroDomain-relæudstyret (CCN-gateways), sikkerhedsudstyr, CPR-routeren og telekommunikation. </w:t>
      </w:r>
    </w:p>
    <w:p>
      <w:pPr>
        <w:pStyle w:val="Text1"/>
        <w:rPr>
          <w:noProof/>
        </w:rPr>
      </w:pPr>
      <w:r>
        <w:rPr>
          <w:noProof/>
        </w:rPr>
        <w:t>Denne tjeneste omfatter:</w:t>
      </w:r>
    </w:p>
    <w:p>
      <w:pPr>
        <w:pStyle w:val="Bullet1"/>
        <w:rPr>
          <w:noProof/>
        </w:rPr>
      </w:pPr>
      <w:r>
        <w:rPr>
          <w:noProof/>
        </w:rPr>
        <w:t>styring af tilgængelighed</w:t>
      </w:r>
    </w:p>
    <w:p>
      <w:pPr>
        <w:pStyle w:val="Bullet1"/>
        <w:rPr>
          <w:noProof/>
        </w:rPr>
      </w:pPr>
      <w:r>
        <w:rPr>
          <w:noProof/>
        </w:rPr>
        <w:lastRenderedPageBreak/>
        <w:t>beredskabsstyring</w:t>
      </w:r>
    </w:p>
    <w:p>
      <w:pPr>
        <w:pStyle w:val="Bullet1"/>
        <w:rPr>
          <w:noProof/>
        </w:rPr>
      </w:pPr>
      <w:r>
        <w:rPr>
          <w:noProof/>
        </w:rPr>
        <w:t>applikationskonfigurationsdatastyring</w:t>
      </w:r>
    </w:p>
    <w:p>
      <w:pPr>
        <w:pStyle w:val="Bullet1"/>
        <w:rPr>
          <w:noProof/>
        </w:rPr>
      </w:pPr>
      <w:r>
        <w:rPr>
          <w:noProof/>
        </w:rPr>
        <w:t>sikkerhedsstyring</w:t>
      </w:r>
    </w:p>
    <w:p>
      <w:pPr>
        <w:pStyle w:val="Text1"/>
        <w:rPr>
          <w:noProof/>
        </w:rPr>
      </w:pPr>
      <w:r>
        <w:rPr>
          <w:noProof/>
        </w:rPr>
        <w:t>Derudover omfatter tjenesten:</w:t>
      </w:r>
    </w:p>
    <w:p>
      <w:pPr>
        <w:pStyle w:val="Bullet1"/>
        <w:rPr>
          <w:noProof/>
        </w:rPr>
      </w:pPr>
      <w:r>
        <w:rPr>
          <w:noProof/>
        </w:rPr>
        <w:t>koordinering af flytningen af CCN/CSI-udstyr</w:t>
      </w:r>
    </w:p>
    <w:p>
      <w:pPr>
        <w:pStyle w:val="Bullet1"/>
        <w:rPr>
          <w:noProof/>
        </w:rPr>
      </w:pPr>
      <w:r>
        <w:rPr>
          <w:noProof/>
        </w:rPr>
        <w:t>koordinering af lanceringen af nye sites</w:t>
      </w:r>
    </w:p>
    <w:p>
      <w:pPr>
        <w:pStyle w:val="Bullet1"/>
        <w:rPr>
          <w:noProof/>
        </w:rPr>
      </w:pPr>
      <w:r>
        <w:rPr>
          <w:noProof/>
        </w:rPr>
        <w:t>CCN-infrastrukturens planlægningskapacitet</w:t>
      </w:r>
    </w:p>
    <w:p>
      <w:pPr>
        <w:pStyle w:val="Bullet1"/>
        <w:rPr>
          <w:noProof/>
        </w:rPr>
      </w:pPr>
      <w:r>
        <w:rPr>
          <w:noProof/>
        </w:rPr>
        <w:t>opfølgning på ovennævnte aktivitet på det månedlige statusmøde. Der er tale om et QA-møde med deltagelse af alle kontraherende parter, der bidrager til CCN/CSI-tjenesten</w:t>
      </w:r>
    </w:p>
    <w:p>
      <w:pPr>
        <w:pStyle w:val="Bullet1"/>
        <w:rPr>
          <w:noProof/>
        </w:rPr>
      </w:pPr>
      <w:r>
        <w:rPr>
          <w:noProof/>
        </w:rPr>
        <w:t>indgivelse af anmodninger om "fastfrysning". Disse anmodninger kan kun indgives af autoriserede brugere til en særlig udpeget tjenestemand i GD TAXUD</w:t>
      </w:r>
    </w:p>
    <w:p>
      <w:pPr>
        <w:pStyle w:val="Bullet1"/>
        <w:rPr>
          <w:noProof/>
        </w:rPr>
      </w:pPr>
      <w:r>
        <w:rPr>
          <w:noProof/>
        </w:rPr>
        <w:t>design, planlægning, implementering, drift, teknisk support og udfasning af HW, OS og COTS</w:t>
      </w:r>
    </w:p>
    <w:p>
      <w:pPr>
        <w:pStyle w:val="Bullet1"/>
        <w:rPr>
          <w:noProof/>
        </w:rPr>
      </w:pPr>
      <w:r>
        <w:rPr>
          <w:noProof/>
        </w:rPr>
        <w:t>nettjenester</w:t>
      </w:r>
    </w:p>
    <w:p>
      <w:pPr>
        <w:pStyle w:val="Bullet1"/>
        <w:rPr>
          <w:noProof/>
        </w:rPr>
      </w:pPr>
      <w:r>
        <w:rPr>
          <w:noProof/>
        </w:rPr>
        <w:t>HW-, OS- og COTS-tjenester</w:t>
      </w:r>
    </w:p>
    <w:p>
      <w:pPr>
        <w:pStyle w:val="Bullet1"/>
        <w:rPr>
          <w:noProof/>
        </w:rPr>
      </w:pPr>
      <w:r>
        <w:rPr>
          <w:noProof/>
        </w:rPr>
        <w:t xml:space="preserve">backup og genopretning </w:t>
      </w:r>
    </w:p>
    <w:p>
      <w:pPr>
        <w:pStyle w:val="Bullet1"/>
        <w:rPr>
          <w:noProof/>
        </w:rPr>
      </w:pPr>
      <w:r>
        <w:rPr>
          <w:noProof/>
        </w:rPr>
        <w:t>jobstyring</w:t>
      </w:r>
    </w:p>
    <w:p>
      <w:pPr>
        <w:pStyle w:val="Bullet1"/>
        <w:rPr>
          <w:noProof/>
        </w:rPr>
      </w:pPr>
      <w:r>
        <w:rPr>
          <w:noProof/>
        </w:rPr>
        <w:t>produktion og vedligeholdelse af IKT-infrastrukturforvaltningsrelaterede planer, dvs. IKT-infrastrukturplan, tilgængelighedsplan, kapacitetsplan og beredskabsplan</w:t>
      </w:r>
    </w:p>
    <w:p>
      <w:pPr>
        <w:pStyle w:val="Bullet1"/>
        <w:rPr>
          <w:noProof/>
        </w:rPr>
      </w:pPr>
      <w:r>
        <w:rPr>
          <w:noProof/>
        </w:rPr>
        <w:t>gennemførlighedsundersøgelser i relation til infrastruktur.</w:t>
      </w:r>
    </w:p>
    <w:p>
      <w:pPr>
        <w:pStyle w:val="ManualHeading4"/>
        <w:rPr>
          <w:noProof/>
          <w:w w:val="122"/>
        </w:rPr>
      </w:pPr>
      <w:r>
        <w:rPr>
          <w:noProof/>
        </w:rPr>
        <w:t>4.3.3.1.</w:t>
      </w:r>
      <w:r>
        <w:rPr>
          <w:noProof/>
        </w:rPr>
        <w:tab/>
      </w:r>
      <w:r>
        <w:rPr>
          <w:i/>
          <w:noProof/>
        </w:rPr>
        <w:t>Styring af tilgængelighed</w:t>
      </w:r>
    </w:p>
    <w:p>
      <w:pPr>
        <w:pStyle w:val="Text1"/>
        <w:rPr>
          <w:noProof/>
        </w:rPr>
      </w:pPr>
      <w:r>
        <w:rPr>
          <w:noProof/>
        </w:rPr>
        <w:t>Serviceudbyderens vigtigste tjeneste er at sikre, at CCN/CSI-systemet er i drift på det påkrævede tilgængelighedsniveau.</w:t>
      </w:r>
    </w:p>
    <w:p>
      <w:pPr>
        <w:pStyle w:val="Text1"/>
        <w:rPr>
          <w:noProof/>
        </w:rPr>
      </w:pPr>
      <w:r>
        <w:rPr>
          <w:noProof/>
        </w:rPr>
        <w:t>Serviceudbyderen sikrer, at alle CCN/CSI-sites er indbyrdes forbundet via et Wide Area Network (WAN), som har den fornødne modstandsdygtighed og kapacitet til at sikre, at kritiske erhvervsapplikationer fungerer korrekt ved brug af CCN/CSI-infrastrukturen og -tjenesterne.</w:t>
      </w:r>
    </w:p>
    <w:p>
      <w:pPr>
        <w:pStyle w:val="Text1"/>
        <w:rPr>
          <w:noProof/>
        </w:rPr>
      </w:pPr>
      <w:r>
        <w:rPr>
          <w:noProof/>
        </w:rPr>
        <w:t>Tjenesten vedrørende styring af tilgængelighed dækker følgende elementer:</w:t>
      </w:r>
    </w:p>
    <w:p>
      <w:pPr>
        <w:pStyle w:val="Bullet1"/>
        <w:rPr>
          <w:noProof/>
        </w:rPr>
      </w:pPr>
      <w:r>
        <w:rPr>
          <w:noProof/>
        </w:rPr>
        <w:t>global adgang for alle forbundne nationale myndigheder</w:t>
      </w:r>
    </w:p>
    <w:p>
      <w:pPr>
        <w:pStyle w:val="Bullet1"/>
        <w:rPr>
          <w:noProof/>
        </w:rPr>
      </w:pPr>
      <w:r>
        <w:rPr>
          <w:noProof/>
        </w:rPr>
        <w:t>adgang til abonnentnet (+ en backupforbindelse) mellem det lokale WAN-opkoblingspunkt (PoP) og de nationale myndigheders lokaler</w:t>
      </w:r>
    </w:p>
    <w:p>
      <w:pPr>
        <w:pStyle w:val="Bullet1"/>
        <w:rPr>
          <w:noProof/>
        </w:rPr>
      </w:pPr>
      <w:r>
        <w:rPr>
          <w:noProof/>
        </w:rPr>
        <w:t>installation, konfiguration og vedligeholdelse af CPR-routeren</w:t>
      </w:r>
    </w:p>
    <w:p>
      <w:pPr>
        <w:pStyle w:val="Bullet1"/>
        <w:rPr>
          <w:noProof/>
        </w:rPr>
      </w:pPr>
      <w:r>
        <w:rPr>
          <w:noProof/>
        </w:rPr>
        <w:t>installation og vedligeholdelse af sikkerhedsudstyr (dvs. SSG-firewall-/krypteringsudstyr)</w:t>
      </w:r>
    </w:p>
    <w:p>
      <w:pPr>
        <w:pStyle w:val="Bullet1"/>
        <w:rPr>
          <w:noProof/>
        </w:rPr>
      </w:pPr>
      <w:r>
        <w:rPr>
          <w:noProof/>
        </w:rPr>
        <w:t>kommunikation-gateways på DMZ, alle lokale sites (dvs. CCN-gateways)</w:t>
      </w:r>
    </w:p>
    <w:p>
      <w:pPr>
        <w:pStyle w:val="Bullet1"/>
        <w:rPr>
          <w:noProof/>
        </w:rPr>
      </w:pPr>
      <w:r>
        <w:rPr>
          <w:noProof/>
        </w:rPr>
        <w:lastRenderedPageBreak/>
        <w:t>det centrale CCN Mail III-system.</w:t>
      </w:r>
    </w:p>
    <w:p>
      <w:pPr>
        <w:pStyle w:val="Text1"/>
        <w:rPr>
          <w:noProof/>
        </w:rPr>
      </w:pPr>
      <w:r>
        <w:rPr>
          <w:noProof/>
        </w:rPr>
        <w:t>Serviceudbyderen tilvejebringer ligeledes statistiske data om tilgængelighed indsamlet under operationelle omstændigheder og en overvågningsservice – både med henblik på proaktiv problemsøgning og til statistiske formål.</w:t>
      </w:r>
    </w:p>
    <w:p>
      <w:pPr>
        <w:pStyle w:val="ManualHeading4"/>
        <w:rPr>
          <w:noProof/>
        </w:rPr>
      </w:pPr>
      <w:r>
        <w:rPr>
          <w:noProof/>
        </w:rPr>
        <w:t>4.3.3.2.</w:t>
      </w:r>
      <w:r>
        <w:rPr>
          <w:noProof/>
        </w:rPr>
        <w:tab/>
      </w:r>
      <w:r>
        <w:rPr>
          <w:i/>
          <w:noProof/>
        </w:rPr>
        <w:t>Beredskabsstyring</w:t>
      </w:r>
    </w:p>
    <w:p>
      <w:pPr>
        <w:pStyle w:val="Text1"/>
        <w:rPr>
          <w:noProof/>
        </w:rPr>
      </w:pPr>
      <w:r>
        <w:rPr>
          <w:noProof/>
        </w:rPr>
        <w:t>Serviceudbyderen er ansvarlig for CCN/CSI-komponenterne i GD TAXUD's CCN-infrastruktur på de enkelte CCN/CSI-sites.</w:t>
      </w:r>
    </w:p>
    <w:p>
      <w:pPr>
        <w:pStyle w:val="Text1"/>
        <w:rPr>
          <w:noProof/>
        </w:rPr>
      </w:pPr>
      <w:r>
        <w:rPr>
          <w:noProof/>
        </w:rPr>
        <w:t>Beredskabsservicen har til formål at reetablere det aftalte serviceniveau inden for en aftalt tidsramme i tilfælde af delvis eller fuldstændig funktionssvigt eller destruktion af CCN/CSI-systemet ved at yde bistand til serviceanmoderen og tilvejebringe elementer såsom:</w:t>
      </w:r>
    </w:p>
    <w:p>
      <w:pPr>
        <w:pStyle w:val="Bullet1"/>
        <w:rPr>
          <w:noProof/>
        </w:rPr>
      </w:pPr>
      <w:r>
        <w:rPr>
          <w:noProof/>
        </w:rPr>
        <w:t>softwarebackup af CCN-gateways (alle sites)</w:t>
      </w:r>
    </w:p>
    <w:p>
      <w:pPr>
        <w:pStyle w:val="Bullet1"/>
        <w:rPr>
          <w:noProof/>
        </w:rPr>
      </w:pPr>
      <w:r>
        <w:rPr>
          <w:noProof/>
        </w:rPr>
        <w:t xml:space="preserve">centralt CCN-backup-site </w:t>
      </w:r>
    </w:p>
    <w:p>
      <w:pPr>
        <w:pStyle w:val="Bullet1"/>
        <w:rPr>
          <w:noProof/>
        </w:rPr>
      </w:pPr>
      <w:r>
        <w:rPr>
          <w:noProof/>
        </w:rPr>
        <w:t>redundant krypteringsudstyr</w:t>
      </w:r>
    </w:p>
    <w:p>
      <w:pPr>
        <w:pStyle w:val="Bullet1"/>
        <w:rPr>
          <w:noProof/>
        </w:rPr>
      </w:pPr>
      <w:r>
        <w:rPr>
          <w:noProof/>
        </w:rPr>
        <w:t>flytning af kapacitet mellem produktions- og backup-gateways</w:t>
      </w:r>
    </w:p>
    <w:p>
      <w:pPr>
        <w:pStyle w:val="Bullet1"/>
        <w:rPr>
          <w:noProof/>
        </w:rPr>
      </w:pPr>
      <w:r>
        <w:rPr>
          <w:noProof/>
        </w:rPr>
        <w:t>reserveenheder til hardwareudstyr</w:t>
      </w:r>
    </w:p>
    <w:p>
      <w:pPr>
        <w:pStyle w:val="Bullet1"/>
        <w:rPr>
          <w:noProof/>
        </w:rPr>
      </w:pPr>
      <w:r>
        <w:rPr>
          <w:noProof/>
        </w:rPr>
        <w:t>dobbelte telekommunikationsadgangsforbindelser til CCN (alle sites)</w:t>
      </w:r>
    </w:p>
    <w:p>
      <w:pPr>
        <w:pStyle w:val="Bullet1"/>
        <w:rPr>
          <w:noProof/>
        </w:rPr>
      </w:pPr>
      <w:r>
        <w:rPr>
          <w:noProof/>
        </w:rPr>
        <w:t>bistand til installation og konfiguration af CCN/CSI-elementer i GD TAXUD's CCN-infrastruktur</w:t>
      </w:r>
    </w:p>
    <w:p>
      <w:pPr>
        <w:pStyle w:val="Bullet1"/>
        <w:rPr>
          <w:noProof/>
        </w:rPr>
      </w:pPr>
      <w:r>
        <w:rPr>
          <w:noProof/>
        </w:rPr>
        <w:t>inddrivelsesprocedurer.</w:t>
      </w:r>
    </w:p>
    <w:p>
      <w:pPr>
        <w:pStyle w:val="ManualHeading4"/>
        <w:rPr>
          <w:noProof/>
        </w:rPr>
      </w:pPr>
      <w:r>
        <w:rPr>
          <w:noProof/>
        </w:rPr>
        <w:t>4.3.3.3.</w:t>
      </w:r>
      <w:r>
        <w:rPr>
          <w:noProof/>
        </w:rPr>
        <w:tab/>
      </w:r>
      <w:r>
        <w:rPr>
          <w:i/>
          <w:noProof/>
        </w:rPr>
        <w:t>Applikationskonfigurationsdatastyring</w:t>
      </w:r>
    </w:p>
    <w:p>
      <w:pPr>
        <w:pStyle w:val="Text1"/>
        <w:rPr>
          <w:noProof/>
        </w:rPr>
      </w:pPr>
      <w:r>
        <w:rPr>
          <w:noProof/>
        </w:rPr>
        <w:t>Denne service vedrører serviceudbyderens styring af konfigurationsdata som påkrævet i CCN/CSI-applikationer.</w:t>
      </w:r>
    </w:p>
    <w:p>
      <w:pPr>
        <w:pStyle w:val="Text1"/>
        <w:rPr>
          <w:noProof/>
        </w:rPr>
      </w:pPr>
      <w:r>
        <w:rPr>
          <w:noProof/>
        </w:rPr>
        <w:t>Disse konfigurationsdata er lagret i den centrale CCN/CSI-fortegnelse. Styringen af den centrale CCN/CSI-fortegnelse varetages af serviceudbyderen og de nationale myndigheder. Den enkelte nationale myndighed har ansvaret for forvaltningen af sine lokale CCN/CSI-brugere. Resten styres af serviceudbyderen.</w:t>
      </w:r>
    </w:p>
    <w:p>
      <w:pPr>
        <w:pStyle w:val="Text1"/>
        <w:rPr>
          <w:noProof/>
        </w:rPr>
      </w:pPr>
      <w:r>
        <w:rPr>
          <w:noProof/>
        </w:rPr>
        <w:t>Eksempler på konfigurationer, der er genstand for en serviceanmodning fra nationale myndigheder:</w:t>
      </w:r>
    </w:p>
    <w:p>
      <w:pPr>
        <w:pStyle w:val="Bullet1"/>
        <w:rPr>
          <w:noProof/>
        </w:rPr>
      </w:pPr>
      <w:r>
        <w:rPr>
          <w:noProof/>
        </w:rPr>
        <w:t>definition af en lokal administrativ profil</w:t>
      </w:r>
    </w:p>
    <w:p>
      <w:pPr>
        <w:pStyle w:val="Bullet1"/>
        <w:rPr>
          <w:noProof/>
        </w:rPr>
      </w:pPr>
      <w:r>
        <w:rPr>
          <w:noProof/>
        </w:rPr>
        <w:t>registrering af en applikationsservice.</w:t>
      </w:r>
    </w:p>
    <w:p>
      <w:pPr>
        <w:pStyle w:val="Bullet1"/>
        <w:rPr>
          <w:noProof/>
        </w:rPr>
      </w:pPr>
      <w:r>
        <w:rPr>
          <w:noProof/>
        </w:rPr>
        <w:t>registrering af en applikationskø</w:t>
      </w:r>
    </w:p>
    <w:p>
      <w:pPr>
        <w:pStyle w:val="Bullet1"/>
        <w:rPr>
          <w:noProof/>
        </w:rPr>
      </w:pPr>
      <w:r>
        <w:rPr>
          <w:noProof/>
        </w:rPr>
        <w:t>registrering af en meddelelsestype</w:t>
      </w:r>
    </w:p>
    <w:p>
      <w:pPr>
        <w:pStyle w:val="Bullet1"/>
        <w:rPr>
          <w:noProof/>
        </w:rPr>
      </w:pPr>
      <w:r>
        <w:rPr>
          <w:noProof/>
        </w:rPr>
        <w:t>validering af applikationskonfigurationsdata</w:t>
      </w:r>
    </w:p>
    <w:p>
      <w:pPr>
        <w:pStyle w:val="Bullet1"/>
        <w:rPr>
          <w:noProof/>
        </w:rPr>
      </w:pPr>
      <w:r>
        <w:rPr>
          <w:noProof/>
        </w:rPr>
        <w:t>registrering af administrative roller</w:t>
      </w:r>
    </w:p>
    <w:p>
      <w:pPr>
        <w:pStyle w:val="Bullet1"/>
        <w:rPr>
          <w:noProof/>
        </w:rPr>
      </w:pPr>
      <w:r>
        <w:rPr>
          <w:noProof/>
        </w:rPr>
        <w:t>ajourføring af kontaktliste.</w:t>
      </w:r>
    </w:p>
    <w:p>
      <w:pPr>
        <w:pStyle w:val="ManualHeading3"/>
        <w:rPr>
          <w:b/>
          <w:noProof/>
        </w:rPr>
      </w:pPr>
      <w:bookmarkStart w:id="152" w:name="_Toc490755320"/>
      <w:r>
        <w:rPr>
          <w:b/>
          <w:noProof/>
        </w:rPr>
        <w:t>4.3.4.</w:t>
      </w:r>
      <w:r>
        <w:rPr>
          <w:b/>
          <w:noProof/>
        </w:rPr>
        <w:tab/>
      </w:r>
      <w:r>
        <w:rPr>
          <w:b/>
          <w:noProof/>
          <w:u w:val="single"/>
        </w:rPr>
        <w:t>Sikkerhedsstyring</w:t>
      </w:r>
      <w:bookmarkEnd w:id="152"/>
    </w:p>
    <w:p>
      <w:pPr>
        <w:pStyle w:val="Text1"/>
        <w:rPr>
          <w:noProof/>
        </w:rPr>
      </w:pPr>
      <w:r>
        <w:rPr>
          <w:noProof/>
        </w:rPr>
        <w:t>Denne service vedrører serviceudbyderens styring af sikkerhedselementerne som påkrævet i CCN/CSI.</w:t>
      </w:r>
    </w:p>
    <w:p>
      <w:pPr>
        <w:pStyle w:val="Text1"/>
        <w:rPr>
          <w:noProof/>
        </w:rPr>
      </w:pPr>
      <w:r>
        <w:rPr>
          <w:noProof/>
        </w:rPr>
        <w:lastRenderedPageBreak/>
        <w:t xml:space="preserve">Sikkerhedsstyringen omfatter både det anvendte serverudstyr (operativsystem) og netværksudstyret og styringen på operationelt plan. </w:t>
      </w:r>
    </w:p>
    <w:p>
      <w:pPr>
        <w:pStyle w:val="Bullet1"/>
        <w:rPr>
          <w:noProof/>
        </w:rPr>
      </w:pPr>
      <w:r>
        <w:rPr>
          <w:noProof/>
        </w:rPr>
        <w:t xml:space="preserve">Udveksling af oplysninger via CCN/CSI-nettet beskyttes for at sikre optimal fortrolighed og dataintegritet. </w:t>
      </w:r>
    </w:p>
    <w:p>
      <w:pPr>
        <w:pStyle w:val="Bullet1"/>
        <w:rPr>
          <w:noProof/>
        </w:rPr>
      </w:pPr>
      <w:r>
        <w:rPr>
          <w:noProof/>
        </w:rPr>
        <w:t>Sikkerhedstjenester omfatter:</w:t>
      </w:r>
    </w:p>
    <w:p>
      <w:pPr>
        <w:pStyle w:val="Tiret2"/>
        <w:numPr>
          <w:ilvl w:val="0"/>
          <w:numId w:val="30"/>
        </w:numPr>
        <w:rPr>
          <w:noProof/>
        </w:rPr>
      </w:pPr>
      <w:r>
        <w:rPr>
          <w:noProof/>
        </w:rPr>
        <w:t>site-to-site-kryptering og beskyttelse mod uønsket adgang ved installation af firewall-/krypteringsudstyr.</w:t>
      </w:r>
    </w:p>
    <w:p>
      <w:pPr>
        <w:pStyle w:val="Tiret2"/>
        <w:rPr>
          <w:noProof/>
        </w:rPr>
      </w:pPr>
      <w:r>
        <w:rPr>
          <w:noProof/>
        </w:rPr>
        <w:t>adgangskontrolmekanismer (autentificering, autorisation, registrering) på webstedsniveau ved CCN Gateway understøttet af lokale forvaltningsredskaber (ADM3G)</w:t>
      </w:r>
    </w:p>
    <w:p>
      <w:pPr>
        <w:pStyle w:val="Tiret2"/>
        <w:rPr>
          <w:noProof/>
        </w:rPr>
      </w:pPr>
      <w:r>
        <w:rPr>
          <w:noProof/>
        </w:rPr>
        <w:t>sikkerhed på sessionsniveau ved kryptering på meddelelsesniveau (CSI sikker), SSL gensidig autentificering og kryptering (HTTPS &amp; NJCSI), POP-S og IMAP-S (sikker e-mailoverførsel).</w:t>
      </w:r>
    </w:p>
    <w:p>
      <w:pPr>
        <w:pStyle w:val="Tiret2"/>
        <w:rPr>
          <w:noProof/>
        </w:rPr>
      </w:pPr>
      <w:r>
        <w:rPr>
          <w:noProof/>
        </w:rPr>
        <w:t>SIAP-beskyttelsesmekanismen til fremme af sikret internetadgang til CCN-tjenester.</w:t>
      </w:r>
    </w:p>
    <w:p>
      <w:pPr>
        <w:pStyle w:val="ManualHeading3"/>
        <w:rPr>
          <w:b/>
          <w:noProof/>
        </w:rPr>
      </w:pPr>
      <w:bookmarkStart w:id="153" w:name="_Toc490755322"/>
      <w:r>
        <w:rPr>
          <w:b/>
          <w:noProof/>
        </w:rPr>
        <w:t>4.3.5.</w:t>
      </w:r>
      <w:r>
        <w:rPr>
          <w:b/>
          <w:noProof/>
        </w:rPr>
        <w:tab/>
      </w:r>
      <w:r>
        <w:rPr>
          <w:b/>
          <w:noProof/>
          <w:u w:val="single"/>
        </w:rPr>
        <w:t>Dokumentationsforvaltning</w:t>
      </w:r>
      <w:bookmarkEnd w:id="153"/>
    </w:p>
    <w:p>
      <w:pPr>
        <w:pStyle w:val="Text1"/>
        <w:rPr>
          <w:noProof/>
        </w:rPr>
      </w:pPr>
      <w:r>
        <w:rPr>
          <w:noProof/>
        </w:rPr>
        <w:t>Serviceudbyderen ajourfører hele den tekniske CCN/CSI-dokumentation (dvs. teknisk dokument, brugervejledninger, ofte stillede spørgsmål, nyhedsbreve, kommende arrangementer osv.), der fungerer som et dokumentationscenter.</w:t>
      </w:r>
    </w:p>
    <w:p>
      <w:pPr>
        <w:pStyle w:val="Text1"/>
        <w:rPr>
          <w:noProof/>
        </w:rPr>
      </w:pPr>
      <w:r>
        <w:rPr>
          <w:noProof/>
        </w:rPr>
        <w:t>Dette omfatter dokumentationen vedrørende CCN/CSI-infrastrukturen, dvs. Oracle-Tuxedo, IBM-MQ, CCN-gateways, CCN Mail III, CSI-software, procedurer, rapporter, tidligere kommunikation med partnere osv.</w:t>
      </w:r>
    </w:p>
    <w:p>
      <w:pPr>
        <w:pStyle w:val="Text1"/>
        <w:rPr>
          <w:noProof/>
        </w:rPr>
      </w:pPr>
      <w:r>
        <w:rPr>
          <w:noProof/>
        </w:rPr>
        <w:t>Serviceudbyderen fører en liste over CCN/CSI-dokumentationen, der kan stilles til rådighed for serviceanmoderen. Disse dokumenter er tilgængelige på CIRCABC og ITSM-portalen.</w:t>
      </w:r>
    </w:p>
    <w:p>
      <w:pPr>
        <w:pStyle w:val="Text1"/>
        <w:rPr>
          <w:noProof/>
        </w:rPr>
      </w:pPr>
      <w:r>
        <w:rPr>
          <w:noProof/>
        </w:rPr>
        <w:t>Serviceudbyderen ajourfører automatisk listen med den nyligt godkendte version af dokumenterne.</w:t>
      </w:r>
    </w:p>
    <w:p>
      <w:pPr>
        <w:pStyle w:val="ManualHeading3"/>
        <w:rPr>
          <w:rFonts w:eastAsia="Times New Roman"/>
          <w:b/>
          <w:caps/>
          <w:noProof/>
          <w:szCs w:val="20"/>
        </w:rPr>
      </w:pPr>
      <w:bookmarkStart w:id="154" w:name="_Toc490755323"/>
      <w:r>
        <w:rPr>
          <w:b/>
          <w:noProof/>
        </w:rPr>
        <w:t>4.3.6.</w:t>
      </w:r>
      <w:r>
        <w:rPr>
          <w:b/>
          <w:noProof/>
        </w:rPr>
        <w:tab/>
      </w:r>
      <w:r>
        <w:rPr>
          <w:b/>
          <w:noProof/>
          <w:u w:val="single"/>
        </w:rPr>
        <w:t>Rapportering og statistiske data</w:t>
      </w:r>
      <w:bookmarkEnd w:id="154"/>
    </w:p>
    <w:p>
      <w:pPr>
        <w:pStyle w:val="Text1"/>
        <w:rPr>
          <w:noProof/>
        </w:rPr>
      </w:pPr>
      <w:r>
        <w:rPr>
          <w:noProof/>
        </w:rPr>
        <w:t>Serviceudbyderen giver serviceanmoderen adgang til følgende rapporteringsfaciliteter via CCN- og ITSM-webportalen:</w:t>
      </w:r>
    </w:p>
    <w:p>
      <w:pPr>
        <w:pStyle w:val="Bullet1"/>
        <w:rPr>
          <w:noProof/>
        </w:rPr>
      </w:pPr>
      <w:r>
        <w:rPr>
          <w:noProof/>
        </w:rPr>
        <w:t>onlinedata om tilgængelighed for CCN-gateways og CCN Mail III-servere</w:t>
      </w:r>
    </w:p>
    <w:p>
      <w:pPr>
        <w:pStyle w:val="Bullet1"/>
        <w:rPr>
          <w:noProof/>
        </w:rPr>
      </w:pPr>
      <w:r>
        <w:rPr>
          <w:noProof/>
        </w:rPr>
        <w:t>elektroniske nyhedsbreve</w:t>
      </w:r>
    </w:p>
    <w:p>
      <w:pPr>
        <w:pStyle w:val="Bullet1"/>
        <w:rPr>
          <w:noProof/>
        </w:rPr>
      </w:pPr>
      <w:r>
        <w:rPr>
          <w:noProof/>
        </w:rPr>
        <w:t>statistiske data om CCN/CSI-udveksling.</w:t>
      </w:r>
    </w:p>
    <w:p>
      <w:pPr>
        <w:pStyle w:val="Text1"/>
        <w:rPr>
          <w:noProof/>
        </w:rPr>
      </w:pPr>
      <w:r>
        <w:rPr>
          <w:noProof/>
        </w:rPr>
        <w:t>Serviceudbyderen afholder ligeledes regelmæssigt møder om IT, teknik og infrastruktur, hvor rapporteringen og de statistiske data præsenteres.</w:t>
      </w:r>
    </w:p>
    <w:p>
      <w:pPr>
        <w:pStyle w:val="ManualHeading3"/>
        <w:rPr>
          <w:rFonts w:eastAsia="Times New Roman"/>
          <w:b/>
          <w:caps/>
          <w:noProof/>
          <w:szCs w:val="20"/>
        </w:rPr>
      </w:pPr>
      <w:bookmarkStart w:id="155" w:name="_Toc445210960"/>
      <w:bookmarkStart w:id="156" w:name="_Toc445217544"/>
      <w:bookmarkStart w:id="157" w:name="_Toc490755324"/>
      <w:bookmarkEnd w:id="155"/>
      <w:bookmarkEnd w:id="156"/>
      <w:r>
        <w:rPr>
          <w:b/>
          <w:noProof/>
        </w:rPr>
        <w:t>4.3.7.</w:t>
      </w:r>
      <w:r>
        <w:rPr>
          <w:b/>
          <w:noProof/>
        </w:rPr>
        <w:tab/>
      </w:r>
      <w:r>
        <w:rPr>
          <w:b/>
          <w:noProof/>
          <w:u w:val="single"/>
        </w:rPr>
        <w:t>Uddannelse</w:t>
      </w:r>
      <w:bookmarkEnd w:id="157"/>
    </w:p>
    <w:p>
      <w:pPr>
        <w:pStyle w:val="Text1"/>
        <w:rPr>
          <w:noProof/>
        </w:rPr>
      </w:pPr>
      <w:r>
        <w:rPr>
          <w:noProof/>
        </w:rPr>
        <w:t>Serviceudbyderen udvikler og afholder kurser om de tekniske aspekter af CCN/CSI-systemet. Standardkurserne er tilrettelagt i uddannelsespakker, der er inddelt i moduler. Som hovedregel afholdes der kurser hvert år. Standarduddannelsespakkerne udsendes to gange om året via GD TAXUD og er tilgængelige online på ITSM-portalen.</w:t>
      </w:r>
    </w:p>
    <w:p>
      <w:pPr>
        <w:pStyle w:val="ManualHeading1"/>
        <w:rPr>
          <w:noProof/>
        </w:rPr>
      </w:pPr>
      <w:bookmarkStart w:id="158" w:name="_Toc159211971"/>
      <w:bookmarkStart w:id="159" w:name="_Ref374521587"/>
      <w:bookmarkStart w:id="160" w:name="_Toc490755328"/>
      <w:bookmarkStart w:id="161" w:name="_Ref136410190"/>
      <w:bookmarkStart w:id="162" w:name="_Toc136745305"/>
      <w:r>
        <w:rPr>
          <w:noProof/>
        </w:rPr>
        <w:lastRenderedPageBreak/>
        <w:t>5.</w:t>
      </w:r>
      <w:r>
        <w:rPr>
          <w:noProof/>
        </w:rPr>
        <w:tab/>
      </w:r>
      <w:r>
        <w:rPr>
          <w:noProof/>
          <w:u w:val="single"/>
        </w:rPr>
        <w:t>MÅLING AF SERVICENIVEAU</w:t>
      </w:r>
      <w:bookmarkEnd w:id="158"/>
      <w:bookmarkEnd w:id="159"/>
      <w:bookmarkEnd w:id="160"/>
    </w:p>
    <w:bookmarkEnd w:id="161"/>
    <w:bookmarkEnd w:id="162"/>
    <w:p>
      <w:pPr>
        <w:pStyle w:val="ManualHeading2"/>
        <w:rPr>
          <w:noProof/>
        </w:rPr>
      </w:pPr>
      <w:r>
        <w:rPr>
          <w:noProof/>
        </w:rPr>
        <w:t>5.2.</w:t>
      </w:r>
      <w:r>
        <w:rPr>
          <w:noProof/>
        </w:rPr>
        <w:tab/>
        <w:t>SERVICENIVEAU</w:t>
      </w:r>
    </w:p>
    <w:p>
      <w:pPr>
        <w:pStyle w:val="Text1"/>
        <w:rPr>
          <w:noProof/>
        </w:rPr>
      </w:pPr>
      <w:r>
        <w:rPr>
          <w:noProof/>
        </w:rPr>
        <w:t>Serviceniveauet er et mål for kvaliteten af de ydelser, der leveres af serviceudbyderen. Niveauet beregnes ved brug af en servicekvalitetsindikator eller SQI.</w:t>
      </w:r>
    </w:p>
    <w:p>
      <w:pPr>
        <w:pStyle w:val="Text1"/>
        <w:rPr>
          <w:noProof/>
        </w:rPr>
      </w:pPr>
      <w:r>
        <w:rPr>
          <w:noProof/>
        </w:rPr>
        <w:t xml:space="preserve">Det forventes, at serviceanmoderen overholder sine forpligtelser (jf. artikel </w:t>
      </w:r>
      <w:r>
        <w:rPr>
          <w:noProof/>
        </w:rPr>
        <w:fldChar w:fldCharType="begin"/>
      </w:r>
      <w:r>
        <w:rPr>
          <w:noProof/>
        </w:rPr>
        <w:instrText xml:space="preserve"> REF _Ref374535365 \r \h  \* MERGEFORMAT </w:instrText>
      </w:r>
      <w:r>
        <w:rPr>
          <w:noProof/>
        </w:rPr>
      </w:r>
      <w:r>
        <w:rPr>
          <w:noProof/>
        </w:rPr>
        <w:fldChar w:fldCharType="separate"/>
      </w:r>
      <w:r>
        <w:rPr>
          <w:noProof/>
        </w:rPr>
        <w:t>0</w:t>
      </w:r>
      <w:r>
        <w:rPr>
          <w:noProof/>
        </w:rPr>
        <w:fldChar w:fldCharType="end"/>
      </w:r>
      <w:r>
        <w:rPr>
          <w:noProof/>
        </w:rPr>
        <w:t xml:space="preserve">) for at sikre det aftalte serviceniveau. </w:t>
      </w:r>
    </w:p>
    <w:p>
      <w:pPr>
        <w:pStyle w:val="ManualNumPar2"/>
        <w:rPr>
          <w:b/>
          <w:noProof/>
        </w:rPr>
      </w:pPr>
      <w:bookmarkStart w:id="163" w:name="_Ref156929460"/>
      <w:bookmarkStart w:id="164" w:name="_Toc159211975"/>
      <w:bookmarkStart w:id="165" w:name="_Toc490755331"/>
      <w:r>
        <w:rPr>
          <w:b/>
          <w:noProof/>
        </w:rPr>
        <w:t>5.2.</w:t>
      </w:r>
      <w:r>
        <w:rPr>
          <w:b/>
          <w:noProof/>
        </w:rPr>
        <w:tab/>
        <w:t>GÆLDENDE SERVICEKVALITETSINDIKATORER</w:t>
      </w:r>
      <w:bookmarkEnd w:id="163"/>
      <w:bookmarkEnd w:id="164"/>
      <w:bookmarkEnd w:id="165"/>
      <w:r>
        <w:rPr>
          <w:b/>
          <w:noProof/>
        </w:rPr>
        <w:t xml:space="preserve"> </w:t>
      </w:r>
    </w:p>
    <w:p>
      <w:pPr>
        <w:pStyle w:val="ManualNumPar3"/>
        <w:rPr>
          <w:noProof/>
        </w:rPr>
      </w:pPr>
      <w:bookmarkStart w:id="166" w:name="_Toc490755332"/>
      <w:bookmarkStart w:id="167" w:name="OLE_LINK1"/>
      <w:r>
        <w:rPr>
          <w:noProof/>
        </w:rPr>
        <w:t>5.2.1.</w:t>
      </w:r>
      <w:r>
        <w:rPr>
          <w:noProof/>
        </w:rPr>
        <w:tab/>
      </w:r>
      <w:r>
        <w:rPr>
          <w:b/>
          <w:i/>
          <w:noProof/>
          <w:u w:val="single"/>
        </w:rPr>
        <w:t>Tilgængeligheden af de enkelte CCN/CSI-sites</w:t>
      </w:r>
      <w:bookmarkEnd w:id="166"/>
    </w:p>
    <w:bookmarkEnd w:id="167"/>
    <w:p>
      <w:pPr>
        <w:pStyle w:val="Text1"/>
        <w:rPr>
          <w:noProof/>
        </w:rPr>
      </w:pPr>
      <w:r>
        <w:rPr>
          <w:noProof/>
        </w:rPr>
        <w:t>Denne kvalitetsindikator viser den lavest målte tilgængelighed af et bestemt site i "hele perioden", dvs. 24*7 i den pågældende måned. CCN/CSI SLA-grænsen defineres som følger:</w:t>
      </w:r>
    </w:p>
    <w:tbl>
      <w:tblPr>
        <w:tblStyle w:val="TableGrid"/>
        <w:tblW w:w="8221" w:type="dxa"/>
        <w:tblInd w:w="959" w:type="dxa"/>
        <w:tblLook w:val="04A0" w:firstRow="1" w:lastRow="0" w:firstColumn="1" w:lastColumn="0" w:noHBand="0" w:noVBand="1"/>
      </w:tblPr>
      <w:tblGrid>
        <w:gridCol w:w="2693"/>
        <w:gridCol w:w="5528"/>
      </w:tblGrid>
      <w:tr>
        <w:tc>
          <w:tcPr>
            <w:tcW w:w="2693" w:type="dxa"/>
            <w:shd w:val="clear" w:color="auto" w:fill="D9D9D9" w:themeFill="background1" w:themeFillShade="D9"/>
          </w:tcPr>
          <w:p>
            <w:pPr>
              <w:pStyle w:val="Text1"/>
              <w:ind w:left="0"/>
              <w:rPr>
                <w:b/>
                <w:noProof/>
              </w:rPr>
            </w:pPr>
            <w:r>
              <w:rPr>
                <w:b/>
                <w:noProof/>
              </w:rPr>
              <w:t>GRÆNSE</w:t>
            </w:r>
          </w:p>
        </w:tc>
        <w:tc>
          <w:tcPr>
            <w:tcW w:w="5528" w:type="dxa"/>
          </w:tcPr>
          <w:p>
            <w:pPr>
              <w:pStyle w:val="Text1"/>
              <w:ind w:left="0"/>
              <w:rPr>
                <w:noProof/>
              </w:rPr>
            </w:pPr>
            <w:bookmarkStart w:id="168" w:name="OLE_LINK2"/>
            <w:r>
              <w:rPr>
                <w:noProof/>
                <w:color w:val="000000"/>
                <w:szCs w:val="24"/>
              </w:rPr>
              <w:t>&gt; = 97,0 % tilgængelighed</w:t>
            </w:r>
            <w:bookmarkEnd w:id="168"/>
          </w:p>
        </w:tc>
      </w:tr>
    </w:tbl>
    <w:p>
      <w:pPr>
        <w:pStyle w:val="ManualNumPar3"/>
        <w:rPr>
          <w:noProof/>
        </w:rPr>
      </w:pPr>
      <w:bookmarkStart w:id="169" w:name="_Ref158529204"/>
      <w:bookmarkStart w:id="170" w:name="_Toc159211978"/>
      <w:bookmarkStart w:id="171" w:name="_Toc490755333"/>
      <w:bookmarkStart w:id="172" w:name="OLE_LINK4"/>
      <w:r>
        <w:rPr>
          <w:noProof/>
        </w:rPr>
        <w:t>5.2.2.</w:t>
      </w:r>
      <w:r>
        <w:rPr>
          <w:noProof/>
        </w:rPr>
        <w:tab/>
      </w:r>
      <w:r>
        <w:rPr>
          <w:b/>
          <w:i/>
          <w:noProof/>
          <w:u w:val="single"/>
        </w:rPr>
        <w:t>Kvalitetsindikator for serviceperioden</w:t>
      </w:r>
      <w:bookmarkEnd w:id="169"/>
      <w:bookmarkEnd w:id="170"/>
      <w:bookmarkEnd w:id="171"/>
    </w:p>
    <w:bookmarkEnd w:id="172"/>
    <w:p>
      <w:pPr>
        <w:pStyle w:val="Text1"/>
        <w:rPr>
          <w:noProof/>
        </w:rPr>
      </w:pPr>
      <w:r>
        <w:rPr>
          <w:noProof/>
        </w:rPr>
        <w:t>Serviceudbyderens "serviceperiode" er de timer, hvor servicedeskfunktionen er dækket. Servicen sikres af serviceudbyderens servicedesk, der er døgnåben syv dage om ugen, herunder helligdage.</w:t>
      </w:r>
    </w:p>
    <w:p>
      <w:pPr>
        <w:pStyle w:val="Text1"/>
        <w:rPr>
          <w:noProof/>
        </w:rPr>
      </w:pPr>
      <w:r>
        <w:rPr>
          <w:noProof/>
        </w:rPr>
        <w:t>Afhængigt af CI-servicevinduet svares øjeblikkeligt (24*7) eller i det næste servicevindue. Anmodninger pr. brev, fax, e-mail og ad elektronisk vej (via ITSM-portalen) accepteres på et hvilket som helst tidspunkt. Indkommende anmodninger registreres som "servicekald" i serviceudbyderens system til forvaltning af servicedesken.</w:t>
      </w:r>
    </w:p>
    <w:p>
      <w:pPr>
        <w:pStyle w:val="Text1"/>
        <w:rPr>
          <w:noProof/>
        </w:rPr>
      </w:pPr>
      <w:r>
        <w:rPr>
          <w:noProof/>
        </w:rPr>
        <w:t>SLA-grænsen defineres som følger:</w:t>
      </w:r>
    </w:p>
    <w:tbl>
      <w:tblPr>
        <w:tblStyle w:val="TableGrid"/>
        <w:tblW w:w="8221" w:type="dxa"/>
        <w:tblInd w:w="959" w:type="dxa"/>
        <w:tblLook w:val="04A0" w:firstRow="1" w:lastRow="0" w:firstColumn="1" w:lastColumn="0" w:noHBand="0" w:noVBand="1"/>
      </w:tblPr>
      <w:tblGrid>
        <w:gridCol w:w="2693"/>
        <w:gridCol w:w="5528"/>
      </w:tblGrid>
      <w:tr>
        <w:tc>
          <w:tcPr>
            <w:tcW w:w="2693" w:type="dxa"/>
            <w:shd w:val="clear" w:color="auto" w:fill="D9D9D9" w:themeFill="background1" w:themeFillShade="D9"/>
          </w:tcPr>
          <w:p>
            <w:pPr>
              <w:pStyle w:val="Text1"/>
              <w:ind w:left="0"/>
              <w:rPr>
                <w:b/>
                <w:noProof/>
              </w:rPr>
            </w:pPr>
            <w:r>
              <w:rPr>
                <w:b/>
                <w:noProof/>
              </w:rPr>
              <w:t>GRÆNSE</w:t>
            </w:r>
          </w:p>
        </w:tc>
        <w:tc>
          <w:tcPr>
            <w:tcW w:w="5528" w:type="dxa"/>
          </w:tcPr>
          <w:p>
            <w:pPr>
              <w:pStyle w:val="Text1"/>
              <w:ind w:left="0"/>
              <w:rPr>
                <w:noProof/>
              </w:rPr>
            </w:pPr>
            <w:r>
              <w:rPr>
                <w:noProof/>
              </w:rPr>
              <w:t>Servicedesken må ikke være utilgængelig i serviceperioden mere end to gange pr. måned</w:t>
            </w:r>
          </w:p>
        </w:tc>
      </w:tr>
    </w:tbl>
    <w:p>
      <w:pPr>
        <w:pStyle w:val="ManualNumPar3"/>
        <w:rPr>
          <w:b/>
          <w:noProof/>
        </w:rPr>
      </w:pPr>
      <w:bookmarkStart w:id="173" w:name="_Ref156974467"/>
      <w:bookmarkStart w:id="174" w:name="_Toc159211979"/>
      <w:bookmarkStart w:id="175" w:name="_Toc490755334"/>
      <w:bookmarkStart w:id="176" w:name="OLE_LINK5"/>
      <w:r>
        <w:rPr>
          <w:b/>
          <w:noProof/>
        </w:rPr>
        <w:t>5.2.3.</w:t>
      </w:r>
      <w:r>
        <w:rPr>
          <w:b/>
          <w:noProof/>
        </w:rPr>
        <w:tab/>
      </w:r>
      <w:r>
        <w:rPr>
          <w:b/>
          <w:i/>
          <w:noProof/>
          <w:u w:val="single"/>
        </w:rPr>
        <w:t>Kvalitetsindikator for meddelelsestjenesten</w:t>
      </w:r>
      <w:bookmarkEnd w:id="173"/>
      <w:bookmarkEnd w:id="174"/>
      <w:bookmarkEnd w:id="175"/>
    </w:p>
    <w:bookmarkEnd w:id="176"/>
    <w:p>
      <w:pPr>
        <w:pStyle w:val="Text1"/>
        <w:rPr>
          <w:noProof/>
        </w:rPr>
      </w:pPr>
      <w:r>
        <w:rPr>
          <w:noProof/>
        </w:rPr>
        <w:t>Serviceudbyderen leverer meddelelsestjenester til serviceanmoderen.</w:t>
      </w:r>
    </w:p>
    <w:p>
      <w:pPr>
        <w:pStyle w:val="Text1"/>
        <w:rPr>
          <w:noProof/>
        </w:rPr>
      </w:pPr>
      <w:r>
        <w:rPr>
          <w:noProof/>
        </w:rPr>
        <w:t>Der er to typer meddelelser, hastende meddelelser og almindelige meddelelser:</w:t>
      </w:r>
    </w:p>
    <w:p>
      <w:pPr>
        <w:pStyle w:val="Bullet1"/>
        <w:rPr>
          <w:noProof/>
        </w:rPr>
      </w:pPr>
      <w:r>
        <w:rPr>
          <w:noProof/>
        </w:rPr>
        <w:t>HASTENDE MEDDELELSER (når der ikke er tid nok til at underrette CCN/CSI-aktørerne mindst syv kalenderdage i forvejen): Meddelelserne formidles til de relevante personer senest to timer efter modtagelsen af en anmodning om en hastende meddelelse.</w:t>
      </w:r>
    </w:p>
    <w:p>
      <w:pPr>
        <w:pStyle w:val="Bullet1"/>
        <w:rPr>
          <w:noProof/>
        </w:rPr>
      </w:pPr>
      <w:r>
        <w:rPr>
          <w:noProof/>
        </w:rPr>
        <w:t>ALMINDELIGE MEDDELELSER (eller planlagte foranstaltninger): Meddelelserne formidles til de relevante personer senest en uge (syv kalenderdage) før interventionerne, og der fremsendes en påmindelse senest 24 timer før begivenhederne.</w:t>
      </w:r>
    </w:p>
    <w:p>
      <w:pPr>
        <w:spacing w:before="0" w:after="200" w:line="276" w:lineRule="auto"/>
        <w:rPr>
          <w:rFonts w:eastAsia="Calibri"/>
          <w:noProof/>
          <w:szCs w:val="24"/>
        </w:rPr>
      </w:pPr>
      <w:r>
        <w:rPr>
          <w:noProof/>
        </w:rPr>
        <w:t>Denne indikator måler overholdelsen af fristen for meddelelse (via massemail) af planlagt manglende tilgængelighed.</w:t>
      </w:r>
    </w:p>
    <w:p>
      <w:pPr>
        <w:pStyle w:val="ManualNumPar3"/>
        <w:rPr>
          <w:b/>
          <w:noProof/>
        </w:rPr>
      </w:pPr>
      <w:bookmarkStart w:id="177" w:name="_Toc490755335"/>
      <w:bookmarkStart w:id="178" w:name="OLE_LINK6"/>
      <w:r>
        <w:rPr>
          <w:b/>
          <w:noProof/>
        </w:rPr>
        <w:t>5.3.4.</w:t>
      </w:r>
      <w:r>
        <w:rPr>
          <w:b/>
          <w:noProof/>
        </w:rPr>
        <w:tab/>
      </w:r>
      <w:r>
        <w:rPr>
          <w:b/>
          <w:i/>
          <w:noProof/>
          <w:u w:val="single"/>
        </w:rPr>
        <w:t>Kvalitetsindikator for beredskabsstyringen</w:t>
      </w:r>
      <w:bookmarkEnd w:id="177"/>
    </w:p>
    <w:bookmarkEnd w:id="178"/>
    <w:p>
      <w:pPr>
        <w:pStyle w:val="Text1"/>
        <w:rPr>
          <w:noProof/>
          <w:w w:val="122"/>
        </w:rPr>
      </w:pPr>
      <w:r>
        <w:rPr>
          <w:b/>
          <w:noProof/>
        </w:rPr>
        <w:lastRenderedPageBreak/>
        <w:t>Kold standby</w:t>
      </w:r>
      <w:r>
        <w:rPr>
          <w:noProof/>
        </w:rPr>
        <w:t xml:space="preserve"> (overgangsprocedure, backup &amp; genopretning eller CCN over internettet)</w:t>
      </w:r>
    </w:p>
    <w:p>
      <w:pPr>
        <w:pStyle w:val="Text1"/>
        <w:rPr>
          <w:noProof/>
        </w:rPr>
      </w:pPr>
      <w:r>
        <w:rPr>
          <w:noProof/>
        </w:rPr>
        <w:t>Den relevante type overgang, der skal ske, afhænger af en tilbundsgående analyse af den særlige nationale forvaltningsstruktur og det foreliggende problem.</w:t>
      </w:r>
    </w:p>
    <w:p>
      <w:pPr>
        <w:pStyle w:val="Text1"/>
        <w:rPr>
          <w:noProof/>
        </w:rPr>
      </w:pPr>
      <w:r>
        <w:rPr>
          <w:noProof/>
        </w:rPr>
        <w:t>Den maksimale frist for overgang fra den nationale myndigheds produktionsgateway til en passende løsning i form af en CCN-backup-gateway defineres som følger:</w:t>
      </w:r>
    </w:p>
    <w:tbl>
      <w:tblPr>
        <w:tblStyle w:val="TableGrid"/>
        <w:tblW w:w="8221" w:type="dxa"/>
        <w:tblInd w:w="959" w:type="dxa"/>
        <w:tblLook w:val="04A0" w:firstRow="1" w:lastRow="0" w:firstColumn="1" w:lastColumn="0" w:noHBand="0" w:noVBand="1"/>
      </w:tblPr>
      <w:tblGrid>
        <w:gridCol w:w="2693"/>
        <w:gridCol w:w="5528"/>
      </w:tblGrid>
      <w:tr>
        <w:tc>
          <w:tcPr>
            <w:tcW w:w="2693" w:type="dxa"/>
            <w:shd w:val="clear" w:color="auto" w:fill="D9D9D9" w:themeFill="background1" w:themeFillShade="D9"/>
          </w:tcPr>
          <w:p>
            <w:pPr>
              <w:pStyle w:val="Text1"/>
              <w:ind w:left="0"/>
              <w:rPr>
                <w:b/>
                <w:noProof/>
              </w:rPr>
            </w:pPr>
            <w:r>
              <w:rPr>
                <w:b/>
                <w:noProof/>
              </w:rPr>
              <w:t>GRÆNSE</w:t>
            </w:r>
          </w:p>
        </w:tc>
        <w:tc>
          <w:tcPr>
            <w:tcW w:w="5528" w:type="dxa"/>
          </w:tcPr>
          <w:p>
            <w:pPr>
              <w:pStyle w:val="Text1"/>
              <w:ind w:left="0"/>
              <w:rPr>
                <w:noProof/>
                <w:szCs w:val="24"/>
              </w:rPr>
            </w:pPr>
            <w:r>
              <w:rPr>
                <w:noProof/>
                <w:color w:val="000000"/>
                <w:szCs w:val="24"/>
              </w:rPr>
              <w:t>Maksimalt fem arbejdstimer til at gennemføre overgangen efter aftale med serviceanmoderen.</w:t>
            </w:r>
          </w:p>
        </w:tc>
      </w:tr>
    </w:tbl>
    <w:p>
      <w:pPr>
        <w:pStyle w:val="ManualNumPar3"/>
        <w:rPr>
          <w:b/>
          <w:noProof/>
        </w:rPr>
      </w:pPr>
      <w:bookmarkStart w:id="179" w:name="_Toc443382313"/>
      <w:bookmarkStart w:id="180" w:name="_Toc443382319"/>
      <w:bookmarkStart w:id="181" w:name="_Toc443382325"/>
      <w:bookmarkStart w:id="182" w:name="_Toc443382329"/>
      <w:bookmarkStart w:id="183" w:name="_Toc443382330"/>
      <w:bookmarkStart w:id="184" w:name="_Toc443382331"/>
      <w:bookmarkStart w:id="185" w:name="_Toc443382335"/>
      <w:bookmarkStart w:id="186" w:name="_Toc443382337"/>
      <w:bookmarkStart w:id="187" w:name="_Toc443382341"/>
      <w:bookmarkStart w:id="188" w:name="_Toc443382342"/>
      <w:bookmarkStart w:id="189" w:name="_Toc443382343"/>
      <w:bookmarkStart w:id="190" w:name="_Toc490755336"/>
      <w:bookmarkStart w:id="191" w:name="OLE_LINK7"/>
      <w:bookmarkEnd w:id="179"/>
      <w:bookmarkEnd w:id="180"/>
      <w:bookmarkEnd w:id="181"/>
      <w:bookmarkEnd w:id="182"/>
      <w:bookmarkEnd w:id="183"/>
      <w:bookmarkEnd w:id="184"/>
      <w:bookmarkEnd w:id="185"/>
      <w:bookmarkEnd w:id="186"/>
      <w:bookmarkEnd w:id="187"/>
      <w:bookmarkEnd w:id="188"/>
      <w:bookmarkEnd w:id="189"/>
      <w:r>
        <w:rPr>
          <w:b/>
          <w:noProof/>
        </w:rPr>
        <w:t>5.3.5.</w:t>
      </w:r>
      <w:r>
        <w:rPr>
          <w:b/>
          <w:noProof/>
        </w:rPr>
        <w:tab/>
      </w:r>
      <w:r>
        <w:rPr>
          <w:b/>
          <w:i/>
          <w:noProof/>
          <w:u w:val="single"/>
        </w:rPr>
        <w:t>Kvalitetsindikator for applikationskonfigurationsdatastyringen</w:t>
      </w:r>
      <w:bookmarkEnd w:id="190"/>
    </w:p>
    <w:bookmarkEnd w:id="191"/>
    <w:p>
      <w:pPr>
        <w:pStyle w:val="Text1"/>
        <w:rPr>
          <w:noProof/>
        </w:rPr>
      </w:pPr>
      <w:r>
        <w:rPr>
          <w:noProof/>
        </w:rPr>
        <w:t>Den maksimale frist for gennemførelse af en anmodning om applikationskonfiguration ved brug af værktøjet til applikationskonfiguration for et enkelt site defineres som følger:</w:t>
      </w:r>
    </w:p>
    <w:tbl>
      <w:tblPr>
        <w:tblStyle w:val="TableGrid"/>
        <w:tblW w:w="8221" w:type="dxa"/>
        <w:tblInd w:w="959" w:type="dxa"/>
        <w:tblLook w:val="04A0" w:firstRow="1" w:lastRow="0" w:firstColumn="1" w:lastColumn="0" w:noHBand="0" w:noVBand="1"/>
      </w:tblPr>
      <w:tblGrid>
        <w:gridCol w:w="2693"/>
        <w:gridCol w:w="5528"/>
      </w:tblGrid>
      <w:tr>
        <w:tc>
          <w:tcPr>
            <w:tcW w:w="2693" w:type="dxa"/>
            <w:shd w:val="clear" w:color="auto" w:fill="D9D9D9" w:themeFill="background1" w:themeFillShade="D9"/>
          </w:tcPr>
          <w:p>
            <w:pPr>
              <w:pStyle w:val="Text1"/>
              <w:ind w:left="0"/>
              <w:rPr>
                <w:b/>
                <w:noProof/>
              </w:rPr>
            </w:pPr>
            <w:r>
              <w:rPr>
                <w:b/>
                <w:noProof/>
              </w:rPr>
              <w:t>GRÆNSE</w:t>
            </w:r>
          </w:p>
        </w:tc>
        <w:tc>
          <w:tcPr>
            <w:tcW w:w="5528" w:type="dxa"/>
          </w:tcPr>
          <w:p>
            <w:pPr>
              <w:pStyle w:val="Text1"/>
              <w:ind w:left="0"/>
              <w:rPr>
                <w:noProof/>
                <w:szCs w:val="24"/>
              </w:rPr>
            </w:pPr>
            <w:r>
              <w:rPr>
                <w:noProof/>
                <w:color w:val="000000"/>
                <w:szCs w:val="24"/>
              </w:rPr>
              <w:t>5 arbejdsdage</w:t>
            </w:r>
          </w:p>
        </w:tc>
      </w:tr>
    </w:tbl>
    <w:p>
      <w:pPr>
        <w:pStyle w:val="ManualNumPar3"/>
        <w:rPr>
          <w:b/>
          <w:noProof/>
        </w:rPr>
      </w:pPr>
      <w:bookmarkStart w:id="192" w:name="_Toc490755337"/>
      <w:bookmarkStart w:id="193" w:name="OLE_LINK8"/>
      <w:r>
        <w:rPr>
          <w:b/>
          <w:noProof/>
        </w:rPr>
        <w:t>5.3.6.</w:t>
      </w:r>
      <w:r>
        <w:rPr>
          <w:b/>
          <w:noProof/>
        </w:rPr>
        <w:tab/>
      </w:r>
      <w:bookmarkStart w:id="194" w:name="_Toc159211985"/>
      <w:r>
        <w:rPr>
          <w:b/>
          <w:i/>
          <w:noProof/>
          <w:u w:val="single"/>
        </w:rPr>
        <w:t>Kvalitetsindikator for</w:t>
      </w:r>
      <w:bookmarkEnd w:id="194"/>
      <w:r>
        <w:rPr>
          <w:b/>
          <w:i/>
          <w:noProof/>
          <w:u w:val="single"/>
        </w:rPr>
        <w:t xml:space="preserve"> bekræftelsesfristen</w:t>
      </w:r>
      <w:bookmarkEnd w:id="192"/>
    </w:p>
    <w:bookmarkEnd w:id="193"/>
    <w:p>
      <w:pPr>
        <w:pStyle w:val="Text1"/>
        <w:rPr>
          <w:noProof/>
        </w:rPr>
      </w:pPr>
      <w:r>
        <w:rPr>
          <w:noProof/>
        </w:rPr>
        <w:t xml:space="preserve">Den maksimale frist fra det tidspunkt, hvor servicedesken modtager en anmodning, og det tidspunkt hvor en bekræftelse (et servicekaldnummer) fremsendes til serviceanmoderen, er defineret som følger: </w:t>
      </w:r>
    </w:p>
    <w:tbl>
      <w:tblPr>
        <w:tblStyle w:val="TableGrid"/>
        <w:tblW w:w="8221" w:type="dxa"/>
        <w:tblInd w:w="959" w:type="dxa"/>
        <w:tblLook w:val="04A0" w:firstRow="1" w:lastRow="0" w:firstColumn="1" w:lastColumn="0" w:noHBand="0" w:noVBand="1"/>
      </w:tblPr>
      <w:tblGrid>
        <w:gridCol w:w="2693"/>
        <w:gridCol w:w="5528"/>
      </w:tblGrid>
      <w:tr>
        <w:tc>
          <w:tcPr>
            <w:tcW w:w="2693" w:type="dxa"/>
            <w:shd w:val="clear" w:color="auto" w:fill="D9D9D9" w:themeFill="background1" w:themeFillShade="D9"/>
          </w:tcPr>
          <w:p>
            <w:pPr>
              <w:pStyle w:val="Text1"/>
              <w:ind w:left="0"/>
              <w:rPr>
                <w:b/>
                <w:noProof/>
              </w:rPr>
            </w:pPr>
            <w:r>
              <w:rPr>
                <w:b/>
                <w:noProof/>
              </w:rPr>
              <w:t>GRÆNSE</w:t>
            </w:r>
          </w:p>
        </w:tc>
        <w:tc>
          <w:tcPr>
            <w:tcW w:w="5528" w:type="dxa"/>
          </w:tcPr>
          <w:p>
            <w:pPr>
              <w:pStyle w:val="Text1"/>
              <w:ind w:left="0"/>
              <w:rPr>
                <w:noProof/>
                <w:szCs w:val="24"/>
              </w:rPr>
            </w:pPr>
            <w:r>
              <w:rPr>
                <w:noProof/>
                <w:color w:val="000000"/>
                <w:szCs w:val="24"/>
              </w:rPr>
              <w:t>30 minutter</w:t>
            </w:r>
          </w:p>
        </w:tc>
      </w:tr>
    </w:tbl>
    <w:p>
      <w:pPr>
        <w:pStyle w:val="Text1"/>
        <w:rPr>
          <w:noProof/>
        </w:rPr>
      </w:pPr>
      <w:r>
        <w:rPr>
          <w:noProof/>
        </w:rPr>
        <w:t xml:space="preserve">Hændelser klassificeres i overensstemmelse med deres </w:t>
      </w:r>
      <w:r>
        <w:rPr>
          <w:b/>
          <w:noProof/>
        </w:rPr>
        <w:t>prioritetsniveauer</w:t>
      </w:r>
      <w:r>
        <w:rPr>
          <w:noProof/>
        </w:rPr>
        <w:t xml:space="preserve">. </w:t>
      </w:r>
    </w:p>
    <w:p>
      <w:pPr>
        <w:pStyle w:val="Text1"/>
        <w:rPr>
          <w:noProof/>
        </w:rPr>
      </w:pPr>
      <w:r>
        <w:rPr>
          <w:noProof/>
        </w:rPr>
        <w:t xml:space="preserve">En hændelses prioritet udtrykkes som et tal mellem 1 og 4: </w:t>
      </w:r>
    </w:p>
    <w:tbl>
      <w:tblPr>
        <w:tblStyle w:val="TableGrid"/>
        <w:tblW w:w="8221" w:type="dxa"/>
        <w:tblInd w:w="959" w:type="dxa"/>
        <w:tblLook w:val="04A0" w:firstRow="1" w:lastRow="0" w:firstColumn="1" w:lastColumn="0" w:noHBand="0" w:noVBand="1"/>
      </w:tblPr>
      <w:tblGrid>
        <w:gridCol w:w="2693"/>
        <w:gridCol w:w="5528"/>
      </w:tblGrid>
      <w:tr>
        <w:tc>
          <w:tcPr>
            <w:tcW w:w="2693" w:type="dxa"/>
            <w:shd w:val="clear" w:color="auto" w:fill="FF0000"/>
          </w:tcPr>
          <w:p>
            <w:pPr>
              <w:pStyle w:val="Text1"/>
              <w:ind w:left="0"/>
              <w:jc w:val="center"/>
              <w:rPr>
                <w:b/>
                <w:noProof/>
                <w:color w:val="000000" w:themeColor="text1"/>
              </w:rPr>
            </w:pPr>
            <w:r>
              <w:rPr>
                <w:b/>
                <w:noProof/>
                <w:color w:val="000000" w:themeColor="text1"/>
              </w:rPr>
              <w:t>1</w:t>
            </w:r>
          </w:p>
        </w:tc>
        <w:tc>
          <w:tcPr>
            <w:tcW w:w="5528" w:type="dxa"/>
            <w:shd w:val="clear" w:color="auto" w:fill="FF0000"/>
          </w:tcPr>
          <w:p>
            <w:pPr>
              <w:pStyle w:val="Text1"/>
              <w:ind w:left="0"/>
              <w:jc w:val="center"/>
              <w:rPr>
                <w:b/>
                <w:noProof/>
                <w:color w:val="000000" w:themeColor="text1"/>
                <w:szCs w:val="24"/>
              </w:rPr>
            </w:pPr>
            <w:r>
              <w:rPr>
                <w:b/>
                <w:noProof/>
                <w:color w:val="000000" w:themeColor="text1"/>
                <w:szCs w:val="24"/>
              </w:rPr>
              <w:t>KRITISK</w:t>
            </w:r>
          </w:p>
        </w:tc>
      </w:tr>
      <w:tr>
        <w:tc>
          <w:tcPr>
            <w:tcW w:w="2693" w:type="dxa"/>
            <w:shd w:val="clear" w:color="auto" w:fill="00B050"/>
          </w:tcPr>
          <w:p>
            <w:pPr>
              <w:pStyle w:val="Text1"/>
              <w:ind w:left="0"/>
              <w:jc w:val="center"/>
              <w:rPr>
                <w:b/>
                <w:noProof/>
                <w:color w:val="000000" w:themeColor="text1"/>
              </w:rPr>
            </w:pPr>
            <w:r>
              <w:rPr>
                <w:b/>
                <w:noProof/>
                <w:color w:val="000000" w:themeColor="text1"/>
              </w:rPr>
              <w:t>2</w:t>
            </w:r>
          </w:p>
        </w:tc>
        <w:tc>
          <w:tcPr>
            <w:tcW w:w="5528" w:type="dxa"/>
            <w:shd w:val="clear" w:color="auto" w:fill="00B050"/>
          </w:tcPr>
          <w:p>
            <w:pPr>
              <w:pStyle w:val="Text1"/>
              <w:ind w:left="0"/>
              <w:jc w:val="center"/>
              <w:rPr>
                <w:rFonts w:eastAsia="Calibri"/>
                <w:b/>
                <w:noProof/>
                <w:color w:val="000000" w:themeColor="text1"/>
                <w:szCs w:val="24"/>
              </w:rPr>
            </w:pPr>
            <w:r>
              <w:rPr>
                <w:b/>
                <w:noProof/>
                <w:color w:val="000000" w:themeColor="text1"/>
                <w:szCs w:val="24"/>
              </w:rPr>
              <w:t>HØJ</w:t>
            </w:r>
          </w:p>
        </w:tc>
      </w:tr>
      <w:tr>
        <w:tc>
          <w:tcPr>
            <w:tcW w:w="2693" w:type="dxa"/>
            <w:shd w:val="clear" w:color="auto" w:fill="BFBFBF" w:themeFill="background1" w:themeFillShade="BF"/>
          </w:tcPr>
          <w:p>
            <w:pPr>
              <w:pStyle w:val="Text1"/>
              <w:ind w:left="0"/>
              <w:jc w:val="center"/>
              <w:rPr>
                <w:b/>
                <w:noProof/>
                <w:color w:val="000000" w:themeColor="text1"/>
              </w:rPr>
            </w:pPr>
            <w:r>
              <w:rPr>
                <w:b/>
                <w:noProof/>
                <w:color w:val="000000" w:themeColor="text1"/>
              </w:rPr>
              <w:t>3</w:t>
            </w:r>
          </w:p>
        </w:tc>
        <w:tc>
          <w:tcPr>
            <w:tcW w:w="5528" w:type="dxa"/>
            <w:shd w:val="clear" w:color="auto" w:fill="BFBFBF" w:themeFill="background1" w:themeFillShade="BF"/>
          </w:tcPr>
          <w:p>
            <w:pPr>
              <w:pStyle w:val="Text1"/>
              <w:ind w:left="0"/>
              <w:jc w:val="center"/>
              <w:rPr>
                <w:rFonts w:eastAsia="Calibri"/>
                <w:b/>
                <w:noProof/>
                <w:color w:val="000000" w:themeColor="text1"/>
                <w:szCs w:val="24"/>
              </w:rPr>
            </w:pPr>
            <w:r>
              <w:rPr>
                <w:b/>
                <w:noProof/>
                <w:color w:val="000000" w:themeColor="text1"/>
                <w:szCs w:val="24"/>
              </w:rPr>
              <w:t>MEDIUM</w:t>
            </w:r>
          </w:p>
        </w:tc>
      </w:tr>
      <w:tr>
        <w:tc>
          <w:tcPr>
            <w:tcW w:w="2693" w:type="dxa"/>
            <w:shd w:val="clear" w:color="auto" w:fill="95B3D7" w:themeFill="accent1" w:themeFillTint="99"/>
          </w:tcPr>
          <w:p>
            <w:pPr>
              <w:pStyle w:val="Text1"/>
              <w:ind w:left="0"/>
              <w:jc w:val="center"/>
              <w:rPr>
                <w:b/>
                <w:noProof/>
                <w:color w:val="000000" w:themeColor="text1"/>
              </w:rPr>
            </w:pPr>
            <w:r>
              <w:rPr>
                <w:b/>
                <w:noProof/>
                <w:color w:val="000000" w:themeColor="text1"/>
              </w:rPr>
              <w:t>4</w:t>
            </w:r>
          </w:p>
        </w:tc>
        <w:tc>
          <w:tcPr>
            <w:tcW w:w="5528" w:type="dxa"/>
            <w:shd w:val="clear" w:color="auto" w:fill="95B3D7" w:themeFill="accent1" w:themeFillTint="99"/>
          </w:tcPr>
          <w:p>
            <w:pPr>
              <w:pStyle w:val="Text1"/>
              <w:ind w:left="0"/>
              <w:jc w:val="center"/>
              <w:rPr>
                <w:rFonts w:eastAsia="Calibri"/>
                <w:b/>
                <w:noProof/>
                <w:color w:val="000000" w:themeColor="text1"/>
                <w:szCs w:val="24"/>
              </w:rPr>
            </w:pPr>
            <w:r>
              <w:rPr>
                <w:b/>
                <w:noProof/>
                <w:color w:val="000000" w:themeColor="text1"/>
                <w:szCs w:val="24"/>
              </w:rPr>
              <w:t>LAV</w:t>
            </w:r>
          </w:p>
        </w:tc>
      </w:tr>
    </w:tbl>
    <w:p>
      <w:pPr>
        <w:pStyle w:val="ManualNumPar3"/>
        <w:rPr>
          <w:b/>
          <w:noProof/>
        </w:rPr>
      </w:pPr>
      <w:bookmarkStart w:id="195" w:name="_Ref158695475"/>
      <w:bookmarkStart w:id="196" w:name="_Toc159211988"/>
      <w:bookmarkStart w:id="197" w:name="_Toc490755338"/>
      <w:bookmarkStart w:id="198" w:name="OLE_LINK9"/>
      <w:r>
        <w:rPr>
          <w:b/>
          <w:noProof/>
        </w:rPr>
        <w:t>5.3.7.</w:t>
      </w:r>
      <w:r>
        <w:rPr>
          <w:b/>
          <w:noProof/>
        </w:rPr>
        <w:tab/>
      </w:r>
      <w:r>
        <w:rPr>
          <w:b/>
          <w:i/>
          <w:noProof/>
          <w:u w:val="single"/>
        </w:rPr>
        <w:t>Kvalitetsindikator for løsningsfristen</w:t>
      </w:r>
      <w:bookmarkEnd w:id="195"/>
      <w:bookmarkEnd w:id="196"/>
      <w:bookmarkEnd w:id="197"/>
    </w:p>
    <w:bookmarkEnd w:id="198"/>
    <w:p>
      <w:pPr>
        <w:pStyle w:val="Text1"/>
        <w:rPr>
          <w:noProof/>
        </w:rPr>
      </w:pPr>
      <w:r>
        <w:rPr>
          <w:noProof/>
        </w:rPr>
        <w:t xml:space="preserve">Løsningsfristen løber fra det tidspunkt, hvor hændelsen bekræftes af serviceudbyderen, til det tidspunkt, hvor serviceudbyderen afhjælper den bagvedliggende årsag til hændelsen eller gennemfører en workaround. </w:t>
      </w:r>
    </w:p>
    <w:p>
      <w:pPr>
        <w:pStyle w:val="Text1"/>
        <w:rPr>
          <w:noProof/>
        </w:rPr>
      </w:pPr>
      <w:r>
        <w:rPr>
          <w:noProof/>
        </w:rPr>
        <w:t>Afhængigt af prioriteten defineres løsningsfristen som følger:</w:t>
      </w:r>
    </w:p>
    <w:tbl>
      <w:tblPr>
        <w:tblStyle w:val="TableGrid"/>
        <w:tblW w:w="8221" w:type="dxa"/>
        <w:tblInd w:w="959" w:type="dxa"/>
        <w:tblLook w:val="04A0" w:firstRow="1" w:lastRow="0" w:firstColumn="1" w:lastColumn="0" w:noHBand="0" w:noVBand="1"/>
      </w:tblPr>
      <w:tblGrid>
        <w:gridCol w:w="2693"/>
        <w:gridCol w:w="5528"/>
      </w:tblGrid>
      <w:tr>
        <w:tc>
          <w:tcPr>
            <w:tcW w:w="2693" w:type="dxa"/>
            <w:shd w:val="clear" w:color="auto" w:fill="BFBFBF" w:themeFill="background1" w:themeFillShade="BF"/>
          </w:tcPr>
          <w:p>
            <w:pPr>
              <w:pStyle w:val="Text1"/>
              <w:ind w:left="0"/>
              <w:jc w:val="center"/>
              <w:rPr>
                <w:b/>
                <w:noProof/>
              </w:rPr>
            </w:pPr>
            <w:r>
              <w:rPr>
                <w:b/>
                <w:noProof/>
              </w:rPr>
              <w:t>PRIORITET</w:t>
            </w:r>
          </w:p>
        </w:tc>
        <w:tc>
          <w:tcPr>
            <w:tcW w:w="5528" w:type="dxa"/>
            <w:shd w:val="clear" w:color="auto" w:fill="BFBFBF" w:themeFill="background1" w:themeFillShade="BF"/>
          </w:tcPr>
          <w:p>
            <w:pPr>
              <w:pStyle w:val="Text1"/>
              <w:ind w:left="0"/>
              <w:jc w:val="center"/>
              <w:rPr>
                <w:b/>
                <w:noProof/>
                <w:szCs w:val="24"/>
              </w:rPr>
            </w:pPr>
            <w:r>
              <w:rPr>
                <w:b/>
                <w:noProof/>
                <w:color w:val="000000"/>
                <w:szCs w:val="24"/>
              </w:rPr>
              <w:t>LØSNINGSFRIST</w:t>
            </w:r>
          </w:p>
        </w:tc>
      </w:tr>
      <w:tr>
        <w:tc>
          <w:tcPr>
            <w:tcW w:w="2693" w:type="dxa"/>
            <w:shd w:val="clear" w:color="auto" w:fill="D9D9D9" w:themeFill="background1" w:themeFillShade="D9"/>
          </w:tcPr>
          <w:p>
            <w:pPr>
              <w:pStyle w:val="Text1"/>
              <w:ind w:left="0"/>
              <w:jc w:val="center"/>
              <w:rPr>
                <w:b/>
                <w:noProof/>
              </w:rPr>
            </w:pPr>
            <w:r>
              <w:rPr>
                <w:b/>
                <w:noProof/>
              </w:rPr>
              <w:t>KRITISK</w:t>
            </w:r>
          </w:p>
        </w:tc>
        <w:tc>
          <w:tcPr>
            <w:tcW w:w="5528" w:type="dxa"/>
          </w:tcPr>
          <w:p>
            <w:pPr>
              <w:pStyle w:val="Text1"/>
              <w:ind w:left="0"/>
              <w:jc w:val="center"/>
              <w:rPr>
                <w:rFonts w:eastAsia="Calibri"/>
                <w:noProof/>
                <w:color w:val="000000"/>
                <w:szCs w:val="24"/>
              </w:rPr>
            </w:pPr>
            <w:r>
              <w:rPr>
                <w:noProof/>
              </w:rPr>
              <w:t>5 arbejdstimer</w:t>
            </w:r>
          </w:p>
        </w:tc>
      </w:tr>
      <w:tr>
        <w:tc>
          <w:tcPr>
            <w:tcW w:w="2693" w:type="dxa"/>
            <w:shd w:val="clear" w:color="auto" w:fill="D9D9D9" w:themeFill="background1" w:themeFillShade="D9"/>
          </w:tcPr>
          <w:p>
            <w:pPr>
              <w:pStyle w:val="Text1"/>
              <w:ind w:left="0"/>
              <w:jc w:val="center"/>
              <w:rPr>
                <w:b/>
                <w:noProof/>
              </w:rPr>
            </w:pPr>
            <w:r>
              <w:rPr>
                <w:b/>
                <w:noProof/>
              </w:rPr>
              <w:t>HØJ</w:t>
            </w:r>
          </w:p>
        </w:tc>
        <w:tc>
          <w:tcPr>
            <w:tcW w:w="5528" w:type="dxa"/>
          </w:tcPr>
          <w:p>
            <w:pPr>
              <w:pStyle w:val="Text1"/>
              <w:ind w:left="0"/>
              <w:jc w:val="center"/>
              <w:rPr>
                <w:rFonts w:eastAsia="Calibri"/>
                <w:noProof/>
                <w:color w:val="000000"/>
                <w:szCs w:val="24"/>
              </w:rPr>
            </w:pPr>
            <w:r>
              <w:rPr>
                <w:noProof/>
              </w:rPr>
              <w:t>13 arbejdstimer</w:t>
            </w:r>
          </w:p>
        </w:tc>
      </w:tr>
      <w:tr>
        <w:tc>
          <w:tcPr>
            <w:tcW w:w="2693" w:type="dxa"/>
            <w:shd w:val="clear" w:color="auto" w:fill="D9D9D9" w:themeFill="background1" w:themeFillShade="D9"/>
          </w:tcPr>
          <w:p>
            <w:pPr>
              <w:pStyle w:val="Text1"/>
              <w:ind w:left="0"/>
              <w:jc w:val="center"/>
              <w:rPr>
                <w:b/>
                <w:noProof/>
              </w:rPr>
            </w:pPr>
            <w:r>
              <w:rPr>
                <w:b/>
                <w:noProof/>
              </w:rPr>
              <w:t>MEDIUM</w:t>
            </w:r>
          </w:p>
        </w:tc>
        <w:tc>
          <w:tcPr>
            <w:tcW w:w="5528" w:type="dxa"/>
          </w:tcPr>
          <w:p>
            <w:pPr>
              <w:pStyle w:val="Text1"/>
              <w:ind w:left="0"/>
              <w:jc w:val="center"/>
              <w:rPr>
                <w:rFonts w:eastAsia="Calibri"/>
                <w:noProof/>
                <w:color w:val="000000"/>
                <w:szCs w:val="24"/>
              </w:rPr>
            </w:pPr>
            <w:r>
              <w:rPr>
                <w:noProof/>
              </w:rPr>
              <w:t>39 arbejdstimer</w:t>
            </w:r>
          </w:p>
        </w:tc>
      </w:tr>
      <w:tr>
        <w:tc>
          <w:tcPr>
            <w:tcW w:w="2693" w:type="dxa"/>
            <w:shd w:val="clear" w:color="auto" w:fill="D9D9D9" w:themeFill="background1" w:themeFillShade="D9"/>
          </w:tcPr>
          <w:p>
            <w:pPr>
              <w:pStyle w:val="Text1"/>
              <w:ind w:left="0"/>
              <w:jc w:val="center"/>
              <w:rPr>
                <w:b/>
                <w:noProof/>
              </w:rPr>
            </w:pPr>
            <w:r>
              <w:rPr>
                <w:b/>
                <w:noProof/>
              </w:rPr>
              <w:lastRenderedPageBreak/>
              <w:t>LAV</w:t>
            </w:r>
          </w:p>
        </w:tc>
        <w:tc>
          <w:tcPr>
            <w:tcW w:w="5528" w:type="dxa"/>
          </w:tcPr>
          <w:p>
            <w:pPr>
              <w:pStyle w:val="Text1"/>
              <w:ind w:left="0"/>
              <w:jc w:val="center"/>
              <w:rPr>
                <w:rFonts w:eastAsia="Calibri"/>
                <w:noProof/>
                <w:color w:val="000000"/>
                <w:szCs w:val="24"/>
              </w:rPr>
            </w:pPr>
            <w:r>
              <w:rPr>
                <w:noProof/>
              </w:rPr>
              <w:t>65 arbejdstimer</w:t>
            </w:r>
          </w:p>
        </w:tc>
      </w:tr>
    </w:tbl>
    <w:p>
      <w:pPr>
        <w:spacing w:before="60"/>
        <w:jc w:val="center"/>
        <w:rPr>
          <w:rFonts w:eastAsia="Times New Roman"/>
          <w:noProof/>
          <w:sz w:val="20"/>
          <w:szCs w:val="20"/>
        </w:rPr>
      </w:pPr>
      <w:bookmarkStart w:id="199" w:name="_Toc159212012"/>
      <w:bookmarkStart w:id="200" w:name="_Toc490755348"/>
      <w:r>
        <w:rPr>
          <w:noProof/>
          <w:sz w:val="20"/>
          <w:szCs w:val="20"/>
        </w:rPr>
        <w:t xml:space="preserve">Tabel 8: </w:t>
      </w:r>
      <w:bookmarkStart w:id="201" w:name="_Ref156975057"/>
      <w:r>
        <w:rPr>
          <w:noProof/>
          <w:sz w:val="20"/>
          <w:szCs w:val="20"/>
        </w:rPr>
        <w:t>Løsningsfrister</w:t>
      </w:r>
      <w:bookmarkEnd w:id="201"/>
      <w:bookmarkEnd w:id="199"/>
      <w:bookmarkEnd w:id="200"/>
    </w:p>
    <w:tbl>
      <w:tblPr>
        <w:tblStyle w:val="TableGrid"/>
        <w:tblW w:w="8221" w:type="dxa"/>
        <w:tblInd w:w="959" w:type="dxa"/>
        <w:tblLook w:val="04A0" w:firstRow="1" w:lastRow="0" w:firstColumn="1" w:lastColumn="0" w:noHBand="0" w:noVBand="1"/>
      </w:tblPr>
      <w:tblGrid>
        <w:gridCol w:w="2693"/>
        <w:gridCol w:w="5528"/>
      </w:tblGrid>
      <w:tr>
        <w:tc>
          <w:tcPr>
            <w:tcW w:w="2693" w:type="dxa"/>
            <w:shd w:val="clear" w:color="auto" w:fill="BFBFBF" w:themeFill="background1" w:themeFillShade="BF"/>
          </w:tcPr>
          <w:p>
            <w:pPr>
              <w:pStyle w:val="Text1"/>
              <w:ind w:left="0"/>
              <w:jc w:val="center"/>
              <w:rPr>
                <w:b/>
                <w:noProof/>
              </w:rPr>
            </w:pPr>
            <w:r>
              <w:rPr>
                <w:b/>
                <w:noProof/>
              </w:rPr>
              <w:t>PRIORITET</w:t>
            </w:r>
          </w:p>
        </w:tc>
        <w:tc>
          <w:tcPr>
            <w:tcW w:w="5528" w:type="dxa"/>
            <w:shd w:val="clear" w:color="auto" w:fill="BFBFBF" w:themeFill="background1" w:themeFillShade="BF"/>
          </w:tcPr>
          <w:p>
            <w:pPr>
              <w:pStyle w:val="Text1"/>
              <w:ind w:left="0"/>
              <w:jc w:val="center"/>
              <w:rPr>
                <w:b/>
                <w:noProof/>
                <w:szCs w:val="24"/>
              </w:rPr>
            </w:pPr>
            <w:r>
              <w:rPr>
                <w:b/>
                <w:noProof/>
                <w:color w:val="000000"/>
                <w:szCs w:val="24"/>
              </w:rPr>
              <w:t>GRÆNSE</w:t>
            </w:r>
          </w:p>
        </w:tc>
      </w:tr>
      <w:tr>
        <w:tc>
          <w:tcPr>
            <w:tcW w:w="2693" w:type="dxa"/>
            <w:shd w:val="clear" w:color="auto" w:fill="D9D9D9" w:themeFill="background1" w:themeFillShade="D9"/>
          </w:tcPr>
          <w:p>
            <w:pPr>
              <w:pStyle w:val="Text1"/>
              <w:ind w:left="0"/>
              <w:jc w:val="center"/>
              <w:rPr>
                <w:b/>
                <w:noProof/>
              </w:rPr>
            </w:pPr>
            <w:r>
              <w:rPr>
                <w:b/>
                <w:noProof/>
              </w:rPr>
              <w:t>KRITISK</w:t>
            </w:r>
          </w:p>
        </w:tc>
        <w:tc>
          <w:tcPr>
            <w:tcW w:w="5528" w:type="dxa"/>
          </w:tcPr>
          <w:p>
            <w:pPr>
              <w:pStyle w:val="Text1"/>
              <w:ind w:left="0"/>
              <w:rPr>
                <w:rFonts w:eastAsia="Calibri"/>
                <w:noProof/>
                <w:color w:val="000000"/>
                <w:szCs w:val="24"/>
              </w:rPr>
            </w:pPr>
            <w:r>
              <w:rPr>
                <w:noProof/>
              </w:rPr>
              <w:t>&gt; = 95,00 % af hændelser – KRITISK PRIORITET – skal løses inden for den aftalte løsningsfrist (5 arbejdstimer).</w:t>
            </w:r>
          </w:p>
        </w:tc>
      </w:tr>
      <w:tr>
        <w:tc>
          <w:tcPr>
            <w:tcW w:w="2693" w:type="dxa"/>
            <w:shd w:val="clear" w:color="auto" w:fill="D9D9D9" w:themeFill="background1" w:themeFillShade="D9"/>
          </w:tcPr>
          <w:p>
            <w:pPr>
              <w:pStyle w:val="Text1"/>
              <w:ind w:left="0"/>
              <w:jc w:val="center"/>
              <w:rPr>
                <w:b/>
                <w:noProof/>
              </w:rPr>
            </w:pPr>
            <w:r>
              <w:rPr>
                <w:b/>
                <w:noProof/>
              </w:rPr>
              <w:t>HØJ</w:t>
            </w:r>
          </w:p>
        </w:tc>
        <w:tc>
          <w:tcPr>
            <w:tcW w:w="5528" w:type="dxa"/>
          </w:tcPr>
          <w:p>
            <w:pPr>
              <w:pStyle w:val="Text1"/>
              <w:ind w:left="0"/>
              <w:rPr>
                <w:rFonts w:eastAsia="Calibri"/>
                <w:noProof/>
                <w:color w:val="000000"/>
                <w:szCs w:val="24"/>
              </w:rPr>
            </w:pPr>
            <w:r>
              <w:rPr>
                <w:noProof/>
              </w:rPr>
              <w:t>&gt; = 95,00 % af hændelser – HØJ PRIORITET – skal løses inden for den aftalte løsningsfrist (5 arbejdstimer).</w:t>
            </w:r>
          </w:p>
        </w:tc>
      </w:tr>
      <w:tr>
        <w:tc>
          <w:tcPr>
            <w:tcW w:w="2693" w:type="dxa"/>
            <w:shd w:val="clear" w:color="auto" w:fill="D9D9D9" w:themeFill="background1" w:themeFillShade="D9"/>
          </w:tcPr>
          <w:p>
            <w:pPr>
              <w:pStyle w:val="Text1"/>
              <w:ind w:left="0"/>
              <w:jc w:val="center"/>
              <w:rPr>
                <w:b/>
                <w:noProof/>
              </w:rPr>
            </w:pPr>
            <w:r>
              <w:rPr>
                <w:b/>
                <w:noProof/>
              </w:rPr>
              <w:t>MEDIUM</w:t>
            </w:r>
          </w:p>
        </w:tc>
        <w:tc>
          <w:tcPr>
            <w:tcW w:w="5528" w:type="dxa"/>
          </w:tcPr>
          <w:p>
            <w:pPr>
              <w:pStyle w:val="Text1"/>
              <w:ind w:left="0"/>
              <w:rPr>
                <w:rFonts w:eastAsia="Calibri"/>
                <w:noProof/>
                <w:color w:val="000000"/>
                <w:szCs w:val="24"/>
              </w:rPr>
            </w:pPr>
            <w:r>
              <w:rPr>
                <w:noProof/>
              </w:rPr>
              <w:t>&gt; = 95,00 % af hændelser – MEDIUM PRIORITET – skal løses inden for den aftalte løsningsfrist (5 arbejdstimer).</w:t>
            </w:r>
          </w:p>
        </w:tc>
      </w:tr>
    </w:tbl>
    <w:p>
      <w:pPr>
        <w:spacing w:before="60"/>
        <w:jc w:val="center"/>
        <w:rPr>
          <w:rFonts w:eastAsia="Times New Roman"/>
          <w:noProof/>
          <w:sz w:val="20"/>
          <w:szCs w:val="20"/>
        </w:rPr>
      </w:pPr>
      <w:bookmarkStart w:id="202" w:name="_Toc490755349"/>
      <w:r>
        <w:rPr>
          <w:noProof/>
          <w:sz w:val="20"/>
          <w:szCs w:val="20"/>
        </w:rPr>
        <w:t>Tabel 9: Grænse for løsningsdage for hændelser</w:t>
      </w:r>
      <w:bookmarkEnd w:id="202"/>
    </w:p>
    <w:p>
      <w:pPr>
        <w:pStyle w:val="ManualHeading1"/>
        <w:rPr>
          <w:noProof/>
        </w:rPr>
      </w:pPr>
      <w:r>
        <w:rPr>
          <w:noProof/>
        </w:rPr>
        <w:t>6.</w:t>
      </w:r>
      <w:r>
        <w:rPr>
          <w:noProof/>
        </w:rPr>
        <w:tab/>
      </w:r>
      <w:r>
        <w:rPr>
          <w:noProof/>
          <w:u w:val="single"/>
        </w:rPr>
        <w:t>GODKENDELSE AF SLA</w:t>
      </w:r>
    </w:p>
    <w:p>
      <w:pPr>
        <w:pStyle w:val="Text1"/>
        <w:rPr>
          <w:noProof/>
        </w:rPr>
      </w:pPr>
      <w:r>
        <w:rPr>
          <w:noProof/>
        </w:rPr>
        <w:t>Serviceleveranceaftalen skal godkendes af det blandede udvalg, før den kan træde i kraft.</w:t>
      </w:r>
    </w:p>
    <w:p>
      <w:pPr>
        <w:pStyle w:val="ManualHeading1"/>
        <w:rPr>
          <w:noProof/>
        </w:rPr>
      </w:pPr>
      <w:r>
        <w:rPr>
          <w:noProof/>
        </w:rPr>
        <w:t>7.</w:t>
      </w:r>
      <w:r>
        <w:rPr>
          <w:noProof/>
        </w:rPr>
        <w:tab/>
      </w:r>
      <w:r>
        <w:rPr>
          <w:noProof/>
          <w:u w:val="single"/>
        </w:rPr>
        <w:t>ÆNDRINGER AF SLA</w:t>
      </w:r>
    </w:p>
    <w:p>
      <w:pPr>
        <w:pStyle w:val="Text1"/>
        <w:rPr>
          <w:noProof/>
        </w:rPr>
      </w:pPr>
      <w:r>
        <w:rPr>
          <w:noProof/>
        </w:rPr>
        <w:t xml:space="preserve">CCN/CSI SLA revideres efter skriftlig anmodning fra Kommissionen eller Norge til det blandede udvalg. </w:t>
      </w:r>
    </w:p>
    <w:p>
      <w:pPr>
        <w:pStyle w:val="Text1"/>
        <w:rPr>
          <w:noProof/>
        </w:rPr>
      </w:pPr>
      <w:r>
        <w:rPr>
          <w:noProof/>
        </w:rPr>
        <w:t>Bestemmelserne i den gældende CCN/CSI SLA er i kraft, indtil det blandede udvalg har truffet afgørelse om de foreslåede ændringer. Det blandede udvalg er det beslutningstagende organ for den gældende CCN/CSI SLA.</w:t>
      </w:r>
    </w:p>
    <w:p>
      <w:pPr>
        <w:pStyle w:val="ManualHeading1"/>
        <w:rPr>
          <w:noProof/>
        </w:rPr>
      </w:pPr>
      <w:r>
        <w:rPr>
          <w:noProof/>
        </w:rPr>
        <w:t>8.</w:t>
      </w:r>
      <w:r>
        <w:rPr>
          <w:noProof/>
        </w:rPr>
        <w:tab/>
      </w:r>
      <w:r>
        <w:rPr>
          <w:noProof/>
          <w:u w:val="single"/>
        </w:rPr>
        <w:t>KONTAKTPUNKT</w:t>
      </w:r>
    </w:p>
    <w:p>
      <w:pPr>
        <w:pStyle w:val="Text1"/>
        <w:rPr>
          <w:noProof/>
        </w:rPr>
      </w:pPr>
      <w:r>
        <w:rPr>
          <w:noProof/>
        </w:rPr>
        <w:t>ITSM3 Operations fungerer som kontaktpunkt for alle operationelle ydelser. Kontaktoplysninger:</w:t>
      </w:r>
    </w:p>
    <w:tbl>
      <w:tblPr>
        <w:tblStyle w:val="TableGrid"/>
        <w:tblW w:w="8221"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1"/>
      </w:tblGrid>
      <w:tr>
        <w:tc>
          <w:tcPr>
            <w:tcW w:w="8221" w:type="dxa"/>
          </w:tcPr>
          <w:p>
            <w:pPr>
              <w:pStyle w:val="Text1"/>
              <w:spacing w:before="0"/>
              <w:ind w:left="0"/>
              <w:rPr>
                <w:noProof/>
              </w:rPr>
            </w:pPr>
            <w:r>
              <w:rPr>
                <w:noProof/>
              </w:rPr>
              <w:t>ITSM3 Operations – IBM</w:t>
            </w:r>
          </w:p>
        </w:tc>
      </w:tr>
      <w:tr>
        <w:tc>
          <w:tcPr>
            <w:tcW w:w="8221" w:type="dxa"/>
          </w:tcPr>
          <w:p>
            <w:pPr>
              <w:pStyle w:val="Text1"/>
              <w:spacing w:before="0"/>
              <w:ind w:left="0"/>
              <w:rPr>
                <w:noProof/>
              </w:rPr>
            </w:pPr>
            <w:r>
              <w:rPr>
                <w:noProof/>
              </w:rPr>
              <w:sym w:font="Wingdings" w:char="F028"/>
            </w:r>
            <w:r>
              <w:rPr>
                <w:noProof/>
              </w:rPr>
              <w:t xml:space="preserve"> Frikaldsnummer: + 800 7777 4477</w:t>
            </w:r>
          </w:p>
        </w:tc>
      </w:tr>
      <w:tr>
        <w:tc>
          <w:tcPr>
            <w:tcW w:w="8221" w:type="dxa"/>
          </w:tcPr>
          <w:p>
            <w:pPr>
              <w:pStyle w:val="Text1"/>
              <w:spacing w:before="0"/>
              <w:ind w:left="0"/>
              <w:rPr>
                <w:noProof/>
              </w:rPr>
            </w:pPr>
            <w:r>
              <w:rPr>
                <w:noProof/>
              </w:rPr>
              <w:sym w:font="Wingdings" w:char="F029"/>
            </w:r>
            <w:r>
              <w:rPr>
                <w:noProof/>
              </w:rPr>
              <w:t xml:space="preserve"> Betalt af kaldende part: + 40 214 058 422</w:t>
            </w:r>
          </w:p>
        </w:tc>
      </w:tr>
      <w:tr>
        <w:tc>
          <w:tcPr>
            <w:tcW w:w="8221" w:type="dxa"/>
          </w:tcPr>
          <w:p>
            <w:pPr>
              <w:pStyle w:val="Text1"/>
              <w:spacing w:before="0"/>
              <w:ind w:left="0"/>
              <w:rPr>
                <w:noProof/>
              </w:rPr>
            </w:pPr>
            <w:r>
              <w:rPr>
                <w:noProof/>
              </w:rPr>
              <w:sym w:font="Wingdings" w:char="F02A"/>
            </w:r>
            <w:r>
              <w:rPr>
                <w:noProof/>
              </w:rPr>
              <w:t xml:space="preserve"> </w:t>
            </w:r>
            <w:hyperlink r:id="rId32" w:history="1">
              <w:r>
                <w:rPr>
                  <w:noProof/>
                </w:rPr>
                <w:t>support@itsmtaxud.europa.eu</w:t>
              </w:r>
            </w:hyperlink>
          </w:p>
        </w:tc>
      </w:tr>
      <w:tr>
        <w:tc>
          <w:tcPr>
            <w:tcW w:w="8221" w:type="dxa"/>
          </w:tcPr>
          <w:p>
            <w:pPr>
              <w:pStyle w:val="Text1"/>
              <w:spacing w:before="0"/>
              <w:ind w:left="0"/>
              <w:rPr>
                <w:noProof/>
              </w:rPr>
            </w:pPr>
            <w:r>
              <w:rPr>
                <w:noProof/>
              </w:rPr>
              <w:sym w:font="Webdings" w:char="F0FC"/>
            </w:r>
            <w:r>
              <w:rPr>
                <w:noProof/>
              </w:rPr>
              <w:t xml:space="preserve"> </w:t>
            </w:r>
            <w:hyperlink r:id="rId33" w:history="1">
              <w:r>
                <w:rPr>
                  <w:noProof/>
                </w:rPr>
                <w:t>http://portal.ccntc.ccncsi.int:8080/portal</w:t>
              </w:r>
            </w:hyperlink>
            <w:r>
              <w:rPr>
                <w:noProof/>
              </w:rPr>
              <w:tab/>
            </w:r>
            <w:r>
              <w:rPr>
                <w:noProof/>
              </w:rPr>
              <w:br/>
              <w:t>(CCN-webportalen – til CCN-registrerede brugere)</w:t>
            </w:r>
          </w:p>
        </w:tc>
      </w:tr>
      <w:tr>
        <w:tc>
          <w:tcPr>
            <w:tcW w:w="8221" w:type="dxa"/>
          </w:tcPr>
          <w:p>
            <w:pPr>
              <w:pStyle w:val="Text1"/>
              <w:spacing w:before="0"/>
              <w:ind w:left="0"/>
              <w:rPr>
                <w:noProof/>
              </w:rPr>
            </w:pPr>
            <w:r>
              <w:rPr>
                <w:noProof/>
              </w:rPr>
              <w:sym w:font="Webdings" w:char="F0FC"/>
            </w:r>
            <w:r>
              <w:rPr>
                <w:noProof/>
              </w:rPr>
              <w:t xml:space="preserve"> </w:t>
            </w:r>
            <w:hyperlink r:id="rId34" w:history="1">
              <w:r>
                <w:rPr>
                  <w:noProof/>
                </w:rPr>
                <w:t>https://itsmtaxud.europa.eu/smt/ess.do</w:t>
              </w:r>
            </w:hyperlink>
            <w:r>
              <w:rPr>
                <w:noProof/>
              </w:rPr>
              <w:tab/>
            </w:r>
            <w:r>
              <w:rPr>
                <w:noProof/>
              </w:rPr>
              <w:br/>
            </w:r>
            <w:hyperlink r:id="rId35" w:history="1">
              <w:r>
                <w:rPr>
                  <w:noProof/>
                </w:rPr>
                <w:t>(ITSM-webportalen – til servicekald)</w:t>
              </w:r>
            </w:hyperlink>
          </w:p>
        </w:tc>
      </w:tr>
    </w:tbl>
    <w:p>
      <w:pPr>
        <w:spacing w:before="360" w:after="60"/>
        <w:jc w:val="left"/>
        <w:rPr>
          <w:rFonts w:eastAsia="Calibri"/>
          <w:i/>
          <w:noProof/>
          <w:szCs w:val="20"/>
        </w:rPr>
      </w:pPr>
      <w:r>
        <w:rPr>
          <w:i/>
          <w:noProof/>
          <w:szCs w:val="20"/>
        </w:rPr>
        <w:t xml:space="preserve">Dato </w:t>
      </w:r>
    </w:p>
    <w:p>
      <w:pPr>
        <w:rPr>
          <w:noProof/>
        </w:rPr>
        <w:sectPr>
          <w:pgSz w:w="11907" w:h="16839"/>
          <w:pgMar w:top="1134" w:right="1417" w:bottom="1134" w:left="1417" w:header="709" w:footer="709" w:gutter="0"/>
          <w:cols w:space="720"/>
          <w:docGrid w:linePitch="360"/>
        </w:sectPr>
      </w:pPr>
    </w:p>
    <w:p>
      <w:pPr>
        <w:pStyle w:val="Annexetitre"/>
        <w:rPr>
          <w:noProof/>
        </w:rPr>
      </w:pPr>
      <w:r>
        <w:rPr>
          <w:noProof/>
        </w:rPr>
        <w:lastRenderedPageBreak/>
        <w:t>TILLÆG 6</w:t>
      </w:r>
    </w:p>
    <w:p>
      <w:pPr>
        <w:pStyle w:val="NormalCentered"/>
        <w:rPr>
          <w:b/>
          <w:noProof/>
        </w:rPr>
      </w:pPr>
      <w:r>
        <w:rPr>
          <w:b/>
          <w:noProof/>
        </w:rPr>
        <w:t>Udkast</w:t>
      </w:r>
      <w:r>
        <w:rPr>
          <w:b/>
          <w:noProof/>
        </w:rPr>
        <w:br/>
        <w:t>AFGØRELSE nr. 6/[dato] fra det blandede udvalg af [dato]</w:t>
      </w:r>
      <w:r>
        <w:rPr>
          <w:b/>
          <w:noProof/>
        </w:rPr>
        <w:br/>
        <w:t>om vedtagelse af størrelsen af og de nærmere bestemmelser vedrørende det finansielle bidrag, som Norge skal indbetale til Den Europæiske Unions almindelige budget for så vidt angår omkostningerne ved landets deltagelse i de europæiske informationssystemer</w:t>
      </w:r>
    </w:p>
    <w:p>
      <w:pPr>
        <w:keepNext/>
        <w:spacing w:before="360"/>
        <w:rPr>
          <w:noProof/>
        </w:rPr>
      </w:pPr>
      <w:r>
        <w:rPr>
          <w:noProof/>
        </w:rPr>
        <w:t>DET BLANDEDE UDVALG, der er nedsat ved artikel 41, stk. 1, i aftalen mellem Den Europæiske Union og Kongeriget Norge om administrativt samarbejde, bekæmpelse af svig og inddrivelse af fordringer på momsområdet (i det følgende benævnt "aftalen"), har —</w:t>
      </w:r>
    </w:p>
    <w:p>
      <w:pPr>
        <w:rPr>
          <w:noProof/>
        </w:rPr>
      </w:pPr>
      <w:r>
        <w:rPr>
          <w:noProof/>
        </w:rPr>
        <w:t>ud fra følgende betragtninger:</w:t>
      </w:r>
    </w:p>
    <w:p>
      <w:pPr>
        <w:pStyle w:val="Point0letter"/>
        <w:numPr>
          <w:ilvl w:val="1"/>
          <w:numId w:val="34"/>
        </w:numPr>
        <w:rPr>
          <w:noProof/>
          <w:szCs w:val="24"/>
        </w:rPr>
      </w:pPr>
      <w:r>
        <w:rPr>
          <w:noProof/>
        </w:rPr>
        <w:t xml:space="preserve">I Europa-Parlamentets og Rådets forordning (EU) nr. 1286/2013 af 11. december 2013 om fastlæggelse af et handlingsprogram til forbedring af virkemåden for beskatningssystemer i Den Europæiske Union for perioden 2014-2020 (Fiscalis 2020) fastlægges reglerne for udvikling, drift og vedligeholdelse af europæiske informationssystemer. </w:t>
      </w:r>
    </w:p>
    <w:p>
      <w:pPr>
        <w:pStyle w:val="Point0letter"/>
        <w:numPr>
          <w:ilvl w:val="1"/>
          <w:numId w:val="34"/>
        </w:numPr>
        <w:rPr>
          <w:noProof/>
        </w:rPr>
      </w:pPr>
      <w:r>
        <w:rPr>
          <w:noProof/>
        </w:rPr>
        <w:t>Det fælles kommunikationsnet/den fælles systemgrænseflade og elektroniske formularer, der skal vedtages i henhold til aftalens artikel 41, stk. 2, litra d), er EU-komponenter af de europæiske informationssystemer, der er omhandlet i punkt A i bilaget til forordning (EU) nr. 1286/2013.</w:t>
      </w:r>
    </w:p>
    <w:p>
      <w:pPr>
        <w:pStyle w:val="Point0letter"/>
        <w:numPr>
          <w:ilvl w:val="1"/>
          <w:numId w:val="34"/>
        </w:numPr>
        <w:rPr>
          <w:noProof/>
          <w:szCs w:val="24"/>
        </w:rPr>
      </w:pPr>
      <w:r>
        <w:rPr>
          <w:noProof/>
        </w:rPr>
        <w:t>I henhold til artikel 9, stk. 3, i forordning (EU) nr. 1286/2013 er ikkedeltagende landes brug af EU-komponenterne af de europæiske informationssystemer underlagt aftaler med disse lande, som indgås i overensstemmelse med artikel 218 i traktaten om Den Europæiske Unions funktionsmåde.</w:t>
      </w:r>
    </w:p>
    <w:p>
      <w:pPr>
        <w:pStyle w:val="Point0letter"/>
        <w:numPr>
          <w:ilvl w:val="1"/>
          <w:numId w:val="34"/>
        </w:numPr>
        <w:rPr>
          <w:noProof/>
          <w:szCs w:val="24"/>
        </w:rPr>
      </w:pPr>
      <w:r>
        <w:rPr>
          <w:noProof/>
        </w:rPr>
        <w:t>Det er nødvendigt at vedtage praktiske foranstaltninger til gennemførelse af aftalens artikel 41, stk. 2, litra f) —</w:t>
      </w:r>
    </w:p>
    <w:p>
      <w:pPr>
        <w:pStyle w:val="Formuledadoption"/>
        <w:rPr>
          <w:noProof/>
        </w:rPr>
      </w:pPr>
      <w:r>
        <w:rPr>
          <w:noProof/>
        </w:rPr>
        <w:t>VEDTAGET DENNE AFGØRELSE:</w:t>
      </w:r>
    </w:p>
    <w:p>
      <w:pPr>
        <w:pStyle w:val="Titrearticle"/>
        <w:rPr>
          <w:noProof/>
        </w:rPr>
      </w:pPr>
      <w:r>
        <w:rPr>
          <w:noProof/>
        </w:rPr>
        <w:t>Artikel 1</w:t>
      </w:r>
    </w:p>
    <w:p>
      <w:pPr>
        <w:pStyle w:val="Titrearticle"/>
        <w:rPr>
          <w:b/>
          <w:i w:val="0"/>
          <w:noProof/>
        </w:rPr>
      </w:pPr>
      <w:r>
        <w:rPr>
          <w:b/>
          <w:i w:val="0"/>
          <w:noProof/>
        </w:rPr>
        <w:t xml:space="preserve">Installationsomkostninger </w:t>
      </w:r>
    </w:p>
    <w:p>
      <w:pPr>
        <w:spacing w:before="0" w:after="0"/>
        <w:rPr>
          <w:noProof/>
        </w:rPr>
      </w:pPr>
      <w:r>
        <w:rPr>
          <w:noProof/>
        </w:rPr>
        <w:t>De indledende omkostninger, der skal betales af Kongeriget Norge for etableringen af adgangen til virtuelle private net, er 20 000 EUR.</w:t>
      </w:r>
    </w:p>
    <w:p>
      <w:pPr>
        <w:spacing w:before="0" w:after="0"/>
        <w:rPr>
          <w:noProof/>
        </w:rPr>
      </w:pPr>
      <w:r>
        <w:rPr>
          <w:noProof/>
        </w:rPr>
        <w:t>Beløbet indbetales senest 60 dage efter vedtagelsen af denne afgørelse.</w:t>
      </w:r>
    </w:p>
    <w:p>
      <w:pPr>
        <w:pStyle w:val="Titrearticle"/>
        <w:rPr>
          <w:noProof/>
        </w:rPr>
      </w:pPr>
      <w:r>
        <w:rPr>
          <w:noProof/>
        </w:rPr>
        <w:t>Artikel 2</w:t>
      </w:r>
    </w:p>
    <w:p>
      <w:pPr>
        <w:pStyle w:val="Titrearticle"/>
        <w:rPr>
          <w:b/>
          <w:i w:val="0"/>
          <w:noProof/>
        </w:rPr>
      </w:pPr>
      <w:r>
        <w:rPr>
          <w:b/>
          <w:i w:val="0"/>
          <w:noProof/>
        </w:rPr>
        <w:t>Årligt finansielt bidrag</w:t>
      </w:r>
    </w:p>
    <w:p>
      <w:pPr>
        <w:rPr>
          <w:noProof/>
        </w:rPr>
      </w:pPr>
      <w:r>
        <w:rPr>
          <w:noProof/>
        </w:rPr>
        <w:t>Det årlige finansielle bidrag, som Norge skal indbetale til Den Europæiske Unions almindelige budget, er 20 000 EUR. Beløbet indbetales senest den 1. september hvert år.</w:t>
      </w:r>
    </w:p>
    <w:p>
      <w:pPr>
        <w:rPr>
          <w:noProof/>
        </w:rPr>
      </w:pPr>
      <w:r>
        <w:rPr>
          <w:noProof/>
        </w:rPr>
        <w:t xml:space="preserve">Bidraget dækker omkostningerne til udvikling, vedligeholdelse og opgradering af IT-løsninger (det fælles kommunikationsnet/den fælles systemgrænseflade, e-formularer). </w:t>
      </w:r>
    </w:p>
    <w:p>
      <w:pPr>
        <w:pStyle w:val="Titrearticle"/>
        <w:rPr>
          <w:noProof/>
        </w:rPr>
      </w:pPr>
      <w:r>
        <w:rPr>
          <w:noProof/>
        </w:rPr>
        <w:lastRenderedPageBreak/>
        <w:t>Artikel 3</w:t>
      </w:r>
    </w:p>
    <w:p>
      <w:pPr>
        <w:pStyle w:val="Titrearticle"/>
        <w:rPr>
          <w:b/>
          <w:i w:val="0"/>
          <w:noProof/>
        </w:rPr>
      </w:pPr>
      <w:r>
        <w:rPr>
          <w:b/>
          <w:i w:val="0"/>
          <w:noProof/>
        </w:rPr>
        <w:t xml:space="preserve">Betalingsmåde </w:t>
      </w:r>
    </w:p>
    <w:p>
      <w:pPr>
        <w:rPr>
          <w:noProof/>
        </w:rPr>
      </w:pPr>
      <w:r>
        <w:rPr>
          <w:noProof/>
        </w:rPr>
        <w:t>Bidragene i henhold til artikel 1 og 2 indbetales til Kommissionens bankkonto denomineret i euro som angivet i debetnotaen.</w:t>
      </w:r>
    </w:p>
    <w:p>
      <w:pPr>
        <w:rPr>
          <w:noProof/>
        </w:rPr>
      </w:pPr>
      <w:r>
        <w:rPr>
          <w:noProof/>
        </w:rPr>
        <w:t>Dato</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fldChar w:fldCharType="begin"/>
    </w:r>
    <w:r>
      <w:instrText xml:space="preserve"> PAGE  \* MERGEFORMAT </w:instrText>
    </w:r>
    <w:r>
      <w:fldChar w:fldCharType="separate"/>
    </w:r>
    <w:r>
      <w:rPr>
        <w:noProof/>
      </w:rPr>
      <w:t>34</w:t>
    </w:r>
    <w:r>
      <w:fldChar w:fldCharType="end"/>
    </w:r>
    <w:r>
      <w:tab/>
    </w:r>
    <w:r>
      <w:tab/>
    </w:r>
    <w:r>
      <w:rPr>
        <w:rFonts w:ascii="Arial" w:hAnsi="Arial" w:cs="Arial"/>
        <w:b/>
        <w:sz w:val="48"/>
      </w:rPr>
      <w:t>DA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Rådets forordning (EU) nr. 904/2010 af 7. oktober 2010 om administrativt samarbejde og bekæmpelse af svig vedrørende merværdiafgift (EUT L 268 af 12.10.2010, s. 1).</w:t>
      </w:r>
    </w:p>
  </w:footnote>
  <w:footnote w:id="2">
    <w:p>
      <w:pPr>
        <w:pStyle w:val="FootnoteText"/>
      </w:pPr>
      <w:r>
        <w:rPr>
          <w:rStyle w:val="FootnoteReference"/>
        </w:rPr>
        <w:footnoteRef/>
      </w:r>
      <w:r>
        <w:tab/>
        <w:t>Rådets direktiv 2010/24/EU af 16. marts 2010 om gensidig bistand ved inddrivelse af fordringer i forbindelse med skatter, afgifter og andre foranstaltninger (EUT L 84 af 31.3.2010, s. 1).</w:t>
      </w:r>
    </w:p>
  </w:footnote>
  <w:footnote w:id="3">
    <w:p>
      <w:pPr>
        <w:pStyle w:val="FootnoteText"/>
        <w:rPr>
          <w:sz w:val="16"/>
          <w:szCs w:val="16"/>
        </w:rPr>
      </w:pPr>
      <w:r>
        <w:rPr>
          <w:rStyle w:val="FootnoteReference"/>
        </w:rPr>
        <w:footnoteRef/>
      </w:r>
      <w:r>
        <w:rPr>
          <w:sz w:val="16"/>
          <w:szCs w:val="16"/>
        </w:rPr>
        <w:tab/>
      </w:r>
      <w:r>
        <w:rPr>
          <w:b/>
          <w:sz w:val="16"/>
          <w:szCs w:val="16"/>
        </w:rPr>
        <w:t>ITIL</w:t>
      </w:r>
      <w:r>
        <w:rPr>
          <w:sz w:val="16"/>
          <w:szCs w:val="16"/>
        </w:rPr>
        <w:t>:</w:t>
      </w:r>
    </w:p>
    <w:p>
      <w:pPr>
        <w:pStyle w:val="FootnoteText"/>
        <w:numPr>
          <w:ilvl w:val="0"/>
          <w:numId w:val="8"/>
        </w:numPr>
        <w:spacing w:before="60"/>
        <w:rPr>
          <w:sz w:val="16"/>
          <w:szCs w:val="16"/>
        </w:rPr>
      </w:pPr>
      <w:hyperlink r:id="rId1" w:history="1">
        <w:r>
          <w:rPr>
            <w:rStyle w:val="Hyperlink"/>
          </w:rPr>
          <w:t>http://www.itil-officialsite.com</w:t>
        </w:r>
      </w:hyperlink>
      <w:r>
        <w:t>.</w:t>
      </w:r>
    </w:p>
    <w:p>
      <w:pPr>
        <w:pStyle w:val="FootnoteText"/>
        <w:numPr>
          <w:ilvl w:val="0"/>
          <w:numId w:val="8"/>
        </w:numPr>
        <w:spacing w:before="60"/>
      </w:pPr>
      <w:hyperlink r:id="rId2" w:history="1">
        <w:r>
          <w:rPr>
            <w:rStyle w:val="Hyperlink"/>
          </w:rPr>
          <w:t>http://www.best-management-practice.com/gempdf/itSMF_An_Introductory_Overview_of_ITIL_V3.pdf</w:t>
        </w:r>
      </w:hyperlink>
      <w:r>
        <w:t>.</w:t>
      </w:r>
    </w:p>
  </w:footnote>
  <w:footnote w:id="4">
    <w:p>
      <w:pPr>
        <w:pStyle w:val="FootnoteText"/>
        <w:rPr>
          <w:sz w:val="18"/>
        </w:rPr>
      </w:pPr>
      <w:r>
        <w:rPr>
          <w:rStyle w:val="FootnoteReference"/>
        </w:rPr>
        <w:footnoteRef/>
      </w:r>
      <w:r>
        <w:rPr>
          <w:sz w:val="18"/>
        </w:rPr>
        <w:tab/>
        <w:t>Knyttet til problem- og ændringsstyringsprocesser i ITIL.</w:t>
      </w:r>
    </w:p>
  </w:footnote>
  <w:footnote w:id="5">
    <w:p>
      <w:pPr>
        <w:pStyle w:val="FootnoteText"/>
        <w:jc w:val="left"/>
        <w:rPr>
          <w:sz w:val="18"/>
        </w:rPr>
      </w:pPr>
      <w:r>
        <w:rPr>
          <w:rStyle w:val="FootnoteReference"/>
        </w:rPr>
        <w:footnoteRef/>
      </w:r>
      <w:r>
        <w:rPr>
          <w:sz w:val="18"/>
        </w:rPr>
        <w:tab/>
        <w:t xml:space="preserve">De tilgængelige dokumentversioner på tidspunktet for udarbejdelsen af denne SLA. </w:t>
      </w:r>
      <w:r>
        <w:t>Læseren opfordres til at kontrollere eventuelle senere opdateringer på</w:t>
      </w:r>
      <w:r>
        <w:rPr>
          <w:sz w:val="18"/>
        </w:rPr>
        <w:t xml:space="preserve"> CCN/CSI-portalen (</w:t>
      </w:r>
      <w:hyperlink r:id="rId3" w:history="1">
        <w:r>
          <w:rPr>
            <w:rStyle w:val="Hyperlink"/>
            <w:sz w:val="18"/>
          </w:rPr>
          <w:t>http://portal.ccntc.ccncsi.int:8080/portal/DesktopDefault.aspx?tabid=1</w:t>
        </w:r>
      </w:hyperlink>
      <w:r>
        <w:rPr>
          <w:sz w:val="18"/>
        </w:rPr>
        <w:t>).</w:t>
      </w:r>
    </w:p>
  </w:footnote>
  <w:footnote w:id="6">
    <w:p>
      <w:pPr>
        <w:pStyle w:val="FootnoteText"/>
        <w:rPr>
          <w:sz w:val="18"/>
        </w:rPr>
      </w:pPr>
      <w:r>
        <w:rPr>
          <w:rStyle w:val="FootnoteReference"/>
        </w:rPr>
        <w:footnoteRef/>
      </w:r>
      <w:r>
        <w:rPr>
          <w:sz w:val="18"/>
        </w:rPr>
        <w:tab/>
        <w:t>Det anbefales at anvende de principper, der er beskrevet i hændelsesstyringen i ITIL.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5C2EECE"/>
    <w:lvl w:ilvl="0">
      <w:start w:val="1"/>
      <w:numFmt w:val="decimal"/>
      <w:pStyle w:val="ListNumber3"/>
      <w:lvlText w:val="%1."/>
      <w:lvlJc w:val="left"/>
      <w:pPr>
        <w:tabs>
          <w:tab w:val="num" w:pos="926"/>
        </w:tabs>
        <w:ind w:left="926" w:hanging="360"/>
      </w:pPr>
    </w:lvl>
  </w:abstractNum>
  <w:abstractNum w:abstractNumId="1">
    <w:nsid w:val="FFFFFF81"/>
    <w:multiLevelType w:val="singleLevel"/>
    <w:tmpl w:val="D4684488"/>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CFE4E2EA"/>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DE4EF154"/>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8"/>
    <w:multiLevelType w:val="singleLevel"/>
    <w:tmpl w:val="1110E3A6"/>
    <w:lvl w:ilvl="0">
      <w:start w:val="1"/>
      <w:numFmt w:val="decimal"/>
      <w:pStyle w:val="ListNumber"/>
      <w:lvlText w:val="%1."/>
      <w:lvlJc w:val="left"/>
      <w:pPr>
        <w:tabs>
          <w:tab w:val="num" w:pos="360"/>
        </w:tabs>
        <w:ind w:left="360" w:hanging="360"/>
      </w:pPr>
    </w:lvl>
  </w:abstractNum>
  <w:abstractNum w:abstractNumId="5">
    <w:nsid w:val="FFFFFF89"/>
    <w:multiLevelType w:val="singleLevel"/>
    <w:tmpl w:val="FCF2569E"/>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pStyle w:val="AppendixHeading1"/>
      <w:lvlText w:val="*"/>
      <w:lvlJc w:val="left"/>
      <w:rPr>
        <w:rFonts w:cs="Times New Roman"/>
      </w:rPr>
    </w:lvl>
  </w:abstractNum>
  <w:abstractNum w:abstractNumId="7">
    <w:nsid w:val="060F2DD4"/>
    <w:multiLevelType w:val="hybridMultilevel"/>
    <w:tmpl w:val="C1A426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302AB5"/>
    <w:multiLevelType w:val="hybridMultilevel"/>
    <w:tmpl w:val="3CC6F8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1BA77B6B"/>
    <w:multiLevelType w:val="hybridMultilevel"/>
    <w:tmpl w:val="0150C4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F22CE3"/>
    <w:multiLevelType w:val="hybridMultilevel"/>
    <w:tmpl w:val="774647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1200DD"/>
    <w:multiLevelType w:val="hybridMultilevel"/>
    <w:tmpl w:val="B6124C82"/>
    <w:lvl w:ilvl="0" w:tplc="37D2FCB6">
      <w:start w:val="1"/>
      <w:numFmt w:val="decimal"/>
      <w:lvlText w:val="[RD.%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nsid w:val="323E24B7"/>
    <w:multiLevelType w:val="hybridMultilevel"/>
    <w:tmpl w:val="0C2435EA"/>
    <w:lvl w:ilvl="0" w:tplc="B2FCED5C">
      <w:start w:val="1"/>
      <w:numFmt w:val="decimal"/>
      <w:lvlText w:val="[AD.%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2D71031"/>
    <w:multiLevelType w:val="multilevel"/>
    <w:tmpl w:val="31226798"/>
    <w:lvl w:ilvl="0">
      <w:start w:val="1"/>
      <w:numFmt w:val="decimal"/>
      <w:pStyle w:val="annex1"/>
      <w:lvlText w:val="A.%1"/>
      <w:lvlJc w:val="left"/>
      <w:pPr>
        <w:tabs>
          <w:tab w:val="num" w:pos="432"/>
        </w:tabs>
        <w:ind w:left="432" w:hanging="432"/>
      </w:pPr>
      <w:rPr>
        <w:rFonts w:hint="default"/>
      </w:rPr>
    </w:lvl>
    <w:lvl w:ilvl="1">
      <w:start w:val="1"/>
      <w:numFmt w:val="decimal"/>
      <w:pStyle w:val="annex2"/>
      <w:lvlText w:val="A.%1.%2"/>
      <w:lvlJc w:val="left"/>
      <w:pPr>
        <w:tabs>
          <w:tab w:val="num" w:pos="576"/>
        </w:tabs>
        <w:ind w:left="576" w:hanging="576"/>
      </w:pPr>
      <w:rPr>
        <w:rFonts w:hint="default"/>
      </w:rPr>
    </w:lvl>
    <w:lvl w:ilvl="2">
      <w:start w:val="1"/>
      <w:numFmt w:val="decimal"/>
      <w:lvlText w:val="A.%1.%2.%3"/>
      <w:lvlJc w:val="left"/>
      <w:pPr>
        <w:tabs>
          <w:tab w:val="num" w:pos="1080"/>
        </w:tabs>
        <w:ind w:left="720" w:hanging="720"/>
      </w:pPr>
      <w:rPr>
        <w:rFonts w:hint="default"/>
      </w:rPr>
    </w:lvl>
    <w:lvl w:ilvl="3">
      <w:start w:val="1"/>
      <w:numFmt w:val="decimal"/>
      <w:lvlText w:val="A.%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CCC3146"/>
    <w:multiLevelType w:val="multilevel"/>
    <w:tmpl w:val="27185194"/>
    <w:lvl w:ilvl="0">
      <w:start w:val="1"/>
      <w:numFmt w:val="decimal"/>
      <w:pStyle w:val="BodyTextIndent"/>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717"/>
        </w:tabs>
        <w:ind w:left="1717"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1">
    <w:nsid w:val="44CD3C66"/>
    <w:multiLevelType w:val="singleLevel"/>
    <w:tmpl w:val="86DC3E04"/>
    <w:lvl w:ilvl="0">
      <w:start w:val="1"/>
      <w:numFmt w:val="bullet"/>
      <w:pStyle w:val="List2bullet"/>
      <w:lvlText w:val=""/>
      <w:lvlJc w:val="left"/>
      <w:pPr>
        <w:tabs>
          <w:tab w:val="num" w:pos="360"/>
        </w:tabs>
        <w:ind w:left="360" w:hanging="360"/>
      </w:pPr>
      <w:rPr>
        <w:rFonts w:ascii="Symbol" w:hAnsi="Symbol" w:hint="default"/>
      </w:rPr>
    </w:lvl>
  </w:abstractNum>
  <w:abstractNum w:abstractNumId="2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nsid w:val="4D433F64"/>
    <w:multiLevelType w:val="multilevel"/>
    <w:tmpl w:val="5746A71E"/>
    <w:lvl w:ilvl="0">
      <w:start w:val="1"/>
      <w:numFmt w:val="upperLetter"/>
      <w:pStyle w:val="Happ1"/>
      <w:lvlText w:val="%1"/>
      <w:lvlJc w:val="left"/>
      <w:pPr>
        <w:tabs>
          <w:tab w:val="num" w:pos="851"/>
        </w:tabs>
        <w:ind w:left="851" w:hanging="851"/>
      </w:pPr>
      <w:rPr>
        <w:rFonts w:cs="Times New Roman"/>
      </w:rPr>
    </w:lvl>
    <w:lvl w:ilvl="1">
      <w:start w:val="1"/>
      <w:numFmt w:val="decimal"/>
      <w:lvlText w:val="%1.%2"/>
      <w:lvlJc w:val="left"/>
      <w:pPr>
        <w:tabs>
          <w:tab w:val="num" w:pos="1440"/>
        </w:tabs>
        <w:ind w:left="1440" w:hanging="1440"/>
      </w:pPr>
      <w:rPr>
        <w:rFonts w:cs="Times New Roman"/>
      </w:rPr>
    </w:lvl>
    <w:lvl w:ilvl="2">
      <w:start w:val="1"/>
      <w:numFmt w:val="decimal"/>
      <w:lvlText w:val="%1.%2.%3"/>
      <w:lvlJc w:val="left"/>
      <w:pPr>
        <w:tabs>
          <w:tab w:val="num" w:pos="1440"/>
        </w:tabs>
        <w:ind w:left="1440" w:hanging="144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5"/>
      <w:lvlJc w:val="left"/>
      <w:pPr>
        <w:tabs>
          <w:tab w:val="num" w:pos="720"/>
        </w:tabs>
        <w:ind w:left="720" w:hanging="720"/>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nsid w:val="59A976DA"/>
    <w:multiLevelType w:val="hybridMultilevel"/>
    <w:tmpl w:val="AF002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B1169B3"/>
    <w:multiLevelType w:val="multilevel"/>
    <w:tmpl w:val="9ABA77FC"/>
    <w:lvl w:ilvl="0">
      <w:start w:val="1"/>
      <w:numFmt w:val="decimal"/>
      <w:lvlText w:val="ANNEX – %1"/>
      <w:lvlJc w:val="left"/>
      <w:pPr>
        <w:tabs>
          <w:tab w:val="num" w:pos="1440"/>
        </w:tabs>
        <w:ind w:left="432" w:hanging="432"/>
      </w:pPr>
      <w:rPr>
        <w:rFonts w:cs="Times New Roman"/>
      </w:rPr>
    </w:lvl>
    <w:lvl w:ilvl="1">
      <w:start w:val="1"/>
      <w:numFmt w:val="decimal"/>
      <w:pStyle w:val="AnnexHeading2"/>
      <w:suff w:val="space"/>
      <w:lvlText w:val="A.%2"/>
      <w:lvlJc w:val="left"/>
      <w:pPr>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2">
    <w:nsid w:val="6DF35871"/>
    <w:multiLevelType w:val="hybridMultilevel"/>
    <w:tmpl w:val="80FCBD30"/>
    <w:lvl w:ilvl="0" w:tplc="04090005">
      <w:start w:val="1"/>
      <w:numFmt w:val="bullet"/>
      <w:lvlText w:val=""/>
      <w:lvlJc w:val="left"/>
      <w:pPr>
        <w:ind w:left="720" w:hanging="360"/>
      </w:pPr>
      <w:rPr>
        <w:rFonts w:ascii="Wingdings" w:hAnsi="Wingdings" w:hint="default"/>
      </w:rPr>
    </w:lvl>
    <w:lvl w:ilvl="1" w:tplc="78525EC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6A6FD8"/>
    <w:multiLevelType w:val="hybridMultilevel"/>
    <w:tmpl w:val="F49C8A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41365C"/>
    <w:multiLevelType w:val="hybridMultilevel"/>
    <w:tmpl w:val="51743C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3"/>
  </w:num>
  <w:num w:numId="3">
    <w:abstractNumId w:val="2"/>
  </w:num>
  <w:num w:numId="4">
    <w:abstractNumId w:val="1"/>
  </w:num>
  <w:num w:numId="5">
    <w:abstractNumId w:val="4"/>
  </w:num>
  <w:num w:numId="6">
    <w:abstractNumId w:val="0"/>
  </w:num>
  <w:num w:numId="7">
    <w:abstractNumId w:val="12"/>
  </w:num>
  <w:num w:numId="8">
    <w:abstractNumId w:val="25"/>
  </w:num>
  <w:num w:numId="9">
    <w:abstractNumId w:val="6"/>
    <w:lvlOverride w:ilvl="0">
      <w:lvl w:ilvl="0">
        <w:start w:val="1"/>
        <w:numFmt w:val="bullet"/>
        <w:pStyle w:val="AppendixHeading1"/>
        <w:lvlText w:val=""/>
        <w:legacy w:legacy="1" w:legacySpace="0" w:legacyIndent="283"/>
        <w:lvlJc w:val="left"/>
        <w:pPr>
          <w:ind w:left="283" w:hanging="283"/>
        </w:pPr>
        <w:rPr>
          <w:rFonts w:ascii="Symbol" w:hAnsi="Symbol" w:hint="default"/>
        </w:rPr>
      </w:lvl>
    </w:lvlOverride>
  </w:num>
  <w:num w:numId="10">
    <w:abstractNumId w:val="18"/>
  </w:num>
  <w:num w:numId="11">
    <w:abstractNumId w:val="23"/>
  </w:num>
  <w:num w:numId="12">
    <w:abstractNumId w:val="26"/>
  </w:num>
  <w:num w:numId="13">
    <w:abstractNumId w:val="21"/>
  </w:num>
  <w:num w:numId="14">
    <w:abstractNumId w:val="34"/>
  </w:num>
  <w:num w:numId="15">
    <w:abstractNumId w:val="33"/>
  </w:num>
  <w:num w:numId="16">
    <w:abstractNumId w:val="10"/>
  </w:num>
  <w:num w:numId="17">
    <w:abstractNumId w:val="8"/>
  </w:num>
  <w:num w:numId="18">
    <w:abstractNumId w:val="32"/>
  </w:num>
  <w:num w:numId="19">
    <w:abstractNumId w:val="17"/>
  </w:num>
  <w:num w:numId="20">
    <w:abstractNumId w:val="7"/>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num>
  <w:num w:numId="30">
    <w:abstractNumId w:val="31"/>
    <w:lvlOverride w:ilvl="0">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num>
  <w:num w:numId="33">
    <w:abstractNumId w:val="16"/>
  </w:num>
  <w:num w:numId="3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29"/>
  </w:num>
  <w:num w:numId="40">
    <w:abstractNumId w:val="19"/>
  </w:num>
  <w:num w:numId="41">
    <w:abstractNumId w:val="31"/>
  </w:num>
  <w:num w:numId="42">
    <w:abstractNumId w:val="15"/>
  </w:num>
  <w:num w:numId="43">
    <w:abstractNumId w:val="20"/>
  </w:num>
  <w:num w:numId="44">
    <w:abstractNumId w:val="13"/>
  </w:num>
  <w:num w:numId="45">
    <w:abstractNumId w:val="30"/>
  </w:num>
  <w:num w:numId="46">
    <w:abstractNumId w:val="9"/>
  </w:num>
  <w:num w:numId="47">
    <w:abstractNumId w:val="22"/>
  </w:num>
  <w:num w:numId="48">
    <w:abstractNumId w:val="27"/>
  </w:num>
  <w:num w:numId="49">
    <w:abstractNumId w:val="28"/>
  </w:num>
  <w:num w:numId="50">
    <w:abstractNumId w:val="14"/>
  </w:num>
  <w:num w:numId="51">
    <w:abstractNumId w:val="24"/>
  </w:num>
  <w:num w:numId="52">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hideSpellingErrors/>
  <w:hideGrammaticalErrors/>
  <w:attachedTemplate r:id="rId1"/>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12-10 15:52:5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ACCOMPAGNANT" w:val="Forslag til"/>
    <w:docVar w:name="LW_ACCOMPAGNANT.CP" w:val="Forslag til"/>
    <w:docVar w:name="LW_ANNEX_NBR_FIRST" w:val="1"/>
    <w:docVar w:name="LW_ANNEX_NBR_LAST" w:val="6"/>
    <w:docVar w:name="LW_ANNEX_UNIQUE" w:val="0"/>
    <w:docVar w:name="LW_CORRIGENDUM" w:val="&lt;UNUSED&gt;"/>
    <w:docVar w:name="LW_COVERPAGE_EXISTS" w:val="True"/>
    <w:docVar w:name="LW_COVERPAGE_GUID" w:val="F57B9CB6-DE54-4551-B3FD-00F2652DD118"/>
    <w:docVar w:name="LW_COVERPAGE_TYPE" w:val="1"/>
    <w:docVar w:name="LW_CROSSREFERENCE" w:val="&lt;UNUSED&gt;"/>
    <w:docVar w:name="LW_DocType" w:val="ANNEX"/>
    <w:docVar w:name="LW_EMISSION" w:val="12.12.2018"/>
    <w:docVar w:name="LW_EMISSION_ISODATE" w:val="2018-12-12"/>
    <w:docVar w:name="LW_EMISSION_LOCATION" w:val="BRX"/>
    <w:docVar w:name="LW_EMISSION_PREFIX" w:val="Bruxelles, den "/>
    <w:docVar w:name="LW_EMISSION_SUFFIX" w:val=" "/>
    <w:docVar w:name="LW_ID_DOCSTRUCTURE" w:val="COM/ANNEX"/>
    <w:docVar w:name="LW_ID_DOCTYPE" w:val="SG-017"/>
    <w:docVar w:name="LW_LANGUE" w:val="DA"/>
    <w:docVar w:name="LW_LEVEL_OF_SENSITIVITY" w:val="Standard treatment"/>
    <w:docVar w:name="LW_NOM.INST" w:val="EUROPA-KOMMISSIONEN"/>
    <w:docVar w:name="LW_NOM.INST_JOINTDOC" w:val="&lt;EMPTY&gt;"/>
    <w:docVar w:name="LW_OBJETACTEPRINCIPAL" w:val="om fastlæggelse af den holdning, der skal indtages på Den Europæiske Unions vegne i det blandede udvalg, der er nedsat ved artikel 41, stk 1 i aftalen mellem Den Europæiske Union og Kongeriget Norge om administrativt samarbejde, bekæmpelse af svig og indragelse af fordringer på momsområdet"/>
    <w:docVar w:name="LW_OBJETACTEPRINCIPAL.CP" w:val="om fastlæggelse af den holdning, der skal indtages på Den Europæiske Unions vegne i det blandede udvalg, der er nedsat ved artikel 41, stk 1 i aftalen mellem Den Europæiske Union og Kongeriget Norge om administrativt samarbejde, bekæmpelse af svig og indragelse af fordringer på momsområdet"/>
    <w:docVar w:name="LW_PART_NBR" w:val="&lt;UNUSED&gt;"/>
    <w:docVar w:name="LW_PART_NBR_TOTAL" w:val="&lt;UNUSED&gt;"/>
    <w:docVar w:name="LW_REF.INST.NEW" w:val="COM"/>
    <w:docVar w:name="LW_REF.INST.NEW_ADOPTED" w:val="final"/>
    <w:docVar w:name="LW_REF.INST.NEW_TEXT" w:val="(2018) 83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BILAG"/>
    <w:docVar w:name="LW_TYPE.DOC.CP" w:val="BILAG"/>
    <w:docVar w:name="LW_TYPEACTEPRINCIPAL" w:val="Rådets afgørelse"/>
    <w:docVar w:name="LW_TYPEACTEPRINCIPAL.CP" w:val="Rådets afgørels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footnote reference" w:uiPriority="99"/>
    <w:lsdException w:name="line number"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Date" w:uiPriority="99"/>
    <w:lsdException w:name="Hyperlink" w:uiPriority="99"/>
    <w:lsdException w:name="Strong" w:semiHidden="0" w:unhideWhenUsed="0" w:qFormat="1"/>
    <w:lsdException w:name="Emphasis" w:semiHidden="0" w:uiPriority="20" w:unhideWhenUsed="0" w:qFormat="1"/>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4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5"/>
      </w:numPr>
      <w:outlineLvl w:val="3"/>
    </w:pPr>
    <w:rPr>
      <w:rFonts w:eastAsiaTheme="majorEastAsia"/>
      <w:bCs/>
      <w:iCs/>
    </w:rPr>
  </w:style>
  <w:style w:type="paragraph" w:styleId="Heading5">
    <w:name w:val="heading 5"/>
    <w:aliases w:val="Heading 5 CFMU,Para 5,h5,t5.T5,T5,Roman list,Bloc,Bloc1,Bloc2,Bloc3,Bloc4,PARA5,Punt 5,Tempo Heading 5,heading5,H5"/>
    <w:basedOn w:val="Normal"/>
    <w:next w:val="Normal"/>
    <w:link w:val="Heading5Char"/>
    <w:qFormat/>
    <w:pPr>
      <w:tabs>
        <w:tab w:val="num" w:pos="0"/>
      </w:tabs>
      <w:spacing w:before="240" w:after="60"/>
      <w:outlineLvl w:val="4"/>
    </w:pPr>
    <w:rPr>
      <w:rFonts w:ascii="Calibri" w:eastAsia="Times New Roman" w:hAnsi="Calibri"/>
      <w:b/>
      <w:bCs/>
      <w:i/>
      <w:iCs/>
      <w:sz w:val="26"/>
      <w:szCs w:val="26"/>
    </w:rPr>
  </w:style>
  <w:style w:type="paragraph" w:styleId="Heading6">
    <w:name w:val="heading 6"/>
    <w:aliases w:val="Heading 6 CFMU,h6,Para 6,t6.T6,Bullet list,Annexe,Annexe1,T6,Title Page,H6"/>
    <w:basedOn w:val="Normal"/>
    <w:next w:val="Normal"/>
    <w:link w:val="Heading6Char"/>
    <w:qFormat/>
    <w:pPr>
      <w:tabs>
        <w:tab w:val="num" w:pos="0"/>
      </w:tabs>
      <w:spacing w:before="240" w:after="60"/>
      <w:outlineLvl w:val="5"/>
    </w:pPr>
    <w:rPr>
      <w:rFonts w:ascii="Calibri" w:eastAsia="Times New Roman" w:hAnsi="Calibri"/>
      <w:b/>
      <w:bCs/>
      <w:sz w:val="22"/>
    </w:rPr>
  </w:style>
  <w:style w:type="paragraph" w:styleId="Heading7">
    <w:name w:val="heading 7"/>
    <w:aliases w:val="Heading 7 CFMU,h7,Para 7,t7.T7,letter list,Annexe 1,H7,lettered list,Annexe2,T7,Heading 7 (do not use)"/>
    <w:basedOn w:val="Normal"/>
    <w:next w:val="Normal"/>
    <w:link w:val="Heading7Char"/>
    <w:qFormat/>
    <w:pPr>
      <w:tabs>
        <w:tab w:val="num" w:pos="0"/>
      </w:tabs>
      <w:spacing w:before="240" w:after="60"/>
      <w:outlineLvl w:val="6"/>
    </w:pPr>
    <w:rPr>
      <w:rFonts w:ascii="Calibri" w:eastAsia="Times New Roman" w:hAnsi="Calibri"/>
      <w:szCs w:val="24"/>
    </w:rPr>
  </w:style>
  <w:style w:type="paragraph" w:styleId="Heading8">
    <w:name w:val="heading 8"/>
    <w:aliases w:val="Heading 8 CFMU,h8,action,bijlkop,Annexe 2,Annexe3,T8,Heading 8 (do not use)"/>
    <w:basedOn w:val="Normal"/>
    <w:next w:val="Normal"/>
    <w:link w:val="Heading8Char"/>
    <w:qFormat/>
    <w:pPr>
      <w:tabs>
        <w:tab w:val="num" w:pos="0"/>
      </w:tabs>
      <w:spacing w:before="240" w:after="60"/>
      <w:outlineLvl w:val="7"/>
    </w:pPr>
    <w:rPr>
      <w:rFonts w:ascii="Calibri" w:eastAsia="Times New Roman" w:hAnsi="Calibri"/>
      <w:i/>
      <w:iCs/>
      <w:szCs w:val="24"/>
    </w:rPr>
  </w:style>
  <w:style w:type="paragraph" w:styleId="Heading9">
    <w:name w:val="heading 9"/>
    <w:aliases w:val="Heading 9 CFMU,h9,App Heading,App Heading1,App Heading2,App Heading3,App Heading4,App Heading5,appendix,Blank 5,9,Bijlagen,progress,Annexe 3,Titre 10,Annexe4,T9,Heading 9 (do not use)"/>
    <w:basedOn w:val="Normal"/>
    <w:next w:val="Normal"/>
    <w:link w:val="Heading9Char"/>
    <w:qFormat/>
    <w:pPr>
      <w:tabs>
        <w:tab w:val="num" w:pos="0"/>
      </w:tabs>
      <w:spacing w:before="240" w:after="60"/>
      <w:outlineLvl w:val="8"/>
    </w:pPr>
    <w:rPr>
      <w:rFonts w:ascii="Cambria" w:eastAsia="Times New Roman" w:hAnsi="Cambria"/>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Date">
    <w:name w:val="Date"/>
    <w:basedOn w:val="Normal"/>
    <w:next w:val="Normal"/>
    <w:link w:val="DateChar"/>
    <w:uiPriority w:val="99"/>
    <w:unhideWhenUsed/>
  </w:style>
  <w:style w:type="character" w:customStyle="1" w:styleId="DateChar">
    <w:name w:val="Date Char"/>
    <w:basedOn w:val="DefaultParagraphFont"/>
    <w:link w:val="Date"/>
    <w:uiPriority w:val="99"/>
    <w:rPr>
      <w:rFonts w:ascii="Times New Roman" w:hAnsi="Times New Roman" w:cs="Times New Roman"/>
      <w:sz w:val="24"/>
      <w:lang w:val="da-DK"/>
    </w:rPr>
  </w:style>
  <w:style w:type="paragraph" w:styleId="ListNumber">
    <w:name w:val="List Number"/>
    <w:basedOn w:val="Normal"/>
    <w:unhideWhenUsed/>
    <w:pPr>
      <w:numPr>
        <w:numId w:val="5"/>
      </w:numPr>
      <w:contextualSpacing/>
    </w:pPr>
  </w:style>
  <w:style w:type="paragraph" w:styleId="ListNumber3">
    <w:name w:val="List Number 3"/>
    <w:basedOn w:val="Normal"/>
    <w:unhideWhenUsed/>
    <w:pPr>
      <w:numPr>
        <w:numId w:val="6"/>
      </w:numPr>
      <w:contextualSpacing/>
    </w:pPr>
  </w:style>
  <w:style w:type="character" w:styleId="Hyperlink">
    <w:name w:val="Hyperlink"/>
    <w:uiPriority w:val="99"/>
    <w:rPr>
      <w:rFonts w:cs="Times New Roman"/>
      <w:color w:val="0000FF"/>
      <w:u w:val="single"/>
    </w:rPr>
  </w:style>
  <w:style w:type="character" w:customStyle="1" w:styleId="Heading5Char">
    <w:name w:val="Heading 5 Char"/>
    <w:aliases w:val="Heading 5 CFMU Char,Para 5 Char,h5 Char,t5.T5 Char,T5 Char,Roman list Char,Bloc Char,Bloc1 Char,Bloc2 Char,Bloc3 Char,Bloc4 Char,PARA5 Char,Punt 5 Char,Tempo Heading 5 Char,heading5 Char,H5 Char"/>
    <w:basedOn w:val="DefaultParagraphFont"/>
    <w:link w:val="Heading5"/>
    <w:rPr>
      <w:rFonts w:ascii="Calibri" w:eastAsia="Times New Roman" w:hAnsi="Calibri" w:cs="Times New Roman"/>
      <w:b/>
      <w:bCs/>
      <w:i/>
      <w:iCs/>
      <w:sz w:val="26"/>
      <w:szCs w:val="26"/>
      <w:lang w:val="da-DK"/>
    </w:rPr>
  </w:style>
  <w:style w:type="character" w:customStyle="1" w:styleId="Heading6Char">
    <w:name w:val="Heading 6 Char"/>
    <w:aliases w:val="Heading 6 CFMU Char,h6 Char,Para 6 Char,t6.T6 Char,Bullet list Char,Annexe Char,Annexe1 Char,T6 Char,Title Page Char,H6 Char"/>
    <w:basedOn w:val="DefaultParagraphFont"/>
    <w:link w:val="Heading6"/>
    <w:rPr>
      <w:rFonts w:ascii="Calibri" w:eastAsia="Times New Roman" w:hAnsi="Calibri" w:cs="Times New Roman"/>
      <w:b/>
      <w:bCs/>
      <w:lang w:val="da-DK"/>
    </w:rPr>
  </w:style>
  <w:style w:type="character" w:customStyle="1" w:styleId="Heading7Char">
    <w:name w:val="Heading 7 Char"/>
    <w:aliases w:val="Heading 7 CFMU Char,h7 Char,Para 7 Char,t7.T7 Char,letter list Char,Annexe 1 Char,H7 Char,lettered list Char,Annexe2 Char,T7 Char,Heading 7 (do not use) Char"/>
    <w:basedOn w:val="DefaultParagraphFont"/>
    <w:link w:val="Heading7"/>
    <w:rPr>
      <w:rFonts w:ascii="Calibri" w:eastAsia="Times New Roman" w:hAnsi="Calibri" w:cs="Times New Roman"/>
      <w:sz w:val="24"/>
      <w:szCs w:val="24"/>
      <w:lang w:val="da-DK"/>
    </w:rPr>
  </w:style>
  <w:style w:type="character" w:customStyle="1" w:styleId="Heading8Char">
    <w:name w:val="Heading 8 Char"/>
    <w:aliases w:val="Heading 8 CFMU Char,h8 Char,action Char,bijlkop Char,Annexe 2 Char,Annexe3 Char,T8 Char,Heading 8 (do not use) Char"/>
    <w:basedOn w:val="DefaultParagraphFont"/>
    <w:link w:val="Heading8"/>
    <w:rPr>
      <w:rFonts w:ascii="Calibri" w:eastAsia="Times New Roman" w:hAnsi="Calibri" w:cs="Times New Roman"/>
      <w:i/>
      <w:iCs/>
      <w:sz w:val="24"/>
      <w:szCs w:val="24"/>
      <w:lang w:val="da-DK"/>
    </w:rPr>
  </w:style>
  <w:style w:type="character" w:customStyle="1" w:styleId="Heading9Char">
    <w:name w:val="Heading 9 Char"/>
    <w:aliases w:val="Heading 9 CFMU Char,h9 Char,App Heading Char,App Heading1 Char,App Heading2 Char,App Heading3 Char,App Heading4 Char,App Heading5 Char,appendix Char,Blank 5 Char,9 Char,Bijlagen Char,progress Char,Annexe 3 Char,Titre 10 Char,Annexe4 Char"/>
    <w:basedOn w:val="DefaultParagraphFont"/>
    <w:link w:val="Heading9"/>
    <w:rPr>
      <w:rFonts w:ascii="Cambria" w:eastAsia="Times New Roman" w:hAnsi="Cambria" w:cs="Times New Roman"/>
      <w:lang w:val="da-DK"/>
    </w:rPr>
  </w:style>
  <w:style w:type="numbering" w:customStyle="1" w:styleId="NoList1">
    <w:name w:val="No List1"/>
    <w:next w:val="NoList"/>
    <w:uiPriority w:val="99"/>
    <w:semiHidden/>
    <w:unhideWhenUsed/>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paragraph" w:styleId="NoSpacing">
    <w:name w:val="No Spacing"/>
    <w:uiPriority w:val="1"/>
    <w:qFormat/>
    <w:pPr>
      <w:spacing w:after="0" w:line="240" w:lineRule="auto"/>
      <w:jc w:val="both"/>
    </w:pPr>
    <w:rPr>
      <w:rFonts w:ascii="Times New Roman" w:hAnsi="Times New Roman" w:cs="Times New Roman"/>
      <w:sz w:val="24"/>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Times New Roman" w:hAnsi="Times New Roman" w:cs="Times New Roman"/>
      <w:sz w:val="20"/>
      <w:szCs w:val="20"/>
      <w:lang w:val="da-DK"/>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lang w:val="da-DK"/>
    </w:rPr>
  </w:style>
  <w:style w:type="paragraph" w:styleId="BalloonText">
    <w:name w:val="Balloon Text"/>
    <w:basedOn w:val="Normal"/>
    <w:link w:val="BalloonTextChar"/>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da-DK"/>
    </w:rPr>
  </w:style>
  <w:style w:type="paragraph" w:styleId="Revision">
    <w:name w:val="Revision"/>
    <w:hidden/>
    <w:uiPriority w:val="99"/>
    <w:semiHidden/>
    <w:pPr>
      <w:spacing w:after="0" w:line="240" w:lineRule="auto"/>
    </w:pPr>
    <w:rPr>
      <w:rFonts w:ascii="Times New Roman" w:hAnsi="Times New Roman" w:cs="Times New Roman"/>
      <w:sz w:val="24"/>
    </w:rPr>
  </w:style>
  <w:style w:type="numbering" w:customStyle="1" w:styleId="NoList11">
    <w:name w:val="No List11"/>
    <w:next w:val="NoList"/>
    <w:uiPriority w:val="99"/>
    <w:semiHidden/>
    <w:unhideWhenUsed/>
  </w:style>
  <w:style w:type="paragraph" w:styleId="BodyText">
    <w:name w:val="Body Text"/>
    <w:basedOn w:val="Normal"/>
    <w:link w:val="BodyTextChar"/>
    <w:pPr>
      <w:spacing w:before="60"/>
      <w:jc w:val="left"/>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da-DK"/>
    </w:rPr>
  </w:style>
  <w:style w:type="paragraph" w:styleId="Caption">
    <w:name w:val="caption"/>
    <w:aliases w:val="CaptionCFMU,CaptionTLS"/>
    <w:basedOn w:val="Normal"/>
    <w:next w:val="Normal"/>
    <w:link w:val="CaptionChar"/>
    <w:qFormat/>
    <w:pPr>
      <w:spacing w:before="60"/>
      <w:jc w:val="center"/>
    </w:pPr>
    <w:rPr>
      <w:rFonts w:ascii="CG Times (W1)" w:eastAsia="Times New Roman" w:hAnsi="CG Times (W1)"/>
      <w:sz w:val="20"/>
      <w:szCs w:val="20"/>
    </w:rPr>
  </w:style>
  <w:style w:type="paragraph" w:customStyle="1" w:styleId="Opmaakprofiel">
    <w:name w:val="Opmaakprofiel"/>
    <w:pPr>
      <w:widowControl w:val="0"/>
      <w:autoSpaceDE w:val="0"/>
      <w:autoSpaceDN w:val="0"/>
      <w:adjustRightInd w:val="0"/>
      <w:spacing w:after="0" w:line="240" w:lineRule="auto"/>
    </w:pPr>
    <w:rPr>
      <w:rFonts w:ascii="Arial" w:eastAsia="Times New Roman" w:hAnsi="Arial" w:cs="Arial"/>
      <w:sz w:val="24"/>
      <w:szCs w:val="24"/>
      <w:lang w:eastAsia="nl-NL"/>
    </w:rPr>
  </w:style>
  <w:style w:type="paragraph" w:styleId="ListParagraph">
    <w:name w:val="List Paragraph"/>
    <w:basedOn w:val="Normal"/>
    <w:uiPriority w:val="34"/>
    <w:qFormat/>
    <w:pPr>
      <w:spacing w:before="0" w:after="200" w:line="276" w:lineRule="auto"/>
      <w:ind w:left="720"/>
      <w:contextualSpacing/>
      <w:jc w:val="left"/>
    </w:pPr>
    <w:rPr>
      <w:rFonts w:ascii="Calibri" w:eastAsia="Calibri" w:hAnsi="Calibri"/>
      <w:sz w:val="22"/>
    </w:rPr>
  </w:style>
  <w:style w:type="paragraph" w:customStyle="1" w:styleId="Base">
    <w:name w:val="Base"/>
    <w:pPr>
      <w:spacing w:before="60" w:after="60" w:line="240" w:lineRule="auto"/>
    </w:pPr>
    <w:rPr>
      <w:rFonts w:ascii="Times New Roman" w:eastAsia="Times New Roman" w:hAnsi="Times New Roman" w:cs="Times New Roman"/>
      <w:sz w:val="24"/>
      <w:szCs w:val="20"/>
    </w:rPr>
  </w:style>
  <w:style w:type="paragraph" w:styleId="NormalIndent">
    <w:name w:val="Normal Indent"/>
    <w:basedOn w:val="Base"/>
    <w:pPr>
      <w:ind w:left="1134"/>
    </w:pPr>
  </w:style>
  <w:style w:type="paragraph" w:styleId="Index7">
    <w:name w:val="index 7"/>
    <w:basedOn w:val="Index6"/>
    <w:next w:val="Normal"/>
    <w:pPr>
      <w:ind w:left="1698"/>
    </w:pPr>
  </w:style>
  <w:style w:type="paragraph" w:styleId="Index6">
    <w:name w:val="index 6"/>
    <w:basedOn w:val="Index5"/>
    <w:next w:val="Normal"/>
    <w:pPr>
      <w:ind w:left="1415"/>
    </w:pPr>
  </w:style>
  <w:style w:type="paragraph" w:styleId="Index5">
    <w:name w:val="index 5"/>
    <w:basedOn w:val="Index4"/>
    <w:next w:val="Normal"/>
    <w:pPr>
      <w:ind w:left="1132"/>
    </w:pPr>
  </w:style>
  <w:style w:type="paragraph" w:styleId="Index4">
    <w:name w:val="index 4"/>
    <w:basedOn w:val="Index3"/>
    <w:next w:val="Normal"/>
    <w:pPr>
      <w:ind w:left="849"/>
    </w:pPr>
  </w:style>
  <w:style w:type="paragraph" w:styleId="Index3">
    <w:name w:val="index 3"/>
    <w:basedOn w:val="Index2"/>
    <w:next w:val="Normal"/>
    <w:pPr>
      <w:ind w:left="566"/>
    </w:pPr>
  </w:style>
  <w:style w:type="paragraph" w:styleId="Index2">
    <w:name w:val="index 2"/>
    <w:basedOn w:val="Index1"/>
    <w:next w:val="Normal"/>
    <w:pPr>
      <w:ind w:left="283"/>
    </w:pPr>
  </w:style>
  <w:style w:type="paragraph" w:styleId="Index1">
    <w:name w:val="index 1"/>
    <w:basedOn w:val="Base"/>
    <w:next w:val="Normal"/>
  </w:style>
  <w:style w:type="paragraph" w:styleId="IndexHeading">
    <w:name w:val="index heading"/>
    <w:basedOn w:val="Base"/>
    <w:next w:val="Index1"/>
  </w:style>
  <w:style w:type="paragraph" w:customStyle="1" w:styleId="NormalItem">
    <w:name w:val="Normal Item"/>
    <w:basedOn w:val="Base"/>
    <w:pPr>
      <w:ind w:left="1134" w:hanging="284"/>
    </w:pPr>
  </w:style>
  <w:style w:type="paragraph" w:customStyle="1" w:styleId="NormalSubitem">
    <w:name w:val="Normal Subitem"/>
    <w:basedOn w:val="Base"/>
    <w:pPr>
      <w:ind w:left="1418" w:hanging="284"/>
    </w:pPr>
  </w:style>
  <w:style w:type="paragraph" w:customStyle="1" w:styleId="HangingIndent">
    <w:name w:val="Hanging Indent"/>
    <w:basedOn w:val="NormalIndent"/>
    <w:pPr>
      <w:ind w:hanging="567"/>
    </w:pPr>
  </w:style>
  <w:style w:type="paragraph" w:customStyle="1" w:styleId="Itembody">
    <w:name w:val="Item body"/>
    <w:basedOn w:val="NormalItem"/>
    <w:pPr>
      <w:ind w:firstLine="0"/>
    </w:pPr>
  </w:style>
  <w:style w:type="paragraph" w:customStyle="1" w:styleId="Pages">
    <w:name w:val="Pages"/>
    <w:basedOn w:val="Base"/>
    <w:pPr>
      <w:spacing w:before="0"/>
    </w:pPr>
    <w:rPr>
      <w:rFonts w:ascii="Arial" w:hAnsi="Arial"/>
      <w:sz w:val="28"/>
    </w:rPr>
  </w:style>
  <w:style w:type="paragraph" w:customStyle="1" w:styleId="Comments">
    <w:name w:val="Comments"/>
    <w:basedOn w:val="Base"/>
    <w:next w:val="Normal"/>
    <w:pPr>
      <w:spacing w:after="120"/>
    </w:pPr>
    <w:rPr>
      <w:rFonts w:ascii="Arial" w:hAnsi="Arial"/>
      <w:b/>
      <w:sz w:val="28"/>
    </w:rPr>
  </w:style>
  <w:style w:type="paragraph" w:customStyle="1" w:styleId="Italic">
    <w:name w:val="Italic"/>
    <w:basedOn w:val="Base"/>
    <w:pPr>
      <w:spacing w:before="0"/>
    </w:pPr>
    <w:rPr>
      <w:rFonts w:ascii="CG Times" w:hAnsi="CG Times"/>
      <w:b/>
      <w:i/>
      <w:sz w:val="20"/>
      <w:u w:val="single"/>
    </w:rPr>
  </w:style>
  <w:style w:type="paragraph" w:customStyle="1" w:styleId="DoubleIndent">
    <w:name w:val="Double Indent"/>
    <w:basedOn w:val="NormalIndent"/>
    <w:pPr>
      <w:tabs>
        <w:tab w:val="left" w:pos="2835"/>
      </w:tabs>
      <w:spacing w:before="0"/>
      <w:ind w:left="2268"/>
    </w:pPr>
  </w:style>
  <w:style w:type="paragraph" w:customStyle="1" w:styleId="NormalSubSubitem">
    <w:name w:val="Normal SubSubitem"/>
    <w:basedOn w:val="NormalSubitem"/>
    <w:pPr>
      <w:ind w:left="1985"/>
    </w:pPr>
  </w:style>
  <w:style w:type="paragraph" w:customStyle="1" w:styleId="DoubleHangingIndent">
    <w:name w:val="Double Hanging Indent"/>
    <w:basedOn w:val="DoubleIndent"/>
    <w:pPr>
      <w:ind w:hanging="567"/>
    </w:pPr>
    <w:rPr>
      <w:sz w:val="20"/>
    </w:rPr>
  </w:style>
  <w:style w:type="paragraph" w:customStyle="1" w:styleId="LongHangingIndent">
    <w:name w:val="Long Hanging Indent"/>
    <w:basedOn w:val="HangingIndent"/>
    <w:next w:val="Normal"/>
    <w:pPr>
      <w:ind w:left="3402" w:hanging="2268"/>
    </w:pPr>
    <w:rPr>
      <w:sz w:val="20"/>
    </w:rPr>
  </w:style>
  <w:style w:type="paragraph" w:customStyle="1" w:styleId="Verse">
    <w:name w:val="Verse"/>
    <w:basedOn w:val="Base"/>
    <w:pPr>
      <w:keepLines/>
      <w:tabs>
        <w:tab w:val="left" w:pos="2835"/>
      </w:tabs>
      <w:spacing w:after="240"/>
      <w:ind w:left="1701" w:right="851"/>
      <w:jc w:val="center"/>
    </w:pPr>
    <w:rPr>
      <w:b/>
      <w:i/>
      <w:sz w:val="20"/>
    </w:rPr>
  </w:style>
  <w:style w:type="paragraph" w:customStyle="1" w:styleId="NormSubitemBody">
    <w:name w:val="Norm Subitem Body"/>
    <w:basedOn w:val="NormalSubitem"/>
    <w:pPr>
      <w:spacing w:before="0"/>
      <w:ind w:left="1531" w:firstLine="0"/>
    </w:pPr>
  </w:style>
  <w:style w:type="paragraph" w:customStyle="1" w:styleId="Heading2TOC">
    <w:name w:val="Heading 2 TOC"/>
    <w:basedOn w:val="Heading2"/>
    <w:pPr>
      <w:keepLines/>
      <w:numPr>
        <w:ilvl w:val="0"/>
        <w:numId w:val="0"/>
      </w:numPr>
      <w:spacing w:before="0" w:after="480"/>
      <w:jc w:val="center"/>
      <w:outlineLvl w:val="9"/>
    </w:pPr>
    <w:rPr>
      <w:rFonts w:eastAsia="Times New Roman"/>
      <w:bCs w:val="0"/>
      <w:szCs w:val="24"/>
    </w:rPr>
  </w:style>
  <w:style w:type="paragraph" w:customStyle="1" w:styleId="NormalNItem">
    <w:name w:val="Normal N Item"/>
    <w:basedOn w:val="NormalItem"/>
    <w:next w:val="Itembody"/>
    <w:pPr>
      <w:keepNext/>
      <w:ind w:left="1135"/>
    </w:pPr>
  </w:style>
  <w:style w:type="paragraph" w:customStyle="1" w:styleId="SubitemBody">
    <w:name w:val="Subitem Body"/>
    <w:basedOn w:val="NormalSubitem"/>
  </w:style>
  <w:style w:type="paragraph" w:customStyle="1" w:styleId="t">
    <w:name w:val="t"/>
    <w:basedOn w:val="Heading1"/>
    <w:pPr>
      <w:numPr>
        <w:numId w:val="0"/>
      </w:numPr>
      <w:spacing w:before="240" w:after="240"/>
      <w:jc w:val="center"/>
      <w:outlineLvl w:val="9"/>
    </w:pPr>
    <w:rPr>
      <w:rFonts w:eastAsia="Times New Roman"/>
      <w:bCs w:val="0"/>
      <w:caps/>
      <w:smallCaps w:val="0"/>
      <w:spacing w:val="40"/>
      <w:sz w:val="36"/>
      <w:szCs w:val="20"/>
    </w:rPr>
  </w:style>
  <w:style w:type="paragraph" w:customStyle="1" w:styleId="Ital">
    <w:name w:val="Ital"/>
    <w:basedOn w:val="Base"/>
    <w:pPr>
      <w:pBdr>
        <w:top w:val="single" w:sz="6" w:space="3" w:color="auto"/>
        <w:left w:val="single" w:sz="6" w:space="3" w:color="auto"/>
        <w:bottom w:val="single" w:sz="6" w:space="3" w:color="auto"/>
        <w:right w:val="single" w:sz="6" w:space="3" w:color="auto"/>
      </w:pBdr>
      <w:ind w:right="113"/>
    </w:pPr>
    <w:rPr>
      <w:i/>
    </w:rPr>
  </w:style>
  <w:style w:type="paragraph" w:customStyle="1" w:styleId="ItalIndent">
    <w:name w:val="Ital Indent"/>
    <w:basedOn w:val="NormalIndent"/>
    <w:rPr>
      <w:i/>
    </w:rPr>
  </w:style>
  <w:style w:type="paragraph" w:customStyle="1" w:styleId="ItalItem">
    <w:name w:val="Ital Item"/>
    <w:basedOn w:val="Ital"/>
    <w:pPr>
      <w:ind w:left="851" w:hanging="284"/>
    </w:pPr>
    <w:rPr>
      <w:i w:val="0"/>
    </w:rPr>
  </w:style>
  <w:style w:type="paragraph" w:customStyle="1" w:styleId="indent2">
    <w:name w:val="indent 2"/>
    <w:basedOn w:val="indent1"/>
    <w:pPr>
      <w:ind w:left="1800"/>
    </w:pPr>
  </w:style>
  <w:style w:type="paragraph" w:customStyle="1" w:styleId="indent1">
    <w:name w:val="indent 1"/>
    <w:basedOn w:val="Base"/>
    <w:pPr>
      <w:keepLines/>
      <w:spacing w:before="0" w:after="240"/>
      <w:ind w:left="907"/>
    </w:pPr>
    <w:rPr>
      <w:sz w:val="20"/>
    </w:rPr>
  </w:style>
  <w:style w:type="character" w:styleId="EndnoteReference">
    <w:name w:val="endnote reference"/>
    <w:rPr>
      <w:rFonts w:cs="Times New Roman"/>
      <w:vertAlign w:val="superscript"/>
    </w:rPr>
  </w:style>
  <w:style w:type="paragraph" w:customStyle="1" w:styleId="Happ1">
    <w:name w:val="Happ1"/>
    <w:basedOn w:val="Base"/>
    <w:pPr>
      <w:keepNext/>
      <w:pageBreakBefore/>
      <w:numPr>
        <w:numId w:val="11"/>
      </w:numPr>
      <w:spacing w:before="240"/>
    </w:pPr>
    <w:rPr>
      <w:b/>
      <w:caps/>
      <w:sz w:val="32"/>
    </w:rPr>
  </w:style>
  <w:style w:type="character" w:styleId="FollowedHyperlink">
    <w:name w:val="FollowedHyperlink"/>
    <w:rPr>
      <w:rFonts w:cs="Times New Roman"/>
      <w:color w:val="800080"/>
      <w:u w:val="single"/>
    </w:rPr>
  </w:style>
  <w:style w:type="paragraph" w:customStyle="1" w:styleId="AnnexHeading2">
    <w:name w:val="Annex Heading 2"/>
    <w:basedOn w:val="Heading4"/>
    <w:pPr>
      <w:numPr>
        <w:ilvl w:val="1"/>
        <w:numId w:val="12"/>
      </w:numPr>
      <w:spacing w:before="240" w:after="240"/>
    </w:pPr>
    <w:rPr>
      <w:rFonts w:ascii="Courier New" w:eastAsia="Times New Roman" w:hAnsi="Courier New" w:cs="Courier New"/>
      <w:bCs w:val="0"/>
      <w:iCs w:val="0"/>
      <w:smallCaps/>
      <w:color w:val="0000FF"/>
      <w:w w:val="122"/>
      <w:szCs w:val="20"/>
    </w:rPr>
  </w:style>
  <w:style w:type="character" w:customStyle="1" w:styleId="BaseChar">
    <w:name w:val="Base Char"/>
    <w:rPr>
      <w:rFonts w:cs="Times New Roman"/>
      <w:sz w:val="24"/>
      <w:lang w:val="da-DK" w:eastAsia="en-US" w:bidi="ar-SA"/>
    </w:rPr>
  </w:style>
  <w:style w:type="paragraph" w:customStyle="1" w:styleId="TableCell">
    <w:name w:val="TableCell"/>
    <w:basedOn w:val="Normal"/>
    <w:pPr>
      <w:spacing w:before="60" w:after="0"/>
      <w:jc w:val="left"/>
    </w:pPr>
    <w:rPr>
      <w:rFonts w:ascii="Arial" w:eastAsia="Times New Roman" w:hAnsi="Arial"/>
      <w:bCs/>
      <w:sz w:val="20"/>
      <w:szCs w:val="24"/>
    </w:rPr>
  </w:style>
  <w:style w:type="paragraph" w:styleId="BodyTextIndent2">
    <w:name w:val="Body Text Indent 2"/>
    <w:basedOn w:val="Normal"/>
    <w:link w:val="BodyTextIndent2Char"/>
    <w:pPr>
      <w:spacing w:before="0"/>
      <w:ind w:left="720"/>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da-DK"/>
    </w:rPr>
  </w:style>
  <w:style w:type="paragraph" w:customStyle="1" w:styleId="AppendixHeading1">
    <w:name w:val="Appendix Heading 1"/>
    <w:basedOn w:val="Normal"/>
    <w:next w:val="Normal"/>
    <w:pPr>
      <w:numPr>
        <w:numId w:val="9"/>
      </w:numPr>
      <w:spacing w:before="240" w:after="0"/>
      <w:ind w:left="851"/>
      <w:outlineLvl w:val="1"/>
    </w:pPr>
    <w:rPr>
      <w:rFonts w:ascii="Arial" w:eastAsia="Times New Roman" w:hAnsi="Arial"/>
      <w:b/>
      <w:smallCaps/>
      <w:color w:val="0000FF"/>
      <w:kern w:val="28"/>
      <w:sz w:val="32"/>
      <w:szCs w:val="20"/>
    </w:rPr>
  </w:style>
  <w:style w:type="character" w:customStyle="1" w:styleId="Text1Char">
    <w:name w:val="Text 1 Char"/>
    <w:rPr>
      <w:rFonts w:cs="Times New Roman"/>
      <w:sz w:val="22"/>
      <w:lang w:val="da-DK" w:eastAsia="en-US" w:bidi="ar-SA"/>
    </w:rPr>
  </w:style>
  <w:style w:type="paragraph" w:styleId="BodyTextIndent">
    <w:name w:val="Body Text Indent"/>
    <w:basedOn w:val="Normal"/>
    <w:link w:val="BodyTextIndentChar"/>
    <w:pPr>
      <w:numPr>
        <w:numId w:val="10"/>
      </w:numPr>
      <w:spacing w:before="60"/>
    </w:pPr>
    <w:rPr>
      <w:rFonts w:eastAsia="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en-GB"/>
    </w:rPr>
  </w:style>
  <w:style w:type="paragraph" w:styleId="BlockText">
    <w:name w:val="Block Text"/>
    <w:basedOn w:val="Normal"/>
    <w:pPr>
      <w:widowControl w:val="0"/>
      <w:autoSpaceDE w:val="0"/>
      <w:autoSpaceDN w:val="0"/>
      <w:adjustRightInd w:val="0"/>
      <w:spacing w:before="0" w:after="0" w:line="244" w:lineRule="exact"/>
      <w:ind w:left="720" w:right="221"/>
    </w:pPr>
    <w:rPr>
      <w:rFonts w:ascii="Courier New" w:eastAsia="Times New Roman" w:hAnsi="Courier New" w:cs="Courier New"/>
      <w:sz w:val="22"/>
      <w:lang w:eastAsia="ko-KR"/>
    </w:rPr>
  </w:style>
  <w:style w:type="paragraph" w:styleId="BodyTextIndent3">
    <w:name w:val="Body Text Indent 3"/>
    <w:basedOn w:val="Normal"/>
    <w:link w:val="BodyTextIndent3Char"/>
    <w:pPr>
      <w:spacing w:before="60"/>
      <w:ind w:left="720"/>
    </w:pPr>
    <w:rPr>
      <w:rFonts w:eastAsia="Times New Roman"/>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da-DK"/>
    </w:rPr>
  </w:style>
  <w:style w:type="paragraph" w:customStyle="1" w:styleId="Heading0">
    <w:name w:val="Heading 0"/>
    <w:basedOn w:val="Normal"/>
    <w:pPr>
      <w:pageBreakBefore/>
      <w:spacing w:before="240" w:after="240"/>
      <w:ind w:left="142" w:right="284"/>
      <w:jc w:val="center"/>
    </w:pPr>
    <w:rPr>
      <w:rFonts w:eastAsia="Times New Roman"/>
      <w:b/>
      <w:caps/>
      <w:sz w:val="28"/>
      <w:szCs w:val="20"/>
    </w:rPr>
  </w:style>
  <w:style w:type="paragraph" w:styleId="BodyText2">
    <w:name w:val="Body Text 2"/>
    <w:basedOn w:val="Normal"/>
    <w:link w:val="BodyText2Char"/>
    <w:pPr>
      <w:autoSpaceDE w:val="0"/>
      <w:autoSpaceDN w:val="0"/>
      <w:adjustRightInd w:val="0"/>
      <w:spacing w:after="0"/>
      <w:jc w:val="left"/>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da-DK"/>
    </w:rPr>
  </w:style>
  <w:style w:type="paragraph" w:styleId="TableofFigures">
    <w:name w:val="table of figures"/>
    <w:basedOn w:val="Normal"/>
    <w:next w:val="Normal"/>
    <w:uiPriority w:val="99"/>
    <w:pPr>
      <w:spacing w:after="0"/>
      <w:jc w:val="left"/>
    </w:pPr>
    <w:rPr>
      <w:rFonts w:eastAsia="Times New Roman"/>
      <w:szCs w:val="20"/>
    </w:rPr>
  </w:style>
  <w:style w:type="paragraph" w:styleId="BodyText3">
    <w:name w:val="Body Text 3"/>
    <w:basedOn w:val="Normal"/>
    <w:link w:val="BodyText3Char"/>
    <w:pPr>
      <w:spacing w:after="0"/>
      <w:jc w:val="left"/>
    </w:pPr>
    <w:rPr>
      <w:rFonts w:eastAsia="Times New Roman"/>
      <w:sz w:val="16"/>
      <w:szCs w:val="16"/>
    </w:rPr>
  </w:style>
  <w:style w:type="character" w:customStyle="1" w:styleId="BodyText3Char">
    <w:name w:val="Body Text 3 Char"/>
    <w:basedOn w:val="DefaultParagraphFont"/>
    <w:link w:val="BodyText3"/>
    <w:rPr>
      <w:rFonts w:ascii="Times New Roman" w:eastAsia="Times New Roman" w:hAnsi="Times New Roman" w:cs="Times New Roman"/>
      <w:sz w:val="16"/>
      <w:szCs w:val="16"/>
      <w:lang w:val="da-DK"/>
    </w:rPr>
  </w:style>
  <w:style w:type="paragraph" w:customStyle="1" w:styleId="List2bullet">
    <w:name w:val="List_2_bullet"/>
    <w:basedOn w:val="Normal"/>
    <w:pPr>
      <w:numPr>
        <w:numId w:val="13"/>
      </w:numPr>
      <w:jc w:val="left"/>
    </w:pPr>
    <w:rPr>
      <w:rFonts w:eastAsia="Times New Roman"/>
      <w:szCs w:val="24"/>
    </w:rPr>
  </w:style>
  <w:style w:type="paragraph" w:customStyle="1" w:styleId="StyleTableofFigures20ptAllcaps">
    <w:name w:val="Style Table of Figures + 20 pt All caps"/>
    <w:basedOn w:val="TableofFigures"/>
    <w:autoRedefine/>
    <w:rPr>
      <w:caps/>
      <w:sz w:val="32"/>
    </w:rPr>
  </w:style>
  <w:style w:type="paragraph" w:styleId="DocumentMap">
    <w:name w:val="Document Map"/>
    <w:basedOn w:val="Normal"/>
    <w:link w:val="DocumentMapChar"/>
    <w:pPr>
      <w:shd w:val="clear" w:color="auto" w:fill="000080"/>
      <w:spacing w:after="0"/>
      <w:jc w:val="left"/>
    </w:pPr>
    <w:rPr>
      <w:rFonts w:eastAsia="Times New Roman"/>
      <w:sz w:val="2"/>
      <w:szCs w:val="20"/>
    </w:rPr>
  </w:style>
  <w:style w:type="character" w:customStyle="1" w:styleId="DocumentMapChar">
    <w:name w:val="Document Map Char"/>
    <w:basedOn w:val="DefaultParagraphFont"/>
    <w:link w:val="DocumentMap"/>
    <w:rPr>
      <w:rFonts w:ascii="Times New Roman" w:eastAsia="Times New Roman" w:hAnsi="Times New Roman" w:cs="Times New Roman"/>
      <w:sz w:val="2"/>
      <w:szCs w:val="20"/>
      <w:shd w:val="clear" w:color="auto" w:fill="000080"/>
      <w:lang w:val="da-DK"/>
    </w:rPr>
  </w:style>
  <w:style w:type="character" w:styleId="Emphasis">
    <w:name w:val="Emphasis"/>
    <w:uiPriority w:val="20"/>
    <w:qFormat/>
    <w:rPr>
      <w:rFonts w:cs="Times New Roman"/>
      <w:i/>
      <w:iCs/>
    </w:rPr>
  </w:style>
  <w:style w:type="paragraph" w:customStyle="1" w:styleId="ZCom">
    <w:name w:val="Z_Com"/>
    <w:basedOn w:val="Normal"/>
    <w:next w:val="ZDGName"/>
    <w:pPr>
      <w:spacing w:before="0" w:after="0"/>
      <w:ind w:right="85"/>
    </w:pPr>
    <w:rPr>
      <w:rFonts w:ascii="Arial" w:eastAsia="Times New Roman" w:hAnsi="Arial"/>
      <w:sz w:val="22"/>
      <w:szCs w:val="20"/>
    </w:rPr>
  </w:style>
  <w:style w:type="paragraph" w:customStyle="1" w:styleId="ZDGName">
    <w:name w:val="Z_DGName"/>
    <w:basedOn w:val="Normal"/>
    <w:pPr>
      <w:spacing w:before="0" w:after="0"/>
      <w:ind w:right="85"/>
    </w:pPr>
    <w:rPr>
      <w:rFonts w:ascii="Arial" w:eastAsia="Times New Roman" w:hAnsi="Arial"/>
      <w:sz w:val="16"/>
      <w:szCs w:val="20"/>
    </w:rPr>
  </w:style>
  <w:style w:type="character" w:styleId="PageNumber">
    <w:name w:val="page number"/>
    <w:rPr>
      <w:rFonts w:cs="Times New Roman"/>
    </w:r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imes New Roman"/>
      <w:szCs w:val="20"/>
    </w:rPr>
  </w:style>
  <w:style w:type="character" w:customStyle="1" w:styleId="FooterCoverPageChar">
    <w:name w:val="Footer Cover Page Char"/>
    <w:basedOn w:val="BodyTextChar"/>
    <w:link w:val="FooterCoverPage"/>
    <w:rPr>
      <w:rFonts w:ascii="Times New Roman" w:eastAsia="Times New Roman" w:hAnsi="Times New Roman" w:cs="Times New Roman"/>
      <w:sz w:val="24"/>
      <w:szCs w:val="20"/>
      <w:lang w:val="da-DK"/>
    </w:rPr>
  </w:style>
  <w:style w:type="paragraph" w:customStyle="1" w:styleId="HeaderCoverPage">
    <w:name w:val="Header Cover Page"/>
    <w:basedOn w:val="Normal"/>
    <w:link w:val="HeaderCoverPageChar"/>
    <w:pPr>
      <w:tabs>
        <w:tab w:val="center" w:pos="4535"/>
        <w:tab w:val="right" w:pos="9071"/>
      </w:tabs>
      <w:spacing w:before="0"/>
    </w:pPr>
    <w:rPr>
      <w:rFonts w:eastAsia="Times New Roman"/>
      <w:szCs w:val="20"/>
    </w:rPr>
  </w:style>
  <w:style w:type="character" w:customStyle="1" w:styleId="HeaderCoverPageChar">
    <w:name w:val="Header Cover Page Char"/>
    <w:basedOn w:val="BodyTextChar"/>
    <w:link w:val="HeaderCoverPage"/>
    <w:rPr>
      <w:rFonts w:ascii="Times New Roman" w:eastAsia="Times New Roman" w:hAnsi="Times New Roman" w:cs="Times New Roman"/>
      <w:sz w:val="24"/>
      <w:szCs w:val="20"/>
      <w:lang w:val="da-DK"/>
    </w:rPr>
  </w:style>
  <w:style w:type="paragraph" w:customStyle="1" w:styleId="HeadingTOC">
    <w:name w:val="Heading TOC"/>
    <w:basedOn w:val="Base"/>
    <w:rPr>
      <w:b/>
      <w:sz w:val="40"/>
      <w:lang w:eastAsia="ko-KR"/>
    </w:rPr>
  </w:style>
  <w:style w:type="paragraph" w:customStyle="1" w:styleId="App1">
    <w:name w:val="App1"/>
    <w:basedOn w:val="Base"/>
    <w:next w:val="App2"/>
    <w:pPr>
      <w:pageBreakBefore/>
      <w:spacing w:before="120" w:after="240"/>
    </w:pPr>
    <w:rPr>
      <w:b/>
      <w:caps/>
      <w:sz w:val="32"/>
      <w:lang w:eastAsia="ko-KR"/>
    </w:rPr>
  </w:style>
  <w:style w:type="paragraph" w:customStyle="1" w:styleId="App2">
    <w:name w:val="App2"/>
    <w:basedOn w:val="App1"/>
    <w:pPr>
      <w:pageBreakBefore w:val="0"/>
      <w:spacing w:after="120"/>
    </w:pPr>
    <w:rPr>
      <w:caps w:val="0"/>
      <w:smallCaps/>
      <w:sz w:val="28"/>
    </w:rPr>
  </w:style>
  <w:style w:type="paragraph" w:customStyle="1" w:styleId="App3">
    <w:name w:val="App3"/>
    <w:basedOn w:val="App2"/>
    <w:rPr>
      <w:sz w:val="24"/>
    </w:rPr>
  </w:style>
  <w:style w:type="paragraph" w:customStyle="1" w:styleId="App4">
    <w:name w:val="App4"/>
    <w:basedOn w:val="App3"/>
    <w:rPr>
      <w:b w:val="0"/>
      <w:sz w:val="22"/>
    </w:rPr>
  </w:style>
  <w:style w:type="paragraph" w:customStyle="1" w:styleId="ListNumber1">
    <w:name w:val="List Number 1"/>
    <w:basedOn w:val="Normal"/>
    <w:pPr>
      <w:tabs>
        <w:tab w:val="num" w:pos="1191"/>
      </w:tabs>
      <w:spacing w:before="0" w:after="240"/>
      <w:ind w:left="1191" w:hanging="709"/>
    </w:pPr>
    <w:rPr>
      <w:rFonts w:eastAsia="Times New Roman"/>
      <w:sz w:val="22"/>
      <w:szCs w:val="20"/>
    </w:rPr>
  </w:style>
  <w:style w:type="paragraph" w:customStyle="1" w:styleId="ListNumber1Level2">
    <w:name w:val="List Number 1 (Level 2)"/>
    <w:basedOn w:val="Normal"/>
    <w:pPr>
      <w:tabs>
        <w:tab w:val="num" w:pos="1899"/>
      </w:tabs>
      <w:spacing w:before="0" w:after="240"/>
      <w:ind w:left="1899" w:hanging="708"/>
    </w:pPr>
    <w:rPr>
      <w:rFonts w:eastAsia="Times New Roman"/>
      <w:sz w:val="22"/>
      <w:szCs w:val="20"/>
    </w:rPr>
  </w:style>
  <w:style w:type="paragraph" w:customStyle="1" w:styleId="ListNumber1Level3">
    <w:name w:val="List Number 1 (Level 3)"/>
    <w:basedOn w:val="Normal"/>
    <w:pPr>
      <w:tabs>
        <w:tab w:val="num" w:pos="2608"/>
      </w:tabs>
      <w:spacing w:before="0" w:after="240"/>
      <w:ind w:left="2608" w:hanging="709"/>
    </w:pPr>
    <w:rPr>
      <w:rFonts w:eastAsia="Times New Roman"/>
      <w:sz w:val="22"/>
      <w:szCs w:val="20"/>
    </w:rPr>
  </w:style>
  <w:style w:type="paragraph" w:customStyle="1" w:styleId="ListNumber1Level4">
    <w:name w:val="List Number 1 (Level 4)"/>
    <w:basedOn w:val="Normal"/>
    <w:pPr>
      <w:tabs>
        <w:tab w:val="num" w:pos="3317"/>
      </w:tabs>
      <w:spacing w:before="0" w:after="240"/>
      <w:ind w:left="3317" w:hanging="709"/>
    </w:pPr>
    <w:rPr>
      <w:rFonts w:eastAsia="Times New Roman"/>
      <w:sz w:val="22"/>
      <w:szCs w:val="20"/>
    </w:rPr>
  </w:style>
  <w:style w:type="paragraph" w:customStyle="1" w:styleId="Participants">
    <w:name w:val="Participants"/>
    <w:basedOn w:val="Normal"/>
    <w:next w:val="Normal"/>
    <w:pPr>
      <w:tabs>
        <w:tab w:val="left" w:pos="2552"/>
        <w:tab w:val="left" w:pos="2835"/>
        <w:tab w:val="left" w:pos="5670"/>
        <w:tab w:val="left" w:pos="6379"/>
        <w:tab w:val="left" w:pos="6804"/>
      </w:tabs>
      <w:spacing w:before="480" w:after="60"/>
      <w:ind w:left="1985" w:hanging="1985"/>
      <w:jc w:val="left"/>
    </w:pPr>
    <w:rPr>
      <w:rFonts w:eastAsia="Times New Roman"/>
      <w:sz w:val="22"/>
      <w:szCs w:val="20"/>
    </w:rPr>
  </w:style>
  <w:style w:type="paragraph" w:customStyle="1" w:styleId="Keypointbold">
    <w:name w:val="Key point bold"/>
    <w:basedOn w:val="Normal"/>
    <w:pPr>
      <w:pBdr>
        <w:top w:val="single" w:sz="4" w:space="1" w:color="FF0000" w:shadow="1"/>
        <w:left w:val="single" w:sz="4" w:space="4" w:color="FF0000" w:shadow="1"/>
        <w:bottom w:val="single" w:sz="4" w:space="1" w:color="FF0000" w:shadow="1"/>
        <w:right w:val="single" w:sz="4" w:space="4" w:color="FF0000" w:shadow="1"/>
      </w:pBdr>
      <w:spacing w:before="0" w:after="60"/>
    </w:pPr>
    <w:rPr>
      <w:rFonts w:ascii="Arial Narrow" w:eastAsia="Times New Roman" w:hAnsi="Arial Narrow"/>
      <w:b/>
      <w:i/>
      <w:sz w:val="22"/>
      <w:szCs w:val="20"/>
      <w:lang w:eastAsia="ko-KR"/>
    </w:rPr>
  </w:style>
  <w:style w:type="paragraph" w:styleId="PlainText">
    <w:name w:val="Plain Text"/>
    <w:basedOn w:val="Normal"/>
    <w:link w:val="PlainTextChar"/>
    <w:pPr>
      <w:spacing w:before="0" w:after="60"/>
      <w:jc w:val="left"/>
    </w:pPr>
    <w:rPr>
      <w:rFonts w:ascii="Courier New" w:eastAsia="Times New Roman" w:hAnsi="Courier New"/>
      <w:sz w:val="20"/>
      <w:szCs w:val="20"/>
      <w:lang w:eastAsia="ko-KR"/>
    </w:rPr>
  </w:style>
  <w:style w:type="character" w:customStyle="1" w:styleId="PlainTextChar">
    <w:name w:val="Plain Text Char"/>
    <w:basedOn w:val="DefaultParagraphFont"/>
    <w:link w:val="PlainText"/>
    <w:rPr>
      <w:rFonts w:ascii="Courier New" w:eastAsia="Times New Roman" w:hAnsi="Courier New" w:cs="Times New Roman"/>
      <w:sz w:val="20"/>
      <w:szCs w:val="20"/>
      <w:lang w:val="da-DK" w:eastAsia="ko-KR"/>
    </w:rPr>
  </w:style>
  <w:style w:type="paragraph" w:customStyle="1" w:styleId="DefinitionList">
    <w:name w:val="Definition List"/>
    <w:basedOn w:val="Normal"/>
    <w:next w:val="Normal"/>
    <w:pPr>
      <w:spacing w:before="0" w:after="60"/>
      <w:ind w:left="360"/>
      <w:jc w:val="left"/>
    </w:pPr>
    <w:rPr>
      <w:rFonts w:eastAsia="Times New Roman"/>
      <w:snapToGrid w:val="0"/>
      <w:sz w:val="22"/>
      <w:szCs w:val="20"/>
    </w:rPr>
  </w:style>
  <w:style w:type="paragraph" w:customStyle="1" w:styleId="Figure">
    <w:name w:val="Figure"/>
    <w:basedOn w:val="Normal"/>
    <w:pPr>
      <w:widowControl w:val="0"/>
      <w:overflowPunct w:val="0"/>
      <w:autoSpaceDE w:val="0"/>
      <w:autoSpaceDN w:val="0"/>
      <w:adjustRightInd w:val="0"/>
      <w:spacing w:before="60"/>
      <w:jc w:val="center"/>
      <w:textAlignment w:val="baseline"/>
    </w:pPr>
    <w:rPr>
      <w:rFonts w:eastAsia="Times New Roman"/>
      <w:sz w:val="22"/>
      <w:szCs w:val="20"/>
    </w:rPr>
  </w:style>
  <w:style w:type="paragraph" w:customStyle="1" w:styleId="COVERTITLE">
    <w:name w:val="COVER TITLE"/>
    <w:basedOn w:val="Normal"/>
    <w:pPr>
      <w:tabs>
        <w:tab w:val="left" w:pos="1134"/>
        <w:tab w:val="left" w:pos="1701"/>
        <w:tab w:val="left" w:pos="2268"/>
      </w:tabs>
      <w:overflowPunct w:val="0"/>
      <w:autoSpaceDE w:val="0"/>
      <w:autoSpaceDN w:val="0"/>
      <w:adjustRightInd w:val="0"/>
      <w:spacing w:before="240" w:after="60"/>
      <w:ind w:left="567"/>
      <w:jc w:val="center"/>
      <w:textAlignment w:val="baseline"/>
    </w:pPr>
    <w:rPr>
      <w:rFonts w:eastAsia="Times New Roman"/>
      <w:b/>
      <w:smallCaps/>
      <w:sz w:val="32"/>
      <w:szCs w:val="20"/>
    </w:rPr>
  </w:style>
  <w:style w:type="paragraph" w:customStyle="1" w:styleId="Heading1Heading1CFMUPara1h1OS114pt">
    <w:name w:val="Heading 1Heading 1 CFMUPara 1h1OS1 + 14 pt"/>
    <w:basedOn w:val="Heading1"/>
    <w:pPr>
      <w:keepNext w:val="0"/>
      <w:keepLines/>
      <w:pageBreakBefore/>
      <w:numPr>
        <w:numId w:val="0"/>
      </w:numPr>
      <w:tabs>
        <w:tab w:val="num" w:pos="432"/>
      </w:tabs>
      <w:spacing w:before="120" w:after="240"/>
      <w:ind w:left="431" w:hanging="431"/>
      <w:jc w:val="left"/>
    </w:pPr>
    <w:rPr>
      <w:rFonts w:eastAsia="Times New Roman"/>
      <w:caps/>
      <w:smallCaps w:val="0"/>
      <w:sz w:val="28"/>
      <w:lang w:eastAsia="ko-KR"/>
    </w:rPr>
  </w:style>
  <w:style w:type="paragraph" w:customStyle="1" w:styleId="bullet10">
    <w:name w:val="bullet1"/>
    <w:basedOn w:val="Normal"/>
    <w:pPr>
      <w:tabs>
        <w:tab w:val="num" w:pos="1080"/>
      </w:tabs>
      <w:spacing w:before="60" w:after="60"/>
      <w:ind w:left="1080" w:hanging="360"/>
      <w:jc w:val="left"/>
    </w:pPr>
    <w:rPr>
      <w:rFonts w:eastAsia="Times New Roman"/>
      <w:sz w:val="22"/>
      <w:szCs w:val="20"/>
      <w:lang w:eastAsia="ko-KR"/>
    </w:rPr>
  </w:style>
  <w:style w:type="character" w:customStyle="1" w:styleId="normal1">
    <w:name w:val="normal1"/>
    <w:rPr>
      <w:rFonts w:ascii="Verdana" w:hAnsi="Verdana" w:hint="default"/>
      <w:b w:val="0"/>
      <w:bCs w:val="0"/>
      <w:sz w:val="17"/>
      <w:szCs w:val="17"/>
    </w:rPr>
  </w:style>
  <w:style w:type="paragraph" w:customStyle="1" w:styleId="Style1">
    <w:name w:val="Style1"/>
    <w:basedOn w:val="TOC1"/>
    <w:pPr>
      <w:tabs>
        <w:tab w:val="clear" w:pos="9071"/>
        <w:tab w:val="left" w:pos="960"/>
        <w:tab w:val="right" w:leader="dot" w:pos="9526"/>
      </w:tabs>
      <w:ind w:left="567" w:hanging="567"/>
    </w:pPr>
    <w:rPr>
      <w:rFonts w:eastAsia="Times New Roman"/>
      <w:b/>
      <w:smallCaps/>
      <w:noProof/>
      <w:sz w:val="28"/>
      <w:szCs w:val="28"/>
      <w:lang w:eastAsia="ko-KR"/>
    </w:rPr>
  </w:style>
  <w:style w:type="paragraph" w:customStyle="1" w:styleId="NormalItemLast">
    <w:name w:val="Normal Item Last"/>
    <w:basedOn w:val="NormalItem"/>
    <w:next w:val="Normal"/>
    <w:pPr>
      <w:keepNext/>
      <w:keepLines/>
      <w:tabs>
        <w:tab w:val="num" w:pos="360"/>
      </w:tabs>
      <w:spacing w:before="0" w:after="120"/>
      <w:ind w:left="360" w:hanging="360"/>
      <w:jc w:val="both"/>
    </w:pPr>
    <w:rPr>
      <w:szCs w:val="24"/>
    </w:rPr>
  </w:style>
  <w:style w:type="paragraph" w:customStyle="1" w:styleId="NormalTitle">
    <w:name w:val="Normal Title"/>
    <w:basedOn w:val="Normal"/>
    <w:pPr>
      <w:spacing w:before="240" w:after="60"/>
      <w:ind w:left="2269" w:hanging="1702"/>
    </w:pPr>
    <w:rPr>
      <w:rFonts w:eastAsia="Times New Roman"/>
      <w:b/>
      <w:bCs/>
      <w:sz w:val="28"/>
      <w:szCs w:val="28"/>
    </w:rPr>
  </w:style>
  <w:style w:type="paragraph" w:customStyle="1" w:styleId="NormalCR">
    <w:name w:val="NormalCR"/>
    <w:basedOn w:val="Normal"/>
    <w:pPr>
      <w:spacing w:before="0" w:after="60"/>
      <w:jc w:val="left"/>
    </w:pPr>
    <w:rPr>
      <w:rFonts w:eastAsia="Times New Roman"/>
      <w:sz w:val="22"/>
    </w:rPr>
  </w:style>
  <w:style w:type="paragraph" w:customStyle="1" w:styleId="TableL01">
    <w:name w:val="Table L0.1"/>
    <w:basedOn w:val="Normal"/>
    <w:pPr>
      <w:spacing w:before="0" w:after="60"/>
      <w:ind w:left="113"/>
      <w:jc w:val="left"/>
    </w:pPr>
    <w:rPr>
      <w:rFonts w:eastAsia="Times New Roman"/>
      <w:iCs/>
      <w:sz w:val="22"/>
      <w:szCs w:val="18"/>
    </w:rPr>
  </w:style>
  <w:style w:type="paragraph" w:customStyle="1" w:styleId="TextTableCent">
    <w:name w:val="Text Table Cent"/>
    <w:basedOn w:val="Normal"/>
    <w:pPr>
      <w:keepNext/>
      <w:keepLines/>
      <w:spacing w:before="40" w:after="40" w:line="240" w:lineRule="exact"/>
      <w:jc w:val="center"/>
    </w:pPr>
    <w:rPr>
      <w:rFonts w:ascii="Arial" w:eastAsia="Times New Roman" w:hAnsi="Arial" w:cs="Arial"/>
      <w:sz w:val="18"/>
      <w:szCs w:val="18"/>
    </w:rPr>
  </w:style>
  <w:style w:type="paragraph" w:customStyle="1" w:styleId="TableCell0">
    <w:name w:val="Table Cell"/>
    <w:basedOn w:val="Normal"/>
    <w:pPr>
      <w:widowControl w:val="0"/>
      <w:spacing w:before="0" w:after="60"/>
    </w:pPr>
    <w:rPr>
      <w:rFonts w:eastAsia="Times New Roman"/>
      <w:sz w:val="22"/>
      <w:szCs w:val="20"/>
    </w:rPr>
  </w:style>
  <w:style w:type="paragraph" w:customStyle="1" w:styleId="Requirement">
    <w:name w:val="Requirement"/>
    <w:basedOn w:val="Normal"/>
    <w:pPr>
      <w:widowControl w:val="0"/>
      <w:tabs>
        <w:tab w:val="left" w:pos="840"/>
      </w:tabs>
      <w:spacing w:before="240" w:after="60"/>
      <w:ind w:right="80"/>
    </w:pPr>
    <w:rPr>
      <w:rFonts w:eastAsia="Times New Roman"/>
      <w:sz w:val="20"/>
      <w:szCs w:val="20"/>
    </w:rPr>
  </w:style>
  <w:style w:type="paragraph" w:customStyle="1" w:styleId="DGXXI">
    <w:name w:val="DGXXI"/>
    <w:basedOn w:val="Normal"/>
    <w:pPr>
      <w:widowControl w:val="0"/>
      <w:pBdr>
        <w:top w:val="double" w:sz="6" w:space="3" w:color="auto"/>
        <w:left w:val="double" w:sz="6" w:space="3" w:color="auto"/>
        <w:bottom w:val="double" w:sz="6" w:space="3" w:color="auto"/>
        <w:right w:val="double" w:sz="6" w:space="3" w:color="auto"/>
      </w:pBdr>
      <w:tabs>
        <w:tab w:val="left" w:pos="1134"/>
        <w:tab w:val="left" w:pos="1701"/>
        <w:tab w:val="left" w:pos="2268"/>
      </w:tabs>
      <w:spacing w:before="60" w:after="60"/>
      <w:ind w:left="1134"/>
    </w:pPr>
    <w:rPr>
      <w:rFonts w:eastAsia="Times New Roman"/>
      <w:color w:val="FF0000"/>
      <w:sz w:val="22"/>
      <w:szCs w:val="20"/>
    </w:rPr>
  </w:style>
  <w:style w:type="paragraph" w:customStyle="1" w:styleId="Tablespace">
    <w:name w:val="Table space"/>
    <w:basedOn w:val="Normal"/>
    <w:next w:val="Normal"/>
    <w:pPr>
      <w:keepLines/>
      <w:spacing w:before="0" w:after="60"/>
      <w:jc w:val="center"/>
    </w:pPr>
    <w:rPr>
      <w:rFonts w:ascii="Arial Narrow" w:eastAsia="Times New Roman" w:hAnsi="Arial Narrow"/>
      <w:sz w:val="22"/>
      <w:szCs w:val="20"/>
    </w:rPr>
  </w:style>
  <w:style w:type="paragraph" w:customStyle="1" w:styleId="TableHeaderStyleCFMU">
    <w:name w:val="TableHeaderStyle CFMU"/>
    <w:basedOn w:val="Normal"/>
    <w:pPr>
      <w:tabs>
        <w:tab w:val="left" w:pos="567"/>
        <w:tab w:val="left" w:pos="1134"/>
        <w:tab w:val="left" w:pos="1701"/>
        <w:tab w:val="left" w:pos="2268"/>
        <w:tab w:val="left" w:pos="2835"/>
      </w:tabs>
      <w:spacing w:before="240" w:after="240"/>
      <w:jc w:val="center"/>
    </w:pPr>
    <w:rPr>
      <w:rFonts w:ascii="Arial" w:eastAsia="Times New Roman" w:hAnsi="Arial"/>
      <w:b/>
      <w:sz w:val="20"/>
      <w:szCs w:val="20"/>
    </w:rPr>
  </w:style>
  <w:style w:type="paragraph" w:customStyle="1" w:styleId="TableColomnTitle">
    <w:name w:val="Table Colomn Title"/>
    <w:basedOn w:val="TableCell0"/>
    <w:pPr>
      <w:widowControl/>
      <w:spacing w:before="120" w:after="0"/>
    </w:pPr>
    <w:rPr>
      <w:b/>
    </w:rPr>
  </w:style>
  <w:style w:type="paragraph" w:customStyle="1" w:styleId="TableRowTitle">
    <w:name w:val="Table Row Title"/>
    <w:basedOn w:val="Normal"/>
    <w:pPr>
      <w:spacing w:before="60" w:after="60"/>
    </w:pPr>
    <w:rPr>
      <w:rFonts w:eastAsia="Times New Roman"/>
      <w:b/>
      <w:sz w:val="22"/>
      <w:szCs w:val="20"/>
    </w:rPr>
  </w:style>
  <w:style w:type="paragraph" w:customStyle="1" w:styleId="Normalcach">
    <w:name w:val="Normal caché"/>
    <w:basedOn w:val="Normal"/>
    <w:pPr>
      <w:spacing w:before="60" w:after="60"/>
    </w:pPr>
    <w:rPr>
      <w:rFonts w:eastAsia="Times New Roman"/>
      <w:vanish/>
      <w:sz w:val="22"/>
      <w:szCs w:val="20"/>
    </w:rPr>
  </w:style>
  <w:style w:type="paragraph" w:customStyle="1" w:styleId="FRSAbstract">
    <w:name w:val="FRS Abstract"/>
    <w:basedOn w:val="FRSDescription"/>
    <w:next w:val="FRSDescription"/>
    <w:rPr>
      <w:vanish/>
    </w:rPr>
  </w:style>
  <w:style w:type="paragraph" w:customStyle="1" w:styleId="FRSDescription">
    <w:name w:val="FRS Description"/>
    <w:basedOn w:val="Normal"/>
    <w:next w:val="Normal"/>
    <w:pPr>
      <w:spacing w:before="60" w:after="60"/>
      <w:ind w:left="1418" w:hanging="1418"/>
    </w:pPr>
    <w:rPr>
      <w:rFonts w:eastAsia="Times New Roman"/>
      <w:sz w:val="22"/>
      <w:szCs w:val="20"/>
    </w:rPr>
  </w:style>
  <w:style w:type="paragraph" w:customStyle="1" w:styleId="Code">
    <w:name w:val="Code"/>
    <w:basedOn w:val="Normal"/>
    <w:pPr>
      <w:tabs>
        <w:tab w:val="left" w:pos="426"/>
        <w:tab w:val="left" w:pos="851"/>
        <w:tab w:val="left" w:pos="1276"/>
        <w:tab w:val="left" w:pos="1701"/>
        <w:tab w:val="left" w:pos="2127"/>
        <w:tab w:val="left" w:pos="2410"/>
        <w:tab w:val="left" w:pos="2835"/>
      </w:tabs>
      <w:spacing w:before="60" w:after="60"/>
      <w:ind w:left="340"/>
    </w:pPr>
    <w:rPr>
      <w:rFonts w:ascii="Courier New" w:eastAsia="Times New Roman" w:hAnsi="Courier New"/>
      <w:noProof/>
      <w:sz w:val="18"/>
      <w:szCs w:val="20"/>
    </w:rPr>
  </w:style>
  <w:style w:type="paragraph" w:customStyle="1" w:styleId="indent3">
    <w:name w:val="indent 3"/>
    <w:basedOn w:val="indent2"/>
    <w:pPr>
      <w:keepLines w:val="0"/>
      <w:tabs>
        <w:tab w:val="left" w:pos="5954"/>
      </w:tabs>
      <w:spacing w:before="60" w:after="60"/>
      <w:ind w:left="1276" w:hanging="425"/>
      <w:jc w:val="both"/>
    </w:pPr>
    <w:rPr>
      <w:sz w:val="22"/>
    </w:rPr>
  </w:style>
  <w:style w:type="paragraph" w:customStyle="1" w:styleId="FRSReference">
    <w:name w:val="FRS Reference"/>
    <w:basedOn w:val="Normal"/>
    <w:next w:val="FRSAbstract"/>
    <w:pPr>
      <w:tabs>
        <w:tab w:val="left" w:pos="4111"/>
        <w:tab w:val="left" w:pos="6237"/>
      </w:tabs>
      <w:spacing w:before="60" w:after="60"/>
      <w:ind w:left="1418" w:hanging="1418"/>
    </w:pPr>
    <w:rPr>
      <w:rFonts w:eastAsia="Times New Roman"/>
      <w:sz w:val="22"/>
      <w:szCs w:val="20"/>
    </w:rPr>
  </w:style>
  <w:style w:type="paragraph" w:customStyle="1" w:styleId="normalbold14">
    <w:name w:val="normalbold14"/>
    <w:basedOn w:val="Normal"/>
    <w:pPr>
      <w:keepNext/>
      <w:tabs>
        <w:tab w:val="left" w:pos="1134"/>
        <w:tab w:val="left" w:pos="1701"/>
        <w:tab w:val="left" w:pos="2268"/>
      </w:tabs>
      <w:spacing w:before="240" w:after="60"/>
      <w:ind w:left="1134" w:hanging="1134"/>
    </w:pPr>
    <w:rPr>
      <w:rFonts w:eastAsia="Times New Roman"/>
      <w:b/>
      <w:sz w:val="28"/>
      <w:szCs w:val="20"/>
    </w:rPr>
  </w:style>
  <w:style w:type="paragraph" w:customStyle="1" w:styleId="NormalBold">
    <w:name w:val="NormalBold"/>
    <w:basedOn w:val="Normal"/>
    <w:pPr>
      <w:keepNext/>
      <w:tabs>
        <w:tab w:val="left" w:pos="1134"/>
        <w:tab w:val="left" w:pos="1701"/>
        <w:tab w:val="left" w:pos="2268"/>
      </w:tabs>
      <w:spacing w:before="240" w:after="60"/>
      <w:ind w:left="567"/>
    </w:pPr>
    <w:rPr>
      <w:rFonts w:eastAsia="Times New Roman"/>
      <w:b/>
      <w:sz w:val="22"/>
      <w:szCs w:val="20"/>
    </w:rPr>
  </w:style>
  <w:style w:type="paragraph" w:customStyle="1" w:styleId="NormalIndent1">
    <w:name w:val="Normal Indent 1"/>
    <w:basedOn w:val="Normal"/>
    <w:pPr>
      <w:spacing w:before="60" w:after="60"/>
      <w:ind w:left="284"/>
      <w:jc w:val="left"/>
    </w:pPr>
    <w:rPr>
      <w:rFonts w:eastAsia="Times New Roman"/>
      <w:sz w:val="22"/>
      <w:szCs w:val="20"/>
    </w:rPr>
  </w:style>
  <w:style w:type="paragraph" w:customStyle="1" w:styleId="Normalar">
    <w:name w:val="Normal_aéré"/>
    <w:basedOn w:val="Normal"/>
    <w:pPr>
      <w:spacing w:before="60"/>
    </w:pPr>
    <w:rPr>
      <w:rFonts w:eastAsia="Times New Roman"/>
      <w:sz w:val="22"/>
      <w:szCs w:val="20"/>
    </w:rPr>
  </w:style>
  <w:style w:type="paragraph" w:customStyle="1" w:styleId="indent10">
    <w:name w:val="indent1"/>
    <w:basedOn w:val="Normal"/>
    <w:pPr>
      <w:spacing w:before="72" w:after="60"/>
      <w:ind w:left="851" w:right="-2" w:hanging="284"/>
    </w:pPr>
    <w:rPr>
      <w:rFonts w:eastAsia="Times New Roman"/>
      <w:sz w:val="22"/>
      <w:szCs w:val="20"/>
    </w:rPr>
  </w:style>
  <w:style w:type="paragraph" w:customStyle="1" w:styleId="TitTabl1">
    <w:name w:val="Tit Tabl1"/>
    <w:basedOn w:val="Normal"/>
    <w:pPr>
      <w:keepNext/>
      <w:keepLines/>
      <w:spacing w:before="40" w:after="40" w:line="240" w:lineRule="exact"/>
      <w:jc w:val="center"/>
    </w:pPr>
    <w:rPr>
      <w:rFonts w:ascii="Arial" w:eastAsia="Times New Roman" w:hAnsi="Arial"/>
      <w:b/>
      <w:caps/>
      <w:color w:val="000080"/>
      <w:sz w:val="18"/>
      <w:szCs w:val="20"/>
    </w:rPr>
  </w:style>
  <w:style w:type="paragraph" w:customStyle="1" w:styleId="HeadingTemplate">
    <w:name w:val="HeadingTemplate"/>
    <w:basedOn w:val="Normal"/>
    <w:pPr>
      <w:keepNext/>
      <w:keepLines/>
      <w:spacing w:before="60"/>
      <w:jc w:val="left"/>
    </w:pPr>
    <w:rPr>
      <w:rFonts w:ascii="Arial" w:eastAsia="Times New Roman" w:hAnsi="Arial"/>
      <w:b/>
      <w:i/>
      <w:smallCaps/>
      <w:sz w:val="22"/>
      <w:szCs w:val="20"/>
    </w:rPr>
  </w:style>
  <w:style w:type="paragraph" w:customStyle="1" w:styleId="Retrait">
    <w:name w:val="Retrait"/>
    <w:basedOn w:val="Normal"/>
    <w:pPr>
      <w:tabs>
        <w:tab w:val="left" w:pos="1985"/>
      </w:tabs>
      <w:spacing w:before="72" w:after="60"/>
      <w:ind w:left="611" w:right="-2" w:hanging="283"/>
    </w:pPr>
    <w:rPr>
      <w:rFonts w:eastAsia="Times New Roman"/>
      <w:sz w:val="22"/>
      <w:szCs w:val="20"/>
    </w:rPr>
  </w:style>
  <w:style w:type="paragraph" w:customStyle="1" w:styleId="P1">
    <w:name w:val="P1"/>
    <w:basedOn w:val="Normal"/>
    <w:pPr>
      <w:keepLines/>
      <w:spacing w:before="80" w:after="80"/>
    </w:pPr>
    <w:rPr>
      <w:rFonts w:eastAsia="Times New Roman"/>
      <w:sz w:val="22"/>
      <w:szCs w:val="20"/>
    </w:rPr>
  </w:style>
  <w:style w:type="paragraph" w:customStyle="1" w:styleId="indent14">
    <w:name w:val="indent 14"/>
    <w:basedOn w:val="Normal"/>
    <w:pPr>
      <w:spacing w:before="0" w:after="60"/>
      <w:ind w:left="426" w:hanging="426"/>
    </w:pPr>
    <w:rPr>
      <w:rFonts w:eastAsia="Times New Roman"/>
      <w:sz w:val="22"/>
      <w:szCs w:val="20"/>
    </w:rPr>
  </w:style>
  <w:style w:type="paragraph" w:customStyle="1" w:styleId="entte">
    <w:name w:val="en tête"/>
    <w:basedOn w:val="Normal"/>
    <w:pPr>
      <w:tabs>
        <w:tab w:val="left" w:pos="5380"/>
        <w:tab w:val="left" w:pos="6280"/>
      </w:tabs>
      <w:spacing w:before="0" w:after="60"/>
      <w:ind w:right="-582"/>
    </w:pPr>
    <w:rPr>
      <w:rFonts w:ascii="Times" w:eastAsia="Times New Roman" w:hAnsi="Times"/>
      <w:sz w:val="20"/>
      <w:szCs w:val="20"/>
    </w:rPr>
  </w:style>
  <w:style w:type="character" w:customStyle="1" w:styleId="Normalit">
    <w:name w:val="Normal it"/>
  </w:style>
  <w:style w:type="paragraph" w:customStyle="1" w:styleId="case">
    <w:name w:val="case"/>
    <w:basedOn w:val="Normal"/>
    <w:pPr>
      <w:tabs>
        <w:tab w:val="left" w:pos="5120"/>
        <w:tab w:val="right" w:pos="9200"/>
      </w:tabs>
      <w:spacing w:before="0" w:after="60"/>
      <w:ind w:right="55"/>
      <w:jc w:val="center"/>
    </w:pPr>
    <w:rPr>
      <w:rFonts w:ascii="Times" w:eastAsia="Times New Roman" w:hAnsi="Times"/>
      <w:noProof/>
      <w:sz w:val="20"/>
      <w:szCs w:val="20"/>
    </w:rPr>
  </w:style>
  <w:style w:type="paragraph" w:customStyle="1" w:styleId="casetitre">
    <w:name w:val="case titre"/>
    <w:basedOn w:val="Normal"/>
    <w:pPr>
      <w:tabs>
        <w:tab w:val="left" w:pos="5120"/>
        <w:tab w:val="right" w:pos="9200"/>
      </w:tabs>
      <w:spacing w:before="60" w:after="60"/>
      <w:ind w:right="55"/>
      <w:jc w:val="left"/>
    </w:pPr>
    <w:rPr>
      <w:rFonts w:ascii="Times" w:eastAsia="Times New Roman" w:hAnsi="Times"/>
      <w:b/>
      <w:noProof/>
      <w:sz w:val="20"/>
      <w:szCs w:val="20"/>
      <w:u w:val="single"/>
    </w:rPr>
  </w:style>
  <w:style w:type="paragraph" w:customStyle="1" w:styleId="indent15">
    <w:name w:val="indent 15"/>
    <w:basedOn w:val="Normal"/>
    <w:pPr>
      <w:spacing w:before="0" w:after="60"/>
      <w:ind w:left="426" w:hanging="426"/>
    </w:pPr>
    <w:rPr>
      <w:rFonts w:eastAsia="Times New Roman"/>
      <w:sz w:val="22"/>
      <w:szCs w:val="20"/>
    </w:rPr>
  </w:style>
  <w:style w:type="paragraph" w:customStyle="1" w:styleId="ident-1">
    <w:name w:val="ident-1"/>
    <w:basedOn w:val="indent15"/>
    <w:pPr>
      <w:ind w:left="2835" w:hanging="2835"/>
    </w:pPr>
  </w:style>
  <w:style w:type="paragraph" w:customStyle="1" w:styleId="figure1">
    <w:name w:val="figure1"/>
    <w:basedOn w:val="Sous-retrait"/>
    <w:pPr>
      <w:spacing w:after="120"/>
      <w:ind w:left="0" w:hanging="8"/>
      <w:jc w:val="center"/>
    </w:pPr>
    <w:rPr>
      <w:b/>
      <w:sz w:val="28"/>
    </w:rPr>
  </w:style>
  <w:style w:type="paragraph" w:customStyle="1" w:styleId="Sous-retrait">
    <w:name w:val="Sous-retrait"/>
    <w:basedOn w:val="Normal"/>
    <w:pPr>
      <w:tabs>
        <w:tab w:val="left" w:pos="4253"/>
        <w:tab w:val="left" w:pos="5671"/>
      </w:tabs>
      <w:spacing w:before="72" w:after="60"/>
      <w:ind w:left="840" w:hanging="227"/>
    </w:pPr>
    <w:rPr>
      <w:rFonts w:eastAsia="Times New Roman"/>
      <w:sz w:val="22"/>
      <w:szCs w:val="20"/>
    </w:rPr>
  </w:style>
  <w:style w:type="paragraph" w:customStyle="1" w:styleId="indent26">
    <w:name w:val="indent 26"/>
    <w:basedOn w:val="Normal"/>
    <w:pPr>
      <w:tabs>
        <w:tab w:val="left" w:pos="5954"/>
      </w:tabs>
      <w:spacing w:before="0" w:after="60"/>
      <w:ind w:left="851" w:hanging="425"/>
    </w:pPr>
    <w:rPr>
      <w:rFonts w:eastAsia="Times New Roman"/>
      <w:sz w:val="22"/>
      <w:szCs w:val="20"/>
    </w:rPr>
  </w:style>
  <w:style w:type="paragraph" w:customStyle="1" w:styleId="Puce2">
    <w:name w:val="Puce 2"/>
    <w:basedOn w:val="Normal"/>
    <w:pPr>
      <w:tabs>
        <w:tab w:val="num" w:pos="426"/>
        <w:tab w:val="num" w:pos="1134"/>
      </w:tabs>
      <w:spacing w:before="240" w:after="60"/>
      <w:ind w:left="426" w:hanging="567"/>
      <w:jc w:val="left"/>
    </w:pPr>
    <w:rPr>
      <w:rFonts w:ascii="Arial" w:eastAsia="Times New Roman" w:hAnsi="Arial"/>
      <w:sz w:val="22"/>
      <w:szCs w:val="20"/>
    </w:rPr>
  </w:style>
  <w:style w:type="paragraph" w:customStyle="1" w:styleId="ControlPageTable">
    <w:name w:val="ControlPageTable"/>
    <w:basedOn w:val="Normal"/>
    <w:pPr>
      <w:tabs>
        <w:tab w:val="left" w:pos="567"/>
      </w:tabs>
      <w:spacing w:before="0" w:after="60"/>
      <w:jc w:val="left"/>
    </w:pPr>
    <w:rPr>
      <w:rFonts w:ascii="Arial" w:eastAsia="Times New Roman" w:hAnsi="Arial"/>
      <w:sz w:val="22"/>
      <w:szCs w:val="20"/>
    </w:rPr>
  </w:style>
  <w:style w:type="paragraph" w:customStyle="1" w:styleId="titre">
    <w:name w:val="titre"/>
    <w:basedOn w:val="Normal"/>
    <w:pPr>
      <w:spacing w:before="0"/>
      <w:ind w:right="284"/>
    </w:pPr>
    <w:rPr>
      <w:rFonts w:ascii="CG Times (W1)" w:eastAsia="Times New Roman" w:hAnsi="CG Times (W1)"/>
      <w:i/>
      <w:sz w:val="22"/>
      <w:szCs w:val="20"/>
    </w:rPr>
  </w:style>
  <w:style w:type="paragraph" w:customStyle="1" w:styleId="Normalgras">
    <w:name w:val="Normal gras"/>
    <w:basedOn w:val="Normal"/>
    <w:pPr>
      <w:spacing w:before="60" w:after="60"/>
    </w:pPr>
    <w:rPr>
      <w:rFonts w:ascii="CG Times (W1)" w:eastAsia="Times New Roman" w:hAnsi="CG Times (W1)"/>
      <w:b/>
      <w:sz w:val="22"/>
      <w:szCs w:val="20"/>
    </w:rPr>
  </w:style>
  <w:style w:type="paragraph" w:customStyle="1" w:styleId="ListBullet11">
    <w:name w:val="List Bullet 1.1"/>
    <w:basedOn w:val="Normal"/>
    <w:pPr>
      <w:keepLines/>
      <w:tabs>
        <w:tab w:val="num" w:pos="720"/>
      </w:tabs>
      <w:spacing w:before="60" w:after="60"/>
      <w:ind w:left="720" w:hanging="720"/>
    </w:pPr>
    <w:rPr>
      <w:rFonts w:eastAsia="Times New Roman"/>
      <w:sz w:val="22"/>
      <w:szCs w:val="20"/>
    </w:rPr>
  </w:style>
  <w:style w:type="paragraph" w:customStyle="1" w:styleId="Heading4Heading4CFMUPara4h41">
    <w:name w:val="Heading 4.Heading 4 CFMU.Para 4.h41"/>
    <w:basedOn w:val="Normal"/>
    <w:pPr>
      <w:spacing w:before="60" w:after="60"/>
    </w:pPr>
    <w:rPr>
      <w:rFonts w:eastAsia="Times New Roman"/>
      <w:sz w:val="22"/>
      <w:szCs w:val="20"/>
    </w:rPr>
  </w:style>
  <w:style w:type="paragraph" w:customStyle="1" w:styleId="HistoryLine1">
    <w:name w:val="History Line 1"/>
    <w:basedOn w:val="Normal"/>
    <w:next w:val="Normal"/>
    <w:pPr>
      <w:keepNext/>
      <w:keepLines/>
      <w:spacing w:before="60" w:after="60"/>
      <w:jc w:val="left"/>
    </w:pPr>
    <w:rPr>
      <w:rFonts w:ascii="Century Gothic" w:eastAsia="Times New Roman" w:hAnsi="Century Gothic"/>
      <w:b/>
      <w:i/>
      <w:caps/>
      <w:sz w:val="18"/>
      <w:szCs w:val="20"/>
    </w:rPr>
  </w:style>
  <w:style w:type="paragraph" w:customStyle="1" w:styleId="HistoryLine2">
    <w:name w:val="History Line 2"/>
    <w:basedOn w:val="HistoryLine1"/>
    <w:next w:val="Normal"/>
    <w:pPr>
      <w:spacing w:after="20"/>
    </w:pPr>
    <w:rPr>
      <w:b w:val="0"/>
      <w:caps w:val="0"/>
    </w:rPr>
  </w:style>
  <w:style w:type="paragraph" w:customStyle="1" w:styleId="HistoryLinen">
    <w:name w:val="History Line n"/>
    <w:basedOn w:val="HistoryLine2"/>
    <w:pPr>
      <w:spacing w:before="20"/>
    </w:pPr>
  </w:style>
  <w:style w:type="paragraph" w:customStyle="1" w:styleId="TextTableLeft">
    <w:name w:val="Text Table Left"/>
    <w:basedOn w:val="Normal"/>
    <w:pPr>
      <w:keepLines/>
      <w:spacing w:before="40" w:after="40"/>
      <w:jc w:val="left"/>
    </w:pPr>
    <w:rPr>
      <w:rFonts w:ascii="Arial" w:eastAsia="Times New Roman" w:hAnsi="Arial"/>
      <w:sz w:val="18"/>
      <w:szCs w:val="20"/>
    </w:rPr>
  </w:style>
  <w:style w:type="paragraph" w:customStyle="1" w:styleId="xl22">
    <w:name w:val="xl22"/>
    <w:basedOn w:val="Normal"/>
    <w:pPr>
      <w:pBdr>
        <w:left w:val="single" w:sz="4" w:space="0" w:color="000000"/>
      </w:pBdr>
      <w:spacing w:before="100" w:beforeAutospacing="1" w:after="100" w:afterAutospacing="1"/>
      <w:jc w:val="left"/>
    </w:pPr>
    <w:rPr>
      <w:rFonts w:ascii="Arial Unicode MS" w:eastAsia="Arial Unicode MS" w:hAnsi="Arial Unicode MS" w:cs="Arial Unicode MS"/>
      <w:sz w:val="22"/>
      <w:szCs w:val="24"/>
    </w:rPr>
  </w:style>
  <w:style w:type="paragraph" w:customStyle="1" w:styleId="xl23">
    <w:name w:val="xl23"/>
    <w:basedOn w:val="Normal"/>
    <w:pPr>
      <w:spacing w:before="100" w:beforeAutospacing="1" w:after="100" w:afterAutospacing="1"/>
      <w:jc w:val="left"/>
    </w:pPr>
    <w:rPr>
      <w:rFonts w:ascii="Arial Unicode MS" w:eastAsia="Arial Unicode MS" w:hAnsi="Arial Unicode MS" w:cs="Arial Unicode MS"/>
      <w:sz w:val="22"/>
      <w:szCs w:val="24"/>
    </w:rPr>
  </w:style>
  <w:style w:type="paragraph" w:customStyle="1" w:styleId="xl24">
    <w:name w:val="xl24"/>
    <w:basedOn w:val="Normal"/>
    <w:pPr>
      <w:spacing w:before="100" w:beforeAutospacing="1" w:after="100" w:afterAutospacing="1"/>
      <w:jc w:val="left"/>
    </w:pPr>
    <w:rPr>
      <w:rFonts w:ascii="Arial Unicode MS" w:eastAsia="Arial Unicode MS" w:hAnsi="Arial Unicode MS" w:cs="Arial Unicode MS"/>
      <w:sz w:val="22"/>
      <w:szCs w:val="24"/>
    </w:rPr>
  </w:style>
  <w:style w:type="paragraph" w:customStyle="1" w:styleId="xl25">
    <w:name w:val="xl25"/>
    <w:basedOn w:val="Normal"/>
    <w:pPr>
      <w:pBdr>
        <w:left w:val="single" w:sz="4" w:space="0" w:color="000000"/>
      </w:pBdr>
      <w:spacing w:before="100" w:beforeAutospacing="1" w:after="100" w:afterAutospacing="1"/>
      <w:jc w:val="left"/>
    </w:pPr>
    <w:rPr>
      <w:rFonts w:ascii="Arial Unicode MS" w:eastAsia="Arial Unicode MS" w:hAnsi="Arial Unicode MS" w:cs="Arial Unicode MS"/>
      <w:sz w:val="22"/>
      <w:szCs w:val="24"/>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16"/>
      <w:szCs w:val="16"/>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sz w:val="16"/>
      <w:szCs w:val="16"/>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center"/>
      <w:textAlignment w:val="center"/>
    </w:pPr>
    <w:rPr>
      <w:rFonts w:ascii="Arial" w:eastAsia="Arial Unicode MS" w:hAnsi="Arial" w:cs="Arial"/>
      <w:sz w:val="16"/>
      <w:szCs w:val="16"/>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32">
    <w:name w:val="xl32"/>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33">
    <w:name w:val="xl33"/>
    <w:basedOn w:val="Normal"/>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34">
    <w:name w:val="xl34"/>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35">
    <w:name w:val="xl35"/>
    <w:basedOn w:val="Normal"/>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eastAsia="Arial Unicode MS" w:hAnsi="Arial" w:cs="Arial"/>
      <w:sz w:val="16"/>
      <w:szCs w:val="16"/>
    </w:rPr>
  </w:style>
  <w:style w:type="paragraph" w:customStyle="1" w:styleId="xl36">
    <w:name w:val="xl36"/>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37">
    <w:name w:val="xl37"/>
    <w:basedOn w:val="Normal"/>
    <w:pPr>
      <w:pBdr>
        <w:top w:val="single" w:sz="4" w:space="0" w:color="auto"/>
        <w:left w:val="single" w:sz="4" w:space="0" w:color="auto"/>
        <w:right w:val="single" w:sz="4" w:space="0" w:color="auto"/>
      </w:pBdr>
      <w:shd w:val="clear" w:color="auto" w:fill="33CCCC"/>
      <w:spacing w:before="100" w:beforeAutospacing="1" w:after="100" w:afterAutospacing="1"/>
      <w:jc w:val="center"/>
      <w:textAlignment w:val="center"/>
    </w:pPr>
    <w:rPr>
      <w:rFonts w:ascii="Arial" w:eastAsia="Arial Unicode MS" w:hAnsi="Arial" w:cs="Arial"/>
      <w:sz w:val="16"/>
      <w:szCs w:val="16"/>
    </w:rPr>
  </w:style>
  <w:style w:type="paragraph" w:customStyle="1" w:styleId="xl38">
    <w:name w:val="xl38"/>
    <w:basedOn w:val="Normal"/>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39">
    <w:name w:val="xl39"/>
    <w:basedOn w:val="Normal"/>
    <w:pPr>
      <w:pBdr>
        <w:left w:val="single" w:sz="4" w:space="0" w:color="auto"/>
        <w:right w:val="single" w:sz="4" w:space="0" w:color="auto"/>
      </w:pBdr>
      <w:spacing w:before="100" w:beforeAutospacing="1" w:after="100" w:afterAutospacing="1"/>
      <w:jc w:val="left"/>
      <w:textAlignment w:val="center"/>
    </w:pPr>
    <w:rPr>
      <w:rFonts w:ascii="Arial" w:eastAsia="Arial Unicode MS" w:hAnsi="Arial" w:cs="Arial"/>
      <w:sz w:val="16"/>
      <w:szCs w:val="16"/>
    </w:rPr>
  </w:style>
  <w:style w:type="paragraph" w:customStyle="1" w:styleId="xl40">
    <w:name w:val="xl40"/>
    <w:basedOn w:val="Normal"/>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41">
    <w:name w:val="xl41"/>
    <w:basedOn w:val="Normal"/>
    <w:pPr>
      <w:pBdr>
        <w:left w:val="single" w:sz="4" w:space="0" w:color="auto"/>
        <w:right w:val="single" w:sz="4" w:space="0" w:color="auto"/>
      </w:pBdr>
      <w:shd w:val="clear" w:color="auto" w:fill="33CCCC"/>
      <w:spacing w:before="100" w:beforeAutospacing="1" w:after="100" w:afterAutospacing="1"/>
      <w:jc w:val="center"/>
      <w:textAlignment w:val="center"/>
    </w:pPr>
    <w:rPr>
      <w:rFonts w:ascii="Arial" w:eastAsia="Arial Unicode MS" w:hAnsi="Arial" w:cs="Arial"/>
      <w:sz w:val="16"/>
      <w:szCs w:val="16"/>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16"/>
      <w:szCs w:val="16"/>
    </w:rPr>
  </w:style>
  <w:style w:type="paragraph" w:customStyle="1" w:styleId="xl44">
    <w:name w:val="xl44"/>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45">
    <w:name w:val="xl45"/>
    <w:basedOn w:val="Normal"/>
    <w:pPr>
      <w:pBdr>
        <w:left w:val="single" w:sz="4" w:space="0" w:color="auto"/>
        <w:bottom w:val="single" w:sz="4" w:space="0" w:color="auto"/>
        <w:right w:val="single" w:sz="4" w:space="0" w:color="auto"/>
      </w:pBdr>
      <w:shd w:val="clear" w:color="auto" w:fill="33CCCC"/>
      <w:spacing w:before="100" w:beforeAutospacing="1" w:after="100" w:afterAutospacing="1"/>
      <w:jc w:val="center"/>
      <w:textAlignment w:val="center"/>
    </w:pPr>
    <w:rPr>
      <w:rFonts w:ascii="Arial" w:eastAsia="Arial Unicode MS" w:hAnsi="Arial" w:cs="Arial"/>
      <w:sz w:val="16"/>
      <w:szCs w:val="16"/>
    </w:rPr>
  </w:style>
  <w:style w:type="paragraph" w:customStyle="1" w:styleId="xl46">
    <w:name w:val="xl46"/>
    <w:basedOn w:val="Normal"/>
    <w:pPr>
      <w:pBdr>
        <w:top w:val="single" w:sz="4" w:space="0" w:color="auto"/>
        <w:left w:val="single" w:sz="4" w:space="0" w:color="auto"/>
        <w:bottom w:val="single" w:sz="4" w:space="0" w:color="auto"/>
      </w:pBdr>
      <w:shd w:val="clear" w:color="auto" w:fill="E6E6E6"/>
      <w:spacing w:before="100" w:beforeAutospacing="1" w:after="100" w:afterAutospacing="1"/>
      <w:jc w:val="left"/>
      <w:textAlignment w:val="center"/>
    </w:pPr>
    <w:rPr>
      <w:rFonts w:ascii="Arial" w:eastAsia="Arial Unicode MS" w:hAnsi="Arial" w:cs="Arial"/>
      <w:sz w:val="16"/>
      <w:szCs w:val="16"/>
    </w:rPr>
  </w:style>
  <w:style w:type="paragraph" w:customStyle="1" w:styleId="xl47">
    <w:name w:val="xl47"/>
    <w:basedOn w:val="Normal"/>
    <w:pPr>
      <w:pBdr>
        <w:top w:val="single" w:sz="4" w:space="0" w:color="auto"/>
        <w:bottom w:val="single" w:sz="4" w:space="0" w:color="auto"/>
      </w:pBdr>
      <w:shd w:val="clear" w:color="auto" w:fill="E6E6E6"/>
      <w:spacing w:before="100" w:beforeAutospacing="1" w:after="100" w:afterAutospacing="1"/>
      <w:jc w:val="left"/>
      <w:textAlignment w:val="center"/>
    </w:pPr>
    <w:rPr>
      <w:rFonts w:ascii="Arial" w:eastAsia="Arial Unicode MS" w:hAnsi="Arial" w:cs="Arial"/>
      <w:sz w:val="16"/>
      <w:szCs w:val="16"/>
    </w:rPr>
  </w:style>
  <w:style w:type="paragraph" w:customStyle="1" w:styleId="xl48">
    <w:name w:val="xl48"/>
    <w:basedOn w:val="Normal"/>
    <w:pPr>
      <w:pBdr>
        <w:top w:val="single" w:sz="4" w:space="0" w:color="auto"/>
        <w:bottom w:val="single" w:sz="4" w:space="0" w:color="auto"/>
        <w:right w:val="single" w:sz="4" w:space="0" w:color="auto"/>
      </w:pBdr>
      <w:shd w:val="clear" w:color="auto" w:fill="E6E6E6"/>
      <w:spacing w:before="100" w:beforeAutospacing="1" w:after="100" w:afterAutospacing="1"/>
      <w:jc w:val="left"/>
      <w:textAlignment w:val="center"/>
    </w:pPr>
    <w:rPr>
      <w:rFonts w:ascii="Arial" w:eastAsia="Arial Unicode MS" w:hAnsi="Arial" w:cs="Arial"/>
      <w:sz w:val="16"/>
      <w:szCs w:val="16"/>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Arial" w:eastAsia="Arial Unicode MS" w:hAnsi="Arial" w:cs="Arial"/>
      <w:sz w:val="16"/>
      <w:szCs w:val="16"/>
    </w:rPr>
  </w:style>
  <w:style w:type="paragraph" w:customStyle="1" w:styleId="xl50">
    <w:name w:val="xl50"/>
    <w:basedOn w:val="Normal"/>
    <w:pPr>
      <w:pBdr>
        <w:top w:val="single" w:sz="4" w:space="0" w:color="auto"/>
        <w:left w:val="single" w:sz="4" w:space="0" w:color="auto"/>
        <w:right w:val="single" w:sz="4" w:space="0" w:color="auto"/>
      </w:pBdr>
      <w:shd w:val="clear" w:color="auto" w:fill="3DEB3D"/>
      <w:spacing w:before="100" w:beforeAutospacing="1" w:after="100" w:afterAutospacing="1"/>
      <w:jc w:val="center"/>
      <w:textAlignment w:val="center"/>
    </w:pPr>
    <w:rPr>
      <w:rFonts w:ascii="Arial" w:eastAsia="Arial Unicode MS" w:hAnsi="Arial" w:cs="Arial"/>
      <w:sz w:val="16"/>
      <w:szCs w:val="16"/>
    </w:rPr>
  </w:style>
  <w:style w:type="paragraph" w:customStyle="1" w:styleId="xl51">
    <w:name w:val="xl51"/>
    <w:basedOn w:val="Normal"/>
    <w:pPr>
      <w:pBdr>
        <w:left w:val="single" w:sz="4" w:space="0" w:color="auto"/>
        <w:bottom w:val="single" w:sz="4" w:space="0" w:color="auto"/>
        <w:right w:val="single" w:sz="4" w:space="0" w:color="auto"/>
      </w:pBdr>
      <w:shd w:val="clear" w:color="auto" w:fill="3DEB3D"/>
      <w:spacing w:before="100" w:beforeAutospacing="1" w:after="100" w:afterAutospacing="1"/>
      <w:jc w:val="center"/>
      <w:textAlignment w:val="center"/>
    </w:pPr>
    <w:rPr>
      <w:rFonts w:ascii="Arial" w:eastAsia="Arial Unicode MS" w:hAnsi="Arial" w:cs="Arial"/>
      <w:sz w:val="16"/>
      <w:szCs w:val="16"/>
    </w:rPr>
  </w:style>
  <w:style w:type="paragraph" w:customStyle="1" w:styleId="xl52">
    <w:name w:val="xl52"/>
    <w:basedOn w:val="Normal"/>
    <w:pPr>
      <w:pBdr>
        <w:left w:val="single" w:sz="4" w:space="0" w:color="auto"/>
        <w:right w:val="single" w:sz="4" w:space="0" w:color="auto"/>
      </w:pBdr>
      <w:shd w:val="clear" w:color="auto" w:fill="3DEB3D"/>
      <w:spacing w:before="100" w:beforeAutospacing="1" w:after="100" w:afterAutospacing="1"/>
      <w:jc w:val="center"/>
      <w:textAlignment w:val="center"/>
    </w:pPr>
    <w:rPr>
      <w:rFonts w:ascii="Arial" w:eastAsia="Arial Unicode MS" w:hAnsi="Arial" w:cs="Arial"/>
      <w:sz w:val="16"/>
      <w:szCs w:val="16"/>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hd w:val="clear" w:color="auto" w:fill="3DEB3D"/>
      <w:spacing w:before="100" w:beforeAutospacing="1" w:after="100" w:afterAutospacing="1"/>
      <w:jc w:val="center"/>
      <w:textAlignment w:val="center"/>
    </w:pPr>
    <w:rPr>
      <w:rFonts w:ascii="Arial" w:eastAsia="Arial Unicode MS" w:hAnsi="Arial" w:cs="Arial"/>
      <w:sz w:val="16"/>
      <w:szCs w:val="16"/>
    </w:rPr>
  </w:style>
  <w:style w:type="paragraph" w:customStyle="1" w:styleId="xl54">
    <w:name w:val="xl54"/>
    <w:basedOn w:val="Normal"/>
    <w:pPr>
      <w:pBdr>
        <w:top w:val="single" w:sz="4" w:space="0" w:color="auto"/>
        <w:left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sz w:val="16"/>
      <w:szCs w:val="16"/>
    </w:rPr>
  </w:style>
  <w:style w:type="paragraph" w:customStyle="1" w:styleId="xl55">
    <w:name w:val="xl5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6">
    <w:name w:val="xl56"/>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base0">
    <w:name w:val="base"/>
    <w:basedOn w:val="Normal"/>
    <w:pPr>
      <w:spacing w:before="100" w:beforeAutospacing="1" w:after="100" w:afterAutospacing="1"/>
      <w:jc w:val="left"/>
    </w:pPr>
    <w:rPr>
      <w:rFonts w:ascii="Arial Unicode MS" w:eastAsia="Arial Unicode MS" w:hAnsi="Arial Unicode MS" w:cs="Arial Unicode MS"/>
      <w:sz w:val="22"/>
      <w:szCs w:val="24"/>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z w:val="22"/>
      <w:szCs w:val="24"/>
    </w:rPr>
  </w:style>
  <w:style w:type="character" w:styleId="Strong">
    <w:name w:val="Strong"/>
    <w:qFormat/>
    <w:rPr>
      <w:b/>
      <w:bCs/>
    </w:rPr>
  </w:style>
  <w:style w:type="paragraph" w:customStyle="1" w:styleId="Normal10">
    <w:name w:val="Normal1"/>
    <w:basedOn w:val="Normal"/>
    <w:pPr>
      <w:spacing w:before="0" w:after="60"/>
    </w:pPr>
    <w:rPr>
      <w:rFonts w:eastAsia="Times New Roman"/>
      <w:sz w:val="22"/>
      <w:szCs w:val="20"/>
    </w:rPr>
  </w:style>
  <w:style w:type="paragraph" w:styleId="z-TopofForm">
    <w:name w:val="HTML Top of Form"/>
    <w:basedOn w:val="Normal"/>
    <w:next w:val="Normal"/>
    <w:hidden/>
    <w:pPr>
      <w:pBdr>
        <w:bottom w:val="single" w:sz="6" w:space="1" w:color="auto"/>
      </w:pBdr>
      <w:spacing w:before="0" w:after="60"/>
      <w:jc w:val="center"/>
    </w:pPr>
    <w:rPr>
      <w:rFonts w:ascii="Arial" w:eastAsia="Arial Unicode MS" w:hAnsi="Arial" w:cs="Arial"/>
      <w:vanish/>
      <w:sz w:val="16"/>
      <w:szCs w:val="16"/>
    </w:rPr>
  </w:style>
  <w:style w:type="character" w:customStyle="1" w:styleId="z-TopofFormChar">
    <w:name w:val="z-Top of Form Char"/>
    <w:basedOn w:val="DefaultParagraphFont"/>
    <w:rPr>
      <w:rFonts w:ascii="Arial" w:eastAsia="Arial Unicode MS" w:hAnsi="Arial" w:cs="Arial"/>
      <w:vanish/>
      <w:sz w:val="16"/>
      <w:szCs w:val="16"/>
      <w:lang w:val="da-DK"/>
    </w:rPr>
  </w:style>
  <w:style w:type="paragraph" w:customStyle="1" w:styleId="xl58">
    <w:name w:val="xl58"/>
    <w:basedOn w:val="Normal"/>
    <w:pPr>
      <w:pBdr>
        <w:left w:val="single" w:sz="4" w:space="0" w:color="000000"/>
        <w:right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59">
    <w:name w:val="xl59"/>
    <w:basedOn w:val="Normal"/>
    <w:pP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60">
    <w:name w:val="xl60"/>
    <w:basedOn w:val="Normal"/>
    <w:pPr>
      <w:pBdr>
        <w:left w:val="single" w:sz="4" w:space="0" w:color="000000"/>
        <w:right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61">
    <w:name w:val="xl61"/>
    <w:basedOn w:val="Normal"/>
    <w:pPr>
      <w:pBdr>
        <w:left w:val="single" w:sz="4" w:space="0" w:color="000000"/>
        <w:right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62">
    <w:name w:val="xl62"/>
    <w:basedOn w:val="Normal"/>
    <w:pPr>
      <w:pBdr>
        <w:bottom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63">
    <w:name w:val="xl63"/>
    <w:basedOn w:val="Normal"/>
    <w:pPr>
      <w:pBdr>
        <w:left w:val="single" w:sz="4" w:space="0" w:color="000000"/>
        <w:bottom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64">
    <w:name w:val="xl64"/>
    <w:basedOn w:val="Normal"/>
    <w:pPr>
      <w:pBdr>
        <w:left w:val="single" w:sz="4" w:space="0" w:color="000000"/>
        <w:bottom w:val="single" w:sz="4" w:space="0" w:color="000000"/>
        <w:right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65">
    <w:name w:val="xl65"/>
    <w:basedOn w:val="Normal"/>
    <w:pPr>
      <w:pBdr>
        <w:bottom w:val="single" w:sz="4" w:space="0" w:color="000000"/>
      </w:pBd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66">
    <w:name w:val="xl66"/>
    <w:basedOn w:val="Normal"/>
    <w:pPr>
      <w:pBdr>
        <w:left w:val="single" w:sz="4" w:space="0" w:color="000000"/>
        <w:bottom w:val="single" w:sz="4" w:space="0" w:color="000000"/>
        <w:right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67">
    <w:name w:val="xl67"/>
    <w:basedOn w:val="Normal"/>
    <w:pPr>
      <w:pBdr>
        <w:left w:val="single" w:sz="4" w:space="0" w:color="000000"/>
        <w:bottom w:val="single" w:sz="4" w:space="0" w:color="000000"/>
        <w:right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68">
    <w:name w:val="xl68"/>
    <w:basedOn w:val="Normal"/>
    <w:pPr>
      <w:pBdr>
        <w:top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69">
    <w:name w:val="xl69"/>
    <w:basedOn w:val="Normal"/>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71">
    <w:name w:val="xl71"/>
    <w:basedOn w:val="Normal"/>
    <w:pPr>
      <w:pBdr>
        <w:top w:val="single" w:sz="4" w:space="0" w:color="000000"/>
        <w:bottom w:val="single" w:sz="4" w:space="0" w:color="000000"/>
      </w:pBdr>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73">
    <w:name w:val="xl73"/>
    <w:basedOn w:val="Normal"/>
    <w:pPr>
      <w:pBdr>
        <w:top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74">
    <w:name w:val="xl74"/>
    <w:basedOn w:val="Normal"/>
    <w:pPr>
      <w:pBdr>
        <w:top w:val="single" w:sz="4" w:space="0" w:color="000000"/>
        <w:bottom w:val="single" w:sz="4" w:space="0" w:color="000000"/>
      </w:pBdr>
      <w:shd w:val="clear" w:color="auto" w:fill="33CCCC"/>
      <w:spacing w:before="100" w:beforeAutospacing="1" w:after="100" w:afterAutospacing="1"/>
      <w:jc w:val="center"/>
      <w:textAlignment w:val="center"/>
    </w:pPr>
    <w:rPr>
      <w:rFonts w:ascii="Arial" w:eastAsia="Arial Unicode MS" w:hAnsi="Arial" w:cs="Arial"/>
      <w:sz w:val="18"/>
      <w:szCs w:val="18"/>
    </w:rPr>
  </w:style>
  <w:style w:type="paragraph" w:customStyle="1" w:styleId="xl75">
    <w:name w:val="xl75"/>
    <w:basedOn w:val="Normal"/>
    <w:pPr>
      <w:pBdr>
        <w:top w:val="single" w:sz="4" w:space="0" w:color="000000"/>
        <w:left w:val="single" w:sz="4" w:space="0" w:color="000000"/>
        <w:bottom w:val="single" w:sz="4" w:space="0" w:color="000000"/>
      </w:pBdr>
      <w:shd w:val="clear" w:color="auto" w:fill="33CCCC"/>
      <w:spacing w:before="100" w:beforeAutospacing="1" w:after="100" w:afterAutospacing="1"/>
      <w:jc w:val="center"/>
      <w:textAlignment w:val="center"/>
    </w:pPr>
    <w:rPr>
      <w:rFonts w:ascii="Arial" w:eastAsia="Arial Unicode MS" w:hAnsi="Arial" w:cs="Arial"/>
      <w:sz w:val="18"/>
      <w:szCs w:val="18"/>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auto" w:fill="33CCCC"/>
      <w:spacing w:before="100" w:beforeAutospacing="1" w:after="100" w:afterAutospacing="1"/>
      <w:jc w:val="center"/>
      <w:textAlignment w:val="center"/>
    </w:pPr>
    <w:rPr>
      <w:rFonts w:ascii="Arial" w:eastAsia="Arial Unicode MS" w:hAnsi="Arial" w:cs="Arial"/>
      <w:sz w:val="18"/>
      <w:szCs w:val="18"/>
    </w:rPr>
  </w:style>
  <w:style w:type="paragraph" w:customStyle="1" w:styleId="xl77">
    <w:name w:val="xl77"/>
    <w:basedOn w:val="Normal"/>
    <w:pPr>
      <w:pBdr>
        <w:top w:val="single" w:sz="4" w:space="0" w:color="000000"/>
        <w:bottom w:val="single" w:sz="4" w:space="0" w:color="000000"/>
      </w:pBdr>
      <w:shd w:val="clear" w:color="auto" w:fill="33CCCC"/>
      <w:spacing w:before="100" w:beforeAutospacing="1" w:after="100" w:afterAutospacing="1"/>
      <w:jc w:val="left"/>
      <w:textAlignment w:val="center"/>
    </w:pPr>
    <w:rPr>
      <w:rFonts w:ascii="Arial" w:eastAsia="Arial Unicode MS" w:hAnsi="Arial" w:cs="Arial"/>
      <w:sz w:val="18"/>
      <w:szCs w:val="18"/>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hd w:val="clear" w:color="auto" w:fill="33CCCC"/>
      <w:spacing w:before="100" w:beforeAutospacing="1" w:after="100" w:afterAutospacing="1"/>
      <w:jc w:val="center"/>
      <w:textAlignment w:val="center"/>
    </w:pPr>
    <w:rPr>
      <w:rFonts w:ascii="Arial" w:eastAsia="Arial Unicode MS" w:hAnsi="Arial" w:cs="Arial"/>
      <w:sz w:val="18"/>
      <w:szCs w:val="18"/>
    </w:rPr>
  </w:style>
  <w:style w:type="paragraph" w:customStyle="1" w:styleId="xl79">
    <w:name w:val="xl79"/>
    <w:basedOn w:val="Normal"/>
    <w:pPr>
      <w:pBdr>
        <w:top w:val="single" w:sz="4" w:space="0" w:color="000000"/>
        <w:left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80">
    <w:name w:val="xl80"/>
    <w:basedOn w:val="Normal"/>
    <w:pPr>
      <w:pBdr>
        <w:top w:val="single" w:sz="4" w:space="0" w:color="000000"/>
      </w:pBd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81">
    <w:name w:val="xl81"/>
    <w:basedOn w:val="Normal"/>
    <w:pPr>
      <w:pBdr>
        <w:left w:val="single" w:sz="4" w:space="0" w:color="000000"/>
        <w:right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82">
    <w:name w:val="xl82"/>
    <w:basedOn w:val="Normal"/>
    <w:pPr>
      <w:pBdr>
        <w:top w:val="single" w:sz="4" w:space="0" w:color="000000"/>
        <w:left w:val="single" w:sz="4" w:space="0" w:color="000000"/>
        <w:bottom w:val="single" w:sz="4" w:space="0" w:color="000000"/>
        <w:right w:val="single" w:sz="4" w:space="0" w:color="000000"/>
      </w:pBdr>
      <w:shd w:val="clear" w:color="auto" w:fill="33CCCC"/>
      <w:spacing w:before="100" w:beforeAutospacing="1" w:after="100" w:afterAutospacing="1"/>
      <w:jc w:val="center"/>
      <w:textAlignment w:val="center"/>
    </w:pPr>
    <w:rPr>
      <w:rFonts w:ascii="Arial" w:eastAsia="Arial Unicode MS" w:hAnsi="Arial" w:cs="Arial"/>
      <w:color w:val="333333"/>
      <w:sz w:val="18"/>
      <w:szCs w:val="18"/>
    </w:rPr>
  </w:style>
  <w:style w:type="paragraph" w:customStyle="1" w:styleId="xl83">
    <w:name w:val="xl83"/>
    <w:basedOn w:val="Normal"/>
    <w:pPr>
      <w:pBdr>
        <w:top w:val="single" w:sz="4" w:space="0" w:color="000000"/>
        <w:left w:val="single" w:sz="4" w:space="0" w:color="000000"/>
        <w:bottom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84">
    <w:name w:val="xl84"/>
    <w:basedOn w:val="Normal"/>
    <w:pPr>
      <w:pBdr>
        <w:top w:val="single" w:sz="4" w:space="0" w:color="000000"/>
        <w:bottom w:val="single" w:sz="4" w:space="0" w:color="000000"/>
      </w:pBd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85">
    <w:name w:val="xl85"/>
    <w:basedOn w:val="Normal"/>
    <w:pPr>
      <w:pBdr>
        <w:top w:val="single" w:sz="4" w:space="0" w:color="000000"/>
        <w:bottom w:val="single" w:sz="4" w:space="0" w:color="000000"/>
      </w:pBdr>
      <w:shd w:val="clear" w:color="auto" w:fill="CCCCCC"/>
      <w:spacing w:before="100" w:beforeAutospacing="1" w:after="100" w:afterAutospacing="1"/>
      <w:jc w:val="center"/>
      <w:textAlignment w:val="center"/>
    </w:pPr>
    <w:rPr>
      <w:rFonts w:ascii="Arial" w:eastAsia="Arial Unicode MS" w:hAnsi="Arial" w:cs="Arial"/>
      <w:color w:val="000000"/>
      <w:sz w:val="18"/>
      <w:szCs w:val="18"/>
    </w:rPr>
  </w:style>
  <w:style w:type="paragraph" w:customStyle="1" w:styleId="xl86">
    <w:name w:val="xl86"/>
    <w:basedOn w:val="Normal"/>
    <w:pPr>
      <w:pBdr>
        <w:top w:val="single" w:sz="4" w:space="0" w:color="000000"/>
        <w:left w:val="single" w:sz="4" w:space="0" w:color="000000"/>
        <w:bottom w:val="single" w:sz="4" w:space="0" w:color="000000"/>
      </w:pBdr>
      <w:shd w:val="clear" w:color="auto" w:fill="CCCCCC"/>
      <w:spacing w:before="100" w:beforeAutospacing="1" w:after="100" w:afterAutospacing="1"/>
      <w:jc w:val="center"/>
      <w:textAlignment w:val="center"/>
    </w:pPr>
    <w:rPr>
      <w:rFonts w:ascii="Arial" w:eastAsia="Arial Unicode MS" w:hAnsi="Arial" w:cs="Arial"/>
      <w:color w:val="000000"/>
      <w:sz w:val="18"/>
      <w:szCs w:val="18"/>
    </w:rPr>
  </w:style>
  <w:style w:type="paragraph" w:customStyle="1" w:styleId="xl87">
    <w:name w:val="xl87"/>
    <w:basedOn w:val="Normal"/>
    <w:pPr>
      <w:shd w:val="clear" w:color="auto" w:fill="CCCCCC"/>
      <w:spacing w:before="100" w:beforeAutospacing="1" w:after="100" w:afterAutospacing="1"/>
      <w:jc w:val="center"/>
    </w:pPr>
    <w:rPr>
      <w:rFonts w:ascii="Arial" w:eastAsia="Arial Unicode MS" w:hAnsi="Arial" w:cs="Arial"/>
      <w:color w:val="000000"/>
      <w:sz w:val="18"/>
      <w:szCs w:val="18"/>
    </w:rPr>
  </w:style>
  <w:style w:type="paragraph" w:customStyle="1" w:styleId="xl88">
    <w:name w:val="xl88"/>
    <w:basedOn w:val="Normal"/>
    <w:pPr>
      <w:pBdr>
        <w:top w:val="single" w:sz="4" w:space="0" w:color="000000"/>
        <w:bottom w:val="single" w:sz="4" w:space="0" w:color="000000"/>
      </w:pBdr>
      <w:shd w:val="clear" w:color="auto" w:fill="CCCCCC"/>
      <w:spacing w:before="100" w:beforeAutospacing="1" w:after="100" w:afterAutospacing="1"/>
      <w:jc w:val="left"/>
      <w:textAlignment w:val="center"/>
    </w:pPr>
    <w:rPr>
      <w:rFonts w:ascii="Arial" w:eastAsia="Arial Unicode MS" w:hAnsi="Arial" w:cs="Arial"/>
      <w:color w:val="000000"/>
      <w:sz w:val="18"/>
      <w:szCs w:val="18"/>
    </w:rPr>
  </w:style>
  <w:style w:type="paragraph" w:customStyle="1" w:styleId="xl89">
    <w:name w:val="xl89"/>
    <w:basedOn w:val="Normal"/>
    <w:pPr>
      <w:pBdr>
        <w:top w:val="single" w:sz="4" w:space="0" w:color="000000"/>
        <w:left w:val="single" w:sz="4" w:space="0" w:color="000000"/>
        <w:bottom w:val="single" w:sz="4" w:space="0" w:color="000000"/>
        <w:right w:val="single" w:sz="4" w:space="0" w:color="000000"/>
      </w:pBdr>
      <w:shd w:val="clear" w:color="auto" w:fill="CCCCCC"/>
      <w:spacing w:before="100" w:beforeAutospacing="1" w:after="100" w:afterAutospacing="1"/>
      <w:jc w:val="center"/>
      <w:textAlignment w:val="center"/>
    </w:pPr>
    <w:rPr>
      <w:rFonts w:ascii="Arial" w:eastAsia="Arial Unicode MS" w:hAnsi="Arial" w:cs="Arial"/>
      <w:color w:val="000000"/>
      <w:sz w:val="18"/>
      <w:szCs w:val="18"/>
    </w:rPr>
  </w:style>
  <w:style w:type="paragraph" w:customStyle="1" w:styleId="xl90">
    <w:name w:val="xl90"/>
    <w:basedOn w:val="Normal"/>
    <w:pPr>
      <w:pBdr>
        <w:top w:val="single" w:sz="4" w:space="0" w:color="000000"/>
        <w:left w:val="single" w:sz="4" w:space="0" w:color="000000"/>
        <w:bottom w:val="single" w:sz="4" w:space="0" w:color="000000"/>
        <w:right w:val="single" w:sz="4" w:space="0" w:color="000000"/>
      </w:pBdr>
      <w:shd w:val="clear" w:color="auto" w:fill="CCCCCC"/>
      <w:spacing w:before="100" w:beforeAutospacing="1" w:after="100" w:afterAutospacing="1"/>
      <w:jc w:val="center"/>
      <w:textAlignment w:val="center"/>
    </w:pPr>
    <w:rPr>
      <w:rFonts w:ascii="Arial" w:eastAsia="Arial Unicode MS" w:hAnsi="Arial" w:cs="Arial"/>
      <w:b/>
      <w:bCs/>
      <w:color w:val="FF0000"/>
      <w:sz w:val="18"/>
      <w:szCs w:val="18"/>
    </w:rPr>
  </w:style>
  <w:style w:type="paragraph" w:customStyle="1" w:styleId="xl91">
    <w:name w:val="xl91"/>
    <w:basedOn w:val="Normal"/>
    <w:pPr>
      <w:pBdr>
        <w:top w:val="single" w:sz="4" w:space="0" w:color="000000"/>
        <w:left w:val="single" w:sz="4" w:space="0" w:color="000000"/>
        <w:bottom w:val="single" w:sz="4" w:space="0" w:color="000000"/>
        <w:right w:val="single" w:sz="4" w:space="0" w:color="000000"/>
      </w:pBdr>
      <w:shd w:val="clear" w:color="auto" w:fill="CCCCCC"/>
      <w:spacing w:before="100" w:beforeAutospacing="1" w:after="100" w:afterAutospacing="1"/>
      <w:jc w:val="center"/>
      <w:textAlignment w:val="center"/>
    </w:pPr>
    <w:rPr>
      <w:rFonts w:ascii="Arial" w:eastAsia="Arial Unicode MS" w:hAnsi="Arial" w:cs="Arial"/>
      <w:b/>
      <w:bCs/>
      <w:color w:val="000000"/>
      <w:sz w:val="18"/>
      <w:szCs w:val="18"/>
    </w:rPr>
  </w:style>
  <w:style w:type="paragraph" w:customStyle="1" w:styleId="xl92">
    <w:name w:val="xl92"/>
    <w:basedOn w:val="Normal"/>
    <w:pPr>
      <w:pBdr>
        <w:top w:val="single" w:sz="4" w:space="0" w:color="000000"/>
        <w:bottom w:val="single" w:sz="4" w:space="0" w:color="000000"/>
      </w:pBdr>
      <w:shd w:val="clear" w:color="auto" w:fill="CC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93">
    <w:name w:val="xl93"/>
    <w:basedOn w:val="Normal"/>
    <w:pPr>
      <w:pBdr>
        <w:top w:val="single" w:sz="4" w:space="0" w:color="000000"/>
        <w:left w:val="single" w:sz="4" w:space="0" w:color="000000"/>
        <w:bottom w:val="single" w:sz="4" w:space="0" w:color="000000"/>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94">
    <w:name w:val="xl94"/>
    <w:basedOn w:val="Normal"/>
    <w:pPr>
      <w:pBdr>
        <w:top w:val="single" w:sz="4" w:space="0" w:color="000000"/>
        <w:bottom w:val="single" w:sz="4" w:space="0" w:color="000000"/>
      </w:pBdr>
      <w:shd w:val="clear" w:color="auto" w:fill="FF0000"/>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95">
    <w:name w:val="xl95"/>
    <w:basedOn w:val="Normal"/>
    <w:pPr>
      <w:pBdr>
        <w:left w:val="single" w:sz="4" w:space="0" w:color="000000"/>
        <w:right w:val="single" w:sz="4" w:space="0" w:color="000000"/>
      </w:pBdr>
      <w:shd w:val="clear" w:color="auto" w:fill="33CCCC"/>
      <w:spacing w:before="100" w:beforeAutospacing="1" w:after="100" w:afterAutospacing="1"/>
      <w:jc w:val="center"/>
      <w:textAlignment w:val="center"/>
    </w:pPr>
    <w:rPr>
      <w:rFonts w:ascii="Arial" w:eastAsia="Arial Unicode MS" w:hAnsi="Arial" w:cs="Arial"/>
      <w:sz w:val="18"/>
      <w:szCs w:val="18"/>
    </w:rPr>
  </w:style>
  <w:style w:type="paragraph" w:customStyle="1" w:styleId="xl96">
    <w:name w:val="xl96"/>
    <w:basedOn w:val="Normal"/>
    <w:pPr>
      <w:pBdr>
        <w:top w:val="single" w:sz="4" w:space="0" w:color="000000"/>
        <w:left w:val="single" w:sz="4" w:space="0" w:color="000000"/>
        <w:right w:val="single" w:sz="4" w:space="0" w:color="000000"/>
      </w:pBdr>
      <w:shd w:val="clear" w:color="auto" w:fill="33CCCC"/>
      <w:spacing w:before="100" w:beforeAutospacing="1" w:after="100" w:afterAutospacing="1"/>
      <w:jc w:val="center"/>
      <w:textAlignment w:val="center"/>
    </w:pPr>
    <w:rPr>
      <w:rFonts w:ascii="Arial" w:eastAsia="Arial Unicode MS" w:hAnsi="Arial" w:cs="Arial"/>
      <w:color w:val="333333"/>
      <w:sz w:val="18"/>
      <w:szCs w:val="18"/>
    </w:r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hd w:val="clear" w:color="auto" w:fill="CCCCCC"/>
      <w:spacing w:before="100" w:beforeAutospacing="1" w:after="100" w:afterAutospacing="1"/>
      <w:jc w:val="center"/>
      <w:textAlignment w:val="center"/>
    </w:pPr>
    <w:rPr>
      <w:rFonts w:ascii="Arial" w:eastAsia="Arial Unicode MS" w:hAnsi="Arial" w:cs="Arial"/>
      <w:i/>
      <w:iCs/>
      <w:color w:val="000000"/>
      <w:sz w:val="18"/>
      <w:szCs w:val="18"/>
    </w:rPr>
  </w:style>
  <w:style w:type="paragraph" w:customStyle="1" w:styleId="xl98">
    <w:name w:val="xl98"/>
    <w:basedOn w:val="Normal"/>
    <w:pPr>
      <w:pBdr>
        <w:top w:val="single" w:sz="4" w:space="0" w:color="000000"/>
        <w:left w:val="single" w:sz="4" w:space="0" w:color="000000"/>
        <w:right w:val="single" w:sz="4" w:space="0" w:color="000000"/>
      </w:pBdr>
      <w:shd w:val="clear" w:color="auto" w:fill="33CCCC"/>
      <w:spacing w:before="100" w:beforeAutospacing="1" w:after="100" w:afterAutospacing="1"/>
      <w:jc w:val="center"/>
      <w:textAlignment w:val="center"/>
    </w:pPr>
    <w:rPr>
      <w:rFonts w:ascii="Arial" w:eastAsia="Arial Unicode MS" w:hAnsi="Arial" w:cs="Arial"/>
      <w:sz w:val="18"/>
      <w:szCs w:val="18"/>
    </w:rPr>
  </w:style>
  <w:style w:type="paragraph" w:customStyle="1" w:styleId="xl99">
    <w:name w:val="xl99"/>
    <w:basedOn w:val="Normal"/>
    <w:pPr>
      <w:pBdr>
        <w:top w:val="single" w:sz="4" w:space="0" w:color="000000"/>
      </w:pBdr>
      <w:shd w:val="clear" w:color="auto" w:fill="33CCCC"/>
      <w:spacing w:before="100" w:beforeAutospacing="1" w:after="100" w:afterAutospacing="1"/>
      <w:jc w:val="center"/>
      <w:textAlignment w:val="center"/>
    </w:pPr>
    <w:rPr>
      <w:rFonts w:ascii="Arial" w:eastAsia="Arial Unicode MS" w:hAnsi="Arial" w:cs="Arial"/>
      <w:sz w:val="18"/>
      <w:szCs w:val="18"/>
    </w:rPr>
  </w:style>
  <w:style w:type="paragraph" w:customStyle="1" w:styleId="xl100">
    <w:name w:val="xl100"/>
    <w:basedOn w:val="Normal"/>
    <w:pPr>
      <w:pBdr>
        <w:bottom w:val="single" w:sz="4" w:space="0" w:color="000000"/>
      </w:pBd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01">
    <w:name w:val="xl101"/>
    <w:basedOn w:val="Normal"/>
    <w:pPr>
      <w:pBdr>
        <w:left w:val="single" w:sz="4" w:space="0" w:color="000000"/>
        <w:bottom w:val="single" w:sz="4" w:space="0" w:color="000000"/>
        <w:right w:val="single" w:sz="4" w:space="0" w:color="000000"/>
      </w:pBdr>
      <w:shd w:val="clear" w:color="auto" w:fill="33CCCC"/>
      <w:spacing w:before="100" w:beforeAutospacing="1" w:after="100" w:afterAutospacing="1"/>
      <w:jc w:val="center"/>
      <w:textAlignment w:val="center"/>
    </w:pPr>
    <w:rPr>
      <w:rFonts w:ascii="Arial" w:eastAsia="Arial Unicode MS" w:hAnsi="Arial" w:cs="Arial"/>
      <w:sz w:val="18"/>
      <w:szCs w:val="18"/>
    </w:rPr>
  </w:style>
  <w:style w:type="paragraph" w:customStyle="1" w:styleId="xl102">
    <w:name w:val="xl102"/>
    <w:basedOn w:val="Normal"/>
    <w:pPr>
      <w:pBdr>
        <w:top w:val="single" w:sz="4" w:space="0" w:color="000000"/>
        <w:bottom w:val="single" w:sz="4" w:space="0" w:color="000000"/>
      </w:pBdr>
      <w:shd w:val="clear" w:color="auto" w:fill="33CCCC"/>
      <w:spacing w:before="100" w:beforeAutospacing="1" w:after="100" w:afterAutospacing="1"/>
      <w:jc w:val="center"/>
      <w:textAlignment w:val="center"/>
    </w:pPr>
    <w:rPr>
      <w:rFonts w:ascii="Arial" w:eastAsia="Arial Unicode MS" w:hAnsi="Arial" w:cs="Arial"/>
      <w:color w:val="000000"/>
      <w:sz w:val="18"/>
      <w:szCs w:val="18"/>
    </w:rPr>
  </w:style>
  <w:style w:type="paragraph" w:customStyle="1" w:styleId="xl103">
    <w:name w:val="xl103"/>
    <w:basedOn w:val="Normal"/>
    <w:pPr>
      <w:pBdr>
        <w:top w:val="single" w:sz="4" w:space="0" w:color="000000"/>
        <w:left w:val="single" w:sz="4" w:space="0" w:color="000000"/>
        <w:bottom w:val="single" w:sz="4" w:space="0" w:color="000000"/>
      </w:pBdr>
      <w:shd w:val="clear" w:color="auto" w:fill="33CCCC"/>
      <w:spacing w:before="100" w:beforeAutospacing="1" w:after="100" w:afterAutospacing="1"/>
      <w:jc w:val="center"/>
      <w:textAlignment w:val="center"/>
    </w:pPr>
    <w:rPr>
      <w:rFonts w:ascii="Arial" w:eastAsia="Arial Unicode MS" w:hAnsi="Arial" w:cs="Arial"/>
      <w:color w:val="000000"/>
      <w:sz w:val="18"/>
      <w:szCs w:val="18"/>
    </w:rPr>
  </w:style>
  <w:style w:type="paragraph" w:customStyle="1" w:styleId="xl104">
    <w:name w:val="xl104"/>
    <w:basedOn w:val="Normal"/>
    <w:pPr>
      <w:pBdr>
        <w:top w:val="single" w:sz="4" w:space="0" w:color="000000"/>
        <w:left w:val="single" w:sz="4" w:space="0" w:color="000000"/>
        <w:bottom w:val="single" w:sz="4" w:space="0" w:color="000000"/>
        <w:right w:val="single" w:sz="4" w:space="0" w:color="000000"/>
      </w:pBdr>
      <w:shd w:val="clear" w:color="auto" w:fill="33CCCC"/>
      <w:spacing w:before="100" w:beforeAutospacing="1" w:after="100" w:afterAutospacing="1"/>
      <w:jc w:val="center"/>
      <w:textAlignment w:val="center"/>
    </w:pPr>
    <w:rPr>
      <w:rFonts w:ascii="Arial" w:eastAsia="Arial Unicode MS" w:hAnsi="Arial" w:cs="Arial"/>
      <w:color w:val="000000"/>
      <w:sz w:val="18"/>
      <w:szCs w:val="18"/>
    </w:rPr>
  </w:style>
  <w:style w:type="paragraph" w:customStyle="1" w:styleId="xl105">
    <w:name w:val="xl105"/>
    <w:basedOn w:val="Normal"/>
    <w:pPr>
      <w:pBdr>
        <w:top w:val="single" w:sz="4" w:space="0" w:color="000000"/>
        <w:bottom w:val="single" w:sz="4" w:space="0" w:color="000000"/>
      </w:pBdr>
      <w:shd w:val="clear" w:color="auto" w:fill="33CCCC"/>
      <w:spacing w:before="100" w:beforeAutospacing="1" w:after="100" w:afterAutospacing="1"/>
      <w:jc w:val="left"/>
      <w:textAlignment w:val="center"/>
    </w:pPr>
    <w:rPr>
      <w:rFonts w:ascii="Arial" w:eastAsia="Arial Unicode MS" w:hAnsi="Arial" w:cs="Arial"/>
      <w:color w:val="000000"/>
      <w:sz w:val="18"/>
      <w:szCs w:val="18"/>
    </w:rPr>
  </w:style>
  <w:style w:type="paragraph" w:customStyle="1" w:styleId="xl106">
    <w:name w:val="xl106"/>
    <w:basedOn w:val="Normal"/>
    <w:pPr>
      <w:pBdr>
        <w:top w:val="single" w:sz="4" w:space="0" w:color="000000"/>
        <w:left w:val="single" w:sz="4" w:space="0" w:color="000000"/>
        <w:bottom w:val="single" w:sz="4" w:space="0" w:color="000000"/>
        <w:right w:val="single" w:sz="4" w:space="0" w:color="000000"/>
      </w:pBdr>
      <w:shd w:val="clear" w:color="auto" w:fill="33CCCC"/>
      <w:spacing w:before="100" w:beforeAutospacing="1" w:after="100" w:afterAutospacing="1"/>
      <w:jc w:val="center"/>
      <w:textAlignment w:val="center"/>
    </w:pPr>
    <w:rPr>
      <w:rFonts w:ascii="Arial" w:eastAsia="Arial Unicode MS" w:hAnsi="Arial" w:cs="Arial"/>
      <w:color w:val="000000"/>
      <w:sz w:val="18"/>
      <w:szCs w:val="18"/>
    </w:rPr>
  </w:style>
  <w:style w:type="paragraph" w:customStyle="1" w:styleId="xl107">
    <w:name w:val="xl107"/>
    <w:basedOn w:val="Normal"/>
    <w:pPr>
      <w:pBdr>
        <w:top w:val="single" w:sz="4" w:space="0" w:color="000000"/>
        <w:left w:val="single" w:sz="4" w:space="0" w:color="000000"/>
        <w:bottom w:val="single" w:sz="4" w:space="0" w:color="000000"/>
      </w:pBdr>
      <w:spacing w:before="100" w:beforeAutospacing="1" w:after="100" w:afterAutospacing="1"/>
      <w:jc w:val="center"/>
      <w:textAlignment w:val="top"/>
    </w:pPr>
    <w:rPr>
      <w:rFonts w:ascii="Arial" w:eastAsia="Arial Unicode MS" w:hAnsi="Arial" w:cs="Arial"/>
      <w:color w:val="000000"/>
      <w:sz w:val="18"/>
      <w:szCs w:val="18"/>
    </w:rPr>
  </w:style>
  <w:style w:type="paragraph" w:customStyle="1" w:styleId="xl108">
    <w:name w:val="xl10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eastAsia="Arial Unicode MS" w:hAnsi="Arial" w:cs="Arial"/>
      <w:color w:val="000000"/>
      <w:sz w:val="18"/>
      <w:szCs w:val="18"/>
    </w:rPr>
  </w:style>
  <w:style w:type="paragraph" w:customStyle="1" w:styleId="xl109">
    <w:name w:val="xl10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eastAsia="Arial Unicode MS" w:hAnsi="Arial" w:cs="Arial"/>
      <w:color w:val="000000"/>
      <w:sz w:val="18"/>
      <w:szCs w:val="18"/>
    </w:rPr>
  </w:style>
  <w:style w:type="paragraph" w:customStyle="1" w:styleId="xl110">
    <w:name w:val="xl110"/>
    <w:basedOn w:val="Normal"/>
    <w:pPr>
      <w:pBdr>
        <w:top w:val="single" w:sz="4" w:space="0" w:color="000000"/>
        <w:bottom w:val="single" w:sz="4" w:space="0" w:color="000000"/>
      </w:pBdr>
      <w:shd w:val="clear" w:color="auto" w:fill="CC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11">
    <w:name w:val="xl111"/>
    <w:basedOn w:val="Normal"/>
    <w:pPr>
      <w:pBdr>
        <w:top w:val="single" w:sz="4" w:space="0" w:color="000000"/>
        <w:left w:val="single" w:sz="4" w:space="0" w:color="000000"/>
        <w:bottom w:val="single" w:sz="4" w:space="0" w:color="000000"/>
      </w:pBdr>
      <w:shd w:val="clear" w:color="auto" w:fill="CC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12">
    <w:name w:val="xl112"/>
    <w:basedOn w:val="Normal"/>
    <w:pPr>
      <w:pBdr>
        <w:top w:val="single" w:sz="4" w:space="0" w:color="000000"/>
        <w:left w:val="single" w:sz="4" w:space="0" w:color="000000"/>
        <w:bottom w:val="single" w:sz="4" w:space="0" w:color="000000"/>
        <w:right w:val="single" w:sz="4" w:space="0" w:color="000000"/>
      </w:pBdr>
      <w:shd w:val="clear" w:color="auto" w:fill="CC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13">
    <w:name w:val="xl113"/>
    <w:basedOn w:val="Normal"/>
    <w:pPr>
      <w:pBdr>
        <w:top w:val="single" w:sz="4" w:space="0" w:color="000000"/>
        <w:bottom w:val="single" w:sz="4" w:space="0" w:color="000000"/>
      </w:pBdr>
      <w:shd w:val="clear" w:color="auto" w:fill="CC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14">
    <w:name w:val="xl114"/>
    <w:basedOn w:val="Normal"/>
    <w:pPr>
      <w:pBdr>
        <w:top w:val="single" w:sz="4" w:space="0" w:color="000000"/>
        <w:left w:val="single" w:sz="4" w:space="0" w:color="000000"/>
        <w:bottom w:val="single" w:sz="4" w:space="0" w:color="000000"/>
        <w:right w:val="single" w:sz="4" w:space="0" w:color="000000"/>
      </w:pBdr>
      <w:shd w:val="clear" w:color="auto" w:fill="CC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15">
    <w:name w:val="xl115"/>
    <w:basedOn w:val="Normal"/>
    <w:pPr>
      <w:pBdr>
        <w:top w:val="single" w:sz="4" w:space="0" w:color="000000"/>
        <w:bottom w:val="single" w:sz="4" w:space="0" w:color="000000"/>
      </w:pBdr>
      <w:spacing w:before="100" w:beforeAutospacing="1" w:after="100" w:afterAutospacing="1"/>
      <w:jc w:val="center"/>
      <w:textAlignment w:val="center"/>
    </w:pPr>
    <w:rPr>
      <w:rFonts w:ascii="Arial" w:eastAsia="Arial Unicode MS" w:hAnsi="Arial" w:cs="Arial"/>
      <w:sz w:val="18"/>
      <w:szCs w:val="18"/>
    </w:rPr>
  </w:style>
  <w:style w:type="paragraph" w:customStyle="1" w:styleId="xl116">
    <w:name w:val="xl116"/>
    <w:basedOn w:val="Normal"/>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eastAsia="Arial Unicode MS" w:hAnsi="Arial" w:cs="Arial"/>
      <w:sz w:val="18"/>
      <w:szCs w:val="18"/>
    </w:rPr>
  </w:style>
  <w:style w:type="paragraph" w:customStyle="1" w:styleId="xl117">
    <w:name w:val="xl117"/>
    <w:basedOn w:val="Normal"/>
    <w:pPr>
      <w:pBdr>
        <w:top w:val="single" w:sz="4" w:space="0" w:color="000000"/>
        <w:bottom w:val="single" w:sz="4" w:space="0" w:color="000000"/>
      </w:pBdr>
      <w:spacing w:before="100" w:beforeAutospacing="1" w:after="100" w:afterAutospacing="1"/>
      <w:jc w:val="left"/>
      <w:textAlignment w:val="center"/>
    </w:pPr>
    <w:rPr>
      <w:rFonts w:ascii="Arial" w:eastAsia="Arial Unicode MS" w:hAnsi="Arial" w:cs="Arial"/>
      <w:sz w:val="18"/>
      <w:szCs w:val="18"/>
    </w:rPr>
  </w:style>
  <w:style w:type="paragraph" w:customStyle="1" w:styleId="xl118">
    <w:name w:val="xl11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Arial Unicode MS" w:hAnsi="Arial" w:cs="Arial"/>
      <w:sz w:val="18"/>
      <w:szCs w:val="18"/>
    </w:rPr>
  </w:style>
  <w:style w:type="paragraph" w:customStyle="1" w:styleId="xl119">
    <w:name w:val="xl11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Arial Unicode MS" w:hAnsi="Arial" w:cs="Arial"/>
      <w:color w:val="333333"/>
      <w:sz w:val="18"/>
      <w:szCs w:val="18"/>
    </w:rPr>
  </w:style>
  <w:style w:type="paragraph" w:customStyle="1" w:styleId="xl120">
    <w:name w:val="xl12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Arial Unicode MS" w:hAnsi="Arial" w:cs="Arial"/>
      <w:sz w:val="18"/>
      <w:szCs w:val="18"/>
    </w:rPr>
  </w:style>
  <w:style w:type="paragraph" w:customStyle="1" w:styleId="xl121">
    <w:name w:val="xl12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Arial Unicode MS" w:hAnsi="Arial" w:cs="Arial"/>
      <w:b/>
      <w:bCs/>
      <w:color w:val="FF0000"/>
      <w:sz w:val="18"/>
      <w:szCs w:val="18"/>
    </w:rPr>
  </w:style>
  <w:style w:type="paragraph" w:customStyle="1" w:styleId="xl122">
    <w:name w:val="xl122"/>
    <w:basedOn w:val="Normal"/>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center"/>
      <w:textAlignment w:val="center"/>
    </w:pPr>
    <w:rPr>
      <w:rFonts w:ascii="Arial" w:eastAsia="Arial Unicode MS" w:hAnsi="Arial" w:cs="Arial"/>
      <w:sz w:val="18"/>
      <w:szCs w:val="18"/>
    </w:rPr>
  </w:style>
  <w:style w:type="paragraph" w:customStyle="1" w:styleId="xl123">
    <w:name w:val="xl123"/>
    <w:basedOn w:val="Normal"/>
    <w:pPr>
      <w:pBdr>
        <w:top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24">
    <w:name w:val="xl124"/>
    <w:basedOn w:val="Normal"/>
    <w:pPr>
      <w:pBdr>
        <w:top w:val="single" w:sz="4" w:space="0" w:color="000000"/>
        <w:left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25">
    <w:name w:val="xl125"/>
    <w:basedOn w:val="Normal"/>
    <w:pPr>
      <w:pBdr>
        <w:top w:val="single" w:sz="4" w:space="0" w:color="000000"/>
      </w:pBd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26">
    <w:name w:val="xl126"/>
    <w:basedOn w:val="Normal"/>
    <w:pPr>
      <w:pBdr>
        <w:top w:val="single" w:sz="4" w:space="0" w:color="auto"/>
        <w:left w:val="single" w:sz="4" w:space="0" w:color="auto"/>
      </w:pBdr>
      <w:shd w:val="clear" w:color="auto" w:fill="FF0000"/>
      <w:spacing w:before="100" w:beforeAutospacing="1" w:after="100" w:afterAutospacing="1"/>
      <w:jc w:val="center"/>
      <w:textAlignment w:val="center"/>
    </w:pPr>
    <w:rPr>
      <w:rFonts w:ascii="Arial" w:eastAsia="Arial Unicode MS" w:hAnsi="Arial" w:cs="Arial"/>
      <w:sz w:val="18"/>
      <w:szCs w:val="18"/>
    </w:rPr>
  </w:style>
  <w:style w:type="paragraph" w:customStyle="1" w:styleId="xl127">
    <w:name w:val="xl127"/>
    <w:basedOn w:val="Normal"/>
    <w:pPr>
      <w:pBdr>
        <w:top w:val="single" w:sz="4" w:space="0" w:color="auto"/>
        <w:left w:val="single" w:sz="4" w:space="0" w:color="000000"/>
        <w:right w:val="single" w:sz="4" w:space="0" w:color="auto"/>
      </w:pBdr>
      <w:shd w:val="clear" w:color="auto" w:fill="FF0000"/>
      <w:spacing w:before="100" w:beforeAutospacing="1" w:after="100" w:afterAutospacing="1"/>
      <w:jc w:val="center"/>
      <w:textAlignment w:val="center"/>
    </w:pPr>
    <w:rPr>
      <w:rFonts w:ascii="Arial" w:eastAsia="Arial Unicode MS" w:hAnsi="Arial" w:cs="Arial"/>
      <w:sz w:val="18"/>
      <w:szCs w:val="18"/>
    </w:rPr>
  </w:style>
  <w:style w:type="paragraph" w:customStyle="1" w:styleId="xl128">
    <w:name w:val="xl128"/>
    <w:basedOn w:val="Normal"/>
    <w:pPr>
      <w:pBdr>
        <w:top w:val="single" w:sz="4" w:space="0" w:color="000000"/>
        <w:right w:val="single" w:sz="4" w:space="0" w:color="000000"/>
      </w:pBdr>
      <w:shd w:val="clear" w:color="auto" w:fill="FF0000"/>
      <w:spacing w:before="100" w:beforeAutospacing="1" w:after="100" w:afterAutospacing="1"/>
      <w:jc w:val="center"/>
      <w:textAlignment w:val="center"/>
    </w:pPr>
    <w:rPr>
      <w:rFonts w:ascii="Arial" w:eastAsia="Arial Unicode MS" w:hAnsi="Arial" w:cs="Arial"/>
      <w:sz w:val="18"/>
      <w:szCs w:val="18"/>
    </w:rPr>
  </w:style>
  <w:style w:type="paragraph" w:customStyle="1" w:styleId="xl129">
    <w:name w:val="xl129"/>
    <w:basedOn w:val="Normal"/>
    <w:pPr>
      <w:pBdr>
        <w:top w:val="single" w:sz="4" w:space="0" w:color="auto"/>
        <w:right w:val="single" w:sz="4" w:space="0" w:color="auto"/>
      </w:pBdr>
      <w:shd w:val="clear" w:color="auto" w:fill="FF0000"/>
      <w:spacing w:before="100" w:beforeAutospacing="1" w:after="100" w:afterAutospacing="1"/>
      <w:jc w:val="left"/>
      <w:textAlignment w:val="center"/>
    </w:pPr>
    <w:rPr>
      <w:rFonts w:ascii="Arial" w:eastAsia="Arial Unicode MS" w:hAnsi="Arial" w:cs="Arial"/>
      <w:sz w:val="18"/>
      <w:szCs w:val="18"/>
    </w:rPr>
  </w:style>
  <w:style w:type="paragraph" w:customStyle="1" w:styleId="xl130">
    <w:name w:val="xl130"/>
    <w:basedOn w:val="Normal"/>
    <w:pPr>
      <w:pBdr>
        <w:top w:val="single" w:sz="4" w:space="0" w:color="000000"/>
        <w:left w:val="single" w:sz="4" w:space="0" w:color="000000"/>
        <w:right w:val="single" w:sz="4" w:space="0" w:color="000000"/>
      </w:pBdr>
      <w:shd w:val="clear" w:color="auto" w:fill="FF0000"/>
      <w:spacing w:before="100" w:beforeAutospacing="1" w:after="100" w:afterAutospacing="1"/>
      <w:jc w:val="center"/>
      <w:textAlignment w:val="center"/>
    </w:pPr>
    <w:rPr>
      <w:rFonts w:ascii="Arial" w:eastAsia="Arial Unicode MS" w:hAnsi="Arial" w:cs="Arial"/>
      <w:sz w:val="18"/>
      <w:szCs w:val="18"/>
    </w:rPr>
  </w:style>
  <w:style w:type="paragraph" w:customStyle="1" w:styleId="xl131">
    <w:name w:val="xl131"/>
    <w:basedOn w:val="Normal"/>
    <w:pPr>
      <w:pBdr>
        <w:top w:val="single" w:sz="4" w:space="0" w:color="000000"/>
        <w:left w:val="single" w:sz="4" w:space="0" w:color="000000"/>
        <w:right w:val="single" w:sz="4" w:space="0" w:color="000000"/>
      </w:pBdr>
      <w:shd w:val="clear" w:color="auto" w:fill="FF0000"/>
      <w:spacing w:before="100" w:beforeAutospacing="1" w:after="100" w:afterAutospacing="1"/>
      <w:jc w:val="center"/>
      <w:textAlignment w:val="center"/>
    </w:pPr>
    <w:rPr>
      <w:rFonts w:ascii="Arial" w:eastAsia="Arial Unicode MS" w:hAnsi="Arial" w:cs="Arial"/>
      <w:sz w:val="18"/>
      <w:szCs w:val="18"/>
    </w:rPr>
  </w:style>
  <w:style w:type="paragraph" w:customStyle="1" w:styleId="xl132">
    <w:name w:val="xl132"/>
    <w:basedOn w:val="Normal"/>
    <w:pPr>
      <w:pBdr>
        <w:top w:val="single" w:sz="4" w:space="0" w:color="000000"/>
        <w:left w:val="single" w:sz="4" w:space="0" w:color="000000"/>
        <w:right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33">
    <w:name w:val="xl133"/>
    <w:basedOn w:val="Normal"/>
    <w:pPr>
      <w:pBdr>
        <w:top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34">
    <w:name w:val="xl134"/>
    <w:basedOn w:val="Normal"/>
    <w:pPr>
      <w:pBdr>
        <w:bottom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35">
    <w:name w:val="xl135"/>
    <w:basedOn w:val="Normal"/>
    <w:pPr>
      <w:pBdr>
        <w:left w:val="single" w:sz="4" w:space="0" w:color="000000"/>
        <w:bottom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36">
    <w:name w:val="xl136"/>
    <w:basedOn w:val="Normal"/>
    <w:pPr>
      <w:pBdr>
        <w:bottom w:val="single" w:sz="4" w:space="0" w:color="000000"/>
      </w:pBd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37">
    <w:name w:val="xl137"/>
    <w:basedOn w:val="Normal"/>
    <w:pPr>
      <w:pBdr>
        <w:left w:val="single" w:sz="4" w:space="0" w:color="000000"/>
        <w:bottom w:val="single" w:sz="4" w:space="0" w:color="000000"/>
        <w:right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38">
    <w:name w:val="xl138"/>
    <w:basedOn w:val="Normal"/>
    <w:pPr>
      <w:pBdr>
        <w:top w:val="single" w:sz="4" w:space="0" w:color="000000"/>
        <w:left w:val="single" w:sz="4" w:space="0" w:color="000000"/>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39">
    <w:name w:val="xl139"/>
    <w:basedOn w:val="Normal"/>
    <w:pPr>
      <w:pBdr>
        <w:top w:val="single" w:sz="4" w:space="0" w:color="000000"/>
        <w:left w:val="single" w:sz="4" w:space="0" w:color="000000"/>
        <w:right w:val="single" w:sz="4" w:space="0" w:color="000000"/>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40">
    <w:name w:val="xl140"/>
    <w:basedOn w:val="Normal"/>
    <w:pPr>
      <w:pBdr>
        <w:top w:val="single" w:sz="4" w:space="0" w:color="000000"/>
      </w:pBdr>
      <w:shd w:val="clear" w:color="auto" w:fill="FF0000"/>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41">
    <w:name w:val="xl141"/>
    <w:basedOn w:val="Normal"/>
    <w:pPr>
      <w:pBdr>
        <w:top w:val="single" w:sz="4" w:space="0" w:color="000000"/>
        <w:left w:val="single" w:sz="4" w:space="0" w:color="000000"/>
        <w:right w:val="single" w:sz="4" w:space="0" w:color="000000"/>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42">
    <w:name w:val="xl142"/>
    <w:basedOn w:val="Normal"/>
    <w:pP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43">
    <w:name w:val="xl143"/>
    <w:basedOn w:val="Normal"/>
    <w:pPr>
      <w:pBdr>
        <w:top w:val="single" w:sz="4" w:space="0" w:color="auto"/>
        <w:left w:val="single" w:sz="4" w:space="0" w:color="000000"/>
        <w:bottom w:val="single" w:sz="4" w:space="0" w:color="auto"/>
        <w:right w:val="single" w:sz="4" w:space="0" w:color="auto"/>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44">
    <w:name w:val="xl144"/>
    <w:basedOn w:val="Normal"/>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46">
    <w:name w:val="xl146"/>
    <w:basedOn w:val="Normal"/>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47">
    <w:name w:val="xl147"/>
    <w:basedOn w:val="Normal"/>
    <w:pPr>
      <w:pBdr>
        <w:left w:val="single" w:sz="4" w:space="0" w:color="000000"/>
        <w:bottom w:val="single" w:sz="4" w:space="0" w:color="000000"/>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48">
    <w:name w:val="xl148"/>
    <w:basedOn w:val="Normal"/>
    <w:pPr>
      <w:pBdr>
        <w:left w:val="single" w:sz="4" w:space="0" w:color="000000"/>
        <w:bottom w:val="single" w:sz="4" w:space="0" w:color="000000"/>
        <w:right w:val="single" w:sz="4" w:space="0" w:color="000000"/>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49">
    <w:name w:val="xl149"/>
    <w:basedOn w:val="Normal"/>
    <w:pPr>
      <w:pBdr>
        <w:bottom w:val="single" w:sz="4" w:space="0" w:color="000000"/>
      </w:pBdr>
      <w:shd w:val="clear" w:color="auto" w:fill="FF0000"/>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50">
    <w:name w:val="xl150"/>
    <w:basedOn w:val="Normal"/>
    <w:pPr>
      <w:pBdr>
        <w:left w:val="single" w:sz="4" w:space="0" w:color="000000"/>
        <w:bottom w:val="single" w:sz="4" w:space="0" w:color="000000"/>
        <w:right w:val="single" w:sz="4" w:space="0" w:color="000000"/>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51">
    <w:name w:val="xl151"/>
    <w:basedOn w:val="Normal"/>
    <w:pPr>
      <w:pBdr>
        <w:top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52">
    <w:name w:val="xl152"/>
    <w:basedOn w:val="Normal"/>
    <w:pPr>
      <w:pBdr>
        <w:top w:val="single" w:sz="4" w:space="0" w:color="auto"/>
        <w:left w:val="single" w:sz="4" w:space="0" w:color="auto"/>
        <w:bottom w:val="single" w:sz="4" w:space="0" w:color="auto"/>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53">
    <w:name w:val="xl153"/>
    <w:basedOn w:val="Normal"/>
    <w:pPr>
      <w:pBdr>
        <w:top w:val="single" w:sz="4" w:space="0" w:color="auto"/>
        <w:left w:val="single" w:sz="4" w:space="0" w:color="auto"/>
        <w:bottom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54">
    <w:name w:val="xl154"/>
    <w:basedOn w:val="Normal"/>
    <w:pPr>
      <w:pBdr>
        <w:top w:val="single" w:sz="4" w:space="0" w:color="auto"/>
        <w:left w:val="single" w:sz="4" w:space="0" w:color="000000"/>
        <w:bottom w:val="single" w:sz="4" w:space="0" w:color="auto"/>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55">
    <w:name w:val="xl155"/>
    <w:basedOn w:val="Normal"/>
    <w:pPr>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56">
    <w:name w:val="xl156"/>
    <w:basedOn w:val="Normal"/>
    <w:pPr>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58">
    <w:name w:val="xl158"/>
    <w:basedOn w:val="Normal"/>
    <w:pP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59">
    <w:name w:val="xl159"/>
    <w:basedOn w:val="Normal"/>
    <w:pPr>
      <w:pBdr>
        <w:top w:val="single" w:sz="4" w:space="0" w:color="000000"/>
      </w:pBd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60">
    <w:name w:val="xl160"/>
    <w:basedOn w:val="Normal"/>
    <w:pPr>
      <w:pBdr>
        <w:top w:val="single" w:sz="4" w:space="0" w:color="000000"/>
        <w:left w:val="single" w:sz="4" w:space="0" w:color="auto"/>
        <w:bottom w:val="single" w:sz="4" w:space="0" w:color="auto"/>
        <w:right w:val="single" w:sz="4" w:space="0" w:color="000000"/>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61">
    <w:name w:val="xl161"/>
    <w:basedOn w:val="Normal"/>
    <w:pPr>
      <w:pBdr>
        <w:top w:val="single" w:sz="4" w:space="0" w:color="000000"/>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62">
    <w:name w:val="xl162"/>
    <w:basedOn w:val="Normal"/>
    <w:pPr>
      <w:pBdr>
        <w:left w:val="single" w:sz="4" w:space="0" w:color="auto"/>
        <w:bottom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63">
    <w:name w:val="xl163"/>
    <w:basedOn w:val="Normal"/>
    <w:pPr>
      <w:pBdr>
        <w:left w:val="single" w:sz="4" w:space="0" w:color="000000"/>
        <w:bottom w:val="single" w:sz="4" w:space="0" w:color="auto"/>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64">
    <w:name w:val="xl164"/>
    <w:basedOn w:val="Normal"/>
    <w:pPr>
      <w:pBdr>
        <w:left w:val="single" w:sz="4" w:space="0" w:color="auto"/>
        <w:bottom w:val="single" w:sz="4" w:space="0" w:color="auto"/>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65">
    <w:name w:val="xl165"/>
    <w:basedOn w:val="Normal"/>
    <w:pPr>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pPr>
    <w:rPr>
      <w:rFonts w:ascii="Arial" w:eastAsia="Arial Unicode MS" w:hAnsi="Arial" w:cs="Arial"/>
      <w:sz w:val="18"/>
      <w:szCs w:val="18"/>
    </w:rPr>
  </w:style>
  <w:style w:type="paragraph" w:customStyle="1" w:styleId="xl166">
    <w:name w:val="xl166"/>
    <w:basedOn w:val="Normal"/>
    <w:pPr>
      <w:pBdr>
        <w:left w:val="single" w:sz="4" w:space="0" w:color="auto"/>
        <w:bottom w:val="single" w:sz="4" w:space="0" w:color="auto"/>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67">
    <w:name w:val="xl167"/>
    <w:basedOn w:val="Normal"/>
    <w:pPr>
      <w:pBdr>
        <w:left w:val="single" w:sz="4" w:space="0" w:color="auto"/>
        <w:bottom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68">
    <w:name w:val="xl168"/>
    <w:basedOn w:val="Normal"/>
    <w:pPr>
      <w:pBdr>
        <w:top w:val="single" w:sz="4" w:space="0" w:color="000000"/>
        <w:left w:val="single" w:sz="4" w:space="0" w:color="000000"/>
        <w:bottom w:val="single" w:sz="4" w:space="0" w:color="000000"/>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69">
    <w:name w:val="xl169"/>
    <w:basedOn w:val="Normal"/>
    <w:pPr>
      <w:pBdr>
        <w:top w:val="single" w:sz="4" w:space="0" w:color="auto"/>
        <w:left w:val="single" w:sz="4" w:space="0" w:color="000000"/>
        <w:bottom w:val="single" w:sz="4" w:space="0" w:color="000000"/>
        <w:right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70">
    <w:name w:val="xl170"/>
    <w:basedOn w:val="Normal"/>
    <w:pPr>
      <w:pBdr>
        <w:left w:val="single" w:sz="4"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71">
    <w:name w:val="xl171"/>
    <w:basedOn w:val="Normal"/>
    <w:pPr>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72">
    <w:name w:val="xl172"/>
    <w:basedOn w:val="Normal"/>
    <w:pPr>
      <w:pBdr>
        <w:left w:val="single" w:sz="4" w:space="0" w:color="000000"/>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73">
    <w:name w:val="xl173"/>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74">
    <w:name w:val="xl174"/>
    <w:basedOn w:val="Normal"/>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75">
    <w:name w:val="xl175"/>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76">
    <w:name w:val="xl1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77">
    <w:name w:val="xl177"/>
    <w:basedOn w:val="Normal"/>
    <w:pPr>
      <w:pBdr>
        <w:top w:val="single" w:sz="4" w:space="0" w:color="auto"/>
        <w:left w:val="single" w:sz="4" w:space="0" w:color="auto"/>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78">
    <w:name w:val="xl178"/>
    <w:basedOn w:val="Normal"/>
    <w:pPr>
      <w:pBdr>
        <w:left w:val="single" w:sz="4" w:space="0" w:color="auto"/>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79">
    <w:name w:val="xl179"/>
    <w:basedOn w:val="Normal"/>
    <w:pPr>
      <w:pBdr>
        <w:top w:val="single" w:sz="4" w:space="0" w:color="000000"/>
        <w:left w:val="single" w:sz="4" w:space="0" w:color="auto"/>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80">
    <w:name w:val="xl180"/>
    <w:basedOn w:val="Normal"/>
    <w:pPr>
      <w:pBdr>
        <w:lef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81">
    <w:name w:val="xl181"/>
    <w:basedOn w:val="Normal"/>
    <w:pPr>
      <w:pBdr>
        <w:left w:val="single" w:sz="4" w:space="0" w:color="000000"/>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82">
    <w:name w:val="xl182"/>
    <w:basedOn w:val="Normal"/>
    <w:pPr>
      <w:pBdr>
        <w:left w:val="single" w:sz="4" w:space="0" w:color="auto"/>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83">
    <w:name w:val="xl183"/>
    <w:basedOn w:val="Normal"/>
    <w:pPr>
      <w:pBdr>
        <w:left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84">
    <w:name w:val="xl184"/>
    <w:basedOn w:val="Normal"/>
    <w:pPr>
      <w:pBdr>
        <w:left w:val="single" w:sz="4" w:space="0" w:color="auto"/>
        <w:bottom w:val="single" w:sz="4" w:space="0" w:color="000000"/>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85">
    <w:name w:val="xl185"/>
    <w:basedOn w:val="Normal"/>
    <w:pPr>
      <w:pBdr>
        <w:left w:val="single" w:sz="4" w:space="0" w:color="auto"/>
        <w:bottom w:val="single" w:sz="4" w:space="0" w:color="auto"/>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86">
    <w:name w:val="xl186"/>
    <w:basedOn w:val="Normal"/>
    <w:pPr>
      <w:pBdr>
        <w:left w:val="single" w:sz="4" w:space="0" w:color="000000"/>
        <w:bottom w:val="single" w:sz="4" w:space="0" w:color="auto"/>
        <w:right w:val="single" w:sz="4" w:space="0" w:color="auto"/>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87">
    <w:name w:val="xl187"/>
    <w:basedOn w:val="Normal"/>
    <w:pPr>
      <w:pBdr>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88">
    <w:name w:val="xl188"/>
    <w:basedOn w:val="Normal"/>
    <w:pPr>
      <w:pBdr>
        <w:left w:val="single" w:sz="4" w:space="0" w:color="auto"/>
        <w:bottom w:val="single" w:sz="4" w:space="0" w:color="auto"/>
        <w:right w:val="single" w:sz="4" w:space="0" w:color="auto"/>
      </w:pBdr>
      <w:shd w:val="clear" w:color="auto" w:fill="FF0000"/>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89">
    <w:name w:val="xl189"/>
    <w:basedOn w:val="Normal"/>
    <w:pPr>
      <w:pBdr>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90">
    <w:name w:val="xl190"/>
    <w:basedOn w:val="Normal"/>
    <w:pPr>
      <w:pBdr>
        <w:top w:val="single" w:sz="4" w:space="0" w:color="auto"/>
        <w:left w:val="single" w:sz="4" w:space="0" w:color="auto"/>
        <w:right w:val="single" w:sz="4" w:space="0" w:color="auto"/>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91">
    <w:name w:val="xl191"/>
    <w:basedOn w:val="Normal"/>
    <w:pPr>
      <w:pBdr>
        <w:left w:val="single" w:sz="4" w:space="0" w:color="auto"/>
        <w:right w:val="single" w:sz="4" w:space="0" w:color="auto"/>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92">
    <w:name w:val="xl192"/>
    <w:basedOn w:val="Normal"/>
    <w:pPr>
      <w:pBdr>
        <w:top w:val="single" w:sz="4" w:space="0" w:color="auto"/>
        <w:left w:val="single" w:sz="4" w:space="0" w:color="auto"/>
        <w:right w:val="single" w:sz="4" w:space="0" w:color="auto"/>
      </w:pBdr>
      <w:shd w:val="clear" w:color="auto" w:fill="33CCCC"/>
      <w:spacing w:before="100" w:beforeAutospacing="1" w:after="100" w:afterAutospacing="1"/>
      <w:jc w:val="center"/>
      <w:textAlignment w:val="center"/>
    </w:pPr>
    <w:rPr>
      <w:rFonts w:ascii="Arial" w:eastAsia="Arial Unicode MS" w:hAnsi="Arial" w:cs="Arial"/>
      <w:color w:val="000000"/>
      <w:sz w:val="18"/>
      <w:szCs w:val="18"/>
    </w:rPr>
  </w:style>
  <w:style w:type="paragraph" w:customStyle="1" w:styleId="xl193">
    <w:name w:val="xl193"/>
    <w:basedOn w:val="Normal"/>
    <w:pPr>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94">
    <w:name w:val="xl194"/>
    <w:basedOn w:val="Normal"/>
    <w:pPr>
      <w:pBdr>
        <w:top w:val="single" w:sz="4" w:space="0" w:color="auto"/>
        <w:left w:val="single" w:sz="4" w:space="0" w:color="auto"/>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95">
    <w:name w:val="xl195"/>
    <w:basedOn w:val="Normal"/>
    <w:pPr>
      <w:pBdr>
        <w:top w:val="single" w:sz="4" w:space="0" w:color="auto"/>
        <w:left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RD">
    <w:name w:val="RD"/>
    <w:basedOn w:val="Caption"/>
    <w:pPr>
      <w:keepNext/>
      <w:keepLines/>
      <w:spacing w:before="0" w:after="240"/>
      <w:jc w:val="left"/>
    </w:pPr>
    <w:rPr>
      <w:rFonts w:ascii="Times New Roman" w:hAnsi="Times New Roman"/>
      <w:smallCaps/>
    </w:rPr>
  </w:style>
  <w:style w:type="character" w:customStyle="1" w:styleId="fldtext">
    <w:name w:val="fldtext"/>
  </w:style>
  <w:style w:type="paragraph" w:customStyle="1" w:styleId="font5">
    <w:name w:val="font5"/>
    <w:basedOn w:val="Normal"/>
    <w:pPr>
      <w:spacing w:before="100" w:beforeAutospacing="1" w:after="100" w:afterAutospacing="1"/>
      <w:jc w:val="left"/>
    </w:pPr>
    <w:rPr>
      <w:rFonts w:ascii="Tahoma" w:eastAsia="Arial Unicode MS" w:hAnsi="Tahoma" w:cs="Tahoma"/>
      <w:color w:val="000000"/>
      <w:sz w:val="16"/>
      <w:szCs w:val="16"/>
    </w:rPr>
  </w:style>
  <w:style w:type="paragraph" w:customStyle="1" w:styleId="font6">
    <w:name w:val="font6"/>
    <w:basedOn w:val="Normal"/>
    <w:pPr>
      <w:spacing w:before="100" w:beforeAutospacing="1" w:after="100" w:afterAutospacing="1"/>
      <w:jc w:val="left"/>
    </w:pPr>
    <w:rPr>
      <w:rFonts w:ascii="Tahoma" w:eastAsia="Arial Unicode MS" w:hAnsi="Tahoma" w:cs="Tahoma"/>
      <w:b/>
      <w:bCs/>
      <w:color w:val="000000"/>
      <w:sz w:val="16"/>
      <w:szCs w:val="16"/>
    </w:rPr>
  </w:style>
  <w:style w:type="paragraph" w:styleId="BodyTextFirstIndent">
    <w:name w:val="Body Text First Indent"/>
    <w:basedOn w:val="BodyText"/>
    <w:link w:val="BodyTextFirstIndentChar"/>
    <w:pPr>
      <w:spacing w:before="0"/>
      <w:ind w:firstLine="210"/>
    </w:pPr>
    <w:rPr>
      <w:szCs w:val="24"/>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4"/>
      <w:lang w:val="da-DK"/>
    </w:rPr>
  </w:style>
  <w:style w:type="paragraph" w:styleId="BodyTextFirstIndent2">
    <w:name w:val="Body Text First Indent 2"/>
    <w:basedOn w:val="BodyTextIndent"/>
    <w:link w:val="BodyTextFirstIndent2Char"/>
    <w:pPr>
      <w:numPr>
        <w:numId w:val="0"/>
      </w:numPr>
      <w:spacing w:before="0"/>
      <w:ind w:left="283" w:firstLine="210"/>
      <w:jc w:val="left"/>
    </w:pPr>
    <w:rPr>
      <w:sz w:val="22"/>
      <w:szCs w:val="24"/>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4"/>
      <w:lang w:val="da-DK"/>
    </w:rPr>
  </w:style>
  <w:style w:type="paragraph" w:styleId="Closing">
    <w:name w:val="Closing"/>
    <w:basedOn w:val="Normal"/>
    <w:link w:val="ClosingChar"/>
    <w:pPr>
      <w:spacing w:before="0" w:after="60"/>
      <w:ind w:left="4252"/>
      <w:jc w:val="left"/>
    </w:pPr>
    <w:rPr>
      <w:rFonts w:eastAsia="Times New Roman"/>
      <w:sz w:val="22"/>
      <w:szCs w:val="24"/>
    </w:rPr>
  </w:style>
  <w:style w:type="character" w:customStyle="1" w:styleId="ClosingChar">
    <w:name w:val="Closing Char"/>
    <w:basedOn w:val="DefaultParagraphFont"/>
    <w:link w:val="Closing"/>
    <w:rPr>
      <w:rFonts w:ascii="Times New Roman" w:eastAsia="Times New Roman" w:hAnsi="Times New Roman" w:cs="Times New Roman"/>
      <w:szCs w:val="24"/>
      <w:lang w:val="da-DK"/>
    </w:rPr>
  </w:style>
  <w:style w:type="paragraph" w:styleId="E-mailSignature">
    <w:name w:val="E-mail Signature"/>
    <w:basedOn w:val="Normal"/>
    <w:link w:val="E-mailSignatureChar"/>
    <w:pPr>
      <w:spacing w:before="0" w:after="60"/>
      <w:jc w:val="left"/>
    </w:pPr>
    <w:rPr>
      <w:rFonts w:eastAsia="Times New Roman"/>
      <w:sz w:val="22"/>
      <w:szCs w:val="24"/>
    </w:rPr>
  </w:style>
  <w:style w:type="character" w:customStyle="1" w:styleId="E-mailSignatureChar">
    <w:name w:val="E-mail Signature Char"/>
    <w:basedOn w:val="DefaultParagraphFont"/>
    <w:link w:val="E-mailSignature"/>
    <w:rPr>
      <w:rFonts w:ascii="Times New Roman" w:eastAsia="Times New Roman" w:hAnsi="Times New Roman" w:cs="Times New Roman"/>
      <w:szCs w:val="24"/>
      <w:lang w:val="da-DK"/>
    </w:rPr>
  </w:style>
  <w:style w:type="paragraph" w:styleId="EnvelopeAddress">
    <w:name w:val="envelope address"/>
    <w:basedOn w:val="Normal"/>
    <w:pPr>
      <w:framePr w:w="7920" w:h="1980" w:hRule="exact" w:hSpace="180" w:wrap="auto" w:hAnchor="page" w:xAlign="center" w:yAlign="bottom"/>
      <w:spacing w:before="0" w:after="60"/>
      <w:ind w:left="2880"/>
      <w:jc w:val="left"/>
    </w:pPr>
    <w:rPr>
      <w:rFonts w:ascii="Arial" w:eastAsia="Times New Roman" w:hAnsi="Arial" w:cs="Arial"/>
      <w:sz w:val="22"/>
      <w:szCs w:val="24"/>
    </w:rPr>
  </w:style>
  <w:style w:type="paragraph" w:styleId="EnvelopeReturn">
    <w:name w:val="envelope return"/>
    <w:basedOn w:val="Normal"/>
    <w:pPr>
      <w:spacing w:before="0" w:after="60"/>
      <w:jc w:val="left"/>
    </w:pPr>
    <w:rPr>
      <w:rFonts w:ascii="Arial" w:eastAsia="Times New Roman" w:hAnsi="Arial" w:cs="Arial"/>
      <w:sz w:val="20"/>
      <w:szCs w:val="20"/>
    </w:rPr>
  </w:style>
  <w:style w:type="paragraph" w:styleId="HTMLAddress">
    <w:name w:val="HTML Address"/>
    <w:basedOn w:val="Normal"/>
    <w:link w:val="HTMLAddressChar"/>
    <w:pPr>
      <w:spacing w:before="0" w:after="60"/>
      <w:jc w:val="left"/>
    </w:pPr>
    <w:rPr>
      <w:rFonts w:eastAsia="Times New Roman"/>
      <w:i/>
      <w:iCs/>
      <w:sz w:val="22"/>
      <w:szCs w:val="24"/>
    </w:rPr>
  </w:style>
  <w:style w:type="character" w:customStyle="1" w:styleId="HTMLAddressChar">
    <w:name w:val="HTML Address Char"/>
    <w:basedOn w:val="DefaultParagraphFont"/>
    <w:link w:val="HTMLAddress"/>
    <w:rPr>
      <w:rFonts w:ascii="Times New Roman" w:eastAsia="Times New Roman" w:hAnsi="Times New Roman" w:cs="Times New Roman"/>
      <w:i/>
      <w:iCs/>
      <w:szCs w:val="24"/>
      <w:lang w:val="da-DK"/>
    </w:rPr>
  </w:style>
  <w:style w:type="paragraph" w:styleId="HTMLPreformatted">
    <w:name w:val="HTML Preformatted"/>
    <w:basedOn w:val="Normal"/>
    <w:link w:val="HTMLPreformattedChar"/>
    <w:pPr>
      <w:spacing w:before="0" w:after="6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lang w:val="da-DK"/>
    </w:rPr>
  </w:style>
  <w:style w:type="paragraph" w:styleId="List">
    <w:name w:val="List"/>
    <w:basedOn w:val="Normal"/>
    <w:pPr>
      <w:spacing w:before="0" w:after="60"/>
      <w:ind w:left="283" w:hanging="283"/>
      <w:jc w:val="left"/>
    </w:pPr>
    <w:rPr>
      <w:rFonts w:eastAsia="Times New Roman"/>
      <w:sz w:val="22"/>
      <w:szCs w:val="24"/>
    </w:rPr>
  </w:style>
  <w:style w:type="paragraph" w:styleId="List2">
    <w:name w:val="List 2"/>
    <w:basedOn w:val="Normal"/>
    <w:pPr>
      <w:spacing w:before="0" w:after="60"/>
      <w:ind w:left="566" w:hanging="283"/>
      <w:jc w:val="left"/>
    </w:pPr>
    <w:rPr>
      <w:rFonts w:eastAsia="Times New Roman"/>
      <w:sz w:val="22"/>
      <w:szCs w:val="24"/>
    </w:rPr>
  </w:style>
  <w:style w:type="paragraph" w:styleId="List3">
    <w:name w:val="List 3"/>
    <w:basedOn w:val="Normal"/>
    <w:pPr>
      <w:spacing w:before="0" w:after="60"/>
      <w:ind w:left="849" w:hanging="283"/>
      <w:jc w:val="left"/>
    </w:pPr>
    <w:rPr>
      <w:rFonts w:eastAsia="Times New Roman"/>
      <w:sz w:val="22"/>
      <w:szCs w:val="24"/>
    </w:rPr>
  </w:style>
  <w:style w:type="paragraph" w:styleId="List4">
    <w:name w:val="List 4"/>
    <w:basedOn w:val="Normal"/>
    <w:pPr>
      <w:spacing w:before="0" w:after="60"/>
      <w:ind w:left="1132" w:hanging="283"/>
      <w:jc w:val="left"/>
    </w:pPr>
    <w:rPr>
      <w:rFonts w:eastAsia="Times New Roman"/>
      <w:sz w:val="22"/>
      <w:szCs w:val="24"/>
    </w:rPr>
  </w:style>
  <w:style w:type="paragraph" w:styleId="List5">
    <w:name w:val="List 5"/>
    <w:basedOn w:val="Normal"/>
    <w:pPr>
      <w:spacing w:before="0" w:after="60"/>
      <w:ind w:left="1415" w:hanging="283"/>
      <w:jc w:val="left"/>
    </w:pPr>
    <w:rPr>
      <w:rFonts w:eastAsia="Times New Roman"/>
      <w:sz w:val="22"/>
      <w:szCs w:val="24"/>
    </w:rPr>
  </w:style>
  <w:style w:type="paragraph" w:styleId="ListBullet5">
    <w:name w:val="List Bullet 5"/>
    <w:basedOn w:val="Normal"/>
    <w:autoRedefine/>
    <w:pPr>
      <w:tabs>
        <w:tab w:val="num" w:pos="1492"/>
      </w:tabs>
      <w:spacing w:before="0" w:after="60"/>
      <w:ind w:left="1492" w:hanging="360"/>
      <w:jc w:val="left"/>
    </w:pPr>
    <w:rPr>
      <w:rFonts w:eastAsia="Times New Roman"/>
      <w:sz w:val="22"/>
      <w:szCs w:val="24"/>
    </w:rPr>
  </w:style>
  <w:style w:type="paragraph" w:styleId="ListContinue">
    <w:name w:val="List Continue"/>
    <w:basedOn w:val="Normal"/>
    <w:pPr>
      <w:spacing w:before="0"/>
      <w:ind w:left="283"/>
      <w:jc w:val="left"/>
    </w:pPr>
    <w:rPr>
      <w:rFonts w:eastAsia="Times New Roman"/>
      <w:sz w:val="22"/>
      <w:szCs w:val="24"/>
    </w:rPr>
  </w:style>
  <w:style w:type="paragraph" w:styleId="ListContinue2">
    <w:name w:val="List Continue 2"/>
    <w:basedOn w:val="Normal"/>
    <w:pPr>
      <w:spacing w:before="0"/>
      <w:ind w:left="566"/>
      <w:jc w:val="left"/>
    </w:pPr>
    <w:rPr>
      <w:rFonts w:eastAsia="Times New Roman"/>
      <w:sz w:val="22"/>
      <w:szCs w:val="24"/>
    </w:rPr>
  </w:style>
  <w:style w:type="paragraph" w:styleId="ListContinue3">
    <w:name w:val="List Continue 3"/>
    <w:basedOn w:val="Normal"/>
    <w:pPr>
      <w:spacing w:before="0"/>
      <w:ind w:left="849"/>
      <w:jc w:val="left"/>
    </w:pPr>
    <w:rPr>
      <w:rFonts w:eastAsia="Times New Roman"/>
      <w:sz w:val="22"/>
      <w:szCs w:val="24"/>
    </w:rPr>
  </w:style>
  <w:style w:type="paragraph" w:styleId="ListContinue4">
    <w:name w:val="List Continue 4"/>
    <w:basedOn w:val="Normal"/>
    <w:pPr>
      <w:spacing w:before="0"/>
      <w:ind w:left="1132"/>
      <w:jc w:val="left"/>
    </w:pPr>
    <w:rPr>
      <w:rFonts w:eastAsia="Times New Roman"/>
      <w:sz w:val="22"/>
      <w:szCs w:val="24"/>
    </w:rPr>
  </w:style>
  <w:style w:type="paragraph" w:styleId="ListContinue5">
    <w:name w:val="List Continue 5"/>
    <w:basedOn w:val="Normal"/>
    <w:pPr>
      <w:spacing w:before="0"/>
      <w:ind w:left="1415"/>
      <w:jc w:val="left"/>
    </w:pPr>
    <w:rPr>
      <w:rFonts w:eastAsia="Times New Roman"/>
      <w:sz w:val="22"/>
      <w:szCs w:val="24"/>
    </w:rPr>
  </w:style>
  <w:style w:type="paragraph" w:styleId="ListNumber2">
    <w:name w:val="List Number 2"/>
    <w:basedOn w:val="Normal"/>
    <w:pPr>
      <w:tabs>
        <w:tab w:val="num" w:pos="643"/>
      </w:tabs>
      <w:spacing w:before="0" w:after="60"/>
      <w:ind w:left="643" w:hanging="360"/>
      <w:jc w:val="left"/>
    </w:pPr>
    <w:rPr>
      <w:rFonts w:eastAsia="Times New Roman"/>
      <w:sz w:val="22"/>
      <w:szCs w:val="24"/>
    </w:rPr>
  </w:style>
  <w:style w:type="paragraph" w:styleId="ListNumber4">
    <w:name w:val="List Number 4"/>
    <w:basedOn w:val="Normal"/>
    <w:pPr>
      <w:tabs>
        <w:tab w:val="num" w:pos="1209"/>
      </w:tabs>
      <w:spacing w:before="0" w:after="60"/>
      <w:ind w:left="1209" w:hanging="360"/>
      <w:jc w:val="left"/>
    </w:pPr>
    <w:rPr>
      <w:rFonts w:eastAsia="Times New Roman"/>
      <w:sz w:val="22"/>
      <w:szCs w:val="24"/>
    </w:rPr>
  </w:style>
  <w:style w:type="paragraph" w:styleId="ListNumber5">
    <w:name w:val="List Number 5"/>
    <w:basedOn w:val="Normal"/>
    <w:pPr>
      <w:tabs>
        <w:tab w:val="num" w:pos="1492"/>
      </w:tabs>
      <w:spacing w:before="0" w:after="60"/>
      <w:ind w:left="1492" w:hanging="360"/>
      <w:jc w:val="left"/>
    </w:pPr>
    <w:rPr>
      <w:rFonts w:eastAsia="Times New Roman"/>
      <w:sz w:val="22"/>
      <w:szCs w:val="24"/>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60"/>
      <w:ind w:left="1134" w:hanging="1134"/>
      <w:jc w:val="left"/>
    </w:pPr>
    <w:rPr>
      <w:rFonts w:ascii="Arial" w:eastAsia="Times New Roman" w:hAnsi="Arial" w:cs="Arial"/>
      <w:sz w:val="22"/>
      <w:szCs w:val="24"/>
    </w:rPr>
  </w:style>
  <w:style w:type="character" w:customStyle="1" w:styleId="MessageHeaderChar">
    <w:name w:val="Message Header Char"/>
    <w:basedOn w:val="DefaultParagraphFont"/>
    <w:link w:val="MessageHeader"/>
    <w:rPr>
      <w:rFonts w:ascii="Arial" w:eastAsia="Times New Roman" w:hAnsi="Arial" w:cs="Arial"/>
      <w:szCs w:val="24"/>
      <w:shd w:val="pct20" w:color="auto" w:fill="auto"/>
      <w:lang w:val="da-DK"/>
    </w:rPr>
  </w:style>
  <w:style w:type="paragraph" w:styleId="NoteHeading">
    <w:name w:val="Note Heading"/>
    <w:basedOn w:val="Normal"/>
    <w:next w:val="Normal"/>
    <w:link w:val="NoteHeadingChar"/>
    <w:pPr>
      <w:spacing w:before="0" w:after="60"/>
      <w:jc w:val="left"/>
    </w:pPr>
    <w:rPr>
      <w:rFonts w:eastAsia="Times New Roman"/>
      <w:sz w:val="22"/>
      <w:szCs w:val="24"/>
    </w:rPr>
  </w:style>
  <w:style w:type="character" w:customStyle="1" w:styleId="NoteHeadingChar">
    <w:name w:val="Note Heading Char"/>
    <w:basedOn w:val="DefaultParagraphFont"/>
    <w:link w:val="NoteHeading"/>
    <w:rPr>
      <w:rFonts w:ascii="Times New Roman" w:eastAsia="Times New Roman" w:hAnsi="Times New Roman" w:cs="Times New Roman"/>
      <w:szCs w:val="24"/>
      <w:lang w:val="da-DK"/>
    </w:rPr>
  </w:style>
  <w:style w:type="paragraph" w:styleId="Salutation">
    <w:name w:val="Salutation"/>
    <w:basedOn w:val="Normal"/>
    <w:next w:val="Normal"/>
    <w:link w:val="SalutationChar"/>
    <w:pPr>
      <w:spacing w:before="0" w:after="60"/>
      <w:jc w:val="left"/>
    </w:pPr>
    <w:rPr>
      <w:rFonts w:eastAsia="Times New Roman"/>
      <w:sz w:val="22"/>
      <w:szCs w:val="24"/>
    </w:rPr>
  </w:style>
  <w:style w:type="character" w:customStyle="1" w:styleId="SalutationChar">
    <w:name w:val="Salutation Char"/>
    <w:basedOn w:val="DefaultParagraphFont"/>
    <w:link w:val="Salutation"/>
    <w:rPr>
      <w:rFonts w:ascii="Times New Roman" w:eastAsia="Times New Roman" w:hAnsi="Times New Roman" w:cs="Times New Roman"/>
      <w:szCs w:val="24"/>
      <w:lang w:val="da-DK"/>
    </w:rPr>
  </w:style>
  <w:style w:type="paragraph" w:styleId="Signature">
    <w:name w:val="Signature"/>
    <w:basedOn w:val="Normal"/>
    <w:link w:val="SignatureChar"/>
    <w:pPr>
      <w:spacing w:before="0" w:after="60"/>
      <w:ind w:left="4252"/>
      <w:jc w:val="left"/>
    </w:pPr>
    <w:rPr>
      <w:rFonts w:eastAsia="Times New Roman"/>
      <w:sz w:val="22"/>
      <w:szCs w:val="24"/>
    </w:rPr>
  </w:style>
  <w:style w:type="character" w:customStyle="1" w:styleId="SignatureChar">
    <w:name w:val="Signature Char"/>
    <w:basedOn w:val="DefaultParagraphFont"/>
    <w:link w:val="Signature"/>
    <w:rPr>
      <w:rFonts w:ascii="Times New Roman" w:eastAsia="Times New Roman" w:hAnsi="Times New Roman" w:cs="Times New Roman"/>
      <w:szCs w:val="24"/>
      <w:lang w:val="da-DK"/>
    </w:rPr>
  </w:style>
  <w:style w:type="paragraph" w:styleId="Subtitle">
    <w:name w:val="Subtitle"/>
    <w:basedOn w:val="Normal"/>
    <w:link w:val="SubtitleChar"/>
    <w:qFormat/>
    <w:pPr>
      <w:spacing w:before="0" w:after="60"/>
      <w:jc w:val="center"/>
      <w:outlineLvl w:val="1"/>
    </w:pPr>
    <w:rPr>
      <w:rFonts w:ascii="Arial" w:eastAsia="Times New Roman" w:hAnsi="Arial" w:cs="Arial"/>
      <w:sz w:val="22"/>
      <w:szCs w:val="24"/>
    </w:rPr>
  </w:style>
  <w:style w:type="character" w:customStyle="1" w:styleId="SubtitleChar">
    <w:name w:val="Subtitle Char"/>
    <w:basedOn w:val="DefaultParagraphFont"/>
    <w:link w:val="Subtitle"/>
    <w:rPr>
      <w:rFonts w:ascii="Arial" w:eastAsia="Times New Roman" w:hAnsi="Arial" w:cs="Arial"/>
      <w:szCs w:val="24"/>
      <w:lang w:val="da-DK"/>
    </w:rPr>
  </w:style>
  <w:style w:type="paragraph" w:styleId="Title">
    <w:name w:val="Title"/>
    <w:basedOn w:val="Normal"/>
    <w:link w:val="TitleChar"/>
    <w:qFormat/>
    <w:pPr>
      <w:spacing w:before="240" w:after="60"/>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Pr>
      <w:rFonts w:ascii="Arial" w:eastAsia="Times New Roman" w:hAnsi="Arial" w:cs="Arial"/>
      <w:b/>
      <w:bCs/>
      <w:kern w:val="28"/>
      <w:sz w:val="32"/>
      <w:szCs w:val="32"/>
      <w:lang w:val="da-DK"/>
    </w:rPr>
  </w:style>
  <w:style w:type="table" w:styleId="TableGrid7">
    <w:name w:val="Table Grid 7"/>
    <w:basedOn w:val="TableNormal"/>
    <w:pPr>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Heading5Heading5CFMUPara5h5t5T5JustifiedBefore">
    <w:name w:val="Heading 5Heading 5 CFMUPara 5h5t5.T5 + Justified Before:..."/>
    <w:basedOn w:val="Heading5"/>
    <w:pPr>
      <w:keepNext/>
      <w:widowControl w:val="0"/>
      <w:tabs>
        <w:tab w:val="clear" w:pos="0"/>
        <w:tab w:val="num" w:pos="1008"/>
        <w:tab w:val="left" w:pos="1134"/>
      </w:tabs>
      <w:spacing w:before="360" w:after="240"/>
      <w:ind w:left="1008" w:hanging="1008"/>
      <w:jc w:val="left"/>
    </w:pPr>
    <w:rPr>
      <w:rFonts w:ascii="Times New Roman" w:hAnsi="Times New Roman"/>
      <w:bCs w:val="0"/>
      <w:i w:val="0"/>
      <w:iCs w:val="0"/>
      <w:sz w:val="24"/>
      <w:szCs w:val="22"/>
      <w:lang w:eastAsia="ko-KR"/>
    </w:rPr>
  </w:style>
  <w:style w:type="paragraph" w:customStyle="1" w:styleId="TableauJVI">
    <w:name w:val="TableauJVI"/>
    <w:basedOn w:val="Normal"/>
    <w:pPr>
      <w:spacing w:before="0" w:after="60"/>
      <w:jc w:val="center"/>
    </w:pPr>
    <w:rPr>
      <w:rFonts w:eastAsia="Times New Roman"/>
      <w:sz w:val="22"/>
      <w:szCs w:val="24"/>
      <w:lang w:eastAsia="ko-KR"/>
    </w:rPr>
  </w:style>
  <w:style w:type="paragraph" w:customStyle="1" w:styleId="Arial">
    <w:name w:val="Arial"/>
    <w:basedOn w:val="Normal"/>
    <w:pPr>
      <w:spacing w:before="60" w:after="60"/>
      <w:ind w:left="-142" w:right="-111"/>
      <w:jc w:val="left"/>
    </w:pPr>
    <w:rPr>
      <w:rFonts w:eastAsia="Times New Roman"/>
      <w:sz w:val="22"/>
      <w:szCs w:val="20"/>
      <w:lang w:eastAsia="ko-KR"/>
    </w:rPr>
  </w:style>
  <w:style w:type="paragraph" w:customStyle="1" w:styleId="Tahoma">
    <w:name w:val="Tahoma"/>
    <w:basedOn w:val="Arial"/>
  </w:style>
  <w:style w:type="paragraph" w:customStyle="1" w:styleId="annex1">
    <w:name w:val="annex1"/>
    <w:basedOn w:val="Normal"/>
    <w:next w:val="Normal"/>
    <w:pPr>
      <w:numPr>
        <w:numId w:val="19"/>
      </w:numPr>
      <w:spacing w:before="160" w:after="0"/>
      <w:outlineLvl w:val="1"/>
    </w:pPr>
    <w:rPr>
      <w:rFonts w:eastAsia="Times New Roman"/>
      <w:b/>
      <w:smallCaps/>
      <w:szCs w:val="20"/>
      <w:lang w:eastAsia="fr-FR"/>
    </w:rPr>
  </w:style>
  <w:style w:type="paragraph" w:customStyle="1" w:styleId="Annex">
    <w:name w:val="Annex"/>
    <w:basedOn w:val="Heading1"/>
    <w:pPr>
      <w:pageBreakBefore/>
      <w:widowControl w:val="0"/>
      <w:numPr>
        <w:numId w:val="0"/>
      </w:numPr>
      <w:spacing w:before="120" w:after="60"/>
    </w:pPr>
    <w:rPr>
      <w:rFonts w:eastAsia="Times New Roman"/>
      <w:bCs w:val="0"/>
      <w:sz w:val="28"/>
      <w:szCs w:val="20"/>
    </w:rPr>
  </w:style>
  <w:style w:type="paragraph" w:customStyle="1" w:styleId="annex2">
    <w:name w:val="annex2"/>
    <w:basedOn w:val="annex1"/>
    <w:pPr>
      <w:numPr>
        <w:ilvl w:val="1"/>
      </w:numPr>
      <w:tabs>
        <w:tab w:val="clear" w:pos="576"/>
        <w:tab w:val="num" w:pos="993"/>
      </w:tabs>
    </w:pPr>
  </w:style>
  <w:style w:type="character" w:customStyle="1" w:styleId="CaptionChar">
    <w:name w:val="Caption Char"/>
    <w:aliases w:val="CaptionCFMU Char,CaptionTLS Char"/>
    <w:link w:val="Caption"/>
    <w:rPr>
      <w:rFonts w:ascii="CG Times (W1)" w:eastAsia="Times New Roman" w:hAnsi="CG Times (W1)" w:cs="Times New Roman"/>
      <w:sz w:val="20"/>
      <w:szCs w:val="20"/>
      <w:lang w:val="da-DK"/>
    </w:rPr>
  </w:style>
  <w:style w:type="character" w:styleId="PlaceholderText">
    <w:name w:val="Placeholder Text"/>
    <w:uiPriority w:val="99"/>
    <w:semiHidden/>
    <w:rPr>
      <w:color w:val="808080"/>
    </w:rPr>
  </w:style>
  <w:style w:type="character" w:customStyle="1" w:styleId="st">
    <w:name w:val="st"/>
  </w:style>
  <w:style w:type="character" w:customStyle="1" w:styleId="WW8Num1z0">
    <w:name w:val="WW8Num1z0"/>
    <w:rPr>
      <w:rFonts w:ascii="Symbol" w:hAnsi="Symbol" w:cs="Symbol"/>
    </w:rPr>
  </w:style>
  <w:style w:type="character" w:customStyle="1" w:styleId="UnresolvedMention1">
    <w:name w:val="Unresolved Mention1"/>
    <w:uiPriority w:val="99"/>
    <w:semiHidden/>
    <w:unhideWhenUsed/>
    <w:rPr>
      <w:color w:val="808080"/>
      <w:shd w:val="clear" w:color="auto" w:fill="E6E6E6"/>
    </w:rPr>
  </w:style>
  <w:style w:type="numbering" w:customStyle="1" w:styleId="NoList2">
    <w:name w:val="No List2"/>
    <w:next w:val="NoList"/>
    <w:uiPriority w:val="99"/>
    <w:semiHidden/>
    <w:unhideWhenUsed/>
  </w:style>
  <w:style w:type="numbering" w:customStyle="1" w:styleId="NoList111">
    <w:name w:val="No List111"/>
    <w:next w:val="NoList"/>
    <w:uiPriority w:val="99"/>
    <w:semiHidden/>
    <w:unhideWhenUsed/>
  </w:style>
  <w:style w:type="numbering" w:customStyle="1" w:styleId="NoList1111">
    <w:name w:val="No List1111"/>
    <w:next w:val="NoList"/>
    <w:uiPriority w:val="99"/>
    <w:semiHidden/>
    <w:unhideWhenUsed/>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 71"/>
    <w:basedOn w:val="TableNormal"/>
    <w:next w:val="TableGrid7"/>
    <w:pPr>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2">
    <w:name w:val="Table Grid2"/>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a-DK"/>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9"/>
      </w:numPr>
    </w:pPr>
  </w:style>
  <w:style w:type="paragraph" w:customStyle="1" w:styleId="Tiret1">
    <w:name w:val="Tiret 1"/>
    <w:basedOn w:val="Point1"/>
    <w:pPr>
      <w:numPr>
        <w:numId w:val="40"/>
      </w:numPr>
    </w:pPr>
  </w:style>
  <w:style w:type="paragraph" w:customStyle="1" w:styleId="Tiret2">
    <w:name w:val="Tiret 2"/>
    <w:basedOn w:val="Point2"/>
    <w:pPr>
      <w:numPr>
        <w:numId w:val="41"/>
      </w:numPr>
    </w:pPr>
  </w:style>
  <w:style w:type="paragraph" w:customStyle="1" w:styleId="Tiret3">
    <w:name w:val="Tiret 3"/>
    <w:basedOn w:val="Point3"/>
    <w:pPr>
      <w:numPr>
        <w:numId w:val="42"/>
      </w:numPr>
    </w:pPr>
  </w:style>
  <w:style w:type="paragraph" w:customStyle="1" w:styleId="Tiret4">
    <w:name w:val="Tiret 4"/>
    <w:basedOn w:val="Point4"/>
    <w:pPr>
      <w:numPr>
        <w:numId w:val="4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4"/>
      </w:numPr>
    </w:pPr>
  </w:style>
  <w:style w:type="paragraph" w:customStyle="1" w:styleId="NumPar2">
    <w:name w:val="NumPar 2"/>
    <w:basedOn w:val="Normal"/>
    <w:next w:val="Text1"/>
    <w:pPr>
      <w:numPr>
        <w:ilvl w:val="1"/>
        <w:numId w:val="44"/>
      </w:numPr>
    </w:pPr>
  </w:style>
  <w:style w:type="paragraph" w:customStyle="1" w:styleId="NumPar3">
    <w:name w:val="NumPar 3"/>
    <w:basedOn w:val="Normal"/>
    <w:next w:val="Text1"/>
    <w:pPr>
      <w:numPr>
        <w:ilvl w:val="2"/>
        <w:numId w:val="44"/>
      </w:numPr>
    </w:pPr>
  </w:style>
  <w:style w:type="paragraph" w:customStyle="1" w:styleId="NumPar4">
    <w:name w:val="NumPar 4"/>
    <w:basedOn w:val="Normal"/>
    <w:next w:val="Text1"/>
    <w:pPr>
      <w:numPr>
        <w:ilvl w:val="3"/>
        <w:numId w:val="4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6"/>
      </w:numPr>
    </w:pPr>
  </w:style>
  <w:style w:type="paragraph" w:customStyle="1" w:styleId="Point1number">
    <w:name w:val="Point 1 (number)"/>
    <w:basedOn w:val="Normal"/>
    <w:pPr>
      <w:numPr>
        <w:ilvl w:val="2"/>
        <w:numId w:val="46"/>
      </w:numPr>
    </w:pPr>
  </w:style>
  <w:style w:type="paragraph" w:customStyle="1" w:styleId="Point2number">
    <w:name w:val="Point 2 (number)"/>
    <w:basedOn w:val="Normal"/>
    <w:pPr>
      <w:numPr>
        <w:ilvl w:val="4"/>
        <w:numId w:val="46"/>
      </w:numPr>
    </w:pPr>
  </w:style>
  <w:style w:type="paragraph" w:customStyle="1" w:styleId="Point3number">
    <w:name w:val="Point 3 (number)"/>
    <w:basedOn w:val="Normal"/>
    <w:pPr>
      <w:numPr>
        <w:ilvl w:val="6"/>
        <w:numId w:val="46"/>
      </w:numPr>
    </w:pPr>
  </w:style>
  <w:style w:type="paragraph" w:customStyle="1" w:styleId="Point0letter">
    <w:name w:val="Point 0 (letter)"/>
    <w:basedOn w:val="Normal"/>
    <w:pPr>
      <w:numPr>
        <w:ilvl w:val="1"/>
        <w:numId w:val="46"/>
      </w:numPr>
    </w:pPr>
  </w:style>
  <w:style w:type="paragraph" w:customStyle="1" w:styleId="Point1letter">
    <w:name w:val="Point 1 (letter)"/>
    <w:basedOn w:val="Normal"/>
    <w:pPr>
      <w:numPr>
        <w:ilvl w:val="3"/>
        <w:numId w:val="46"/>
      </w:numPr>
    </w:pPr>
  </w:style>
  <w:style w:type="paragraph" w:customStyle="1" w:styleId="Point2letter">
    <w:name w:val="Point 2 (letter)"/>
    <w:basedOn w:val="Normal"/>
    <w:pPr>
      <w:numPr>
        <w:ilvl w:val="5"/>
        <w:numId w:val="46"/>
      </w:numPr>
    </w:pPr>
  </w:style>
  <w:style w:type="paragraph" w:customStyle="1" w:styleId="Point3letter">
    <w:name w:val="Point 3 (letter)"/>
    <w:basedOn w:val="Normal"/>
    <w:pPr>
      <w:numPr>
        <w:ilvl w:val="7"/>
        <w:numId w:val="46"/>
      </w:numPr>
    </w:pPr>
  </w:style>
  <w:style w:type="paragraph" w:customStyle="1" w:styleId="Point4letter">
    <w:name w:val="Point 4 (letter)"/>
    <w:basedOn w:val="Normal"/>
    <w:pPr>
      <w:numPr>
        <w:ilvl w:val="8"/>
        <w:numId w:val="46"/>
      </w:numPr>
    </w:pPr>
  </w:style>
  <w:style w:type="paragraph" w:customStyle="1" w:styleId="Bullet0">
    <w:name w:val="Bullet 0"/>
    <w:basedOn w:val="Normal"/>
    <w:pPr>
      <w:numPr>
        <w:numId w:val="47"/>
      </w:numPr>
    </w:pPr>
  </w:style>
  <w:style w:type="paragraph" w:customStyle="1" w:styleId="Bullet1">
    <w:name w:val="Bullet 1"/>
    <w:basedOn w:val="Normal"/>
    <w:pPr>
      <w:numPr>
        <w:numId w:val="48"/>
      </w:numPr>
    </w:pPr>
  </w:style>
  <w:style w:type="paragraph" w:customStyle="1" w:styleId="Bullet2">
    <w:name w:val="Bullet 2"/>
    <w:basedOn w:val="Normal"/>
    <w:pPr>
      <w:numPr>
        <w:numId w:val="49"/>
      </w:numPr>
    </w:pPr>
  </w:style>
  <w:style w:type="paragraph" w:customStyle="1" w:styleId="Bullet3">
    <w:name w:val="Bullet 3"/>
    <w:basedOn w:val="Normal"/>
    <w:pPr>
      <w:numPr>
        <w:numId w:val="50"/>
      </w:numPr>
    </w:pPr>
  </w:style>
  <w:style w:type="paragraph" w:customStyle="1" w:styleId="Bullet4">
    <w:name w:val="Bullet 4"/>
    <w:basedOn w:val="Normal"/>
    <w:pPr>
      <w:numPr>
        <w:numId w:val="5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footnote reference" w:uiPriority="99"/>
    <w:lsdException w:name="line number"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Date" w:uiPriority="99"/>
    <w:lsdException w:name="Hyperlink" w:uiPriority="99"/>
    <w:lsdException w:name="Strong" w:semiHidden="0" w:unhideWhenUsed="0" w:qFormat="1"/>
    <w:lsdException w:name="Emphasis" w:semiHidden="0" w:uiPriority="20" w:unhideWhenUsed="0" w:qFormat="1"/>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4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5"/>
      </w:numPr>
      <w:outlineLvl w:val="3"/>
    </w:pPr>
    <w:rPr>
      <w:rFonts w:eastAsiaTheme="majorEastAsia"/>
      <w:bCs/>
      <w:iCs/>
    </w:rPr>
  </w:style>
  <w:style w:type="paragraph" w:styleId="Heading5">
    <w:name w:val="heading 5"/>
    <w:aliases w:val="Heading 5 CFMU,Para 5,h5,t5.T5,T5,Roman list,Bloc,Bloc1,Bloc2,Bloc3,Bloc4,PARA5,Punt 5,Tempo Heading 5,heading5,H5"/>
    <w:basedOn w:val="Normal"/>
    <w:next w:val="Normal"/>
    <w:link w:val="Heading5Char"/>
    <w:qFormat/>
    <w:pPr>
      <w:tabs>
        <w:tab w:val="num" w:pos="0"/>
      </w:tabs>
      <w:spacing w:before="240" w:after="60"/>
      <w:outlineLvl w:val="4"/>
    </w:pPr>
    <w:rPr>
      <w:rFonts w:ascii="Calibri" w:eastAsia="Times New Roman" w:hAnsi="Calibri"/>
      <w:b/>
      <w:bCs/>
      <w:i/>
      <w:iCs/>
      <w:sz w:val="26"/>
      <w:szCs w:val="26"/>
    </w:rPr>
  </w:style>
  <w:style w:type="paragraph" w:styleId="Heading6">
    <w:name w:val="heading 6"/>
    <w:aliases w:val="Heading 6 CFMU,h6,Para 6,t6.T6,Bullet list,Annexe,Annexe1,T6,Title Page,H6"/>
    <w:basedOn w:val="Normal"/>
    <w:next w:val="Normal"/>
    <w:link w:val="Heading6Char"/>
    <w:qFormat/>
    <w:pPr>
      <w:tabs>
        <w:tab w:val="num" w:pos="0"/>
      </w:tabs>
      <w:spacing w:before="240" w:after="60"/>
      <w:outlineLvl w:val="5"/>
    </w:pPr>
    <w:rPr>
      <w:rFonts w:ascii="Calibri" w:eastAsia="Times New Roman" w:hAnsi="Calibri"/>
      <w:b/>
      <w:bCs/>
      <w:sz w:val="22"/>
    </w:rPr>
  </w:style>
  <w:style w:type="paragraph" w:styleId="Heading7">
    <w:name w:val="heading 7"/>
    <w:aliases w:val="Heading 7 CFMU,h7,Para 7,t7.T7,letter list,Annexe 1,H7,lettered list,Annexe2,T7,Heading 7 (do not use)"/>
    <w:basedOn w:val="Normal"/>
    <w:next w:val="Normal"/>
    <w:link w:val="Heading7Char"/>
    <w:qFormat/>
    <w:pPr>
      <w:tabs>
        <w:tab w:val="num" w:pos="0"/>
      </w:tabs>
      <w:spacing w:before="240" w:after="60"/>
      <w:outlineLvl w:val="6"/>
    </w:pPr>
    <w:rPr>
      <w:rFonts w:ascii="Calibri" w:eastAsia="Times New Roman" w:hAnsi="Calibri"/>
      <w:szCs w:val="24"/>
    </w:rPr>
  </w:style>
  <w:style w:type="paragraph" w:styleId="Heading8">
    <w:name w:val="heading 8"/>
    <w:aliases w:val="Heading 8 CFMU,h8,action,bijlkop,Annexe 2,Annexe3,T8,Heading 8 (do not use)"/>
    <w:basedOn w:val="Normal"/>
    <w:next w:val="Normal"/>
    <w:link w:val="Heading8Char"/>
    <w:qFormat/>
    <w:pPr>
      <w:tabs>
        <w:tab w:val="num" w:pos="0"/>
      </w:tabs>
      <w:spacing w:before="240" w:after="60"/>
      <w:outlineLvl w:val="7"/>
    </w:pPr>
    <w:rPr>
      <w:rFonts w:ascii="Calibri" w:eastAsia="Times New Roman" w:hAnsi="Calibri"/>
      <w:i/>
      <w:iCs/>
      <w:szCs w:val="24"/>
    </w:rPr>
  </w:style>
  <w:style w:type="paragraph" w:styleId="Heading9">
    <w:name w:val="heading 9"/>
    <w:aliases w:val="Heading 9 CFMU,h9,App Heading,App Heading1,App Heading2,App Heading3,App Heading4,App Heading5,appendix,Blank 5,9,Bijlagen,progress,Annexe 3,Titre 10,Annexe4,T9,Heading 9 (do not use)"/>
    <w:basedOn w:val="Normal"/>
    <w:next w:val="Normal"/>
    <w:link w:val="Heading9Char"/>
    <w:qFormat/>
    <w:pPr>
      <w:tabs>
        <w:tab w:val="num" w:pos="0"/>
      </w:tabs>
      <w:spacing w:before="240" w:after="60"/>
      <w:outlineLvl w:val="8"/>
    </w:pPr>
    <w:rPr>
      <w:rFonts w:ascii="Cambria" w:eastAsia="Times New Roman" w:hAnsi="Cambria"/>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Date">
    <w:name w:val="Date"/>
    <w:basedOn w:val="Normal"/>
    <w:next w:val="Normal"/>
    <w:link w:val="DateChar"/>
    <w:uiPriority w:val="99"/>
    <w:unhideWhenUsed/>
  </w:style>
  <w:style w:type="character" w:customStyle="1" w:styleId="DateChar">
    <w:name w:val="Date Char"/>
    <w:basedOn w:val="DefaultParagraphFont"/>
    <w:link w:val="Date"/>
    <w:uiPriority w:val="99"/>
    <w:rPr>
      <w:rFonts w:ascii="Times New Roman" w:hAnsi="Times New Roman" w:cs="Times New Roman"/>
      <w:sz w:val="24"/>
      <w:lang w:val="da-DK"/>
    </w:rPr>
  </w:style>
  <w:style w:type="paragraph" w:styleId="ListNumber">
    <w:name w:val="List Number"/>
    <w:basedOn w:val="Normal"/>
    <w:unhideWhenUsed/>
    <w:pPr>
      <w:numPr>
        <w:numId w:val="5"/>
      </w:numPr>
      <w:contextualSpacing/>
    </w:pPr>
  </w:style>
  <w:style w:type="paragraph" w:styleId="ListNumber3">
    <w:name w:val="List Number 3"/>
    <w:basedOn w:val="Normal"/>
    <w:unhideWhenUsed/>
    <w:pPr>
      <w:numPr>
        <w:numId w:val="6"/>
      </w:numPr>
      <w:contextualSpacing/>
    </w:pPr>
  </w:style>
  <w:style w:type="character" w:styleId="Hyperlink">
    <w:name w:val="Hyperlink"/>
    <w:uiPriority w:val="99"/>
    <w:rPr>
      <w:rFonts w:cs="Times New Roman"/>
      <w:color w:val="0000FF"/>
      <w:u w:val="single"/>
    </w:rPr>
  </w:style>
  <w:style w:type="character" w:customStyle="1" w:styleId="Heading5Char">
    <w:name w:val="Heading 5 Char"/>
    <w:aliases w:val="Heading 5 CFMU Char,Para 5 Char,h5 Char,t5.T5 Char,T5 Char,Roman list Char,Bloc Char,Bloc1 Char,Bloc2 Char,Bloc3 Char,Bloc4 Char,PARA5 Char,Punt 5 Char,Tempo Heading 5 Char,heading5 Char,H5 Char"/>
    <w:basedOn w:val="DefaultParagraphFont"/>
    <w:link w:val="Heading5"/>
    <w:rPr>
      <w:rFonts w:ascii="Calibri" w:eastAsia="Times New Roman" w:hAnsi="Calibri" w:cs="Times New Roman"/>
      <w:b/>
      <w:bCs/>
      <w:i/>
      <w:iCs/>
      <w:sz w:val="26"/>
      <w:szCs w:val="26"/>
      <w:lang w:val="da-DK"/>
    </w:rPr>
  </w:style>
  <w:style w:type="character" w:customStyle="1" w:styleId="Heading6Char">
    <w:name w:val="Heading 6 Char"/>
    <w:aliases w:val="Heading 6 CFMU Char,h6 Char,Para 6 Char,t6.T6 Char,Bullet list Char,Annexe Char,Annexe1 Char,T6 Char,Title Page Char,H6 Char"/>
    <w:basedOn w:val="DefaultParagraphFont"/>
    <w:link w:val="Heading6"/>
    <w:rPr>
      <w:rFonts w:ascii="Calibri" w:eastAsia="Times New Roman" w:hAnsi="Calibri" w:cs="Times New Roman"/>
      <w:b/>
      <w:bCs/>
      <w:lang w:val="da-DK"/>
    </w:rPr>
  </w:style>
  <w:style w:type="character" w:customStyle="1" w:styleId="Heading7Char">
    <w:name w:val="Heading 7 Char"/>
    <w:aliases w:val="Heading 7 CFMU Char,h7 Char,Para 7 Char,t7.T7 Char,letter list Char,Annexe 1 Char,H7 Char,lettered list Char,Annexe2 Char,T7 Char,Heading 7 (do not use) Char"/>
    <w:basedOn w:val="DefaultParagraphFont"/>
    <w:link w:val="Heading7"/>
    <w:rPr>
      <w:rFonts w:ascii="Calibri" w:eastAsia="Times New Roman" w:hAnsi="Calibri" w:cs="Times New Roman"/>
      <w:sz w:val="24"/>
      <w:szCs w:val="24"/>
      <w:lang w:val="da-DK"/>
    </w:rPr>
  </w:style>
  <w:style w:type="character" w:customStyle="1" w:styleId="Heading8Char">
    <w:name w:val="Heading 8 Char"/>
    <w:aliases w:val="Heading 8 CFMU Char,h8 Char,action Char,bijlkop Char,Annexe 2 Char,Annexe3 Char,T8 Char,Heading 8 (do not use) Char"/>
    <w:basedOn w:val="DefaultParagraphFont"/>
    <w:link w:val="Heading8"/>
    <w:rPr>
      <w:rFonts w:ascii="Calibri" w:eastAsia="Times New Roman" w:hAnsi="Calibri" w:cs="Times New Roman"/>
      <w:i/>
      <w:iCs/>
      <w:sz w:val="24"/>
      <w:szCs w:val="24"/>
      <w:lang w:val="da-DK"/>
    </w:rPr>
  </w:style>
  <w:style w:type="character" w:customStyle="1" w:styleId="Heading9Char">
    <w:name w:val="Heading 9 Char"/>
    <w:aliases w:val="Heading 9 CFMU Char,h9 Char,App Heading Char,App Heading1 Char,App Heading2 Char,App Heading3 Char,App Heading4 Char,App Heading5 Char,appendix Char,Blank 5 Char,9 Char,Bijlagen Char,progress Char,Annexe 3 Char,Titre 10 Char,Annexe4 Char"/>
    <w:basedOn w:val="DefaultParagraphFont"/>
    <w:link w:val="Heading9"/>
    <w:rPr>
      <w:rFonts w:ascii="Cambria" w:eastAsia="Times New Roman" w:hAnsi="Cambria" w:cs="Times New Roman"/>
      <w:lang w:val="da-DK"/>
    </w:rPr>
  </w:style>
  <w:style w:type="numbering" w:customStyle="1" w:styleId="NoList1">
    <w:name w:val="No List1"/>
    <w:next w:val="NoList"/>
    <w:uiPriority w:val="99"/>
    <w:semiHidden/>
    <w:unhideWhenUsed/>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paragraph" w:styleId="NoSpacing">
    <w:name w:val="No Spacing"/>
    <w:uiPriority w:val="1"/>
    <w:qFormat/>
    <w:pPr>
      <w:spacing w:after="0" w:line="240" w:lineRule="auto"/>
      <w:jc w:val="both"/>
    </w:pPr>
    <w:rPr>
      <w:rFonts w:ascii="Times New Roman" w:hAnsi="Times New Roman" w:cs="Times New Roman"/>
      <w:sz w:val="24"/>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Times New Roman" w:hAnsi="Times New Roman" w:cs="Times New Roman"/>
      <w:sz w:val="20"/>
      <w:szCs w:val="20"/>
      <w:lang w:val="da-DK"/>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lang w:val="da-DK"/>
    </w:rPr>
  </w:style>
  <w:style w:type="paragraph" w:styleId="BalloonText">
    <w:name w:val="Balloon Text"/>
    <w:basedOn w:val="Normal"/>
    <w:link w:val="BalloonTextChar"/>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da-DK"/>
    </w:rPr>
  </w:style>
  <w:style w:type="paragraph" w:styleId="Revision">
    <w:name w:val="Revision"/>
    <w:hidden/>
    <w:uiPriority w:val="99"/>
    <w:semiHidden/>
    <w:pPr>
      <w:spacing w:after="0" w:line="240" w:lineRule="auto"/>
    </w:pPr>
    <w:rPr>
      <w:rFonts w:ascii="Times New Roman" w:hAnsi="Times New Roman" w:cs="Times New Roman"/>
      <w:sz w:val="24"/>
    </w:rPr>
  </w:style>
  <w:style w:type="numbering" w:customStyle="1" w:styleId="NoList11">
    <w:name w:val="No List11"/>
    <w:next w:val="NoList"/>
    <w:uiPriority w:val="99"/>
    <w:semiHidden/>
    <w:unhideWhenUsed/>
  </w:style>
  <w:style w:type="paragraph" w:styleId="BodyText">
    <w:name w:val="Body Text"/>
    <w:basedOn w:val="Normal"/>
    <w:link w:val="BodyTextChar"/>
    <w:pPr>
      <w:spacing w:before="60"/>
      <w:jc w:val="left"/>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da-DK"/>
    </w:rPr>
  </w:style>
  <w:style w:type="paragraph" w:styleId="Caption">
    <w:name w:val="caption"/>
    <w:aliases w:val="CaptionCFMU,CaptionTLS"/>
    <w:basedOn w:val="Normal"/>
    <w:next w:val="Normal"/>
    <w:link w:val="CaptionChar"/>
    <w:qFormat/>
    <w:pPr>
      <w:spacing w:before="60"/>
      <w:jc w:val="center"/>
    </w:pPr>
    <w:rPr>
      <w:rFonts w:ascii="CG Times (W1)" w:eastAsia="Times New Roman" w:hAnsi="CG Times (W1)"/>
      <w:sz w:val="20"/>
      <w:szCs w:val="20"/>
    </w:rPr>
  </w:style>
  <w:style w:type="paragraph" w:customStyle="1" w:styleId="Opmaakprofiel">
    <w:name w:val="Opmaakprofiel"/>
    <w:pPr>
      <w:widowControl w:val="0"/>
      <w:autoSpaceDE w:val="0"/>
      <w:autoSpaceDN w:val="0"/>
      <w:adjustRightInd w:val="0"/>
      <w:spacing w:after="0" w:line="240" w:lineRule="auto"/>
    </w:pPr>
    <w:rPr>
      <w:rFonts w:ascii="Arial" w:eastAsia="Times New Roman" w:hAnsi="Arial" w:cs="Arial"/>
      <w:sz w:val="24"/>
      <w:szCs w:val="24"/>
      <w:lang w:eastAsia="nl-NL"/>
    </w:rPr>
  </w:style>
  <w:style w:type="paragraph" w:styleId="ListParagraph">
    <w:name w:val="List Paragraph"/>
    <w:basedOn w:val="Normal"/>
    <w:uiPriority w:val="34"/>
    <w:qFormat/>
    <w:pPr>
      <w:spacing w:before="0" w:after="200" w:line="276" w:lineRule="auto"/>
      <w:ind w:left="720"/>
      <w:contextualSpacing/>
      <w:jc w:val="left"/>
    </w:pPr>
    <w:rPr>
      <w:rFonts w:ascii="Calibri" w:eastAsia="Calibri" w:hAnsi="Calibri"/>
      <w:sz w:val="22"/>
    </w:rPr>
  </w:style>
  <w:style w:type="paragraph" w:customStyle="1" w:styleId="Base">
    <w:name w:val="Base"/>
    <w:pPr>
      <w:spacing w:before="60" w:after="60" w:line="240" w:lineRule="auto"/>
    </w:pPr>
    <w:rPr>
      <w:rFonts w:ascii="Times New Roman" w:eastAsia="Times New Roman" w:hAnsi="Times New Roman" w:cs="Times New Roman"/>
      <w:sz w:val="24"/>
      <w:szCs w:val="20"/>
    </w:rPr>
  </w:style>
  <w:style w:type="paragraph" w:styleId="NormalIndent">
    <w:name w:val="Normal Indent"/>
    <w:basedOn w:val="Base"/>
    <w:pPr>
      <w:ind w:left="1134"/>
    </w:pPr>
  </w:style>
  <w:style w:type="paragraph" w:styleId="Index7">
    <w:name w:val="index 7"/>
    <w:basedOn w:val="Index6"/>
    <w:next w:val="Normal"/>
    <w:pPr>
      <w:ind w:left="1698"/>
    </w:pPr>
  </w:style>
  <w:style w:type="paragraph" w:styleId="Index6">
    <w:name w:val="index 6"/>
    <w:basedOn w:val="Index5"/>
    <w:next w:val="Normal"/>
    <w:pPr>
      <w:ind w:left="1415"/>
    </w:pPr>
  </w:style>
  <w:style w:type="paragraph" w:styleId="Index5">
    <w:name w:val="index 5"/>
    <w:basedOn w:val="Index4"/>
    <w:next w:val="Normal"/>
    <w:pPr>
      <w:ind w:left="1132"/>
    </w:pPr>
  </w:style>
  <w:style w:type="paragraph" w:styleId="Index4">
    <w:name w:val="index 4"/>
    <w:basedOn w:val="Index3"/>
    <w:next w:val="Normal"/>
    <w:pPr>
      <w:ind w:left="849"/>
    </w:pPr>
  </w:style>
  <w:style w:type="paragraph" w:styleId="Index3">
    <w:name w:val="index 3"/>
    <w:basedOn w:val="Index2"/>
    <w:next w:val="Normal"/>
    <w:pPr>
      <w:ind w:left="566"/>
    </w:pPr>
  </w:style>
  <w:style w:type="paragraph" w:styleId="Index2">
    <w:name w:val="index 2"/>
    <w:basedOn w:val="Index1"/>
    <w:next w:val="Normal"/>
    <w:pPr>
      <w:ind w:left="283"/>
    </w:pPr>
  </w:style>
  <w:style w:type="paragraph" w:styleId="Index1">
    <w:name w:val="index 1"/>
    <w:basedOn w:val="Base"/>
    <w:next w:val="Normal"/>
  </w:style>
  <w:style w:type="paragraph" w:styleId="IndexHeading">
    <w:name w:val="index heading"/>
    <w:basedOn w:val="Base"/>
    <w:next w:val="Index1"/>
  </w:style>
  <w:style w:type="paragraph" w:customStyle="1" w:styleId="NormalItem">
    <w:name w:val="Normal Item"/>
    <w:basedOn w:val="Base"/>
    <w:pPr>
      <w:ind w:left="1134" w:hanging="284"/>
    </w:pPr>
  </w:style>
  <w:style w:type="paragraph" w:customStyle="1" w:styleId="NormalSubitem">
    <w:name w:val="Normal Subitem"/>
    <w:basedOn w:val="Base"/>
    <w:pPr>
      <w:ind w:left="1418" w:hanging="284"/>
    </w:pPr>
  </w:style>
  <w:style w:type="paragraph" w:customStyle="1" w:styleId="HangingIndent">
    <w:name w:val="Hanging Indent"/>
    <w:basedOn w:val="NormalIndent"/>
    <w:pPr>
      <w:ind w:hanging="567"/>
    </w:pPr>
  </w:style>
  <w:style w:type="paragraph" w:customStyle="1" w:styleId="Itembody">
    <w:name w:val="Item body"/>
    <w:basedOn w:val="NormalItem"/>
    <w:pPr>
      <w:ind w:firstLine="0"/>
    </w:pPr>
  </w:style>
  <w:style w:type="paragraph" w:customStyle="1" w:styleId="Pages">
    <w:name w:val="Pages"/>
    <w:basedOn w:val="Base"/>
    <w:pPr>
      <w:spacing w:before="0"/>
    </w:pPr>
    <w:rPr>
      <w:rFonts w:ascii="Arial" w:hAnsi="Arial"/>
      <w:sz w:val="28"/>
    </w:rPr>
  </w:style>
  <w:style w:type="paragraph" w:customStyle="1" w:styleId="Comments">
    <w:name w:val="Comments"/>
    <w:basedOn w:val="Base"/>
    <w:next w:val="Normal"/>
    <w:pPr>
      <w:spacing w:after="120"/>
    </w:pPr>
    <w:rPr>
      <w:rFonts w:ascii="Arial" w:hAnsi="Arial"/>
      <w:b/>
      <w:sz w:val="28"/>
    </w:rPr>
  </w:style>
  <w:style w:type="paragraph" w:customStyle="1" w:styleId="Italic">
    <w:name w:val="Italic"/>
    <w:basedOn w:val="Base"/>
    <w:pPr>
      <w:spacing w:before="0"/>
    </w:pPr>
    <w:rPr>
      <w:rFonts w:ascii="CG Times" w:hAnsi="CG Times"/>
      <w:b/>
      <w:i/>
      <w:sz w:val="20"/>
      <w:u w:val="single"/>
    </w:rPr>
  </w:style>
  <w:style w:type="paragraph" w:customStyle="1" w:styleId="DoubleIndent">
    <w:name w:val="Double Indent"/>
    <w:basedOn w:val="NormalIndent"/>
    <w:pPr>
      <w:tabs>
        <w:tab w:val="left" w:pos="2835"/>
      </w:tabs>
      <w:spacing w:before="0"/>
      <w:ind w:left="2268"/>
    </w:pPr>
  </w:style>
  <w:style w:type="paragraph" w:customStyle="1" w:styleId="NormalSubSubitem">
    <w:name w:val="Normal SubSubitem"/>
    <w:basedOn w:val="NormalSubitem"/>
    <w:pPr>
      <w:ind w:left="1985"/>
    </w:pPr>
  </w:style>
  <w:style w:type="paragraph" w:customStyle="1" w:styleId="DoubleHangingIndent">
    <w:name w:val="Double Hanging Indent"/>
    <w:basedOn w:val="DoubleIndent"/>
    <w:pPr>
      <w:ind w:hanging="567"/>
    </w:pPr>
    <w:rPr>
      <w:sz w:val="20"/>
    </w:rPr>
  </w:style>
  <w:style w:type="paragraph" w:customStyle="1" w:styleId="LongHangingIndent">
    <w:name w:val="Long Hanging Indent"/>
    <w:basedOn w:val="HangingIndent"/>
    <w:next w:val="Normal"/>
    <w:pPr>
      <w:ind w:left="3402" w:hanging="2268"/>
    </w:pPr>
    <w:rPr>
      <w:sz w:val="20"/>
    </w:rPr>
  </w:style>
  <w:style w:type="paragraph" w:customStyle="1" w:styleId="Verse">
    <w:name w:val="Verse"/>
    <w:basedOn w:val="Base"/>
    <w:pPr>
      <w:keepLines/>
      <w:tabs>
        <w:tab w:val="left" w:pos="2835"/>
      </w:tabs>
      <w:spacing w:after="240"/>
      <w:ind w:left="1701" w:right="851"/>
      <w:jc w:val="center"/>
    </w:pPr>
    <w:rPr>
      <w:b/>
      <w:i/>
      <w:sz w:val="20"/>
    </w:rPr>
  </w:style>
  <w:style w:type="paragraph" w:customStyle="1" w:styleId="NormSubitemBody">
    <w:name w:val="Norm Subitem Body"/>
    <w:basedOn w:val="NormalSubitem"/>
    <w:pPr>
      <w:spacing w:before="0"/>
      <w:ind w:left="1531" w:firstLine="0"/>
    </w:pPr>
  </w:style>
  <w:style w:type="paragraph" w:customStyle="1" w:styleId="Heading2TOC">
    <w:name w:val="Heading 2 TOC"/>
    <w:basedOn w:val="Heading2"/>
    <w:pPr>
      <w:keepLines/>
      <w:numPr>
        <w:ilvl w:val="0"/>
        <w:numId w:val="0"/>
      </w:numPr>
      <w:spacing w:before="0" w:after="480"/>
      <w:jc w:val="center"/>
      <w:outlineLvl w:val="9"/>
    </w:pPr>
    <w:rPr>
      <w:rFonts w:eastAsia="Times New Roman"/>
      <w:bCs w:val="0"/>
      <w:szCs w:val="24"/>
    </w:rPr>
  </w:style>
  <w:style w:type="paragraph" w:customStyle="1" w:styleId="NormalNItem">
    <w:name w:val="Normal N Item"/>
    <w:basedOn w:val="NormalItem"/>
    <w:next w:val="Itembody"/>
    <w:pPr>
      <w:keepNext/>
      <w:ind w:left="1135"/>
    </w:pPr>
  </w:style>
  <w:style w:type="paragraph" w:customStyle="1" w:styleId="SubitemBody">
    <w:name w:val="Subitem Body"/>
    <w:basedOn w:val="NormalSubitem"/>
  </w:style>
  <w:style w:type="paragraph" w:customStyle="1" w:styleId="t">
    <w:name w:val="t"/>
    <w:basedOn w:val="Heading1"/>
    <w:pPr>
      <w:numPr>
        <w:numId w:val="0"/>
      </w:numPr>
      <w:spacing w:before="240" w:after="240"/>
      <w:jc w:val="center"/>
      <w:outlineLvl w:val="9"/>
    </w:pPr>
    <w:rPr>
      <w:rFonts w:eastAsia="Times New Roman"/>
      <w:bCs w:val="0"/>
      <w:caps/>
      <w:smallCaps w:val="0"/>
      <w:spacing w:val="40"/>
      <w:sz w:val="36"/>
      <w:szCs w:val="20"/>
    </w:rPr>
  </w:style>
  <w:style w:type="paragraph" w:customStyle="1" w:styleId="Ital">
    <w:name w:val="Ital"/>
    <w:basedOn w:val="Base"/>
    <w:pPr>
      <w:pBdr>
        <w:top w:val="single" w:sz="6" w:space="3" w:color="auto"/>
        <w:left w:val="single" w:sz="6" w:space="3" w:color="auto"/>
        <w:bottom w:val="single" w:sz="6" w:space="3" w:color="auto"/>
        <w:right w:val="single" w:sz="6" w:space="3" w:color="auto"/>
      </w:pBdr>
      <w:ind w:right="113"/>
    </w:pPr>
    <w:rPr>
      <w:i/>
    </w:rPr>
  </w:style>
  <w:style w:type="paragraph" w:customStyle="1" w:styleId="ItalIndent">
    <w:name w:val="Ital Indent"/>
    <w:basedOn w:val="NormalIndent"/>
    <w:rPr>
      <w:i/>
    </w:rPr>
  </w:style>
  <w:style w:type="paragraph" w:customStyle="1" w:styleId="ItalItem">
    <w:name w:val="Ital Item"/>
    <w:basedOn w:val="Ital"/>
    <w:pPr>
      <w:ind w:left="851" w:hanging="284"/>
    </w:pPr>
    <w:rPr>
      <w:i w:val="0"/>
    </w:rPr>
  </w:style>
  <w:style w:type="paragraph" w:customStyle="1" w:styleId="indent2">
    <w:name w:val="indent 2"/>
    <w:basedOn w:val="indent1"/>
    <w:pPr>
      <w:ind w:left="1800"/>
    </w:pPr>
  </w:style>
  <w:style w:type="paragraph" w:customStyle="1" w:styleId="indent1">
    <w:name w:val="indent 1"/>
    <w:basedOn w:val="Base"/>
    <w:pPr>
      <w:keepLines/>
      <w:spacing w:before="0" w:after="240"/>
      <w:ind w:left="907"/>
    </w:pPr>
    <w:rPr>
      <w:sz w:val="20"/>
    </w:rPr>
  </w:style>
  <w:style w:type="character" w:styleId="EndnoteReference">
    <w:name w:val="endnote reference"/>
    <w:rPr>
      <w:rFonts w:cs="Times New Roman"/>
      <w:vertAlign w:val="superscript"/>
    </w:rPr>
  </w:style>
  <w:style w:type="paragraph" w:customStyle="1" w:styleId="Happ1">
    <w:name w:val="Happ1"/>
    <w:basedOn w:val="Base"/>
    <w:pPr>
      <w:keepNext/>
      <w:pageBreakBefore/>
      <w:numPr>
        <w:numId w:val="11"/>
      </w:numPr>
      <w:spacing w:before="240"/>
    </w:pPr>
    <w:rPr>
      <w:b/>
      <w:caps/>
      <w:sz w:val="32"/>
    </w:rPr>
  </w:style>
  <w:style w:type="character" w:styleId="FollowedHyperlink">
    <w:name w:val="FollowedHyperlink"/>
    <w:rPr>
      <w:rFonts w:cs="Times New Roman"/>
      <w:color w:val="800080"/>
      <w:u w:val="single"/>
    </w:rPr>
  </w:style>
  <w:style w:type="paragraph" w:customStyle="1" w:styleId="AnnexHeading2">
    <w:name w:val="Annex Heading 2"/>
    <w:basedOn w:val="Heading4"/>
    <w:pPr>
      <w:numPr>
        <w:ilvl w:val="1"/>
        <w:numId w:val="12"/>
      </w:numPr>
      <w:spacing w:before="240" w:after="240"/>
    </w:pPr>
    <w:rPr>
      <w:rFonts w:ascii="Courier New" w:eastAsia="Times New Roman" w:hAnsi="Courier New" w:cs="Courier New"/>
      <w:bCs w:val="0"/>
      <w:iCs w:val="0"/>
      <w:smallCaps/>
      <w:color w:val="0000FF"/>
      <w:w w:val="122"/>
      <w:szCs w:val="20"/>
    </w:rPr>
  </w:style>
  <w:style w:type="character" w:customStyle="1" w:styleId="BaseChar">
    <w:name w:val="Base Char"/>
    <w:rPr>
      <w:rFonts w:cs="Times New Roman"/>
      <w:sz w:val="24"/>
      <w:lang w:val="da-DK" w:eastAsia="en-US" w:bidi="ar-SA"/>
    </w:rPr>
  </w:style>
  <w:style w:type="paragraph" w:customStyle="1" w:styleId="TableCell">
    <w:name w:val="TableCell"/>
    <w:basedOn w:val="Normal"/>
    <w:pPr>
      <w:spacing w:before="60" w:after="0"/>
      <w:jc w:val="left"/>
    </w:pPr>
    <w:rPr>
      <w:rFonts w:ascii="Arial" w:eastAsia="Times New Roman" w:hAnsi="Arial"/>
      <w:bCs/>
      <w:sz w:val="20"/>
      <w:szCs w:val="24"/>
    </w:rPr>
  </w:style>
  <w:style w:type="paragraph" w:styleId="BodyTextIndent2">
    <w:name w:val="Body Text Indent 2"/>
    <w:basedOn w:val="Normal"/>
    <w:link w:val="BodyTextIndent2Char"/>
    <w:pPr>
      <w:spacing w:before="0"/>
      <w:ind w:left="720"/>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da-DK"/>
    </w:rPr>
  </w:style>
  <w:style w:type="paragraph" w:customStyle="1" w:styleId="AppendixHeading1">
    <w:name w:val="Appendix Heading 1"/>
    <w:basedOn w:val="Normal"/>
    <w:next w:val="Normal"/>
    <w:pPr>
      <w:numPr>
        <w:numId w:val="9"/>
      </w:numPr>
      <w:spacing w:before="240" w:after="0"/>
      <w:ind w:left="851"/>
      <w:outlineLvl w:val="1"/>
    </w:pPr>
    <w:rPr>
      <w:rFonts w:ascii="Arial" w:eastAsia="Times New Roman" w:hAnsi="Arial"/>
      <w:b/>
      <w:smallCaps/>
      <w:color w:val="0000FF"/>
      <w:kern w:val="28"/>
      <w:sz w:val="32"/>
      <w:szCs w:val="20"/>
    </w:rPr>
  </w:style>
  <w:style w:type="character" w:customStyle="1" w:styleId="Text1Char">
    <w:name w:val="Text 1 Char"/>
    <w:rPr>
      <w:rFonts w:cs="Times New Roman"/>
      <w:sz w:val="22"/>
      <w:lang w:val="da-DK" w:eastAsia="en-US" w:bidi="ar-SA"/>
    </w:rPr>
  </w:style>
  <w:style w:type="paragraph" w:styleId="BodyTextIndent">
    <w:name w:val="Body Text Indent"/>
    <w:basedOn w:val="Normal"/>
    <w:link w:val="BodyTextIndentChar"/>
    <w:pPr>
      <w:numPr>
        <w:numId w:val="10"/>
      </w:numPr>
      <w:spacing w:before="60"/>
    </w:pPr>
    <w:rPr>
      <w:rFonts w:eastAsia="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en-GB"/>
    </w:rPr>
  </w:style>
  <w:style w:type="paragraph" w:styleId="BlockText">
    <w:name w:val="Block Text"/>
    <w:basedOn w:val="Normal"/>
    <w:pPr>
      <w:widowControl w:val="0"/>
      <w:autoSpaceDE w:val="0"/>
      <w:autoSpaceDN w:val="0"/>
      <w:adjustRightInd w:val="0"/>
      <w:spacing w:before="0" w:after="0" w:line="244" w:lineRule="exact"/>
      <w:ind w:left="720" w:right="221"/>
    </w:pPr>
    <w:rPr>
      <w:rFonts w:ascii="Courier New" w:eastAsia="Times New Roman" w:hAnsi="Courier New" w:cs="Courier New"/>
      <w:sz w:val="22"/>
      <w:lang w:eastAsia="ko-KR"/>
    </w:rPr>
  </w:style>
  <w:style w:type="paragraph" w:styleId="BodyTextIndent3">
    <w:name w:val="Body Text Indent 3"/>
    <w:basedOn w:val="Normal"/>
    <w:link w:val="BodyTextIndent3Char"/>
    <w:pPr>
      <w:spacing w:before="60"/>
      <w:ind w:left="720"/>
    </w:pPr>
    <w:rPr>
      <w:rFonts w:eastAsia="Times New Roman"/>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da-DK"/>
    </w:rPr>
  </w:style>
  <w:style w:type="paragraph" w:customStyle="1" w:styleId="Heading0">
    <w:name w:val="Heading 0"/>
    <w:basedOn w:val="Normal"/>
    <w:pPr>
      <w:pageBreakBefore/>
      <w:spacing w:before="240" w:after="240"/>
      <w:ind w:left="142" w:right="284"/>
      <w:jc w:val="center"/>
    </w:pPr>
    <w:rPr>
      <w:rFonts w:eastAsia="Times New Roman"/>
      <w:b/>
      <w:caps/>
      <w:sz w:val="28"/>
      <w:szCs w:val="20"/>
    </w:rPr>
  </w:style>
  <w:style w:type="paragraph" w:styleId="BodyText2">
    <w:name w:val="Body Text 2"/>
    <w:basedOn w:val="Normal"/>
    <w:link w:val="BodyText2Char"/>
    <w:pPr>
      <w:autoSpaceDE w:val="0"/>
      <w:autoSpaceDN w:val="0"/>
      <w:adjustRightInd w:val="0"/>
      <w:spacing w:after="0"/>
      <w:jc w:val="left"/>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da-DK"/>
    </w:rPr>
  </w:style>
  <w:style w:type="paragraph" w:styleId="TableofFigures">
    <w:name w:val="table of figures"/>
    <w:basedOn w:val="Normal"/>
    <w:next w:val="Normal"/>
    <w:uiPriority w:val="99"/>
    <w:pPr>
      <w:spacing w:after="0"/>
      <w:jc w:val="left"/>
    </w:pPr>
    <w:rPr>
      <w:rFonts w:eastAsia="Times New Roman"/>
      <w:szCs w:val="20"/>
    </w:rPr>
  </w:style>
  <w:style w:type="paragraph" w:styleId="BodyText3">
    <w:name w:val="Body Text 3"/>
    <w:basedOn w:val="Normal"/>
    <w:link w:val="BodyText3Char"/>
    <w:pPr>
      <w:spacing w:after="0"/>
      <w:jc w:val="left"/>
    </w:pPr>
    <w:rPr>
      <w:rFonts w:eastAsia="Times New Roman"/>
      <w:sz w:val="16"/>
      <w:szCs w:val="16"/>
    </w:rPr>
  </w:style>
  <w:style w:type="character" w:customStyle="1" w:styleId="BodyText3Char">
    <w:name w:val="Body Text 3 Char"/>
    <w:basedOn w:val="DefaultParagraphFont"/>
    <w:link w:val="BodyText3"/>
    <w:rPr>
      <w:rFonts w:ascii="Times New Roman" w:eastAsia="Times New Roman" w:hAnsi="Times New Roman" w:cs="Times New Roman"/>
      <w:sz w:val="16"/>
      <w:szCs w:val="16"/>
      <w:lang w:val="da-DK"/>
    </w:rPr>
  </w:style>
  <w:style w:type="paragraph" w:customStyle="1" w:styleId="List2bullet">
    <w:name w:val="List_2_bullet"/>
    <w:basedOn w:val="Normal"/>
    <w:pPr>
      <w:numPr>
        <w:numId w:val="13"/>
      </w:numPr>
      <w:jc w:val="left"/>
    </w:pPr>
    <w:rPr>
      <w:rFonts w:eastAsia="Times New Roman"/>
      <w:szCs w:val="24"/>
    </w:rPr>
  </w:style>
  <w:style w:type="paragraph" w:customStyle="1" w:styleId="StyleTableofFigures20ptAllcaps">
    <w:name w:val="Style Table of Figures + 20 pt All caps"/>
    <w:basedOn w:val="TableofFigures"/>
    <w:autoRedefine/>
    <w:rPr>
      <w:caps/>
      <w:sz w:val="32"/>
    </w:rPr>
  </w:style>
  <w:style w:type="paragraph" w:styleId="DocumentMap">
    <w:name w:val="Document Map"/>
    <w:basedOn w:val="Normal"/>
    <w:link w:val="DocumentMapChar"/>
    <w:pPr>
      <w:shd w:val="clear" w:color="auto" w:fill="000080"/>
      <w:spacing w:after="0"/>
      <w:jc w:val="left"/>
    </w:pPr>
    <w:rPr>
      <w:rFonts w:eastAsia="Times New Roman"/>
      <w:sz w:val="2"/>
      <w:szCs w:val="20"/>
    </w:rPr>
  </w:style>
  <w:style w:type="character" w:customStyle="1" w:styleId="DocumentMapChar">
    <w:name w:val="Document Map Char"/>
    <w:basedOn w:val="DefaultParagraphFont"/>
    <w:link w:val="DocumentMap"/>
    <w:rPr>
      <w:rFonts w:ascii="Times New Roman" w:eastAsia="Times New Roman" w:hAnsi="Times New Roman" w:cs="Times New Roman"/>
      <w:sz w:val="2"/>
      <w:szCs w:val="20"/>
      <w:shd w:val="clear" w:color="auto" w:fill="000080"/>
      <w:lang w:val="da-DK"/>
    </w:rPr>
  </w:style>
  <w:style w:type="character" w:styleId="Emphasis">
    <w:name w:val="Emphasis"/>
    <w:uiPriority w:val="20"/>
    <w:qFormat/>
    <w:rPr>
      <w:rFonts w:cs="Times New Roman"/>
      <w:i/>
      <w:iCs/>
    </w:rPr>
  </w:style>
  <w:style w:type="paragraph" w:customStyle="1" w:styleId="ZCom">
    <w:name w:val="Z_Com"/>
    <w:basedOn w:val="Normal"/>
    <w:next w:val="ZDGName"/>
    <w:pPr>
      <w:spacing w:before="0" w:after="0"/>
      <w:ind w:right="85"/>
    </w:pPr>
    <w:rPr>
      <w:rFonts w:ascii="Arial" w:eastAsia="Times New Roman" w:hAnsi="Arial"/>
      <w:sz w:val="22"/>
      <w:szCs w:val="20"/>
    </w:rPr>
  </w:style>
  <w:style w:type="paragraph" w:customStyle="1" w:styleId="ZDGName">
    <w:name w:val="Z_DGName"/>
    <w:basedOn w:val="Normal"/>
    <w:pPr>
      <w:spacing w:before="0" w:after="0"/>
      <w:ind w:right="85"/>
    </w:pPr>
    <w:rPr>
      <w:rFonts w:ascii="Arial" w:eastAsia="Times New Roman" w:hAnsi="Arial"/>
      <w:sz w:val="16"/>
      <w:szCs w:val="20"/>
    </w:rPr>
  </w:style>
  <w:style w:type="character" w:styleId="PageNumber">
    <w:name w:val="page number"/>
    <w:rPr>
      <w:rFonts w:cs="Times New Roman"/>
    </w:r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imes New Roman"/>
      <w:szCs w:val="20"/>
    </w:rPr>
  </w:style>
  <w:style w:type="character" w:customStyle="1" w:styleId="FooterCoverPageChar">
    <w:name w:val="Footer Cover Page Char"/>
    <w:basedOn w:val="BodyTextChar"/>
    <w:link w:val="FooterCoverPage"/>
    <w:rPr>
      <w:rFonts w:ascii="Times New Roman" w:eastAsia="Times New Roman" w:hAnsi="Times New Roman" w:cs="Times New Roman"/>
      <w:sz w:val="24"/>
      <w:szCs w:val="20"/>
      <w:lang w:val="da-DK"/>
    </w:rPr>
  </w:style>
  <w:style w:type="paragraph" w:customStyle="1" w:styleId="HeaderCoverPage">
    <w:name w:val="Header Cover Page"/>
    <w:basedOn w:val="Normal"/>
    <w:link w:val="HeaderCoverPageChar"/>
    <w:pPr>
      <w:tabs>
        <w:tab w:val="center" w:pos="4535"/>
        <w:tab w:val="right" w:pos="9071"/>
      </w:tabs>
      <w:spacing w:before="0"/>
    </w:pPr>
    <w:rPr>
      <w:rFonts w:eastAsia="Times New Roman"/>
      <w:szCs w:val="20"/>
    </w:rPr>
  </w:style>
  <w:style w:type="character" w:customStyle="1" w:styleId="HeaderCoverPageChar">
    <w:name w:val="Header Cover Page Char"/>
    <w:basedOn w:val="BodyTextChar"/>
    <w:link w:val="HeaderCoverPage"/>
    <w:rPr>
      <w:rFonts w:ascii="Times New Roman" w:eastAsia="Times New Roman" w:hAnsi="Times New Roman" w:cs="Times New Roman"/>
      <w:sz w:val="24"/>
      <w:szCs w:val="20"/>
      <w:lang w:val="da-DK"/>
    </w:rPr>
  </w:style>
  <w:style w:type="paragraph" w:customStyle="1" w:styleId="HeadingTOC">
    <w:name w:val="Heading TOC"/>
    <w:basedOn w:val="Base"/>
    <w:rPr>
      <w:b/>
      <w:sz w:val="40"/>
      <w:lang w:eastAsia="ko-KR"/>
    </w:rPr>
  </w:style>
  <w:style w:type="paragraph" w:customStyle="1" w:styleId="App1">
    <w:name w:val="App1"/>
    <w:basedOn w:val="Base"/>
    <w:next w:val="App2"/>
    <w:pPr>
      <w:pageBreakBefore/>
      <w:spacing w:before="120" w:after="240"/>
    </w:pPr>
    <w:rPr>
      <w:b/>
      <w:caps/>
      <w:sz w:val="32"/>
      <w:lang w:eastAsia="ko-KR"/>
    </w:rPr>
  </w:style>
  <w:style w:type="paragraph" w:customStyle="1" w:styleId="App2">
    <w:name w:val="App2"/>
    <w:basedOn w:val="App1"/>
    <w:pPr>
      <w:pageBreakBefore w:val="0"/>
      <w:spacing w:after="120"/>
    </w:pPr>
    <w:rPr>
      <w:caps w:val="0"/>
      <w:smallCaps/>
      <w:sz w:val="28"/>
    </w:rPr>
  </w:style>
  <w:style w:type="paragraph" w:customStyle="1" w:styleId="App3">
    <w:name w:val="App3"/>
    <w:basedOn w:val="App2"/>
    <w:rPr>
      <w:sz w:val="24"/>
    </w:rPr>
  </w:style>
  <w:style w:type="paragraph" w:customStyle="1" w:styleId="App4">
    <w:name w:val="App4"/>
    <w:basedOn w:val="App3"/>
    <w:rPr>
      <w:b w:val="0"/>
      <w:sz w:val="22"/>
    </w:rPr>
  </w:style>
  <w:style w:type="paragraph" w:customStyle="1" w:styleId="ListNumber1">
    <w:name w:val="List Number 1"/>
    <w:basedOn w:val="Normal"/>
    <w:pPr>
      <w:tabs>
        <w:tab w:val="num" w:pos="1191"/>
      </w:tabs>
      <w:spacing w:before="0" w:after="240"/>
      <w:ind w:left="1191" w:hanging="709"/>
    </w:pPr>
    <w:rPr>
      <w:rFonts w:eastAsia="Times New Roman"/>
      <w:sz w:val="22"/>
      <w:szCs w:val="20"/>
    </w:rPr>
  </w:style>
  <w:style w:type="paragraph" w:customStyle="1" w:styleId="ListNumber1Level2">
    <w:name w:val="List Number 1 (Level 2)"/>
    <w:basedOn w:val="Normal"/>
    <w:pPr>
      <w:tabs>
        <w:tab w:val="num" w:pos="1899"/>
      </w:tabs>
      <w:spacing w:before="0" w:after="240"/>
      <w:ind w:left="1899" w:hanging="708"/>
    </w:pPr>
    <w:rPr>
      <w:rFonts w:eastAsia="Times New Roman"/>
      <w:sz w:val="22"/>
      <w:szCs w:val="20"/>
    </w:rPr>
  </w:style>
  <w:style w:type="paragraph" w:customStyle="1" w:styleId="ListNumber1Level3">
    <w:name w:val="List Number 1 (Level 3)"/>
    <w:basedOn w:val="Normal"/>
    <w:pPr>
      <w:tabs>
        <w:tab w:val="num" w:pos="2608"/>
      </w:tabs>
      <w:spacing w:before="0" w:after="240"/>
      <w:ind w:left="2608" w:hanging="709"/>
    </w:pPr>
    <w:rPr>
      <w:rFonts w:eastAsia="Times New Roman"/>
      <w:sz w:val="22"/>
      <w:szCs w:val="20"/>
    </w:rPr>
  </w:style>
  <w:style w:type="paragraph" w:customStyle="1" w:styleId="ListNumber1Level4">
    <w:name w:val="List Number 1 (Level 4)"/>
    <w:basedOn w:val="Normal"/>
    <w:pPr>
      <w:tabs>
        <w:tab w:val="num" w:pos="3317"/>
      </w:tabs>
      <w:spacing w:before="0" w:after="240"/>
      <w:ind w:left="3317" w:hanging="709"/>
    </w:pPr>
    <w:rPr>
      <w:rFonts w:eastAsia="Times New Roman"/>
      <w:sz w:val="22"/>
      <w:szCs w:val="20"/>
    </w:rPr>
  </w:style>
  <w:style w:type="paragraph" w:customStyle="1" w:styleId="Participants">
    <w:name w:val="Participants"/>
    <w:basedOn w:val="Normal"/>
    <w:next w:val="Normal"/>
    <w:pPr>
      <w:tabs>
        <w:tab w:val="left" w:pos="2552"/>
        <w:tab w:val="left" w:pos="2835"/>
        <w:tab w:val="left" w:pos="5670"/>
        <w:tab w:val="left" w:pos="6379"/>
        <w:tab w:val="left" w:pos="6804"/>
      </w:tabs>
      <w:spacing w:before="480" w:after="60"/>
      <w:ind w:left="1985" w:hanging="1985"/>
      <w:jc w:val="left"/>
    </w:pPr>
    <w:rPr>
      <w:rFonts w:eastAsia="Times New Roman"/>
      <w:sz w:val="22"/>
      <w:szCs w:val="20"/>
    </w:rPr>
  </w:style>
  <w:style w:type="paragraph" w:customStyle="1" w:styleId="Keypointbold">
    <w:name w:val="Key point bold"/>
    <w:basedOn w:val="Normal"/>
    <w:pPr>
      <w:pBdr>
        <w:top w:val="single" w:sz="4" w:space="1" w:color="FF0000" w:shadow="1"/>
        <w:left w:val="single" w:sz="4" w:space="4" w:color="FF0000" w:shadow="1"/>
        <w:bottom w:val="single" w:sz="4" w:space="1" w:color="FF0000" w:shadow="1"/>
        <w:right w:val="single" w:sz="4" w:space="4" w:color="FF0000" w:shadow="1"/>
      </w:pBdr>
      <w:spacing w:before="0" w:after="60"/>
    </w:pPr>
    <w:rPr>
      <w:rFonts w:ascii="Arial Narrow" w:eastAsia="Times New Roman" w:hAnsi="Arial Narrow"/>
      <w:b/>
      <w:i/>
      <w:sz w:val="22"/>
      <w:szCs w:val="20"/>
      <w:lang w:eastAsia="ko-KR"/>
    </w:rPr>
  </w:style>
  <w:style w:type="paragraph" w:styleId="PlainText">
    <w:name w:val="Plain Text"/>
    <w:basedOn w:val="Normal"/>
    <w:link w:val="PlainTextChar"/>
    <w:pPr>
      <w:spacing w:before="0" w:after="60"/>
      <w:jc w:val="left"/>
    </w:pPr>
    <w:rPr>
      <w:rFonts w:ascii="Courier New" w:eastAsia="Times New Roman" w:hAnsi="Courier New"/>
      <w:sz w:val="20"/>
      <w:szCs w:val="20"/>
      <w:lang w:eastAsia="ko-KR"/>
    </w:rPr>
  </w:style>
  <w:style w:type="character" w:customStyle="1" w:styleId="PlainTextChar">
    <w:name w:val="Plain Text Char"/>
    <w:basedOn w:val="DefaultParagraphFont"/>
    <w:link w:val="PlainText"/>
    <w:rPr>
      <w:rFonts w:ascii="Courier New" w:eastAsia="Times New Roman" w:hAnsi="Courier New" w:cs="Times New Roman"/>
      <w:sz w:val="20"/>
      <w:szCs w:val="20"/>
      <w:lang w:val="da-DK" w:eastAsia="ko-KR"/>
    </w:rPr>
  </w:style>
  <w:style w:type="paragraph" w:customStyle="1" w:styleId="DefinitionList">
    <w:name w:val="Definition List"/>
    <w:basedOn w:val="Normal"/>
    <w:next w:val="Normal"/>
    <w:pPr>
      <w:spacing w:before="0" w:after="60"/>
      <w:ind w:left="360"/>
      <w:jc w:val="left"/>
    </w:pPr>
    <w:rPr>
      <w:rFonts w:eastAsia="Times New Roman"/>
      <w:snapToGrid w:val="0"/>
      <w:sz w:val="22"/>
      <w:szCs w:val="20"/>
    </w:rPr>
  </w:style>
  <w:style w:type="paragraph" w:customStyle="1" w:styleId="Figure">
    <w:name w:val="Figure"/>
    <w:basedOn w:val="Normal"/>
    <w:pPr>
      <w:widowControl w:val="0"/>
      <w:overflowPunct w:val="0"/>
      <w:autoSpaceDE w:val="0"/>
      <w:autoSpaceDN w:val="0"/>
      <w:adjustRightInd w:val="0"/>
      <w:spacing w:before="60"/>
      <w:jc w:val="center"/>
      <w:textAlignment w:val="baseline"/>
    </w:pPr>
    <w:rPr>
      <w:rFonts w:eastAsia="Times New Roman"/>
      <w:sz w:val="22"/>
      <w:szCs w:val="20"/>
    </w:rPr>
  </w:style>
  <w:style w:type="paragraph" w:customStyle="1" w:styleId="COVERTITLE">
    <w:name w:val="COVER TITLE"/>
    <w:basedOn w:val="Normal"/>
    <w:pPr>
      <w:tabs>
        <w:tab w:val="left" w:pos="1134"/>
        <w:tab w:val="left" w:pos="1701"/>
        <w:tab w:val="left" w:pos="2268"/>
      </w:tabs>
      <w:overflowPunct w:val="0"/>
      <w:autoSpaceDE w:val="0"/>
      <w:autoSpaceDN w:val="0"/>
      <w:adjustRightInd w:val="0"/>
      <w:spacing w:before="240" w:after="60"/>
      <w:ind w:left="567"/>
      <w:jc w:val="center"/>
      <w:textAlignment w:val="baseline"/>
    </w:pPr>
    <w:rPr>
      <w:rFonts w:eastAsia="Times New Roman"/>
      <w:b/>
      <w:smallCaps/>
      <w:sz w:val="32"/>
      <w:szCs w:val="20"/>
    </w:rPr>
  </w:style>
  <w:style w:type="paragraph" w:customStyle="1" w:styleId="Heading1Heading1CFMUPara1h1OS114pt">
    <w:name w:val="Heading 1Heading 1 CFMUPara 1h1OS1 + 14 pt"/>
    <w:basedOn w:val="Heading1"/>
    <w:pPr>
      <w:keepNext w:val="0"/>
      <w:keepLines/>
      <w:pageBreakBefore/>
      <w:numPr>
        <w:numId w:val="0"/>
      </w:numPr>
      <w:tabs>
        <w:tab w:val="num" w:pos="432"/>
      </w:tabs>
      <w:spacing w:before="120" w:after="240"/>
      <w:ind w:left="431" w:hanging="431"/>
      <w:jc w:val="left"/>
    </w:pPr>
    <w:rPr>
      <w:rFonts w:eastAsia="Times New Roman"/>
      <w:caps/>
      <w:smallCaps w:val="0"/>
      <w:sz w:val="28"/>
      <w:lang w:eastAsia="ko-KR"/>
    </w:rPr>
  </w:style>
  <w:style w:type="paragraph" w:customStyle="1" w:styleId="bullet10">
    <w:name w:val="bullet1"/>
    <w:basedOn w:val="Normal"/>
    <w:pPr>
      <w:tabs>
        <w:tab w:val="num" w:pos="1080"/>
      </w:tabs>
      <w:spacing w:before="60" w:after="60"/>
      <w:ind w:left="1080" w:hanging="360"/>
      <w:jc w:val="left"/>
    </w:pPr>
    <w:rPr>
      <w:rFonts w:eastAsia="Times New Roman"/>
      <w:sz w:val="22"/>
      <w:szCs w:val="20"/>
      <w:lang w:eastAsia="ko-KR"/>
    </w:rPr>
  </w:style>
  <w:style w:type="character" w:customStyle="1" w:styleId="normal1">
    <w:name w:val="normal1"/>
    <w:rPr>
      <w:rFonts w:ascii="Verdana" w:hAnsi="Verdana" w:hint="default"/>
      <w:b w:val="0"/>
      <w:bCs w:val="0"/>
      <w:sz w:val="17"/>
      <w:szCs w:val="17"/>
    </w:rPr>
  </w:style>
  <w:style w:type="paragraph" w:customStyle="1" w:styleId="Style1">
    <w:name w:val="Style1"/>
    <w:basedOn w:val="TOC1"/>
    <w:pPr>
      <w:tabs>
        <w:tab w:val="clear" w:pos="9071"/>
        <w:tab w:val="left" w:pos="960"/>
        <w:tab w:val="right" w:leader="dot" w:pos="9526"/>
      </w:tabs>
      <w:ind w:left="567" w:hanging="567"/>
    </w:pPr>
    <w:rPr>
      <w:rFonts w:eastAsia="Times New Roman"/>
      <w:b/>
      <w:smallCaps/>
      <w:noProof/>
      <w:sz w:val="28"/>
      <w:szCs w:val="28"/>
      <w:lang w:eastAsia="ko-KR"/>
    </w:rPr>
  </w:style>
  <w:style w:type="paragraph" w:customStyle="1" w:styleId="NormalItemLast">
    <w:name w:val="Normal Item Last"/>
    <w:basedOn w:val="NormalItem"/>
    <w:next w:val="Normal"/>
    <w:pPr>
      <w:keepNext/>
      <w:keepLines/>
      <w:tabs>
        <w:tab w:val="num" w:pos="360"/>
      </w:tabs>
      <w:spacing w:before="0" w:after="120"/>
      <w:ind w:left="360" w:hanging="360"/>
      <w:jc w:val="both"/>
    </w:pPr>
    <w:rPr>
      <w:szCs w:val="24"/>
    </w:rPr>
  </w:style>
  <w:style w:type="paragraph" w:customStyle="1" w:styleId="NormalTitle">
    <w:name w:val="Normal Title"/>
    <w:basedOn w:val="Normal"/>
    <w:pPr>
      <w:spacing w:before="240" w:after="60"/>
      <w:ind w:left="2269" w:hanging="1702"/>
    </w:pPr>
    <w:rPr>
      <w:rFonts w:eastAsia="Times New Roman"/>
      <w:b/>
      <w:bCs/>
      <w:sz w:val="28"/>
      <w:szCs w:val="28"/>
    </w:rPr>
  </w:style>
  <w:style w:type="paragraph" w:customStyle="1" w:styleId="NormalCR">
    <w:name w:val="NormalCR"/>
    <w:basedOn w:val="Normal"/>
    <w:pPr>
      <w:spacing w:before="0" w:after="60"/>
      <w:jc w:val="left"/>
    </w:pPr>
    <w:rPr>
      <w:rFonts w:eastAsia="Times New Roman"/>
      <w:sz w:val="22"/>
    </w:rPr>
  </w:style>
  <w:style w:type="paragraph" w:customStyle="1" w:styleId="TableL01">
    <w:name w:val="Table L0.1"/>
    <w:basedOn w:val="Normal"/>
    <w:pPr>
      <w:spacing w:before="0" w:after="60"/>
      <w:ind w:left="113"/>
      <w:jc w:val="left"/>
    </w:pPr>
    <w:rPr>
      <w:rFonts w:eastAsia="Times New Roman"/>
      <w:iCs/>
      <w:sz w:val="22"/>
      <w:szCs w:val="18"/>
    </w:rPr>
  </w:style>
  <w:style w:type="paragraph" w:customStyle="1" w:styleId="TextTableCent">
    <w:name w:val="Text Table Cent"/>
    <w:basedOn w:val="Normal"/>
    <w:pPr>
      <w:keepNext/>
      <w:keepLines/>
      <w:spacing w:before="40" w:after="40" w:line="240" w:lineRule="exact"/>
      <w:jc w:val="center"/>
    </w:pPr>
    <w:rPr>
      <w:rFonts w:ascii="Arial" w:eastAsia="Times New Roman" w:hAnsi="Arial" w:cs="Arial"/>
      <w:sz w:val="18"/>
      <w:szCs w:val="18"/>
    </w:rPr>
  </w:style>
  <w:style w:type="paragraph" w:customStyle="1" w:styleId="TableCell0">
    <w:name w:val="Table Cell"/>
    <w:basedOn w:val="Normal"/>
    <w:pPr>
      <w:widowControl w:val="0"/>
      <w:spacing w:before="0" w:after="60"/>
    </w:pPr>
    <w:rPr>
      <w:rFonts w:eastAsia="Times New Roman"/>
      <w:sz w:val="22"/>
      <w:szCs w:val="20"/>
    </w:rPr>
  </w:style>
  <w:style w:type="paragraph" w:customStyle="1" w:styleId="Requirement">
    <w:name w:val="Requirement"/>
    <w:basedOn w:val="Normal"/>
    <w:pPr>
      <w:widowControl w:val="0"/>
      <w:tabs>
        <w:tab w:val="left" w:pos="840"/>
      </w:tabs>
      <w:spacing w:before="240" w:after="60"/>
      <w:ind w:right="80"/>
    </w:pPr>
    <w:rPr>
      <w:rFonts w:eastAsia="Times New Roman"/>
      <w:sz w:val="20"/>
      <w:szCs w:val="20"/>
    </w:rPr>
  </w:style>
  <w:style w:type="paragraph" w:customStyle="1" w:styleId="DGXXI">
    <w:name w:val="DGXXI"/>
    <w:basedOn w:val="Normal"/>
    <w:pPr>
      <w:widowControl w:val="0"/>
      <w:pBdr>
        <w:top w:val="double" w:sz="6" w:space="3" w:color="auto"/>
        <w:left w:val="double" w:sz="6" w:space="3" w:color="auto"/>
        <w:bottom w:val="double" w:sz="6" w:space="3" w:color="auto"/>
        <w:right w:val="double" w:sz="6" w:space="3" w:color="auto"/>
      </w:pBdr>
      <w:tabs>
        <w:tab w:val="left" w:pos="1134"/>
        <w:tab w:val="left" w:pos="1701"/>
        <w:tab w:val="left" w:pos="2268"/>
      </w:tabs>
      <w:spacing w:before="60" w:after="60"/>
      <w:ind w:left="1134"/>
    </w:pPr>
    <w:rPr>
      <w:rFonts w:eastAsia="Times New Roman"/>
      <w:color w:val="FF0000"/>
      <w:sz w:val="22"/>
      <w:szCs w:val="20"/>
    </w:rPr>
  </w:style>
  <w:style w:type="paragraph" w:customStyle="1" w:styleId="Tablespace">
    <w:name w:val="Table space"/>
    <w:basedOn w:val="Normal"/>
    <w:next w:val="Normal"/>
    <w:pPr>
      <w:keepLines/>
      <w:spacing w:before="0" w:after="60"/>
      <w:jc w:val="center"/>
    </w:pPr>
    <w:rPr>
      <w:rFonts w:ascii="Arial Narrow" w:eastAsia="Times New Roman" w:hAnsi="Arial Narrow"/>
      <w:sz w:val="22"/>
      <w:szCs w:val="20"/>
    </w:rPr>
  </w:style>
  <w:style w:type="paragraph" w:customStyle="1" w:styleId="TableHeaderStyleCFMU">
    <w:name w:val="TableHeaderStyle CFMU"/>
    <w:basedOn w:val="Normal"/>
    <w:pPr>
      <w:tabs>
        <w:tab w:val="left" w:pos="567"/>
        <w:tab w:val="left" w:pos="1134"/>
        <w:tab w:val="left" w:pos="1701"/>
        <w:tab w:val="left" w:pos="2268"/>
        <w:tab w:val="left" w:pos="2835"/>
      </w:tabs>
      <w:spacing w:before="240" w:after="240"/>
      <w:jc w:val="center"/>
    </w:pPr>
    <w:rPr>
      <w:rFonts w:ascii="Arial" w:eastAsia="Times New Roman" w:hAnsi="Arial"/>
      <w:b/>
      <w:sz w:val="20"/>
      <w:szCs w:val="20"/>
    </w:rPr>
  </w:style>
  <w:style w:type="paragraph" w:customStyle="1" w:styleId="TableColomnTitle">
    <w:name w:val="Table Colomn Title"/>
    <w:basedOn w:val="TableCell0"/>
    <w:pPr>
      <w:widowControl/>
      <w:spacing w:before="120" w:after="0"/>
    </w:pPr>
    <w:rPr>
      <w:b/>
    </w:rPr>
  </w:style>
  <w:style w:type="paragraph" w:customStyle="1" w:styleId="TableRowTitle">
    <w:name w:val="Table Row Title"/>
    <w:basedOn w:val="Normal"/>
    <w:pPr>
      <w:spacing w:before="60" w:after="60"/>
    </w:pPr>
    <w:rPr>
      <w:rFonts w:eastAsia="Times New Roman"/>
      <w:b/>
      <w:sz w:val="22"/>
      <w:szCs w:val="20"/>
    </w:rPr>
  </w:style>
  <w:style w:type="paragraph" w:customStyle="1" w:styleId="Normalcach">
    <w:name w:val="Normal caché"/>
    <w:basedOn w:val="Normal"/>
    <w:pPr>
      <w:spacing w:before="60" w:after="60"/>
    </w:pPr>
    <w:rPr>
      <w:rFonts w:eastAsia="Times New Roman"/>
      <w:vanish/>
      <w:sz w:val="22"/>
      <w:szCs w:val="20"/>
    </w:rPr>
  </w:style>
  <w:style w:type="paragraph" w:customStyle="1" w:styleId="FRSAbstract">
    <w:name w:val="FRS Abstract"/>
    <w:basedOn w:val="FRSDescription"/>
    <w:next w:val="FRSDescription"/>
    <w:rPr>
      <w:vanish/>
    </w:rPr>
  </w:style>
  <w:style w:type="paragraph" w:customStyle="1" w:styleId="FRSDescription">
    <w:name w:val="FRS Description"/>
    <w:basedOn w:val="Normal"/>
    <w:next w:val="Normal"/>
    <w:pPr>
      <w:spacing w:before="60" w:after="60"/>
      <w:ind w:left="1418" w:hanging="1418"/>
    </w:pPr>
    <w:rPr>
      <w:rFonts w:eastAsia="Times New Roman"/>
      <w:sz w:val="22"/>
      <w:szCs w:val="20"/>
    </w:rPr>
  </w:style>
  <w:style w:type="paragraph" w:customStyle="1" w:styleId="Code">
    <w:name w:val="Code"/>
    <w:basedOn w:val="Normal"/>
    <w:pPr>
      <w:tabs>
        <w:tab w:val="left" w:pos="426"/>
        <w:tab w:val="left" w:pos="851"/>
        <w:tab w:val="left" w:pos="1276"/>
        <w:tab w:val="left" w:pos="1701"/>
        <w:tab w:val="left" w:pos="2127"/>
        <w:tab w:val="left" w:pos="2410"/>
        <w:tab w:val="left" w:pos="2835"/>
      </w:tabs>
      <w:spacing w:before="60" w:after="60"/>
      <w:ind w:left="340"/>
    </w:pPr>
    <w:rPr>
      <w:rFonts w:ascii="Courier New" w:eastAsia="Times New Roman" w:hAnsi="Courier New"/>
      <w:noProof/>
      <w:sz w:val="18"/>
      <w:szCs w:val="20"/>
    </w:rPr>
  </w:style>
  <w:style w:type="paragraph" w:customStyle="1" w:styleId="indent3">
    <w:name w:val="indent 3"/>
    <w:basedOn w:val="indent2"/>
    <w:pPr>
      <w:keepLines w:val="0"/>
      <w:tabs>
        <w:tab w:val="left" w:pos="5954"/>
      </w:tabs>
      <w:spacing w:before="60" w:after="60"/>
      <w:ind w:left="1276" w:hanging="425"/>
      <w:jc w:val="both"/>
    </w:pPr>
    <w:rPr>
      <w:sz w:val="22"/>
    </w:rPr>
  </w:style>
  <w:style w:type="paragraph" w:customStyle="1" w:styleId="FRSReference">
    <w:name w:val="FRS Reference"/>
    <w:basedOn w:val="Normal"/>
    <w:next w:val="FRSAbstract"/>
    <w:pPr>
      <w:tabs>
        <w:tab w:val="left" w:pos="4111"/>
        <w:tab w:val="left" w:pos="6237"/>
      </w:tabs>
      <w:spacing w:before="60" w:after="60"/>
      <w:ind w:left="1418" w:hanging="1418"/>
    </w:pPr>
    <w:rPr>
      <w:rFonts w:eastAsia="Times New Roman"/>
      <w:sz w:val="22"/>
      <w:szCs w:val="20"/>
    </w:rPr>
  </w:style>
  <w:style w:type="paragraph" w:customStyle="1" w:styleId="normalbold14">
    <w:name w:val="normalbold14"/>
    <w:basedOn w:val="Normal"/>
    <w:pPr>
      <w:keepNext/>
      <w:tabs>
        <w:tab w:val="left" w:pos="1134"/>
        <w:tab w:val="left" w:pos="1701"/>
        <w:tab w:val="left" w:pos="2268"/>
      </w:tabs>
      <w:spacing w:before="240" w:after="60"/>
      <w:ind w:left="1134" w:hanging="1134"/>
    </w:pPr>
    <w:rPr>
      <w:rFonts w:eastAsia="Times New Roman"/>
      <w:b/>
      <w:sz w:val="28"/>
      <w:szCs w:val="20"/>
    </w:rPr>
  </w:style>
  <w:style w:type="paragraph" w:customStyle="1" w:styleId="NormalBold">
    <w:name w:val="NormalBold"/>
    <w:basedOn w:val="Normal"/>
    <w:pPr>
      <w:keepNext/>
      <w:tabs>
        <w:tab w:val="left" w:pos="1134"/>
        <w:tab w:val="left" w:pos="1701"/>
        <w:tab w:val="left" w:pos="2268"/>
      </w:tabs>
      <w:spacing w:before="240" w:after="60"/>
      <w:ind w:left="567"/>
    </w:pPr>
    <w:rPr>
      <w:rFonts w:eastAsia="Times New Roman"/>
      <w:b/>
      <w:sz w:val="22"/>
      <w:szCs w:val="20"/>
    </w:rPr>
  </w:style>
  <w:style w:type="paragraph" w:customStyle="1" w:styleId="NormalIndent1">
    <w:name w:val="Normal Indent 1"/>
    <w:basedOn w:val="Normal"/>
    <w:pPr>
      <w:spacing w:before="60" w:after="60"/>
      <w:ind w:left="284"/>
      <w:jc w:val="left"/>
    </w:pPr>
    <w:rPr>
      <w:rFonts w:eastAsia="Times New Roman"/>
      <w:sz w:val="22"/>
      <w:szCs w:val="20"/>
    </w:rPr>
  </w:style>
  <w:style w:type="paragraph" w:customStyle="1" w:styleId="Normalar">
    <w:name w:val="Normal_aéré"/>
    <w:basedOn w:val="Normal"/>
    <w:pPr>
      <w:spacing w:before="60"/>
    </w:pPr>
    <w:rPr>
      <w:rFonts w:eastAsia="Times New Roman"/>
      <w:sz w:val="22"/>
      <w:szCs w:val="20"/>
    </w:rPr>
  </w:style>
  <w:style w:type="paragraph" w:customStyle="1" w:styleId="indent10">
    <w:name w:val="indent1"/>
    <w:basedOn w:val="Normal"/>
    <w:pPr>
      <w:spacing w:before="72" w:after="60"/>
      <w:ind w:left="851" w:right="-2" w:hanging="284"/>
    </w:pPr>
    <w:rPr>
      <w:rFonts w:eastAsia="Times New Roman"/>
      <w:sz w:val="22"/>
      <w:szCs w:val="20"/>
    </w:rPr>
  </w:style>
  <w:style w:type="paragraph" w:customStyle="1" w:styleId="TitTabl1">
    <w:name w:val="Tit Tabl1"/>
    <w:basedOn w:val="Normal"/>
    <w:pPr>
      <w:keepNext/>
      <w:keepLines/>
      <w:spacing w:before="40" w:after="40" w:line="240" w:lineRule="exact"/>
      <w:jc w:val="center"/>
    </w:pPr>
    <w:rPr>
      <w:rFonts w:ascii="Arial" w:eastAsia="Times New Roman" w:hAnsi="Arial"/>
      <w:b/>
      <w:caps/>
      <w:color w:val="000080"/>
      <w:sz w:val="18"/>
      <w:szCs w:val="20"/>
    </w:rPr>
  </w:style>
  <w:style w:type="paragraph" w:customStyle="1" w:styleId="HeadingTemplate">
    <w:name w:val="HeadingTemplate"/>
    <w:basedOn w:val="Normal"/>
    <w:pPr>
      <w:keepNext/>
      <w:keepLines/>
      <w:spacing w:before="60"/>
      <w:jc w:val="left"/>
    </w:pPr>
    <w:rPr>
      <w:rFonts w:ascii="Arial" w:eastAsia="Times New Roman" w:hAnsi="Arial"/>
      <w:b/>
      <w:i/>
      <w:smallCaps/>
      <w:sz w:val="22"/>
      <w:szCs w:val="20"/>
    </w:rPr>
  </w:style>
  <w:style w:type="paragraph" w:customStyle="1" w:styleId="Retrait">
    <w:name w:val="Retrait"/>
    <w:basedOn w:val="Normal"/>
    <w:pPr>
      <w:tabs>
        <w:tab w:val="left" w:pos="1985"/>
      </w:tabs>
      <w:spacing w:before="72" w:after="60"/>
      <w:ind w:left="611" w:right="-2" w:hanging="283"/>
    </w:pPr>
    <w:rPr>
      <w:rFonts w:eastAsia="Times New Roman"/>
      <w:sz w:val="22"/>
      <w:szCs w:val="20"/>
    </w:rPr>
  </w:style>
  <w:style w:type="paragraph" w:customStyle="1" w:styleId="P1">
    <w:name w:val="P1"/>
    <w:basedOn w:val="Normal"/>
    <w:pPr>
      <w:keepLines/>
      <w:spacing w:before="80" w:after="80"/>
    </w:pPr>
    <w:rPr>
      <w:rFonts w:eastAsia="Times New Roman"/>
      <w:sz w:val="22"/>
      <w:szCs w:val="20"/>
    </w:rPr>
  </w:style>
  <w:style w:type="paragraph" w:customStyle="1" w:styleId="indent14">
    <w:name w:val="indent 14"/>
    <w:basedOn w:val="Normal"/>
    <w:pPr>
      <w:spacing w:before="0" w:after="60"/>
      <w:ind w:left="426" w:hanging="426"/>
    </w:pPr>
    <w:rPr>
      <w:rFonts w:eastAsia="Times New Roman"/>
      <w:sz w:val="22"/>
      <w:szCs w:val="20"/>
    </w:rPr>
  </w:style>
  <w:style w:type="paragraph" w:customStyle="1" w:styleId="entte">
    <w:name w:val="en tête"/>
    <w:basedOn w:val="Normal"/>
    <w:pPr>
      <w:tabs>
        <w:tab w:val="left" w:pos="5380"/>
        <w:tab w:val="left" w:pos="6280"/>
      </w:tabs>
      <w:spacing w:before="0" w:after="60"/>
      <w:ind w:right="-582"/>
    </w:pPr>
    <w:rPr>
      <w:rFonts w:ascii="Times" w:eastAsia="Times New Roman" w:hAnsi="Times"/>
      <w:sz w:val="20"/>
      <w:szCs w:val="20"/>
    </w:rPr>
  </w:style>
  <w:style w:type="character" w:customStyle="1" w:styleId="Normalit">
    <w:name w:val="Normal it"/>
  </w:style>
  <w:style w:type="paragraph" w:customStyle="1" w:styleId="case">
    <w:name w:val="case"/>
    <w:basedOn w:val="Normal"/>
    <w:pPr>
      <w:tabs>
        <w:tab w:val="left" w:pos="5120"/>
        <w:tab w:val="right" w:pos="9200"/>
      </w:tabs>
      <w:spacing w:before="0" w:after="60"/>
      <w:ind w:right="55"/>
      <w:jc w:val="center"/>
    </w:pPr>
    <w:rPr>
      <w:rFonts w:ascii="Times" w:eastAsia="Times New Roman" w:hAnsi="Times"/>
      <w:noProof/>
      <w:sz w:val="20"/>
      <w:szCs w:val="20"/>
    </w:rPr>
  </w:style>
  <w:style w:type="paragraph" w:customStyle="1" w:styleId="casetitre">
    <w:name w:val="case titre"/>
    <w:basedOn w:val="Normal"/>
    <w:pPr>
      <w:tabs>
        <w:tab w:val="left" w:pos="5120"/>
        <w:tab w:val="right" w:pos="9200"/>
      </w:tabs>
      <w:spacing w:before="60" w:after="60"/>
      <w:ind w:right="55"/>
      <w:jc w:val="left"/>
    </w:pPr>
    <w:rPr>
      <w:rFonts w:ascii="Times" w:eastAsia="Times New Roman" w:hAnsi="Times"/>
      <w:b/>
      <w:noProof/>
      <w:sz w:val="20"/>
      <w:szCs w:val="20"/>
      <w:u w:val="single"/>
    </w:rPr>
  </w:style>
  <w:style w:type="paragraph" w:customStyle="1" w:styleId="indent15">
    <w:name w:val="indent 15"/>
    <w:basedOn w:val="Normal"/>
    <w:pPr>
      <w:spacing w:before="0" w:after="60"/>
      <w:ind w:left="426" w:hanging="426"/>
    </w:pPr>
    <w:rPr>
      <w:rFonts w:eastAsia="Times New Roman"/>
      <w:sz w:val="22"/>
      <w:szCs w:val="20"/>
    </w:rPr>
  </w:style>
  <w:style w:type="paragraph" w:customStyle="1" w:styleId="ident-1">
    <w:name w:val="ident-1"/>
    <w:basedOn w:val="indent15"/>
    <w:pPr>
      <w:ind w:left="2835" w:hanging="2835"/>
    </w:pPr>
  </w:style>
  <w:style w:type="paragraph" w:customStyle="1" w:styleId="figure1">
    <w:name w:val="figure1"/>
    <w:basedOn w:val="Sous-retrait"/>
    <w:pPr>
      <w:spacing w:after="120"/>
      <w:ind w:left="0" w:hanging="8"/>
      <w:jc w:val="center"/>
    </w:pPr>
    <w:rPr>
      <w:b/>
      <w:sz w:val="28"/>
    </w:rPr>
  </w:style>
  <w:style w:type="paragraph" w:customStyle="1" w:styleId="Sous-retrait">
    <w:name w:val="Sous-retrait"/>
    <w:basedOn w:val="Normal"/>
    <w:pPr>
      <w:tabs>
        <w:tab w:val="left" w:pos="4253"/>
        <w:tab w:val="left" w:pos="5671"/>
      </w:tabs>
      <w:spacing w:before="72" w:after="60"/>
      <w:ind w:left="840" w:hanging="227"/>
    </w:pPr>
    <w:rPr>
      <w:rFonts w:eastAsia="Times New Roman"/>
      <w:sz w:val="22"/>
      <w:szCs w:val="20"/>
    </w:rPr>
  </w:style>
  <w:style w:type="paragraph" w:customStyle="1" w:styleId="indent26">
    <w:name w:val="indent 26"/>
    <w:basedOn w:val="Normal"/>
    <w:pPr>
      <w:tabs>
        <w:tab w:val="left" w:pos="5954"/>
      </w:tabs>
      <w:spacing w:before="0" w:after="60"/>
      <w:ind w:left="851" w:hanging="425"/>
    </w:pPr>
    <w:rPr>
      <w:rFonts w:eastAsia="Times New Roman"/>
      <w:sz w:val="22"/>
      <w:szCs w:val="20"/>
    </w:rPr>
  </w:style>
  <w:style w:type="paragraph" w:customStyle="1" w:styleId="Puce2">
    <w:name w:val="Puce 2"/>
    <w:basedOn w:val="Normal"/>
    <w:pPr>
      <w:tabs>
        <w:tab w:val="num" w:pos="426"/>
        <w:tab w:val="num" w:pos="1134"/>
      </w:tabs>
      <w:spacing w:before="240" w:after="60"/>
      <w:ind w:left="426" w:hanging="567"/>
      <w:jc w:val="left"/>
    </w:pPr>
    <w:rPr>
      <w:rFonts w:ascii="Arial" w:eastAsia="Times New Roman" w:hAnsi="Arial"/>
      <w:sz w:val="22"/>
      <w:szCs w:val="20"/>
    </w:rPr>
  </w:style>
  <w:style w:type="paragraph" w:customStyle="1" w:styleId="ControlPageTable">
    <w:name w:val="ControlPageTable"/>
    <w:basedOn w:val="Normal"/>
    <w:pPr>
      <w:tabs>
        <w:tab w:val="left" w:pos="567"/>
      </w:tabs>
      <w:spacing w:before="0" w:after="60"/>
      <w:jc w:val="left"/>
    </w:pPr>
    <w:rPr>
      <w:rFonts w:ascii="Arial" w:eastAsia="Times New Roman" w:hAnsi="Arial"/>
      <w:sz w:val="22"/>
      <w:szCs w:val="20"/>
    </w:rPr>
  </w:style>
  <w:style w:type="paragraph" w:customStyle="1" w:styleId="titre">
    <w:name w:val="titre"/>
    <w:basedOn w:val="Normal"/>
    <w:pPr>
      <w:spacing w:before="0"/>
      <w:ind w:right="284"/>
    </w:pPr>
    <w:rPr>
      <w:rFonts w:ascii="CG Times (W1)" w:eastAsia="Times New Roman" w:hAnsi="CG Times (W1)"/>
      <w:i/>
      <w:sz w:val="22"/>
      <w:szCs w:val="20"/>
    </w:rPr>
  </w:style>
  <w:style w:type="paragraph" w:customStyle="1" w:styleId="Normalgras">
    <w:name w:val="Normal gras"/>
    <w:basedOn w:val="Normal"/>
    <w:pPr>
      <w:spacing w:before="60" w:after="60"/>
    </w:pPr>
    <w:rPr>
      <w:rFonts w:ascii="CG Times (W1)" w:eastAsia="Times New Roman" w:hAnsi="CG Times (W1)"/>
      <w:b/>
      <w:sz w:val="22"/>
      <w:szCs w:val="20"/>
    </w:rPr>
  </w:style>
  <w:style w:type="paragraph" w:customStyle="1" w:styleId="ListBullet11">
    <w:name w:val="List Bullet 1.1"/>
    <w:basedOn w:val="Normal"/>
    <w:pPr>
      <w:keepLines/>
      <w:tabs>
        <w:tab w:val="num" w:pos="720"/>
      </w:tabs>
      <w:spacing w:before="60" w:after="60"/>
      <w:ind w:left="720" w:hanging="720"/>
    </w:pPr>
    <w:rPr>
      <w:rFonts w:eastAsia="Times New Roman"/>
      <w:sz w:val="22"/>
      <w:szCs w:val="20"/>
    </w:rPr>
  </w:style>
  <w:style w:type="paragraph" w:customStyle="1" w:styleId="Heading4Heading4CFMUPara4h41">
    <w:name w:val="Heading 4.Heading 4 CFMU.Para 4.h41"/>
    <w:basedOn w:val="Normal"/>
    <w:pPr>
      <w:spacing w:before="60" w:after="60"/>
    </w:pPr>
    <w:rPr>
      <w:rFonts w:eastAsia="Times New Roman"/>
      <w:sz w:val="22"/>
      <w:szCs w:val="20"/>
    </w:rPr>
  </w:style>
  <w:style w:type="paragraph" w:customStyle="1" w:styleId="HistoryLine1">
    <w:name w:val="History Line 1"/>
    <w:basedOn w:val="Normal"/>
    <w:next w:val="Normal"/>
    <w:pPr>
      <w:keepNext/>
      <w:keepLines/>
      <w:spacing w:before="60" w:after="60"/>
      <w:jc w:val="left"/>
    </w:pPr>
    <w:rPr>
      <w:rFonts w:ascii="Century Gothic" w:eastAsia="Times New Roman" w:hAnsi="Century Gothic"/>
      <w:b/>
      <w:i/>
      <w:caps/>
      <w:sz w:val="18"/>
      <w:szCs w:val="20"/>
    </w:rPr>
  </w:style>
  <w:style w:type="paragraph" w:customStyle="1" w:styleId="HistoryLine2">
    <w:name w:val="History Line 2"/>
    <w:basedOn w:val="HistoryLine1"/>
    <w:next w:val="Normal"/>
    <w:pPr>
      <w:spacing w:after="20"/>
    </w:pPr>
    <w:rPr>
      <w:b w:val="0"/>
      <w:caps w:val="0"/>
    </w:rPr>
  </w:style>
  <w:style w:type="paragraph" w:customStyle="1" w:styleId="HistoryLinen">
    <w:name w:val="History Line n"/>
    <w:basedOn w:val="HistoryLine2"/>
    <w:pPr>
      <w:spacing w:before="20"/>
    </w:pPr>
  </w:style>
  <w:style w:type="paragraph" w:customStyle="1" w:styleId="TextTableLeft">
    <w:name w:val="Text Table Left"/>
    <w:basedOn w:val="Normal"/>
    <w:pPr>
      <w:keepLines/>
      <w:spacing w:before="40" w:after="40"/>
      <w:jc w:val="left"/>
    </w:pPr>
    <w:rPr>
      <w:rFonts w:ascii="Arial" w:eastAsia="Times New Roman" w:hAnsi="Arial"/>
      <w:sz w:val="18"/>
      <w:szCs w:val="20"/>
    </w:rPr>
  </w:style>
  <w:style w:type="paragraph" w:customStyle="1" w:styleId="xl22">
    <w:name w:val="xl22"/>
    <w:basedOn w:val="Normal"/>
    <w:pPr>
      <w:pBdr>
        <w:left w:val="single" w:sz="4" w:space="0" w:color="000000"/>
      </w:pBdr>
      <w:spacing w:before="100" w:beforeAutospacing="1" w:after="100" w:afterAutospacing="1"/>
      <w:jc w:val="left"/>
    </w:pPr>
    <w:rPr>
      <w:rFonts w:ascii="Arial Unicode MS" w:eastAsia="Arial Unicode MS" w:hAnsi="Arial Unicode MS" w:cs="Arial Unicode MS"/>
      <w:sz w:val="22"/>
      <w:szCs w:val="24"/>
    </w:rPr>
  </w:style>
  <w:style w:type="paragraph" w:customStyle="1" w:styleId="xl23">
    <w:name w:val="xl23"/>
    <w:basedOn w:val="Normal"/>
    <w:pPr>
      <w:spacing w:before="100" w:beforeAutospacing="1" w:after="100" w:afterAutospacing="1"/>
      <w:jc w:val="left"/>
    </w:pPr>
    <w:rPr>
      <w:rFonts w:ascii="Arial Unicode MS" w:eastAsia="Arial Unicode MS" w:hAnsi="Arial Unicode MS" w:cs="Arial Unicode MS"/>
      <w:sz w:val="22"/>
      <w:szCs w:val="24"/>
    </w:rPr>
  </w:style>
  <w:style w:type="paragraph" w:customStyle="1" w:styleId="xl24">
    <w:name w:val="xl24"/>
    <w:basedOn w:val="Normal"/>
    <w:pPr>
      <w:spacing w:before="100" w:beforeAutospacing="1" w:after="100" w:afterAutospacing="1"/>
      <w:jc w:val="left"/>
    </w:pPr>
    <w:rPr>
      <w:rFonts w:ascii="Arial Unicode MS" w:eastAsia="Arial Unicode MS" w:hAnsi="Arial Unicode MS" w:cs="Arial Unicode MS"/>
      <w:sz w:val="22"/>
      <w:szCs w:val="24"/>
    </w:rPr>
  </w:style>
  <w:style w:type="paragraph" w:customStyle="1" w:styleId="xl25">
    <w:name w:val="xl25"/>
    <w:basedOn w:val="Normal"/>
    <w:pPr>
      <w:pBdr>
        <w:left w:val="single" w:sz="4" w:space="0" w:color="000000"/>
      </w:pBdr>
      <w:spacing w:before="100" w:beforeAutospacing="1" w:after="100" w:afterAutospacing="1"/>
      <w:jc w:val="left"/>
    </w:pPr>
    <w:rPr>
      <w:rFonts w:ascii="Arial Unicode MS" w:eastAsia="Arial Unicode MS" w:hAnsi="Arial Unicode MS" w:cs="Arial Unicode MS"/>
      <w:sz w:val="22"/>
      <w:szCs w:val="24"/>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16"/>
      <w:szCs w:val="16"/>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sz w:val="16"/>
      <w:szCs w:val="16"/>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center"/>
      <w:textAlignment w:val="center"/>
    </w:pPr>
    <w:rPr>
      <w:rFonts w:ascii="Arial" w:eastAsia="Arial Unicode MS" w:hAnsi="Arial" w:cs="Arial"/>
      <w:sz w:val="16"/>
      <w:szCs w:val="16"/>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32">
    <w:name w:val="xl32"/>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33">
    <w:name w:val="xl33"/>
    <w:basedOn w:val="Normal"/>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34">
    <w:name w:val="xl34"/>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35">
    <w:name w:val="xl35"/>
    <w:basedOn w:val="Normal"/>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eastAsia="Arial Unicode MS" w:hAnsi="Arial" w:cs="Arial"/>
      <w:sz w:val="16"/>
      <w:szCs w:val="16"/>
    </w:rPr>
  </w:style>
  <w:style w:type="paragraph" w:customStyle="1" w:styleId="xl36">
    <w:name w:val="xl36"/>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37">
    <w:name w:val="xl37"/>
    <w:basedOn w:val="Normal"/>
    <w:pPr>
      <w:pBdr>
        <w:top w:val="single" w:sz="4" w:space="0" w:color="auto"/>
        <w:left w:val="single" w:sz="4" w:space="0" w:color="auto"/>
        <w:right w:val="single" w:sz="4" w:space="0" w:color="auto"/>
      </w:pBdr>
      <w:shd w:val="clear" w:color="auto" w:fill="33CCCC"/>
      <w:spacing w:before="100" w:beforeAutospacing="1" w:after="100" w:afterAutospacing="1"/>
      <w:jc w:val="center"/>
      <w:textAlignment w:val="center"/>
    </w:pPr>
    <w:rPr>
      <w:rFonts w:ascii="Arial" w:eastAsia="Arial Unicode MS" w:hAnsi="Arial" w:cs="Arial"/>
      <w:sz w:val="16"/>
      <w:szCs w:val="16"/>
    </w:rPr>
  </w:style>
  <w:style w:type="paragraph" w:customStyle="1" w:styleId="xl38">
    <w:name w:val="xl38"/>
    <w:basedOn w:val="Normal"/>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39">
    <w:name w:val="xl39"/>
    <w:basedOn w:val="Normal"/>
    <w:pPr>
      <w:pBdr>
        <w:left w:val="single" w:sz="4" w:space="0" w:color="auto"/>
        <w:right w:val="single" w:sz="4" w:space="0" w:color="auto"/>
      </w:pBdr>
      <w:spacing w:before="100" w:beforeAutospacing="1" w:after="100" w:afterAutospacing="1"/>
      <w:jc w:val="left"/>
      <w:textAlignment w:val="center"/>
    </w:pPr>
    <w:rPr>
      <w:rFonts w:ascii="Arial" w:eastAsia="Arial Unicode MS" w:hAnsi="Arial" w:cs="Arial"/>
      <w:sz w:val="16"/>
      <w:szCs w:val="16"/>
    </w:rPr>
  </w:style>
  <w:style w:type="paragraph" w:customStyle="1" w:styleId="xl40">
    <w:name w:val="xl40"/>
    <w:basedOn w:val="Normal"/>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41">
    <w:name w:val="xl41"/>
    <w:basedOn w:val="Normal"/>
    <w:pPr>
      <w:pBdr>
        <w:left w:val="single" w:sz="4" w:space="0" w:color="auto"/>
        <w:right w:val="single" w:sz="4" w:space="0" w:color="auto"/>
      </w:pBdr>
      <w:shd w:val="clear" w:color="auto" w:fill="33CCCC"/>
      <w:spacing w:before="100" w:beforeAutospacing="1" w:after="100" w:afterAutospacing="1"/>
      <w:jc w:val="center"/>
      <w:textAlignment w:val="center"/>
    </w:pPr>
    <w:rPr>
      <w:rFonts w:ascii="Arial" w:eastAsia="Arial Unicode MS" w:hAnsi="Arial" w:cs="Arial"/>
      <w:sz w:val="16"/>
      <w:szCs w:val="16"/>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16"/>
      <w:szCs w:val="16"/>
    </w:rPr>
  </w:style>
  <w:style w:type="paragraph" w:customStyle="1" w:styleId="xl44">
    <w:name w:val="xl44"/>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45">
    <w:name w:val="xl45"/>
    <w:basedOn w:val="Normal"/>
    <w:pPr>
      <w:pBdr>
        <w:left w:val="single" w:sz="4" w:space="0" w:color="auto"/>
        <w:bottom w:val="single" w:sz="4" w:space="0" w:color="auto"/>
        <w:right w:val="single" w:sz="4" w:space="0" w:color="auto"/>
      </w:pBdr>
      <w:shd w:val="clear" w:color="auto" w:fill="33CCCC"/>
      <w:spacing w:before="100" w:beforeAutospacing="1" w:after="100" w:afterAutospacing="1"/>
      <w:jc w:val="center"/>
      <w:textAlignment w:val="center"/>
    </w:pPr>
    <w:rPr>
      <w:rFonts w:ascii="Arial" w:eastAsia="Arial Unicode MS" w:hAnsi="Arial" w:cs="Arial"/>
      <w:sz w:val="16"/>
      <w:szCs w:val="16"/>
    </w:rPr>
  </w:style>
  <w:style w:type="paragraph" w:customStyle="1" w:styleId="xl46">
    <w:name w:val="xl46"/>
    <w:basedOn w:val="Normal"/>
    <w:pPr>
      <w:pBdr>
        <w:top w:val="single" w:sz="4" w:space="0" w:color="auto"/>
        <w:left w:val="single" w:sz="4" w:space="0" w:color="auto"/>
        <w:bottom w:val="single" w:sz="4" w:space="0" w:color="auto"/>
      </w:pBdr>
      <w:shd w:val="clear" w:color="auto" w:fill="E6E6E6"/>
      <w:spacing w:before="100" w:beforeAutospacing="1" w:after="100" w:afterAutospacing="1"/>
      <w:jc w:val="left"/>
      <w:textAlignment w:val="center"/>
    </w:pPr>
    <w:rPr>
      <w:rFonts w:ascii="Arial" w:eastAsia="Arial Unicode MS" w:hAnsi="Arial" w:cs="Arial"/>
      <w:sz w:val="16"/>
      <w:szCs w:val="16"/>
    </w:rPr>
  </w:style>
  <w:style w:type="paragraph" w:customStyle="1" w:styleId="xl47">
    <w:name w:val="xl47"/>
    <w:basedOn w:val="Normal"/>
    <w:pPr>
      <w:pBdr>
        <w:top w:val="single" w:sz="4" w:space="0" w:color="auto"/>
        <w:bottom w:val="single" w:sz="4" w:space="0" w:color="auto"/>
      </w:pBdr>
      <w:shd w:val="clear" w:color="auto" w:fill="E6E6E6"/>
      <w:spacing w:before="100" w:beforeAutospacing="1" w:after="100" w:afterAutospacing="1"/>
      <w:jc w:val="left"/>
      <w:textAlignment w:val="center"/>
    </w:pPr>
    <w:rPr>
      <w:rFonts w:ascii="Arial" w:eastAsia="Arial Unicode MS" w:hAnsi="Arial" w:cs="Arial"/>
      <w:sz w:val="16"/>
      <w:szCs w:val="16"/>
    </w:rPr>
  </w:style>
  <w:style w:type="paragraph" w:customStyle="1" w:styleId="xl48">
    <w:name w:val="xl48"/>
    <w:basedOn w:val="Normal"/>
    <w:pPr>
      <w:pBdr>
        <w:top w:val="single" w:sz="4" w:space="0" w:color="auto"/>
        <w:bottom w:val="single" w:sz="4" w:space="0" w:color="auto"/>
        <w:right w:val="single" w:sz="4" w:space="0" w:color="auto"/>
      </w:pBdr>
      <w:shd w:val="clear" w:color="auto" w:fill="E6E6E6"/>
      <w:spacing w:before="100" w:beforeAutospacing="1" w:after="100" w:afterAutospacing="1"/>
      <w:jc w:val="left"/>
      <w:textAlignment w:val="center"/>
    </w:pPr>
    <w:rPr>
      <w:rFonts w:ascii="Arial" w:eastAsia="Arial Unicode MS" w:hAnsi="Arial" w:cs="Arial"/>
      <w:sz w:val="16"/>
      <w:szCs w:val="16"/>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Arial" w:eastAsia="Arial Unicode MS" w:hAnsi="Arial" w:cs="Arial"/>
      <w:sz w:val="16"/>
      <w:szCs w:val="16"/>
    </w:rPr>
  </w:style>
  <w:style w:type="paragraph" w:customStyle="1" w:styleId="xl50">
    <w:name w:val="xl50"/>
    <w:basedOn w:val="Normal"/>
    <w:pPr>
      <w:pBdr>
        <w:top w:val="single" w:sz="4" w:space="0" w:color="auto"/>
        <w:left w:val="single" w:sz="4" w:space="0" w:color="auto"/>
        <w:right w:val="single" w:sz="4" w:space="0" w:color="auto"/>
      </w:pBdr>
      <w:shd w:val="clear" w:color="auto" w:fill="3DEB3D"/>
      <w:spacing w:before="100" w:beforeAutospacing="1" w:after="100" w:afterAutospacing="1"/>
      <w:jc w:val="center"/>
      <w:textAlignment w:val="center"/>
    </w:pPr>
    <w:rPr>
      <w:rFonts w:ascii="Arial" w:eastAsia="Arial Unicode MS" w:hAnsi="Arial" w:cs="Arial"/>
      <w:sz w:val="16"/>
      <w:szCs w:val="16"/>
    </w:rPr>
  </w:style>
  <w:style w:type="paragraph" w:customStyle="1" w:styleId="xl51">
    <w:name w:val="xl51"/>
    <w:basedOn w:val="Normal"/>
    <w:pPr>
      <w:pBdr>
        <w:left w:val="single" w:sz="4" w:space="0" w:color="auto"/>
        <w:bottom w:val="single" w:sz="4" w:space="0" w:color="auto"/>
        <w:right w:val="single" w:sz="4" w:space="0" w:color="auto"/>
      </w:pBdr>
      <w:shd w:val="clear" w:color="auto" w:fill="3DEB3D"/>
      <w:spacing w:before="100" w:beforeAutospacing="1" w:after="100" w:afterAutospacing="1"/>
      <w:jc w:val="center"/>
      <w:textAlignment w:val="center"/>
    </w:pPr>
    <w:rPr>
      <w:rFonts w:ascii="Arial" w:eastAsia="Arial Unicode MS" w:hAnsi="Arial" w:cs="Arial"/>
      <w:sz w:val="16"/>
      <w:szCs w:val="16"/>
    </w:rPr>
  </w:style>
  <w:style w:type="paragraph" w:customStyle="1" w:styleId="xl52">
    <w:name w:val="xl52"/>
    <w:basedOn w:val="Normal"/>
    <w:pPr>
      <w:pBdr>
        <w:left w:val="single" w:sz="4" w:space="0" w:color="auto"/>
        <w:right w:val="single" w:sz="4" w:space="0" w:color="auto"/>
      </w:pBdr>
      <w:shd w:val="clear" w:color="auto" w:fill="3DEB3D"/>
      <w:spacing w:before="100" w:beforeAutospacing="1" w:after="100" w:afterAutospacing="1"/>
      <w:jc w:val="center"/>
      <w:textAlignment w:val="center"/>
    </w:pPr>
    <w:rPr>
      <w:rFonts w:ascii="Arial" w:eastAsia="Arial Unicode MS" w:hAnsi="Arial" w:cs="Arial"/>
      <w:sz w:val="16"/>
      <w:szCs w:val="16"/>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hd w:val="clear" w:color="auto" w:fill="3DEB3D"/>
      <w:spacing w:before="100" w:beforeAutospacing="1" w:after="100" w:afterAutospacing="1"/>
      <w:jc w:val="center"/>
      <w:textAlignment w:val="center"/>
    </w:pPr>
    <w:rPr>
      <w:rFonts w:ascii="Arial" w:eastAsia="Arial Unicode MS" w:hAnsi="Arial" w:cs="Arial"/>
      <w:sz w:val="16"/>
      <w:szCs w:val="16"/>
    </w:rPr>
  </w:style>
  <w:style w:type="paragraph" w:customStyle="1" w:styleId="xl54">
    <w:name w:val="xl54"/>
    <w:basedOn w:val="Normal"/>
    <w:pPr>
      <w:pBdr>
        <w:top w:val="single" w:sz="4" w:space="0" w:color="auto"/>
        <w:left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sz w:val="16"/>
      <w:szCs w:val="16"/>
    </w:rPr>
  </w:style>
  <w:style w:type="paragraph" w:customStyle="1" w:styleId="xl55">
    <w:name w:val="xl5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6">
    <w:name w:val="xl56"/>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base0">
    <w:name w:val="base"/>
    <w:basedOn w:val="Normal"/>
    <w:pPr>
      <w:spacing w:before="100" w:beforeAutospacing="1" w:after="100" w:afterAutospacing="1"/>
      <w:jc w:val="left"/>
    </w:pPr>
    <w:rPr>
      <w:rFonts w:ascii="Arial Unicode MS" w:eastAsia="Arial Unicode MS" w:hAnsi="Arial Unicode MS" w:cs="Arial Unicode MS"/>
      <w:sz w:val="22"/>
      <w:szCs w:val="24"/>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z w:val="22"/>
      <w:szCs w:val="24"/>
    </w:rPr>
  </w:style>
  <w:style w:type="character" w:styleId="Strong">
    <w:name w:val="Strong"/>
    <w:qFormat/>
    <w:rPr>
      <w:b/>
      <w:bCs/>
    </w:rPr>
  </w:style>
  <w:style w:type="paragraph" w:customStyle="1" w:styleId="Normal10">
    <w:name w:val="Normal1"/>
    <w:basedOn w:val="Normal"/>
    <w:pPr>
      <w:spacing w:before="0" w:after="60"/>
    </w:pPr>
    <w:rPr>
      <w:rFonts w:eastAsia="Times New Roman"/>
      <w:sz w:val="22"/>
      <w:szCs w:val="20"/>
    </w:rPr>
  </w:style>
  <w:style w:type="paragraph" w:styleId="z-TopofForm">
    <w:name w:val="HTML Top of Form"/>
    <w:basedOn w:val="Normal"/>
    <w:next w:val="Normal"/>
    <w:hidden/>
    <w:pPr>
      <w:pBdr>
        <w:bottom w:val="single" w:sz="6" w:space="1" w:color="auto"/>
      </w:pBdr>
      <w:spacing w:before="0" w:after="60"/>
      <w:jc w:val="center"/>
    </w:pPr>
    <w:rPr>
      <w:rFonts w:ascii="Arial" w:eastAsia="Arial Unicode MS" w:hAnsi="Arial" w:cs="Arial"/>
      <w:vanish/>
      <w:sz w:val="16"/>
      <w:szCs w:val="16"/>
    </w:rPr>
  </w:style>
  <w:style w:type="character" w:customStyle="1" w:styleId="z-TopofFormChar">
    <w:name w:val="z-Top of Form Char"/>
    <w:basedOn w:val="DefaultParagraphFont"/>
    <w:rPr>
      <w:rFonts w:ascii="Arial" w:eastAsia="Arial Unicode MS" w:hAnsi="Arial" w:cs="Arial"/>
      <w:vanish/>
      <w:sz w:val="16"/>
      <w:szCs w:val="16"/>
      <w:lang w:val="da-DK"/>
    </w:rPr>
  </w:style>
  <w:style w:type="paragraph" w:customStyle="1" w:styleId="xl58">
    <w:name w:val="xl58"/>
    <w:basedOn w:val="Normal"/>
    <w:pPr>
      <w:pBdr>
        <w:left w:val="single" w:sz="4" w:space="0" w:color="000000"/>
        <w:right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59">
    <w:name w:val="xl59"/>
    <w:basedOn w:val="Normal"/>
    <w:pP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60">
    <w:name w:val="xl60"/>
    <w:basedOn w:val="Normal"/>
    <w:pPr>
      <w:pBdr>
        <w:left w:val="single" w:sz="4" w:space="0" w:color="000000"/>
        <w:right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61">
    <w:name w:val="xl61"/>
    <w:basedOn w:val="Normal"/>
    <w:pPr>
      <w:pBdr>
        <w:left w:val="single" w:sz="4" w:space="0" w:color="000000"/>
        <w:right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62">
    <w:name w:val="xl62"/>
    <w:basedOn w:val="Normal"/>
    <w:pPr>
      <w:pBdr>
        <w:bottom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63">
    <w:name w:val="xl63"/>
    <w:basedOn w:val="Normal"/>
    <w:pPr>
      <w:pBdr>
        <w:left w:val="single" w:sz="4" w:space="0" w:color="000000"/>
        <w:bottom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64">
    <w:name w:val="xl64"/>
    <w:basedOn w:val="Normal"/>
    <w:pPr>
      <w:pBdr>
        <w:left w:val="single" w:sz="4" w:space="0" w:color="000000"/>
        <w:bottom w:val="single" w:sz="4" w:space="0" w:color="000000"/>
        <w:right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65">
    <w:name w:val="xl65"/>
    <w:basedOn w:val="Normal"/>
    <w:pPr>
      <w:pBdr>
        <w:bottom w:val="single" w:sz="4" w:space="0" w:color="000000"/>
      </w:pBd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66">
    <w:name w:val="xl66"/>
    <w:basedOn w:val="Normal"/>
    <w:pPr>
      <w:pBdr>
        <w:left w:val="single" w:sz="4" w:space="0" w:color="000000"/>
        <w:bottom w:val="single" w:sz="4" w:space="0" w:color="000000"/>
        <w:right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67">
    <w:name w:val="xl67"/>
    <w:basedOn w:val="Normal"/>
    <w:pPr>
      <w:pBdr>
        <w:left w:val="single" w:sz="4" w:space="0" w:color="000000"/>
        <w:bottom w:val="single" w:sz="4" w:space="0" w:color="000000"/>
        <w:right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68">
    <w:name w:val="xl68"/>
    <w:basedOn w:val="Normal"/>
    <w:pPr>
      <w:pBdr>
        <w:top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69">
    <w:name w:val="xl69"/>
    <w:basedOn w:val="Normal"/>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71">
    <w:name w:val="xl71"/>
    <w:basedOn w:val="Normal"/>
    <w:pPr>
      <w:pBdr>
        <w:top w:val="single" w:sz="4" w:space="0" w:color="000000"/>
        <w:bottom w:val="single" w:sz="4" w:space="0" w:color="000000"/>
      </w:pBdr>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73">
    <w:name w:val="xl73"/>
    <w:basedOn w:val="Normal"/>
    <w:pPr>
      <w:pBdr>
        <w:top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74">
    <w:name w:val="xl74"/>
    <w:basedOn w:val="Normal"/>
    <w:pPr>
      <w:pBdr>
        <w:top w:val="single" w:sz="4" w:space="0" w:color="000000"/>
        <w:bottom w:val="single" w:sz="4" w:space="0" w:color="000000"/>
      </w:pBdr>
      <w:shd w:val="clear" w:color="auto" w:fill="33CCCC"/>
      <w:spacing w:before="100" w:beforeAutospacing="1" w:after="100" w:afterAutospacing="1"/>
      <w:jc w:val="center"/>
      <w:textAlignment w:val="center"/>
    </w:pPr>
    <w:rPr>
      <w:rFonts w:ascii="Arial" w:eastAsia="Arial Unicode MS" w:hAnsi="Arial" w:cs="Arial"/>
      <w:sz w:val="18"/>
      <w:szCs w:val="18"/>
    </w:rPr>
  </w:style>
  <w:style w:type="paragraph" w:customStyle="1" w:styleId="xl75">
    <w:name w:val="xl75"/>
    <w:basedOn w:val="Normal"/>
    <w:pPr>
      <w:pBdr>
        <w:top w:val="single" w:sz="4" w:space="0" w:color="000000"/>
        <w:left w:val="single" w:sz="4" w:space="0" w:color="000000"/>
        <w:bottom w:val="single" w:sz="4" w:space="0" w:color="000000"/>
      </w:pBdr>
      <w:shd w:val="clear" w:color="auto" w:fill="33CCCC"/>
      <w:spacing w:before="100" w:beforeAutospacing="1" w:after="100" w:afterAutospacing="1"/>
      <w:jc w:val="center"/>
      <w:textAlignment w:val="center"/>
    </w:pPr>
    <w:rPr>
      <w:rFonts w:ascii="Arial" w:eastAsia="Arial Unicode MS" w:hAnsi="Arial" w:cs="Arial"/>
      <w:sz w:val="18"/>
      <w:szCs w:val="18"/>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auto" w:fill="33CCCC"/>
      <w:spacing w:before="100" w:beforeAutospacing="1" w:after="100" w:afterAutospacing="1"/>
      <w:jc w:val="center"/>
      <w:textAlignment w:val="center"/>
    </w:pPr>
    <w:rPr>
      <w:rFonts w:ascii="Arial" w:eastAsia="Arial Unicode MS" w:hAnsi="Arial" w:cs="Arial"/>
      <w:sz w:val="18"/>
      <w:szCs w:val="18"/>
    </w:rPr>
  </w:style>
  <w:style w:type="paragraph" w:customStyle="1" w:styleId="xl77">
    <w:name w:val="xl77"/>
    <w:basedOn w:val="Normal"/>
    <w:pPr>
      <w:pBdr>
        <w:top w:val="single" w:sz="4" w:space="0" w:color="000000"/>
        <w:bottom w:val="single" w:sz="4" w:space="0" w:color="000000"/>
      </w:pBdr>
      <w:shd w:val="clear" w:color="auto" w:fill="33CCCC"/>
      <w:spacing w:before="100" w:beforeAutospacing="1" w:after="100" w:afterAutospacing="1"/>
      <w:jc w:val="left"/>
      <w:textAlignment w:val="center"/>
    </w:pPr>
    <w:rPr>
      <w:rFonts w:ascii="Arial" w:eastAsia="Arial Unicode MS" w:hAnsi="Arial" w:cs="Arial"/>
      <w:sz w:val="18"/>
      <w:szCs w:val="18"/>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hd w:val="clear" w:color="auto" w:fill="33CCCC"/>
      <w:spacing w:before="100" w:beforeAutospacing="1" w:after="100" w:afterAutospacing="1"/>
      <w:jc w:val="center"/>
      <w:textAlignment w:val="center"/>
    </w:pPr>
    <w:rPr>
      <w:rFonts w:ascii="Arial" w:eastAsia="Arial Unicode MS" w:hAnsi="Arial" w:cs="Arial"/>
      <w:sz w:val="18"/>
      <w:szCs w:val="18"/>
    </w:rPr>
  </w:style>
  <w:style w:type="paragraph" w:customStyle="1" w:styleId="xl79">
    <w:name w:val="xl79"/>
    <w:basedOn w:val="Normal"/>
    <w:pPr>
      <w:pBdr>
        <w:top w:val="single" w:sz="4" w:space="0" w:color="000000"/>
        <w:left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80">
    <w:name w:val="xl80"/>
    <w:basedOn w:val="Normal"/>
    <w:pPr>
      <w:pBdr>
        <w:top w:val="single" w:sz="4" w:space="0" w:color="000000"/>
      </w:pBd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81">
    <w:name w:val="xl81"/>
    <w:basedOn w:val="Normal"/>
    <w:pPr>
      <w:pBdr>
        <w:left w:val="single" w:sz="4" w:space="0" w:color="000000"/>
        <w:right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82">
    <w:name w:val="xl82"/>
    <w:basedOn w:val="Normal"/>
    <w:pPr>
      <w:pBdr>
        <w:top w:val="single" w:sz="4" w:space="0" w:color="000000"/>
        <w:left w:val="single" w:sz="4" w:space="0" w:color="000000"/>
        <w:bottom w:val="single" w:sz="4" w:space="0" w:color="000000"/>
        <w:right w:val="single" w:sz="4" w:space="0" w:color="000000"/>
      </w:pBdr>
      <w:shd w:val="clear" w:color="auto" w:fill="33CCCC"/>
      <w:spacing w:before="100" w:beforeAutospacing="1" w:after="100" w:afterAutospacing="1"/>
      <w:jc w:val="center"/>
      <w:textAlignment w:val="center"/>
    </w:pPr>
    <w:rPr>
      <w:rFonts w:ascii="Arial" w:eastAsia="Arial Unicode MS" w:hAnsi="Arial" w:cs="Arial"/>
      <w:color w:val="333333"/>
      <w:sz w:val="18"/>
      <w:szCs w:val="18"/>
    </w:rPr>
  </w:style>
  <w:style w:type="paragraph" w:customStyle="1" w:styleId="xl83">
    <w:name w:val="xl83"/>
    <w:basedOn w:val="Normal"/>
    <w:pPr>
      <w:pBdr>
        <w:top w:val="single" w:sz="4" w:space="0" w:color="000000"/>
        <w:left w:val="single" w:sz="4" w:space="0" w:color="000000"/>
        <w:bottom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84">
    <w:name w:val="xl84"/>
    <w:basedOn w:val="Normal"/>
    <w:pPr>
      <w:pBdr>
        <w:top w:val="single" w:sz="4" w:space="0" w:color="000000"/>
        <w:bottom w:val="single" w:sz="4" w:space="0" w:color="000000"/>
      </w:pBd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85">
    <w:name w:val="xl85"/>
    <w:basedOn w:val="Normal"/>
    <w:pPr>
      <w:pBdr>
        <w:top w:val="single" w:sz="4" w:space="0" w:color="000000"/>
        <w:bottom w:val="single" w:sz="4" w:space="0" w:color="000000"/>
      </w:pBdr>
      <w:shd w:val="clear" w:color="auto" w:fill="CCCCCC"/>
      <w:spacing w:before="100" w:beforeAutospacing="1" w:after="100" w:afterAutospacing="1"/>
      <w:jc w:val="center"/>
      <w:textAlignment w:val="center"/>
    </w:pPr>
    <w:rPr>
      <w:rFonts w:ascii="Arial" w:eastAsia="Arial Unicode MS" w:hAnsi="Arial" w:cs="Arial"/>
      <w:color w:val="000000"/>
      <w:sz w:val="18"/>
      <w:szCs w:val="18"/>
    </w:rPr>
  </w:style>
  <w:style w:type="paragraph" w:customStyle="1" w:styleId="xl86">
    <w:name w:val="xl86"/>
    <w:basedOn w:val="Normal"/>
    <w:pPr>
      <w:pBdr>
        <w:top w:val="single" w:sz="4" w:space="0" w:color="000000"/>
        <w:left w:val="single" w:sz="4" w:space="0" w:color="000000"/>
        <w:bottom w:val="single" w:sz="4" w:space="0" w:color="000000"/>
      </w:pBdr>
      <w:shd w:val="clear" w:color="auto" w:fill="CCCCCC"/>
      <w:spacing w:before="100" w:beforeAutospacing="1" w:after="100" w:afterAutospacing="1"/>
      <w:jc w:val="center"/>
      <w:textAlignment w:val="center"/>
    </w:pPr>
    <w:rPr>
      <w:rFonts w:ascii="Arial" w:eastAsia="Arial Unicode MS" w:hAnsi="Arial" w:cs="Arial"/>
      <w:color w:val="000000"/>
      <w:sz w:val="18"/>
      <w:szCs w:val="18"/>
    </w:rPr>
  </w:style>
  <w:style w:type="paragraph" w:customStyle="1" w:styleId="xl87">
    <w:name w:val="xl87"/>
    <w:basedOn w:val="Normal"/>
    <w:pPr>
      <w:shd w:val="clear" w:color="auto" w:fill="CCCCCC"/>
      <w:spacing w:before="100" w:beforeAutospacing="1" w:after="100" w:afterAutospacing="1"/>
      <w:jc w:val="center"/>
    </w:pPr>
    <w:rPr>
      <w:rFonts w:ascii="Arial" w:eastAsia="Arial Unicode MS" w:hAnsi="Arial" w:cs="Arial"/>
      <w:color w:val="000000"/>
      <w:sz w:val="18"/>
      <w:szCs w:val="18"/>
    </w:rPr>
  </w:style>
  <w:style w:type="paragraph" w:customStyle="1" w:styleId="xl88">
    <w:name w:val="xl88"/>
    <w:basedOn w:val="Normal"/>
    <w:pPr>
      <w:pBdr>
        <w:top w:val="single" w:sz="4" w:space="0" w:color="000000"/>
        <w:bottom w:val="single" w:sz="4" w:space="0" w:color="000000"/>
      </w:pBdr>
      <w:shd w:val="clear" w:color="auto" w:fill="CCCCCC"/>
      <w:spacing w:before="100" w:beforeAutospacing="1" w:after="100" w:afterAutospacing="1"/>
      <w:jc w:val="left"/>
      <w:textAlignment w:val="center"/>
    </w:pPr>
    <w:rPr>
      <w:rFonts w:ascii="Arial" w:eastAsia="Arial Unicode MS" w:hAnsi="Arial" w:cs="Arial"/>
      <w:color w:val="000000"/>
      <w:sz w:val="18"/>
      <w:szCs w:val="18"/>
    </w:rPr>
  </w:style>
  <w:style w:type="paragraph" w:customStyle="1" w:styleId="xl89">
    <w:name w:val="xl89"/>
    <w:basedOn w:val="Normal"/>
    <w:pPr>
      <w:pBdr>
        <w:top w:val="single" w:sz="4" w:space="0" w:color="000000"/>
        <w:left w:val="single" w:sz="4" w:space="0" w:color="000000"/>
        <w:bottom w:val="single" w:sz="4" w:space="0" w:color="000000"/>
        <w:right w:val="single" w:sz="4" w:space="0" w:color="000000"/>
      </w:pBdr>
      <w:shd w:val="clear" w:color="auto" w:fill="CCCCCC"/>
      <w:spacing w:before="100" w:beforeAutospacing="1" w:after="100" w:afterAutospacing="1"/>
      <w:jc w:val="center"/>
      <w:textAlignment w:val="center"/>
    </w:pPr>
    <w:rPr>
      <w:rFonts w:ascii="Arial" w:eastAsia="Arial Unicode MS" w:hAnsi="Arial" w:cs="Arial"/>
      <w:color w:val="000000"/>
      <w:sz w:val="18"/>
      <w:szCs w:val="18"/>
    </w:rPr>
  </w:style>
  <w:style w:type="paragraph" w:customStyle="1" w:styleId="xl90">
    <w:name w:val="xl90"/>
    <w:basedOn w:val="Normal"/>
    <w:pPr>
      <w:pBdr>
        <w:top w:val="single" w:sz="4" w:space="0" w:color="000000"/>
        <w:left w:val="single" w:sz="4" w:space="0" w:color="000000"/>
        <w:bottom w:val="single" w:sz="4" w:space="0" w:color="000000"/>
        <w:right w:val="single" w:sz="4" w:space="0" w:color="000000"/>
      </w:pBdr>
      <w:shd w:val="clear" w:color="auto" w:fill="CCCCCC"/>
      <w:spacing w:before="100" w:beforeAutospacing="1" w:after="100" w:afterAutospacing="1"/>
      <w:jc w:val="center"/>
      <w:textAlignment w:val="center"/>
    </w:pPr>
    <w:rPr>
      <w:rFonts w:ascii="Arial" w:eastAsia="Arial Unicode MS" w:hAnsi="Arial" w:cs="Arial"/>
      <w:b/>
      <w:bCs/>
      <w:color w:val="FF0000"/>
      <w:sz w:val="18"/>
      <w:szCs w:val="18"/>
    </w:rPr>
  </w:style>
  <w:style w:type="paragraph" w:customStyle="1" w:styleId="xl91">
    <w:name w:val="xl91"/>
    <w:basedOn w:val="Normal"/>
    <w:pPr>
      <w:pBdr>
        <w:top w:val="single" w:sz="4" w:space="0" w:color="000000"/>
        <w:left w:val="single" w:sz="4" w:space="0" w:color="000000"/>
        <w:bottom w:val="single" w:sz="4" w:space="0" w:color="000000"/>
        <w:right w:val="single" w:sz="4" w:space="0" w:color="000000"/>
      </w:pBdr>
      <w:shd w:val="clear" w:color="auto" w:fill="CCCCCC"/>
      <w:spacing w:before="100" w:beforeAutospacing="1" w:after="100" w:afterAutospacing="1"/>
      <w:jc w:val="center"/>
      <w:textAlignment w:val="center"/>
    </w:pPr>
    <w:rPr>
      <w:rFonts w:ascii="Arial" w:eastAsia="Arial Unicode MS" w:hAnsi="Arial" w:cs="Arial"/>
      <w:b/>
      <w:bCs/>
      <w:color w:val="000000"/>
      <w:sz w:val="18"/>
      <w:szCs w:val="18"/>
    </w:rPr>
  </w:style>
  <w:style w:type="paragraph" w:customStyle="1" w:styleId="xl92">
    <w:name w:val="xl92"/>
    <w:basedOn w:val="Normal"/>
    <w:pPr>
      <w:pBdr>
        <w:top w:val="single" w:sz="4" w:space="0" w:color="000000"/>
        <w:bottom w:val="single" w:sz="4" w:space="0" w:color="000000"/>
      </w:pBdr>
      <w:shd w:val="clear" w:color="auto" w:fill="CC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93">
    <w:name w:val="xl93"/>
    <w:basedOn w:val="Normal"/>
    <w:pPr>
      <w:pBdr>
        <w:top w:val="single" w:sz="4" w:space="0" w:color="000000"/>
        <w:left w:val="single" w:sz="4" w:space="0" w:color="000000"/>
        <w:bottom w:val="single" w:sz="4" w:space="0" w:color="000000"/>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94">
    <w:name w:val="xl94"/>
    <w:basedOn w:val="Normal"/>
    <w:pPr>
      <w:pBdr>
        <w:top w:val="single" w:sz="4" w:space="0" w:color="000000"/>
        <w:bottom w:val="single" w:sz="4" w:space="0" w:color="000000"/>
      </w:pBdr>
      <w:shd w:val="clear" w:color="auto" w:fill="FF0000"/>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95">
    <w:name w:val="xl95"/>
    <w:basedOn w:val="Normal"/>
    <w:pPr>
      <w:pBdr>
        <w:left w:val="single" w:sz="4" w:space="0" w:color="000000"/>
        <w:right w:val="single" w:sz="4" w:space="0" w:color="000000"/>
      </w:pBdr>
      <w:shd w:val="clear" w:color="auto" w:fill="33CCCC"/>
      <w:spacing w:before="100" w:beforeAutospacing="1" w:after="100" w:afterAutospacing="1"/>
      <w:jc w:val="center"/>
      <w:textAlignment w:val="center"/>
    </w:pPr>
    <w:rPr>
      <w:rFonts w:ascii="Arial" w:eastAsia="Arial Unicode MS" w:hAnsi="Arial" w:cs="Arial"/>
      <w:sz w:val="18"/>
      <w:szCs w:val="18"/>
    </w:rPr>
  </w:style>
  <w:style w:type="paragraph" w:customStyle="1" w:styleId="xl96">
    <w:name w:val="xl96"/>
    <w:basedOn w:val="Normal"/>
    <w:pPr>
      <w:pBdr>
        <w:top w:val="single" w:sz="4" w:space="0" w:color="000000"/>
        <w:left w:val="single" w:sz="4" w:space="0" w:color="000000"/>
        <w:right w:val="single" w:sz="4" w:space="0" w:color="000000"/>
      </w:pBdr>
      <w:shd w:val="clear" w:color="auto" w:fill="33CCCC"/>
      <w:spacing w:before="100" w:beforeAutospacing="1" w:after="100" w:afterAutospacing="1"/>
      <w:jc w:val="center"/>
      <w:textAlignment w:val="center"/>
    </w:pPr>
    <w:rPr>
      <w:rFonts w:ascii="Arial" w:eastAsia="Arial Unicode MS" w:hAnsi="Arial" w:cs="Arial"/>
      <w:color w:val="333333"/>
      <w:sz w:val="18"/>
      <w:szCs w:val="18"/>
    </w:r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hd w:val="clear" w:color="auto" w:fill="CCCCCC"/>
      <w:spacing w:before="100" w:beforeAutospacing="1" w:after="100" w:afterAutospacing="1"/>
      <w:jc w:val="center"/>
      <w:textAlignment w:val="center"/>
    </w:pPr>
    <w:rPr>
      <w:rFonts w:ascii="Arial" w:eastAsia="Arial Unicode MS" w:hAnsi="Arial" w:cs="Arial"/>
      <w:i/>
      <w:iCs/>
      <w:color w:val="000000"/>
      <w:sz w:val="18"/>
      <w:szCs w:val="18"/>
    </w:rPr>
  </w:style>
  <w:style w:type="paragraph" w:customStyle="1" w:styleId="xl98">
    <w:name w:val="xl98"/>
    <w:basedOn w:val="Normal"/>
    <w:pPr>
      <w:pBdr>
        <w:top w:val="single" w:sz="4" w:space="0" w:color="000000"/>
        <w:left w:val="single" w:sz="4" w:space="0" w:color="000000"/>
        <w:right w:val="single" w:sz="4" w:space="0" w:color="000000"/>
      </w:pBdr>
      <w:shd w:val="clear" w:color="auto" w:fill="33CCCC"/>
      <w:spacing w:before="100" w:beforeAutospacing="1" w:after="100" w:afterAutospacing="1"/>
      <w:jc w:val="center"/>
      <w:textAlignment w:val="center"/>
    </w:pPr>
    <w:rPr>
      <w:rFonts w:ascii="Arial" w:eastAsia="Arial Unicode MS" w:hAnsi="Arial" w:cs="Arial"/>
      <w:sz w:val="18"/>
      <w:szCs w:val="18"/>
    </w:rPr>
  </w:style>
  <w:style w:type="paragraph" w:customStyle="1" w:styleId="xl99">
    <w:name w:val="xl99"/>
    <w:basedOn w:val="Normal"/>
    <w:pPr>
      <w:pBdr>
        <w:top w:val="single" w:sz="4" w:space="0" w:color="000000"/>
      </w:pBdr>
      <w:shd w:val="clear" w:color="auto" w:fill="33CCCC"/>
      <w:spacing w:before="100" w:beforeAutospacing="1" w:after="100" w:afterAutospacing="1"/>
      <w:jc w:val="center"/>
      <w:textAlignment w:val="center"/>
    </w:pPr>
    <w:rPr>
      <w:rFonts w:ascii="Arial" w:eastAsia="Arial Unicode MS" w:hAnsi="Arial" w:cs="Arial"/>
      <w:sz w:val="18"/>
      <w:szCs w:val="18"/>
    </w:rPr>
  </w:style>
  <w:style w:type="paragraph" w:customStyle="1" w:styleId="xl100">
    <w:name w:val="xl100"/>
    <w:basedOn w:val="Normal"/>
    <w:pPr>
      <w:pBdr>
        <w:bottom w:val="single" w:sz="4" w:space="0" w:color="000000"/>
      </w:pBd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01">
    <w:name w:val="xl101"/>
    <w:basedOn w:val="Normal"/>
    <w:pPr>
      <w:pBdr>
        <w:left w:val="single" w:sz="4" w:space="0" w:color="000000"/>
        <w:bottom w:val="single" w:sz="4" w:space="0" w:color="000000"/>
        <w:right w:val="single" w:sz="4" w:space="0" w:color="000000"/>
      </w:pBdr>
      <w:shd w:val="clear" w:color="auto" w:fill="33CCCC"/>
      <w:spacing w:before="100" w:beforeAutospacing="1" w:after="100" w:afterAutospacing="1"/>
      <w:jc w:val="center"/>
      <w:textAlignment w:val="center"/>
    </w:pPr>
    <w:rPr>
      <w:rFonts w:ascii="Arial" w:eastAsia="Arial Unicode MS" w:hAnsi="Arial" w:cs="Arial"/>
      <w:sz w:val="18"/>
      <w:szCs w:val="18"/>
    </w:rPr>
  </w:style>
  <w:style w:type="paragraph" w:customStyle="1" w:styleId="xl102">
    <w:name w:val="xl102"/>
    <w:basedOn w:val="Normal"/>
    <w:pPr>
      <w:pBdr>
        <w:top w:val="single" w:sz="4" w:space="0" w:color="000000"/>
        <w:bottom w:val="single" w:sz="4" w:space="0" w:color="000000"/>
      </w:pBdr>
      <w:shd w:val="clear" w:color="auto" w:fill="33CCCC"/>
      <w:spacing w:before="100" w:beforeAutospacing="1" w:after="100" w:afterAutospacing="1"/>
      <w:jc w:val="center"/>
      <w:textAlignment w:val="center"/>
    </w:pPr>
    <w:rPr>
      <w:rFonts w:ascii="Arial" w:eastAsia="Arial Unicode MS" w:hAnsi="Arial" w:cs="Arial"/>
      <w:color w:val="000000"/>
      <w:sz w:val="18"/>
      <w:szCs w:val="18"/>
    </w:rPr>
  </w:style>
  <w:style w:type="paragraph" w:customStyle="1" w:styleId="xl103">
    <w:name w:val="xl103"/>
    <w:basedOn w:val="Normal"/>
    <w:pPr>
      <w:pBdr>
        <w:top w:val="single" w:sz="4" w:space="0" w:color="000000"/>
        <w:left w:val="single" w:sz="4" w:space="0" w:color="000000"/>
        <w:bottom w:val="single" w:sz="4" w:space="0" w:color="000000"/>
      </w:pBdr>
      <w:shd w:val="clear" w:color="auto" w:fill="33CCCC"/>
      <w:spacing w:before="100" w:beforeAutospacing="1" w:after="100" w:afterAutospacing="1"/>
      <w:jc w:val="center"/>
      <w:textAlignment w:val="center"/>
    </w:pPr>
    <w:rPr>
      <w:rFonts w:ascii="Arial" w:eastAsia="Arial Unicode MS" w:hAnsi="Arial" w:cs="Arial"/>
      <w:color w:val="000000"/>
      <w:sz w:val="18"/>
      <w:szCs w:val="18"/>
    </w:rPr>
  </w:style>
  <w:style w:type="paragraph" w:customStyle="1" w:styleId="xl104">
    <w:name w:val="xl104"/>
    <w:basedOn w:val="Normal"/>
    <w:pPr>
      <w:pBdr>
        <w:top w:val="single" w:sz="4" w:space="0" w:color="000000"/>
        <w:left w:val="single" w:sz="4" w:space="0" w:color="000000"/>
        <w:bottom w:val="single" w:sz="4" w:space="0" w:color="000000"/>
        <w:right w:val="single" w:sz="4" w:space="0" w:color="000000"/>
      </w:pBdr>
      <w:shd w:val="clear" w:color="auto" w:fill="33CCCC"/>
      <w:spacing w:before="100" w:beforeAutospacing="1" w:after="100" w:afterAutospacing="1"/>
      <w:jc w:val="center"/>
      <w:textAlignment w:val="center"/>
    </w:pPr>
    <w:rPr>
      <w:rFonts w:ascii="Arial" w:eastAsia="Arial Unicode MS" w:hAnsi="Arial" w:cs="Arial"/>
      <w:color w:val="000000"/>
      <w:sz w:val="18"/>
      <w:szCs w:val="18"/>
    </w:rPr>
  </w:style>
  <w:style w:type="paragraph" w:customStyle="1" w:styleId="xl105">
    <w:name w:val="xl105"/>
    <w:basedOn w:val="Normal"/>
    <w:pPr>
      <w:pBdr>
        <w:top w:val="single" w:sz="4" w:space="0" w:color="000000"/>
        <w:bottom w:val="single" w:sz="4" w:space="0" w:color="000000"/>
      </w:pBdr>
      <w:shd w:val="clear" w:color="auto" w:fill="33CCCC"/>
      <w:spacing w:before="100" w:beforeAutospacing="1" w:after="100" w:afterAutospacing="1"/>
      <w:jc w:val="left"/>
      <w:textAlignment w:val="center"/>
    </w:pPr>
    <w:rPr>
      <w:rFonts w:ascii="Arial" w:eastAsia="Arial Unicode MS" w:hAnsi="Arial" w:cs="Arial"/>
      <w:color w:val="000000"/>
      <w:sz w:val="18"/>
      <w:szCs w:val="18"/>
    </w:rPr>
  </w:style>
  <w:style w:type="paragraph" w:customStyle="1" w:styleId="xl106">
    <w:name w:val="xl106"/>
    <w:basedOn w:val="Normal"/>
    <w:pPr>
      <w:pBdr>
        <w:top w:val="single" w:sz="4" w:space="0" w:color="000000"/>
        <w:left w:val="single" w:sz="4" w:space="0" w:color="000000"/>
        <w:bottom w:val="single" w:sz="4" w:space="0" w:color="000000"/>
        <w:right w:val="single" w:sz="4" w:space="0" w:color="000000"/>
      </w:pBdr>
      <w:shd w:val="clear" w:color="auto" w:fill="33CCCC"/>
      <w:spacing w:before="100" w:beforeAutospacing="1" w:after="100" w:afterAutospacing="1"/>
      <w:jc w:val="center"/>
      <w:textAlignment w:val="center"/>
    </w:pPr>
    <w:rPr>
      <w:rFonts w:ascii="Arial" w:eastAsia="Arial Unicode MS" w:hAnsi="Arial" w:cs="Arial"/>
      <w:color w:val="000000"/>
      <w:sz w:val="18"/>
      <w:szCs w:val="18"/>
    </w:rPr>
  </w:style>
  <w:style w:type="paragraph" w:customStyle="1" w:styleId="xl107">
    <w:name w:val="xl107"/>
    <w:basedOn w:val="Normal"/>
    <w:pPr>
      <w:pBdr>
        <w:top w:val="single" w:sz="4" w:space="0" w:color="000000"/>
        <w:left w:val="single" w:sz="4" w:space="0" w:color="000000"/>
        <w:bottom w:val="single" w:sz="4" w:space="0" w:color="000000"/>
      </w:pBdr>
      <w:spacing w:before="100" w:beforeAutospacing="1" w:after="100" w:afterAutospacing="1"/>
      <w:jc w:val="center"/>
      <w:textAlignment w:val="top"/>
    </w:pPr>
    <w:rPr>
      <w:rFonts w:ascii="Arial" w:eastAsia="Arial Unicode MS" w:hAnsi="Arial" w:cs="Arial"/>
      <w:color w:val="000000"/>
      <w:sz w:val="18"/>
      <w:szCs w:val="18"/>
    </w:rPr>
  </w:style>
  <w:style w:type="paragraph" w:customStyle="1" w:styleId="xl108">
    <w:name w:val="xl10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eastAsia="Arial Unicode MS" w:hAnsi="Arial" w:cs="Arial"/>
      <w:color w:val="000000"/>
      <w:sz w:val="18"/>
      <w:szCs w:val="18"/>
    </w:rPr>
  </w:style>
  <w:style w:type="paragraph" w:customStyle="1" w:styleId="xl109">
    <w:name w:val="xl10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eastAsia="Arial Unicode MS" w:hAnsi="Arial" w:cs="Arial"/>
      <w:color w:val="000000"/>
      <w:sz w:val="18"/>
      <w:szCs w:val="18"/>
    </w:rPr>
  </w:style>
  <w:style w:type="paragraph" w:customStyle="1" w:styleId="xl110">
    <w:name w:val="xl110"/>
    <w:basedOn w:val="Normal"/>
    <w:pPr>
      <w:pBdr>
        <w:top w:val="single" w:sz="4" w:space="0" w:color="000000"/>
        <w:bottom w:val="single" w:sz="4" w:space="0" w:color="000000"/>
      </w:pBdr>
      <w:shd w:val="clear" w:color="auto" w:fill="CC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11">
    <w:name w:val="xl111"/>
    <w:basedOn w:val="Normal"/>
    <w:pPr>
      <w:pBdr>
        <w:top w:val="single" w:sz="4" w:space="0" w:color="000000"/>
        <w:left w:val="single" w:sz="4" w:space="0" w:color="000000"/>
        <w:bottom w:val="single" w:sz="4" w:space="0" w:color="000000"/>
      </w:pBdr>
      <w:shd w:val="clear" w:color="auto" w:fill="CC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12">
    <w:name w:val="xl112"/>
    <w:basedOn w:val="Normal"/>
    <w:pPr>
      <w:pBdr>
        <w:top w:val="single" w:sz="4" w:space="0" w:color="000000"/>
        <w:left w:val="single" w:sz="4" w:space="0" w:color="000000"/>
        <w:bottom w:val="single" w:sz="4" w:space="0" w:color="000000"/>
        <w:right w:val="single" w:sz="4" w:space="0" w:color="000000"/>
      </w:pBdr>
      <w:shd w:val="clear" w:color="auto" w:fill="CC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13">
    <w:name w:val="xl113"/>
    <w:basedOn w:val="Normal"/>
    <w:pPr>
      <w:pBdr>
        <w:top w:val="single" w:sz="4" w:space="0" w:color="000000"/>
        <w:bottom w:val="single" w:sz="4" w:space="0" w:color="000000"/>
      </w:pBdr>
      <w:shd w:val="clear" w:color="auto" w:fill="CC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14">
    <w:name w:val="xl114"/>
    <w:basedOn w:val="Normal"/>
    <w:pPr>
      <w:pBdr>
        <w:top w:val="single" w:sz="4" w:space="0" w:color="000000"/>
        <w:left w:val="single" w:sz="4" w:space="0" w:color="000000"/>
        <w:bottom w:val="single" w:sz="4" w:space="0" w:color="000000"/>
        <w:right w:val="single" w:sz="4" w:space="0" w:color="000000"/>
      </w:pBdr>
      <w:shd w:val="clear" w:color="auto" w:fill="CC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15">
    <w:name w:val="xl115"/>
    <w:basedOn w:val="Normal"/>
    <w:pPr>
      <w:pBdr>
        <w:top w:val="single" w:sz="4" w:space="0" w:color="000000"/>
        <w:bottom w:val="single" w:sz="4" w:space="0" w:color="000000"/>
      </w:pBdr>
      <w:spacing w:before="100" w:beforeAutospacing="1" w:after="100" w:afterAutospacing="1"/>
      <w:jc w:val="center"/>
      <w:textAlignment w:val="center"/>
    </w:pPr>
    <w:rPr>
      <w:rFonts w:ascii="Arial" w:eastAsia="Arial Unicode MS" w:hAnsi="Arial" w:cs="Arial"/>
      <w:sz w:val="18"/>
      <w:szCs w:val="18"/>
    </w:rPr>
  </w:style>
  <w:style w:type="paragraph" w:customStyle="1" w:styleId="xl116">
    <w:name w:val="xl116"/>
    <w:basedOn w:val="Normal"/>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eastAsia="Arial Unicode MS" w:hAnsi="Arial" w:cs="Arial"/>
      <w:sz w:val="18"/>
      <w:szCs w:val="18"/>
    </w:rPr>
  </w:style>
  <w:style w:type="paragraph" w:customStyle="1" w:styleId="xl117">
    <w:name w:val="xl117"/>
    <w:basedOn w:val="Normal"/>
    <w:pPr>
      <w:pBdr>
        <w:top w:val="single" w:sz="4" w:space="0" w:color="000000"/>
        <w:bottom w:val="single" w:sz="4" w:space="0" w:color="000000"/>
      </w:pBdr>
      <w:spacing w:before="100" w:beforeAutospacing="1" w:after="100" w:afterAutospacing="1"/>
      <w:jc w:val="left"/>
      <w:textAlignment w:val="center"/>
    </w:pPr>
    <w:rPr>
      <w:rFonts w:ascii="Arial" w:eastAsia="Arial Unicode MS" w:hAnsi="Arial" w:cs="Arial"/>
      <w:sz w:val="18"/>
      <w:szCs w:val="18"/>
    </w:rPr>
  </w:style>
  <w:style w:type="paragraph" w:customStyle="1" w:styleId="xl118">
    <w:name w:val="xl11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Arial Unicode MS" w:hAnsi="Arial" w:cs="Arial"/>
      <w:sz w:val="18"/>
      <w:szCs w:val="18"/>
    </w:rPr>
  </w:style>
  <w:style w:type="paragraph" w:customStyle="1" w:styleId="xl119">
    <w:name w:val="xl11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Arial Unicode MS" w:hAnsi="Arial" w:cs="Arial"/>
      <w:color w:val="333333"/>
      <w:sz w:val="18"/>
      <w:szCs w:val="18"/>
    </w:rPr>
  </w:style>
  <w:style w:type="paragraph" w:customStyle="1" w:styleId="xl120">
    <w:name w:val="xl12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Arial Unicode MS" w:hAnsi="Arial" w:cs="Arial"/>
      <w:sz w:val="18"/>
      <w:szCs w:val="18"/>
    </w:rPr>
  </w:style>
  <w:style w:type="paragraph" w:customStyle="1" w:styleId="xl121">
    <w:name w:val="xl12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Arial Unicode MS" w:hAnsi="Arial" w:cs="Arial"/>
      <w:b/>
      <w:bCs/>
      <w:color w:val="FF0000"/>
      <w:sz w:val="18"/>
      <w:szCs w:val="18"/>
    </w:rPr>
  </w:style>
  <w:style w:type="paragraph" w:customStyle="1" w:styleId="xl122">
    <w:name w:val="xl122"/>
    <w:basedOn w:val="Normal"/>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center"/>
      <w:textAlignment w:val="center"/>
    </w:pPr>
    <w:rPr>
      <w:rFonts w:ascii="Arial" w:eastAsia="Arial Unicode MS" w:hAnsi="Arial" w:cs="Arial"/>
      <w:sz w:val="18"/>
      <w:szCs w:val="18"/>
    </w:rPr>
  </w:style>
  <w:style w:type="paragraph" w:customStyle="1" w:styleId="xl123">
    <w:name w:val="xl123"/>
    <w:basedOn w:val="Normal"/>
    <w:pPr>
      <w:pBdr>
        <w:top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24">
    <w:name w:val="xl124"/>
    <w:basedOn w:val="Normal"/>
    <w:pPr>
      <w:pBdr>
        <w:top w:val="single" w:sz="4" w:space="0" w:color="000000"/>
        <w:left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25">
    <w:name w:val="xl125"/>
    <w:basedOn w:val="Normal"/>
    <w:pPr>
      <w:pBdr>
        <w:top w:val="single" w:sz="4" w:space="0" w:color="000000"/>
      </w:pBd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26">
    <w:name w:val="xl126"/>
    <w:basedOn w:val="Normal"/>
    <w:pPr>
      <w:pBdr>
        <w:top w:val="single" w:sz="4" w:space="0" w:color="auto"/>
        <w:left w:val="single" w:sz="4" w:space="0" w:color="auto"/>
      </w:pBdr>
      <w:shd w:val="clear" w:color="auto" w:fill="FF0000"/>
      <w:spacing w:before="100" w:beforeAutospacing="1" w:after="100" w:afterAutospacing="1"/>
      <w:jc w:val="center"/>
      <w:textAlignment w:val="center"/>
    </w:pPr>
    <w:rPr>
      <w:rFonts w:ascii="Arial" w:eastAsia="Arial Unicode MS" w:hAnsi="Arial" w:cs="Arial"/>
      <w:sz w:val="18"/>
      <w:szCs w:val="18"/>
    </w:rPr>
  </w:style>
  <w:style w:type="paragraph" w:customStyle="1" w:styleId="xl127">
    <w:name w:val="xl127"/>
    <w:basedOn w:val="Normal"/>
    <w:pPr>
      <w:pBdr>
        <w:top w:val="single" w:sz="4" w:space="0" w:color="auto"/>
        <w:left w:val="single" w:sz="4" w:space="0" w:color="000000"/>
        <w:right w:val="single" w:sz="4" w:space="0" w:color="auto"/>
      </w:pBdr>
      <w:shd w:val="clear" w:color="auto" w:fill="FF0000"/>
      <w:spacing w:before="100" w:beforeAutospacing="1" w:after="100" w:afterAutospacing="1"/>
      <w:jc w:val="center"/>
      <w:textAlignment w:val="center"/>
    </w:pPr>
    <w:rPr>
      <w:rFonts w:ascii="Arial" w:eastAsia="Arial Unicode MS" w:hAnsi="Arial" w:cs="Arial"/>
      <w:sz w:val="18"/>
      <w:szCs w:val="18"/>
    </w:rPr>
  </w:style>
  <w:style w:type="paragraph" w:customStyle="1" w:styleId="xl128">
    <w:name w:val="xl128"/>
    <w:basedOn w:val="Normal"/>
    <w:pPr>
      <w:pBdr>
        <w:top w:val="single" w:sz="4" w:space="0" w:color="000000"/>
        <w:right w:val="single" w:sz="4" w:space="0" w:color="000000"/>
      </w:pBdr>
      <w:shd w:val="clear" w:color="auto" w:fill="FF0000"/>
      <w:spacing w:before="100" w:beforeAutospacing="1" w:after="100" w:afterAutospacing="1"/>
      <w:jc w:val="center"/>
      <w:textAlignment w:val="center"/>
    </w:pPr>
    <w:rPr>
      <w:rFonts w:ascii="Arial" w:eastAsia="Arial Unicode MS" w:hAnsi="Arial" w:cs="Arial"/>
      <w:sz w:val="18"/>
      <w:szCs w:val="18"/>
    </w:rPr>
  </w:style>
  <w:style w:type="paragraph" w:customStyle="1" w:styleId="xl129">
    <w:name w:val="xl129"/>
    <w:basedOn w:val="Normal"/>
    <w:pPr>
      <w:pBdr>
        <w:top w:val="single" w:sz="4" w:space="0" w:color="auto"/>
        <w:right w:val="single" w:sz="4" w:space="0" w:color="auto"/>
      </w:pBdr>
      <w:shd w:val="clear" w:color="auto" w:fill="FF0000"/>
      <w:spacing w:before="100" w:beforeAutospacing="1" w:after="100" w:afterAutospacing="1"/>
      <w:jc w:val="left"/>
      <w:textAlignment w:val="center"/>
    </w:pPr>
    <w:rPr>
      <w:rFonts w:ascii="Arial" w:eastAsia="Arial Unicode MS" w:hAnsi="Arial" w:cs="Arial"/>
      <w:sz w:val="18"/>
      <w:szCs w:val="18"/>
    </w:rPr>
  </w:style>
  <w:style w:type="paragraph" w:customStyle="1" w:styleId="xl130">
    <w:name w:val="xl130"/>
    <w:basedOn w:val="Normal"/>
    <w:pPr>
      <w:pBdr>
        <w:top w:val="single" w:sz="4" w:space="0" w:color="000000"/>
        <w:left w:val="single" w:sz="4" w:space="0" w:color="000000"/>
        <w:right w:val="single" w:sz="4" w:space="0" w:color="000000"/>
      </w:pBdr>
      <w:shd w:val="clear" w:color="auto" w:fill="FF0000"/>
      <w:spacing w:before="100" w:beforeAutospacing="1" w:after="100" w:afterAutospacing="1"/>
      <w:jc w:val="center"/>
      <w:textAlignment w:val="center"/>
    </w:pPr>
    <w:rPr>
      <w:rFonts w:ascii="Arial" w:eastAsia="Arial Unicode MS" w:hAnsi="Arial" w:cs="Arial"/>
      <w:sz w:val="18"/>
      <w:szCs w:val="18"/>
    </w:rPr>
  </w:style>
  <w:style w:type="paragraph" w:customStyle="1" w:styleId="xl131">
    <w:name w:val="xl131"/>
    <w:basedOn w:val="Normal"/>
    <w:pPr>
      <w:pBdr>
        <w:top w:val="single" w:sz="4" w:space="0" w:color="000000"/>
        <w:left w:val="single" w:sz="4" w:space="0" w:color="000000"/>
        <w:right w:val="single" w:sz="4" w:space="0" w:color="000000"/>
      </w:pBdr>
      <w:shd w:val="clear" w:color="auto" w:fill="FF0000"/>
      <w:spacing w:before="100" w:beforeAutospacing="1" w:after="100" w:afterAutospacing="1"/>
      <w:jc w:val="center"/>
      <w:textAlignment w:val="center"/>
    </w:pPr>
    <w:rPr>
      <w:rFonts w:ascii="Arial" w:eastAsia="Arial Unicode MS" w:hAnsi="Arial" w:cs="Arial"/>
      <w:sz w:val="18"/>
      <w:szCs w:val="18"/>
    </w:rPr>
  </w:style>
  <w:style w:type="paragraph" w:customStyle="1" w:styleId="xl132">
    <w:name w:val="xl132"/>
    <w:basedOn w:val="Normal"/>
    <w:pPr>
      <w:pBdr>
        <w:top w:val="single" w:sz="4" w:space="0" w:color="000000"/>
        <w:left w:val="single" w:sz="4" w:space="0" w:color="000000"/>
        <w:right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33">
    <w:name w:val="xl133"/>
    <w:basedOn w:val="Normal"/>
    <w:pPr>
      <w:pBdr>
        <w:top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34">
    <w:name w:val="xl134"/>
    <w:basedOn w:val="Normal"/>
    <w:pPr>
      <w:pBdr>
        <w:bottom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35">
    <w:name w:val="xl135"/>
    <w:basedOn w:val="Normal"/>
    <w:pPr>
      <w:pBdr>
        <w:left w:val="single" w:sz="4" w:space="0" w:color="000000"/>
        <w:bottom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36">
    <w:name w:val="xl136"/>
    <w:basedOn w:val="Normal"/>
    <w:pPr>
      <w:pBdr>
        <w:bottom w:val="single" w:sz="4" w:space="0" w:color="000000"/>
      </w:pBd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37">
    <w:name w:val="xl137"/>
    <w:basedOn w:val="Normal"/>
    <w:pPr>
      <w:pBdr>
        <w:left w:val="single" w:sz="4" w:space="0" w:color="000000"/>
        <w:bottom w:val="single" w:sz="4" w:space="0" w:color="000000"/>
        <w:right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38">
    <w:name w:val="xl138"/>
    <w:basedOn w:val="Normal"/>
    <w:pPr>
      <w:pBdr>
        <w:top w:val="single" w:sz="4" w:space="0" w:color="000000"/>
        <w:left w:val="single" w:sz="4" w:space="0" w:color="000000"/>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39">
    <w:name w:val="xl139"/>
    <w:basedOn w:val="Normal"/>
    <w:pPr>
      <w:pBdr>
        <w:top w:val="single" w:sz="4" w:space="0" w:color="000000"/>
        <w:left w:val="single" w:sz="4" w:space="0" w:color="000000"/>
        <w:right w:val="single" w:sz="4" w:space="0" w:color="000000"/>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40">
    <w:name w:val="xl140"/>
    <w:basedOn w:val="Normal"/>
    <w:pPr>
      <w:pBdr>
        <w:top w:val="single" w:sz="4" w:space="0" w:color="000000"/>
      </w:pBdr>
      <w:shd w:val="clear" w:color="auto" w:fill="FF0000"/>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41">
    <w:name w:val="xl141"/>
    <w:basedOn w:val="Normal"/>
    <w:pPr>
      <w:pBdr>
        <w:top w:val="single" w:sz="4" w:space="0" w:color="000000"/>
        <w:left w:val="single" w:sz="4" w:space="0" w:color="000000"/>
        <w:right w:val="single" w:sz="4" w:space="0" w:color="000000"/>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42">
    <w:name w:val="xl142"/>
    <w:basedOn w:val="Normal"/>
    <w:pP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43">
    <w:name w:val="xl143"/>
    <w:basedOn w:val="Normal"/>
    <w:pPr>
      <w:pBdr>
        <w:top w:val="single" w:sz="4" w:space="0" w:color="auto"/>
        <w:left w:val="single" w:sz="4" w:space="0" w:color="000000"/>
        <w:bottom w:val="single" w:sz="4" w:space="0" w:color="auto"/>
        <w:right w:val="single" w:sz="4" w:space="0" w:color="auto"/>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44">
    <w:name w:val="xl144"/>
    <w:basedOn w:val="Normal"/>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46">
    <w:name w:val="xl146"/>
    <w:basedOn w:val="Normal"/>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47">
    <w:name w:val="xl147"/>
    <w:basedOn w:val="Normal"/>
    <w:pPr>
      <w:pBdr>
        <w:left w:val="single" w:sz="4" w:space="0" w:color="000000"/>
        <w:bottom w:val="single" w:sz="4" w:space="0" w:color="000000"/>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48">
    <w:name w:val="xl148"/>
    <w:basedOn w:val="Normal"/>
    <w:pPr>
      <w:pBdr>
        <w:left w:val="single" w:sz="4" w:space="0" w:color="000000"/>
        <w:bottom w:val="single" w:sz="4" w:space="0" w:color="000000"/>
        <w:right w:val="single" w:sz="4" w:space="0" w:color="000000"/>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49">
    <w:name w:val="xl149"/>
    <w:basedOn w:val="Normal"/>
    <w:pPr>
      <w:pBdr>
        <w:bottom w:val="single" w:sz="4" w:space="0" w:color="000000"/>
      </w:pBdr>
      <w:shd w:val="clear" w:color="auto" w:fill="FF0000"/>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50">
    <w:name w:val="xl150"/>
    <w:basedOn w:val="Normal"/>
    <w:pPr>
      <w:pBdr>
        <w:left w:val="single" w:sz="4" w:space="0" w:color="000000"/>
        <w:bottom w:val="single" w:sz="4" w:space="0" w:color="000000"/>
        <w:right w:val="single" w:sz="4" w:space="0" w:color="000000"/>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51">
    <w:name w:val="xl151"/>
    <w:basedOn w:val="Normal"/>
    <w:pPr>
      <w:pBdr>
        <w:top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52">
    <w:name w:val="xl152"/>
    <w:basedOn w:val="Normal"/>
    <w:pPr>
      <w:pBdr>
        <w:top w:val="single" w:sz="4" w:space="0" w:color="auto"/>
        <w:left w:val="single" w:sz="4" w:space="0" w:color="auto"/>
        <w:bottom w:val="single" w:sz="4" w:space="0" w:color="auto"/>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53">
    <w:name w:val="xl153"/>
    <w:basedOn w:val="Normal"/>
    <w:pPr>
      <w:pBdr>
        <w:top w:val="single" w:sz="4" w:space="0" w:color="auto"/>
        <w:left w:val="single" w:sz="4" w:space="0" w:color="auto"/>
        <w:bottom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54">
    <w:name w:val="xl154"/>
    <w:basedOn w:val="Normal"/>
    <w:pPr>
      <w:pBdr>
        <w:top w:val="single" w:sz="4" w:space="0" w:color="auto"/>
        <w:left w:val="single" w:sz="4" w:space="0" w:color="000000"/>
        <w:bottom w:val="single" w:sz="4" w:space="0" w:color="auto"/>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55">
    <w:name w:val="xl155"/>
    <w:basedOn w:val="Normal"/>
    <w:pPr>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56">
    <w:name w:val="xl156"/>
    <w:basedOn w:val="Normal"/>
    <w:pPr>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58">
    <w:name w:val="xl158"/>
    <w:basedOn w:val="Normal"/>
    <w:pP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59">
    <w:name w:val="xl159"/>
    <w:basedOn w:val="Normal"/>
    <w:pPr>
      <w:pBdr>
        <w:top w:val="single" w:sz="4" w:space="0" w:color="000000"/>
      </w:pBd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60">
    <w:name w:val="xl160"/>
    <w:basedOn w:val="Normal"/>
    <w:pPr>
      <w:pBdr>
        <w:top w:val="single" w:sz="4" w:space="0" w:color="000000"/>
        <w:left w:val="single" w:sz="4" w:space="0" w:color="auto"/>
        <w:bottom w:val="single" w:sz="4" w:space="0" w:color="auto"/>
        <w:right w:val="single" w:sz="4" w:space="0" w:color="000000"/>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61">
    <w:name w:val="xl161"/>
    <w:basedOn w:val="Normal"/>
    <w:pPr>
      <w:pBdr>
        <w:top w:val="single" w:sz="4" w:space="0" w:color="000000"/>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62">
    <w:name w:val="xl162"/>
    <w:basedOn w:val="Normal"/>
    <w:pPr>
      <w:pBdr>
        <w:left w:val="single" w:sz="4" w:space="0" w:color="auto"/>
        <w:bottom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63">
    <w:name w:val="xl163"/>
    <w:basedOn w:val="Normal"/>
    <w:pPr>
      <w:pBdr>
        <w:left w:val="single" w:sz="4" w:space="0" w:color="000000"/>
        <w:bottom w:val="single" w:sz="4" w:space="0" w:color="auto"/>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64">
    <w:name w:val="xl164"/>
    <w:basedOn w:val="Normal"/>
    <w:pPr>
      <w:pBdr>
        <w:left w:val="single" w:sz="4" w:space="0" w:color="auto"/>
        <w:bottom w:val="single" w:sz="4" w:space="0" w:color="auto"/>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65">
    <w:name w:val="xl165"/>
    <w:basedOn w:val="Normal"/>
    <w:pPr>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pPr>
    <w:rPr>
      <w:rFonts w:ascii="Arial" w:eastAsia="Arial Unicode MS" w:hAnsi="Arial" w:cs="Arial"/>
      <w:sz w:val="18"/>
      <w:szCs w:val="18"/>
    </w:rPr>
  </w:style>
  <w:style w:type="paragraph" w:customStyle="1" w:styleId="xl166">
    <w:name w:val="xl166"/>
    <w:basedOn w:val="Normal"/>
    <w:pPr>
      <w:pBdr>
        <w:left w:val="single" w:sz="4" w:space="0" w:color="auto"/>
        <w:bottom w:val="single" w:sz="4" w:space="0" w:color="auto"/>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67">
    <w:name w:val="xl167"/>
    <w:basedOn w:val="Normal"/>
    <w:pPr>
      <w:pBdr>
        <w:left w:val="single" w:sz="4" w:space="0" w:color="auto"/>
        <w:bottom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68">
    <w:name w:val="xl168"/>
    <w:basedOn w:val="Normal"/>
    <w:pPr>
      <w:pBdr>
        <w:top w:val="single" w:sz="4" w:space="0" w:color="000000"/>
        <w:left w:val="single" w:sz="4" w:space="0" w:color="000000"/>
        <w:bottom w:val="single" w:sz="4" w:space="0" w:color="000000"/>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69">
    <w:name w:val="xl169"/>
    <w:basedOn w:val="Normal"/>
    <w:pPr>
      <w:pBdr>
        <w:top w:val="single" w:sz="4" w:space="0" w:color="auto"/>
        <w:left w:val="single" w:sz="4" w:space="0" w:color="000000"/>
        <w:bottom w:val="single" w:sz="4" w:space="0" w:color="000000"/>
        <w:right w:val="single" w:sz="4" w:space="0" w:color="000000"/>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70">
    <w:name w:val="xl170"/>
    <w:basedOn w:val="Normal"/>
    <w:pPr>
      <w:pBdr>
        <w:left w:val="single" w:sz="4"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71">
    <w:name w:val="xl171"/>
    <w:basedOn w:val="Normal"/>
    <w:pPr>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72">
    <w:name w:val="xl172"/>
    <w:basedOn w:val="Normal"/>
    <w:pPr>
      <w:pBdr>
        <w:left w:val="single" w:sz="4" w:space="0" w:color="000000"/>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73">
    <w:name w:val="xl173"/>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74">
    <w:name w:val="xl174"/>
    <w:basedOn w:val="Normal"/>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75">
    <w:name w:val="xl175"/>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76">
    <w:name w:val="xl1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77">
    <w:name w:val="xl177"/>
    <w:basedOn w:val="Normal"/>
    <w:pPr>
      <w:pBdr>
        <w:top w:val="single" w:sz="4" w:space="0" w:color="auto"/>
        <w:left w:val="single" w:sz="4" w:space="0" w:color="auto"/>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78">
    <w:name w:val="xl178"/>
    <w:basedOn w:val="Normal"/>
    <w:pPr>
      <w:pBdr>
        <w:left w:val="single" w:sz="4" w:space="0" w:color="auto"/>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79">
    <w:name w:val="xl179"/>
    <w:basedOn w:val="Normal"/>
    <w:pPr>
      <w:pBdr>
        <w:top w:val="single" w:sz="4" w:space="0" w:color="000000"/>
        <w:left w:val="single" w:sz="4" w:space="0" w:color="auto"/>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80">
    <w:name w:val="xl180"/>
    <w:basedOn w:val="Normal"/>
    <w:pPr>
      <w:pBdr>
        <w:lef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81">
    <w:name w:val="xl181"/>
    <w:basedOn w:val="Normal"/>
    <w:pPr>
      <w:pBdr>
        <w:left w:val="single" w:sz="4" w:space="0" w:color="000000"/>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82">
    <w:name w:val="xl182"/>
    <w:basedOn w:val="Normal"/>
    <w:pPr>
      <w:pBdr>
        <w:left w:val="single" w:sz="4" w:space="0" w:color="auto"/>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83">
    <w:name w:val="xl183"/>
    <w:basedOn w:val="Normal"/>
    <w:pPr>
      <w:pBdr>
        <w:left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84">
    <w:name w:val="xl184"/>
    <w:basedOn w:val="Normal"/>
    <w:pPr>
      <w:pBdr>
        <w:left w:val="single" w:sz="4" w:space="0" w:color="auto"/>
        <w:bottom w:val="single" w:sz="4" w:space="0" w:color="000000"/>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85">
    <w:name w:val="xl185"/>
    <w:basedOn w:val="Normal"/>
    <w:pPr>
      <w:pBdr>
        <w:left w:val="single" w:sz="4" w:space="0" w:color="auto"/>
        <w:bottom w:val="single" w:sz="4" w:space="0" w:color="auto"/>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86">
    <w:name w:val="xl186"/>
    <w:basedOn w:val="Normal"/>
    <w:pPr>
      <w:pBdr>
        <w:left w:val="single" w:sz="4" w:space="0" w:color="000000"/>
        <w:bottom w:val="single" w:sz="4" w:space="0" w:color="auto"/>
        <w:right w:val="single" w:sz="4" w:space="0" w:color="auto"/>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87">
    <w:name w:val="xl187"/>
    <w:basedOn w:val="Normal"/>
    <w:pPr>
      <w:pBdr>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88">
    <w:name w:val="xl188"/>
    <w:basedOn w:val="Normal"/>
    <w:pPr>
      <w:pBdr>
        <w:left w:val="single" w:sz="4" w:space="0" w:color="auto"/>
        <w:bottom w:val="single" w:sz="4" w:space="0" w:color="auto"/>
        <w:right w:val="single" w:sz="4" w:space="0" w:color="auto"/>
      </w:pBdr>
      <w:shd w:val="clear" w:color="auto" w:fill="FF0000"/>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xl189">
    <w:name w:val="xl189"/>
    <w:basedOn w:val="Normal"/>
    <w:pPr>
      <w:pBdr>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90">
    <w:name w:val="xl190"/>
    <w:basedOn w:val="Normal"/>
    <w:pPr>
      <w:pBdr>
        <w:top w:val="single" w:sz="4" w:space="0" w:color="auto"/>
        <w:left w:val="single" w:sz="4" w:space="0" w:color="auto"/>
        <w:right w:val="single" w:sz="4" w:space="0" w:color="auto"/>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91">
    <w:name w:val="xl191"/>
    <w:basedOn w:val="Normal"/>
    <w:pPr>
      <w:pBdr>
        <w:left w:val="single" w:sz="4" w:space="0" w:color="auto"/>
        <w:right w:val="single" w:sz="4" w:space="0" w:color="auto"/>
      </w:pBdr>
      <w:shd w:val="clear" w:color="auto" w:fill="FF0000"/>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92">
    <w:name w:val="xl192"/>
    <w:basedOn w:val="Normal"/>
    <w:pPr>
      <w:pBdr>
        <w:top w:val="single" w:sz="4" w:space="0" w:color="auto"/>
        <w:left w:val="single" w:sz="4" w:space="0" w:color="auto"/>
        <w:right w:val="single" w:sz="4" w:space="0" w:color="auto"/>
      </w:pBdr>
      <w:shd w:val="clear" w:color="auto" w:fill="33CCCC"/>
      <w:spacing w:before="100" w:beforeAutospacing="1" w:after="100" w:afterAutospacing="1"/>
      <w:jc w:val="center"/>
      <w:textAlignment w:val="center"/>
    </w:pPr>
    <w:rPr>
      <w:rFonts w:ascii="Arial" w:eastAsia="Arial Unicode MS" w:hAnsi="Arial" w:cs="Arial"/>
      <w:color w:val="000000"/>
      <w:sz w:val="18"/>
      <w:szCs w:val="18"/>
    </w:rPr>
  </w:style>
  <w:style w:type="paragraph" w:customStyle="1" w:styleId="xl193">
    <w:name w:val="xl193"/>
    <w:basedOn w:val="Normal"/>
    <w:pPr>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94">
    <w:name w:val="xl194"/>
    <w:basedOn w:val="Normal"/>
    <w:pPr>
      <w:pBdr>
        <w:top w:val="single" w:sz="4" w:space="0" w:color="auto"/>
        <w:left w:val="single" w:sz="4" w:space="0" w:color="auto"/>
        <w:right w:val="single" w:sz="4" w:space="0" w:color="auto"/>
      </w:pBdr>
      <w:shd w:val="clear" w:color="auto" w:fill="33CCCC"/>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95">
    <w:name w:val="xl195"/>
    <w:basedOn w:val="Normal"/>
    <w:pPr>
      <w:pBdr>
        <w:top w:val="single" w:sz="4" w:space="0" w:color="auto"/>
        <w:left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color w:val="000000"/>
      <w:sz w:val="18"/>
      <w:szCs w:val="18"/>
    </w:rPr>
  </w:style>
  <w:style w:type="paragraph" w:customStyle="1" w:styleId="RD">
    <w:name w:val="RD"/>
    <w:basedOn w:val="Caption"/>
    <w:pPr>
      <w:keepNext/>
      <w:keepLines/>
      <w:spacing w:before="0" w:after="240"/>
      <w:jc w:val="left"/>
    </w:pPr>
    <w:rPr>
      <w:rFonts w:ascii="Times New Roman" w:hAnsi="Times New Roman"/>
      <w:smallCaps/>
    </w:rPr>
  </w:style>
  <w:style w:type="character" w:customStyle="1" w:styleId="fldtext">
    <w:name w:val="fldtext"/>
  </w:style>
  <w:style w:type="paragraph" w:customStyle="1" w:styleId="font5">
    <w:name w:val="font5"/>
    <w:basedOn w:val="Normal"/>
    <w:pPr>
      <w:spacing w:before="100" w:beforeAutospacing="1" w:after="100" w:afterAutospacing="1"/>
      <w:jc w:val="left"/>
    </w:pPr>
    <w:rPr>
      <w:rFonts w:ascii="Tahoma" w:eastAsia="Arial Unicode MS" w:hAnsi="Tahoma" w:cs="Tahoma"/>
      <w:color w:val="000000"/>
      <w:sz w:val="16"/>
      <w:szCs w:val="16"/>
    </w:rPr>
  </w:style>
  <w:style w:type="paragraph" w:customStyle="1" w:styleId="font6">
    <w:name w:val="font6"/>
    <w:basedOn w:val="Normal"/>
    <w:pPr>
      <w:spacing w:before="100" w:beforeAutospacing="1" w:after="100" w:afterAutospacing="1"/>
      <w:jc w:val="left"/>
    </w:pPr>
    <w:rPr>
      <w:rFonts w:ascii="Tahoma" w:eastAsia="Arial Unicode MS" w:hAnsi="Tahoma" w:cs="Tahoma"/>
      <w:b/>
      <w:bCs/>
      <w:color w:val="000000"/>
      <w:sz w:val="16"/>
      <w:szCs w:val="16"/>
    </w:rPr>
  </w:style>
  <w:style w:type="paragraph" w:styleId="BodyTextFirstIndent">
    <w:name w:val="Body Text First Indent"/>
    <w:basedOn w:val="BodyText"/>
    <w:link w:val="BodyTextFirstIndentChar"/>
    <w:pPr>
      <w:spacing w:before="0"/>
      <w:ind w:firstLine="210"/>
    </w:pPr>
    <w:rPr>
      <w:szCs w:val="24"/>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4"/>
      <w:lang w:val="da-DK"/>
    </w:rPr>
  </w:style>
  <w:style w:type="paragraph" w:styleId="BodyTextFirstIndent2">
    <w:name w:val="Body Text First Indent 2"/>
    <w:basedOn w:val="BodyTextIndent"/>
    <w:link w:val="BodyTextFirstIndent2Char"/>
    <w:pPr>
      <w:numPr>
        <w:numId w:val="0"/>
      </w:numPr>
      <w:spacing w:before="0"/>
      <w:ind w:left="283" w:firstLine="210"/>
      <w:jc w:val="left"/>
    </w:pPr>
    <w:rPr>
      <w:sz w:val="22"/>
      <w:szCs w:val="24"/>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4"/>
      <w:lang w:val="da-DK"/>
    </w:rPr>
  </w:style>
  <w:style w:type="paragraph" w:styleId="Closing">
    <w:name w:val="Closing"/>
    <w:basedOn w:val="Normal"/>
    <w:link w:val="ClosingChar"/>
    <w:pPr>
      <w:spacing w:before="0" w:after="60"/>
      <w:ind w:left="4252"/>
      <w:jc w:val="left"/>
    </w:pPr>
    <w:rPr>
      <w:rFonts w:eastAsia="Times New Roman"/>
      <w:sz w:val="22"/>
      <w:szCs w:val="24"/>
    </w:rPr>
  </w:style>
  <w:style w:type="character" w:customStyle="1" w:styleId="ClosingChar">
    <w:name w:val="Closing Char"/>
    <w:basedOn w:val="DefaultParagraphFont"/>
    <w:link w:val="Closing"/>
    <w:rPr>
      <w:rFonts w:ascii="Times New Roman" w:eastAsia="Times New Roman" w:hAnsi="Times New Roman" w:cs="Times New Roman"/>
      <w:szCs w:val="24"/>
      <w:lang w:val="da-DK"/>
    </w:rPr>
  </w:style>
  <w:style w:type="paragraph" w:styleId="E-mailSignature">
    <w:name w:val="E-mail Signature"/>
    <w:basedOn w:val="Normal"/>
    <w:link w:val="E-mailSignatureChar"/>
    <w:pPr>
      <w:spacing w:before="0" w:after="60"/>
      <w:jc w:val="left"/>
    </w:pPr>
    <w:rPr>
      <w:rFonts w:eastAsia="Times New Roman"/>
      <w:sz w:val="22"/>
      <w:szCs w:val="24"/>
    </w:rPr>
  </w:style>
  <w:style w:type="character" w:customStyle="1" w:styleId="E-mailSignatureChar">
    <w:name w:val="E-mail Signature Char"/>
    <w:basedOn w:val="DefaultParagraphFont"/>
    <w:link w:val="E-mailSignature"/>
    <w:rPr>
      <w:rFonts w:ascii="Times New Roman" w:eastAsia="Times New Roman" w:hAnsi="Times New Roman" w:cs="Times New Roman"/>
      <w:szCs w:val="24"/>
      <w:lang w:val="da-DK"/>
    </w:rPr>
  </w:style>
  <w:style w:type="paragraph" w:styleId="EnvelopeAddress">
    <w:name w:val="envelope address"/>
    <w:basedOn w:val="Normal"/>
    <w:pPr>
      <w:framePr w:w="7920" w:h="1980" w:hRule="exact" w:hSpace="180" w:wrap="auto" w:hAnchor="page" w:xAlign="center" w:yAlign="bottom"/>
      <w:spacing w:before="0" w:after="60"/>
      <w:ind w:left="2880"/>
      <w:jc w:val="left"/>
    </w:pPr>
    <w:rPr>
      <w:rFonts w:ascii="Arial" w:eastAsia="Times New Roman" w:hAnsi="Arial" w:cs="Arial"/>
      <w:sz w:val="22"/>
      <w:szCs w:val="24"/>
    </w:rPr>
  </w:style>
  <w:style w:type="paragraph" w:styleId="EnvelopeReturn">
    <w:name w:val="envelope return"/>
    <w:basedOn w:val="Normal"/>
    <w:pPr>
      <w:spacing w:before="0" w:after="60"/>
      <w:jc w:val="left"/>
    </w:pPr>
    <w:rPr>
      <w:rFonts w:ascii="Arial" w:eastAsia="Times New Roman" w:hAnsi="Arial" w:cs="Arial"/>
      <w:sz w:val="20"/>
      <w:szCs w:val="20"/>
    </w:rPr>
  </w:style>
  <w:style w:type="paragraph" w:styleId="HTMLAddress">
    <w:name w:val="HTML Address"/>
    <w:basedOn w:val="Normal"/>
    <w:link w:val="HTMLAddressChar"/>
    <w:pPr>
      <w:spacing w:before="0" w:after="60"/>
      <w:jc w:val="left"/>
    </w:pPr>
    <w:rPr>
      <w:rFonts w:eastAsia="Times New Roman"/>
      <w:i/>
      <w:iCs/>
      <w:sz w:val="22"/>
      <w:szCs w:val="24"/>
    </w:rPr>
  </w:style>
  <w:style w:type="character" w:customStyle="1" w:styleId="HTMLAddressChar">
    <w:name w:val="HTML Address Char"/>
    <w:basedOn w:val="DefaultParagraphFont"/>
    <w:link w:val="HTMLAddress"/>
    <w:rPr>
      <w:rFonts w:ascii="Times New Roman" w:eastAsia="Times New Roman" w:hAnsi="Times New Roman" w:cs="Times New Roman"/>
      <w:i/>
      <w:iCs/>
      <w:szCs w:val="24"/>
      <w:lang w:val="da-DK"/>
    </w:rPr>
  </w:style>
  <w:style w:type="paragraph" w:styleId="HTMLPreformatted">
    <w:name w:val="HTML Preformatted"/>
    <w:basedOn w:val="Normal"/>
    <w:link w:val="HTMLPreformattedChar"/>
    <w:pPr>
      <w:spacing w:before="0" w:after="6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lang w:val="da-DK"/>
    </w:rPr>
  </w:style>
  <w:style w:type="paragraph" w:styleId="List">
    <w:name w:val="List"/>
    <w:basedOn w:val="Normal"/>
    <w:pPr>
      <w:spacing w:before="0" w:after="60"/>
      <w:ind w:left="283" w:hanging="283"/>
      <w:jc w:val="left"/>
    </w:pPr>
    <w:rPr>
      <w:rFonts w:eastAsia="Times New Roman"/>
      <w:sz w:val="22"/>
      <w:szCs w:val="24"/>
    </w:rPr>
  </w:style>
  <w:style w:type="paragraph" w:styleId="List2">
    <w:name w:val="List 2"/>
    <w:basedOn w:val="Normal"/>
    <w:pPr>
      <w:spacing w:before="0" w:after="60"/>
      <w:ind w:left="566" w:hanging="283"/>
      <w:jc w:val="left"/>
    </w:pPr>
    <w:rPr>
      <w:rFonts w:eastAsia="Times New Roman"/>
      <w:sz w:val="22"/>
      <w:szCs w:val="24"/>
    </w:rPr>
  </w:style>
  <w:style w:type="paragraph" w:styleId="List3">
    <w:name w:val="List 3"/>
    <w:basedOn w:val="Normal"/>
    <w:pPr>
      <w:spacing w:before="0" w:after="60"/>
      <w:ind w:left="849" w:hanging="283"/>
      <w:jc w:val="left"/>
    </w:pPr>
    <w:rPr>
      <w:rFonts w:eastAsia="Times New Roman"/>
      <w:sz w:val="22"/>
      <w:szCs w:val="24"/>
    </w:rPr>
  </w:style>
  <w:style w:type="paragraph" w:styleId="List4">
    <w:name w:val="List 4"/>
    <w:basedOn w:val="Normal"/>
    <w:pPr>
      <w:spacing w:before="0" w:after="60"/>
      <w:ind w:left="1132" w:hanging="283"/>
      <w:jc w:val="left"/>
    </w:pPr>
    <w:rPr>
      <w:rFonts w:eastAsia="Times New Roman"/>
      <w:sz w:val="22"/>
      <w:szCs w:val="24"/>
    </w:rPr>
  </w:style>
  <w:style w:type="paragraph" w:styleId="List5">
    <w:name w:val="List 5"/>
    <w:basedOn w:val="Normal"/>
    <w:pPr>
      <w:spacing w:before="0" w:after="60"/>
      <w:ind w:left="1415" w:hanging="283"/>
      <w:jc w:val="left"/>
    </w:pPr>
    <w:rPr>
      <w:rFonts w:eastAsia="Times New Roman"/>
      <w:sz w:val="22"/>
      <w:szCs w:val="24"/>
    </w:rPr>
  </w:style>
  <w:style w:type="paragraph" w:styleId="ListBullet5">
    <w:name w:val="List Bullet 5"/>
    <w:basedOn w:val="Normal"/>
    <w:autoRedefine/>
    <w:pPr>
      <w:tabs>
        <w:tab w:val="num" w:pos="1492"/>
      </w:tabs>
      <w:spacing w:before="0" w:after="60"/>
      <w:ind w:left="1492" w:hanging="360"/>
      <w:jc w:val="left"/>
    </w:pPr>
    <w:rPr>
      <w:rFonts w:eastAsia="Times New Roman"/>
      <w:sz w:val="22"/>
      <w:szCs w:val="24"/>
    </w:rPr>
  </w:style>
  <w:style w:type="paragraph" w:styleId="ListContinue">
    <w:name w:val="List Continue"/>
    <w:basedOn w:val="Normal"/>
    <w:pPr>
      <w:spacing w:before="0"/>
      <w:ind w:left="283"/>
      <w:jc w:val="left"/>
    </w:pPr>
    <w:rPr>
      <w:rFonts w:eastAsia="Times New Roman"/>
      <w:sz w:val="22"/>
      <w:szCs w:val="24"/>
    </w:rPr>
  </w:style>
  <w:style w:type="paragraph" w:styleId="ListContinue2">
    <w:name w:val="List Continue 2"/>
    <w:basedOn w:val="Normal"/>
    <w:pPr>
      <w:spacing w:before="0"/>
      <w:ind w:left="566"/>
      <w:jc w:val="left"/>
    </w:pPr>
    <w:rPr>
      <w:rFonts w:eastAsia="Times New Roman"/>
      <w:sz w:val="22"/>
      <w:szCs w:val="24"/>
    </w:rPr>
  </w:style>
  <w:style w:type="paragraph" w:styleId="ListContinue3">
    <w:name w:val="List Continue 3"/>
    <w:basedOn w:val="Normal"/>
    <w:pPr>
      <w:spacing w:before="0"/>
      <w:ind w:left="849"/>
      <w:jc w:val="left"/>
    </w:pPr>
    <w:rPr>
      <w:rFonts w:eastAsia="Times New Roman"/>
      <w:sz w:val="22"/>
      <w:szCs w:val="24"/>
    </w:rPr>
  </w:style>
  <w:style w:type="paragraph" w:styleId="ListContinue4">
    <w:name w:val="List Continue 4"/>
    <w:basedOn w:val="Normal"/>
    <w:pPr>
      <w:spacing w:before="0"/>
      <w:ind w:left="1132"/>
      <w:jc w:val="left"/>
    </w:pPr>
    <w:rPr>
      <w:rFonts w:eastAsia="Times New Roman"/>
      <w:sz w:val="22"/>
      <w:szCs w:val="24"/>
    </w:rPr>
  </w:style>
  <w:style w:type="paragraph" w:styleId="ListContinue5">
    <w:name w:val="List Continue 5"/>
    <w:basedOn w:val="Normal"/>
    <w:pPr>
      <w:spacing w:before="0"/>
      <w:ind w:left="1415"/>
      <w:jc w:val="left"/>
    </w:pPr>
    <w:rPr>
      <w:rFonts w:eastAsia="Times New Roman"/>
      <w:sz w:val="22"/>
      <w:szCs w:val="24"/>
    </w:rPr>
  </w:style>
  <w:style w:type="paragraph" w:styleId="ListNumber2">
    <w:name w:val="List Number 2"/>
    <w:basedOn w:val="Normal"/>
    <w:pPr>
      <w:tabs>
        <w:tab w:val="num" w:pos="643"/>
      </w:tabs>
      <w:spacing w:before="0" w:after="60"/>
      <w:ind w:left="643" w:hanging="360"/>
      <w:jc w:val="left"/>
    </w:pPr>
    <w:rPr>
      <w:rFonts w:eastAsia="Times New Roman"/>
      <w:sz w:val="22"/>
      <w:szCs w:val="24"/>
    </w:rPr>
  </w:style>
  <w:style w:type="paragraph" w:styleId="ListNumber4">
    <w:name w:val="List Number 4"/>
    <w:basedOn w:val="Normal"/>
    <w:pPr>
      <w:tabs>
        <w:tab w:val="num" w:pos="1209"/>
      </w:tabs>
      <w:spacing w:before="0" w:after="60"/>
      <w:ind w:left="1209" w:hanging="360"/>
      <w:jc w:val="left"/>
    </w:pPr>
    <w:rPr>
      <w:rFonts w:eastAsia="Times New Roman"/>
      <w:sz w:val="22"/>
      <w:szCs w:val="24"/>
    </w:rPr>
  </w:style>
  <w:style w:type="paragraph" w:styleId="ListNumber5">
    <w:name w:val="List Number 5"/>
    <w:basedOn w:val="Normal"/>
    <w:pPr>
      <w:tabs>
        <w:tab w:val="num" w:pos="1492"/>
      </w:tabs>
      <w:spacing w:before="0" w:after="60"/>
      <w:ind w:left="1492" w:hanging="360"/>
      <w:jc w:val="left"/>
    </w:pPr>
    <w:rPr>
      <w:rFonts w:eastAsia="Times New Roman"/>
      <w:sz w:val="22"/>
      <w:szCs w:val="24"/>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60"/>
      <w:ind w:left="1134" w:hanging="1134"/>
      <w:jc w:val="left"/>
    </w:pPr>
    <w:rPr>
      <w:rFonts w:ascii="Arial" w:eastAsia="Times New Roman" w:hAnsi="Arial" w:cs="Arial"/>
      <w:sz w:val="22"/>
      <w:szCs w:val="24"/>
    </w:rPr>
  </w:style>
  <w:style w:type="character" w:customStyle="1" w:styleId="MessageHeaderChar">
    <w:name w:val="Message Header Char"/>
    <w:basedOn w:val="DefaultParagraphFont"/>
    <w:link w:val="MessageHeader"/>
    <w:rPr>
      <w:rFonts w:ascii="Arial" w:eastAsia="Times New Roman" w:hAnsi="Arial" w:cs="Arial"/>
      <w:szCs w:val="24"/>
      <w:shd w:val="pct20" w:color="auto" w:fill="auto"/>
      <w:lang w:val="da-DK"/>
    </w:rPr>
  </w:style>
  <w:style w:type="paragraph" w:styleId="NoteHeading">
    <w:name w:val="Note Heading"/>
    <w:basedOn w:val="Normal"/>
    <w:next w:val="Normal"/>
    <w:link w:val="NoteHeadingChar"/>
    <w:pPr>
      <w:spacing w:before="0" w:after="60"/>
      <w:jc w:val="left"/>
    </w:pPr>
    <w:rPr>
      <w:rFonts w:eastAsia="Times New Roman"/>
      <w:sz w:val="22"/>
      <w:szCs w:val="24"/>
    </w:rPr>
  </w:style>
  <w:style w:type="character" w:customStyle="1" w:styleId="NoteHeadingChar">
    <w:name w:val="Note Heading Char"/>
    <w:basedOn w:val="DefaultParagraphFont"/>
    <w:link w:val="NoteHeading"/>
    <w:rPr>
      <w:rFonts w:ascii="Times New Roman" w:eastAsia="Times New Roman" w:hAnsi="Times New Roman" w:cs="Times New Roman"/>
      <w:szCs w:val="24"/>
      <w:lang w:val="da-DK"/>
    </w:rPr>
  </w:style>
  <w:style w:type="paragraph" w:styleId="Salutation">
    <w:name w:val="Salutation"/>
    <w:basedOn w:val="Normal"/>
    <w:next w:val="Normal"/>
    <w:link w:val="SalutationChar"/>
    <w:pPr>
      <w:spacing w:before="0" w:after="60"/>
      <w:jc w:val="left"/>
    </w:pPr>
    <w:rPr>
      <w:rFonts w:eastAsia="Times New Roman"/>
      <w:sz w:val="22"/>
      <w:szCs w:val="24"/>
    </w:rPr>
  </w:style>
  <w:style w:type="character" w:customStyle="1" w:styleId="SalutationChar">
    <w:name w:val="Salutation Char"/>
    <w:basedOn w:val="DefaultParagraphFont"/>
    <w:link w:val="Salutation"/>
    <w:rPr>
      <w:rFonts w:ascii="Times New Roman" w:eastAsia="Times New Roman" w:hAnsi="Times New Roman" w:cs="Times New Roman"/>
      <w:szCs w:val="24"/>
      <w:lang w:val="da-DK"/>
    </w:rPr>
  </w:style>
  <w:style w:type="paragraph" w:styleId="Signature">
    <w:name w:val="Signature"/>
    <w:basedOn w:val="Normal"/>
    <w:link w:val="SignatureChar"/>
    <w:pPr>
      <w:spacing w:before="0" w:after="60"/>
      <w:ind w:left="4252"/>
      <w:jc w:val="left"/>
    </w:pPr>
    <w:rPr>
      <w:rFonts w:eastAsia="Times New Roman"/>
      <w:sz w:val="22"/>
      <w:szCs w:val="24"/>
    </w:rPr>
  </w:style>
  <w:style w:type="character" w:customStyle="1" w:styleId="SignatureChar">
    <w:name w:val="Signature Char"/>
    <w:basedOn w:val="DefaultParagraphFont"/>
    <w:link w:val="Signature"/>
    <w:rPr>
      <w:rFonts w:ascii="Times New Roman" w:eastAsia="Times New Roman" w:hAnsi="Times New Roman" w:cs="Times New Roman"/>
      <w:szCs w:val="24"/>
      <w:lang w:val="da-DK"/>
    </w:rPr>
  </w:style>
  <w:style w:type="paragraph" w:styleId="Subtitle">
    <w:name w:val="Subtitle"/>
    <w:basedOn w:val="Normal"/>
    <w:link w:val="SubtitleChar"/>
    <w:qFormat/>
    <w:pPr>
      <w:spacing w:before="0" w:after="60"/>
      <w:jc w:val="center"/>
      <w:outlineLvl w:val="1"/>
    </w:pPr>
    <w:rPr>
      <w:rFonts w:ascii="Arial" w:eastAsia="Times New Roman" w:hAnsi="Arial" w:cs="Arial"/>
      <w:sz w:val="22"/>
      <w:szCs w:val="24"/>
    </w:rPr>
  </w:style>
  <w:style w:type="character" w:customStyle="1" w:styleId="SubtitleChar">
    <w:name w:val="Subtitle Char"/>
    <w:basedOn w:val="DefaultParagraphFont"/>
    <w:link w:val="Subtitle"/>
    <w:rPr>
      <w:rFonts w:ascii="Arial" w:eastAsia="Times New Roman" w:hAnsi="Arial" w:cs="Arial"/>
      <w:szCs w:val="24"/>
      <w:lang w:val="da-DK"/>
    </w:rPr>
  </w:style>
  <w:style w:type="paragraph" w:styleId="Title">
    <w:name w:val="Title"/>
    <w:basedOn w:val="Normal"/>
    <w:link w:val="TitleChar"/>
    <w:qFormat/>
    <w:pPr>
      <w:spacing w:before="240" w:after="60"/>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Pr>
      <w:rFonts w:ascii="Arial" w:eastAsia="Times New Roman" w:hAnsi="Arial" w:cs="Arial"/>
      <w:b/>
      <w:bCs/>
      <w:kern w:val="28"/>
      <w:sz w:val="32"/>
      <w:szCs w:val="32"/>
      <w:lang w:val="da-DK"/>
    </w:rPr>
  </w:style>
  <w:style w:type="table" w:styleId="TableGrid7">
    <w:name w:val="Table Grid 7"/>
    <w:basedOn w:val="TableNormal"/>
    <w:pPr>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Heading5Heading5CFMUPara5h5t5T5JustifiedBefore">
    <w:name w:val="Heading 5Heading 5 CFMUPara 5h5t5.T5 + Justified Before:..."/>
    <w:basedOn w:val="Heading5"/>
    <w:pPr>
      <w:keepNext/>
      <w:widowControl w:val="0"/>
      <w:tabs>
        <w:tab w:val="clear" w:pos="0"/>
        <w:tab w:val="num" w:pos="1008"/>
        <w:tab w:val="left" w:pos="1134"/>
      </w:tabs>
      <w:spacing w:before="360" w:after="240"/>
      <w:ind w:left="1008" w:hanging="1008"/>
      <w:jc w:val="left"/>
    </w:pPr>
    <w:rPr>
      <w:rFonts w:ascii="Times New Roman" w:hAnsi="Times New Roman"/>
      <w:bCs w:val="0"/>
      <w:i w:val="0"/>
      <w:iCs w:val="0"/>
      <w:sz w:val="24"/>
      <w:szCs w:val="22"/>
      <w:lang w:eastAsia="ko-KR"/>
    </w:rPr>
  </w:style>
  <w:style w:type="paragraph" w:customStyle="1" w:styleId="TableauJVI">
    <w:name w:val="TableauJVI"/>
    <w:basedOn w:val="Normal"/>
    <w:pPr>
      <w:spacing w:before="0" w:after="60"/>
      <w:jc w:val="center"/>
    </w:pPr>
    <w:rPr>
      <w:rFonts w:eastAsia="Times New Roman"/>
      <w:sz w:val="22"/>
      <w:szCs w:val="24"/>
      <w:lang w:eastAsia="ko-KR"/>
    </w:rPr>
  </w:style>
  <w:style w:type="paragraph" w:customStyle="1" w:styleId="Arial">
    <w:name w:val="Arial"/>
    <w:basedOn w:val="Normal"/>
    <w:pPr>
      <w:spacing w:before="60" w:after="60"/>
      <w:ind w:left="-142" w:right="-111"/>
      <w:jc w:val="left"/>
    </w:pPr>
    <w:rPr>
      <w:rFonts w:eastAsia="Times New Roman"/>
      <w:sz w:val="22"/>
      <w:szCs w:val="20"/>
      <w:lang w:eastAsia="ko-KR"/>
    </w:rPr>
  </w:style>
  <w:style w:type="paragraph" w:customStyle="1" w:styleId="Tahoma">
    <w:name w:val="Tahoma"/>
    <w:basedOn w:val="Arial"/>
  </w:style>
  <w:style w:type="paragraph" w:customStyle="1" w:styleId="annex1">
    <w:name w:val="annex1"/>
    <w:basedOn w:val="Normal"/>
    <w:next w:val="Normal"/>
    <w:pPr>
      <w:numPr>
        <w:numId w:val="19"/>
      </w:numPr>
      <w:spacing w:before="160" w:after="0"/>
      <w:outlineLvl w:val="1"/>
    </w:pPr>
    <w:rPr>
      <w:rFonts w:eastAsia="Times New Roman"/>
      <w:b/>
      <w:smallCaps/>
      <w:szCs w:val="20"/>
      <w:lang w:eastAsia="fr-FR"/>
    </w:rPr>
  </w:style>
  <w:style w:type="paragraph" w:customStyle="1" w:styleId="Annex">
    <w:name w:val="Annex"/>
    <w:basedOn w:val="Heading1"/>
    <w:pPr>
      <w:pageBreakBefore/>
      <w:widowControl w:val="0"/>
      <w:numPr>
        <w:numId w:val="0"/>
      </w:numPr>
      <w:spacing w:before="120" w:after="60"/>
    </w:pPr>
    <w:rPr>
      <w:rFonts w:eastAsia="Times New Roman"/>
      <w:bCs w:val="0"/>
      <w:sz w:val="28"/>
      <w:szCs w:val="20"/>
    </w:rPr>
  </w:style>
  <w:style w:type="paragraph" w:customStyle="1" w:styleId="annex2">
    <w:name w:val="annex2"/>
    <w:basedOn w:val="annex1"/>
    <w:pPr>
      <w:numPr>
        <w:ilvl w:val="1"/>
      </w:numPr>
      <w:tabs>
        <w:tab w:val="clear" w:pos="576"/>
        <w:tab w:val="num" w:pos="993"/>
      </w:tabs>
    </w:pPr>
  </w:style>
  <w:style w:type="character" w:customStyle="1" w:styleId="CaptionChar">
    <w:name w:val="Caption Char"/>
    <w:aliases w:val="CaptionCFMU Char,CaptionTLS Char"/>
    <w:link w:val="Caption"/>
    <w:rPr>
      <w:rFonts w:ascii="CG Times (W1)" w:eastAsia="Times New Roman" w:hAnsi="CG Times (W1)" w:cs="Times New Roman"/>
      <w:sz w:val="20"/>
      <w:szCs w:val="20"/>
      <w:lang w:val="da-DK"/>
    </w:rPr>
  </w:style>
  <w:style w:type="character" w:styleId="PlaceholderText">
    <w:name w:val="Placeholder Text"/>
    <w:uiPriority w:val="99"/>
    <w:semiHidden/>
    <w:rPr>
      <w:color w:val="808080"/>
    </w:rPr>
  </w:style>
  <w:style w:type="character" w:customStyle="1" w:styleId="st">
    <w:name w:val="st"/>
  </w:style>
  <w:style w:type="character" w:customStyle="1" w:styleId="WW8Num1z0">
    <w:name w:val="WW8Num1z0"/>
    <w:rPr>
      <w:rFonts w:ascii="Symbol" w:hAnsi="Symbol" w:cs="Symbol"/>
    </w:rPr>
  </w:style>
  <w:style w:type="character" w:customStyle="1" w:styleId="UnresolvedMention1">
    <w:name w:val="Unresolved Mention1"/>
    <w:uiPriority w:val="99"/>
    <w:semiHidden/>
    <w:unhideWhenUsed/>
    <w:rPr>
      <w:color w:val="808080"/>
      <w:shd w:val="clear" w:color="auto" w:fill="E6E6E6"/>
    </w:rPr>
  </w:style>
  <w:style w:type="numbering" w:customStyle="1" w:styleId="NoList2">
    <w:name w:val="No List2"/>
    <w:next w:val="NoList"/>
    <w:uiPriority w:val="99"/>
    <w:semiHidden/>
    <w:unhideWhenUsed/>
  </w:style>
  <w:style w:type="numbering" w:customStyle="1" w:styleId="NoList111">
    <w:name w:val="No List111"/>
    <w:next w:val="NoList"/>
    <w:uiPriority w:val="99"/>
    <w:semiHidden/>
    <w:unhideWhenUsed/>
  </w:style>
  <w:style w:type="numbering" w:customStyle="1" w:styleId="NoList1111">
    <w:name w:val="No List1111"/>
    <w:next w:val="NoList"/>
    <w:uiPriority w:val="99"/>
    <w:semiHidden/>
    <w:unhideWhenUsed/>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 71"/>
    <w:basedOn w:val="TableNormal"/>
    <w:next w:val="TableGrid7"/>
    <w:pPr>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2">
    <w:name w:val="Table Grid2"/>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a-DK"/>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9"/>
      </w:numPr>
    </w:pPr>
  </w:style>
  <w:style w:type="paragraph" w:customStyle="1" w:styleId="Tiret1">
    <w:name w:val="Tiret 1"/>
    <w:basedOn w:val="Point1"/>
    <w:pPr>
      <w:numPr>
        <w:numId w:val="40"/>
      </w:numPr>
    </w:pPr>
  </w:style>
  <w:style w:type="paragraph" w:customStyle="1" w:styleId="Tiret2">
    <w:name w:val="Tiret 2"/>
    <w:basedOn w:val="Point2"/>
    <w:pPr>
      <w:numPr>
        <w:numId w:val="41"/>
      </w:numPr>
    </w:pPr>
  </w:style>
  <w:style w:type="paragraph" w:customStyle="1" w:styleId="Tiret3">
    <w:name w:val="Tiret 3"/>
    <w:basedOn w:val="Point3"/>
    <w:pPr>
      <w:numPr>
        <w:numId w:val="42"/>
      </w:numPr>
    </w:pPr>
  </w:style>
  <w:style w:type="paragraph" w:customStyle="1" w:styleId="Tiret4">
    <w:name w:val="Tiret 4"/>
    <w:basedOn w:val="Point4"/>
    <w:pPr>
      <w:numPr>
        <w:numId w:val="4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4"/>
      </w:numPr>
    </w:pPr>
  </w:style>
  <w:style w:type="paragraph" w:customStyle="1" w:styleId="NumPar2">
    <w:name w:val="NumPar 2"/>
    <w:basedOn w:val="Normal"/>
    <w:next w:val="Text1"/>
    <w:pPr>
      <w:numPr>
        <w:ilvl w:val="1"/>
        <w:numId w:val="44"/>
      </w:numPr>
    </w:pPr>
  </w:style>
  <w:style w:type="paragraph" w:customStyle="1" w:styleId="NumPar3">
    <w:name w:val="NumPar 3"/>
    <w:basedOn w:val="Normal"/>
    <w:next w:val="Text1"/>
    <w:pPr>
      <w:numPr>
        <w:ilvl w:val="2"/>
        <w:numId w:val="44"/>
      </w:numPr>
    </w:pPr>
  </w:style>
  <w:style w:type="paragraph" w:customStyle="1" w:styleId="NumPar4">
    <w:name w:val="NumPar 4"/>
    <w:basedOn w:val="Normal"/>
    <w:next w:val="Text1"/>
    <w:pPr>
      <w:numPr>
        <w:ilvl w:val="3"/>
        <w:numId w:val="4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6"/>
      </w:numPr>
    </w:pPr>
  </w:style>
  <w:style w:type="paragraph" w:customStyle="1" w:styleId="Point1number">
    <w:name w:val="Point 1 (number)"/>
    <w:basedOn w:val="Normal"/>
    <w:pPr>
      <w:numPr>
        <w:ilvl w:val="2"/>
        <w:numId w:val="46"/>
      </w:numPr>
    </w:pPr>
  </w:style>
  <w:style w:type="paragraph" w:customStyle="1" w:styleId="Point2number">
    <w:name w:val="Point 2 (number)"/>
    <w:basedOn w:val="Normal"/>
    <w:pPr>
      <w:numPr>
        <w:ilvl w:val="4"/>
        <w:numId w:val="46"/>
      </w:numPr>
    </w:pPr>
  </w:style>
  <w:style w:type="paragraph" w:customStyle="1" w:styleId="Point3number">
    <w:name w:val="Point 3 (number)"/>
    <w:basedOn w:val="Normal"/>
    <w:pPr>
      <w:numPr>
        <w:ilvl w:val="6"/>
        <w:numId w:val="46"/>
      </w:numPr>
    </w:pPr>
  </w:style>
  <w:style w:type="paragraph" w:customStyle="1" w:styleId="Point0letter">
    <w:name w:val="Point 0 (letter)"/>
    <w:basedOn w:val="Normal"/>
    <w:pPr>
      <w:numPr>
        <w:ilvl w:val="1"/>
        <w:numId w:val="46"/>
      </w:numPr>
    </w:pPr>
  </w:style>
  <w:style w:type="paragraph" w:customStyle="1" w:styleId="Point1letter">
    <w:name w:val="Point 1 (letter)"/>
    <w:basedOn w:val="Normal"/>
    <w:pPr>
      <w:numPr>
        <w:ilvl w:val="3"/>
        <w:numId w:val="46"/>
      </w:numPr>
    </w:pPr>
  </w:style>
  <w:style w:type="paragraph" w:customStyle="1" w:styleId="Point2letter">
    <w:name w:val="Point 2 (letter)"/>
    <w:basedOn w:val="Normal"/>
    <w:pPr>
      <w:numPr>
        <w:ilvl w:val="5"/>
        <w:numId w:val="46"/>
      </w:numPr>
    </w:pPr>
  </w:style>
  <w:style w:type="paragraph" w:customStyle="1" w:styleId="Point3letter">
    <w:name w:val="Point 3 (letter)"/>
    <w:basedOn w:val="Normal"/>
    <w:pPr>
      <w:numPr>
        <w:ilvl w:val="7"/>
        <w:numId w:val="46"/>
      </w:numPr>
    </w:pPr>
  </w:style>
  <w:style w:type="paragraph" w:customStyle="1" w:styleId="Point4letter">
    <w:name w:val="Point 4 (letter)"/>
    <w:basedOn w:val="Normal"/>
    <w:pPr>
      <w:numPr>
        <w:ilvl w:val="8"/>
        <w:numId w:val="46"/>
      </w:numPr>
    </w:pPr>
  </w:style>
  <w:style w:type="paragraph" w:customStyle="1" w:styleId="Bullet0">
    <w:name w:val="Bullet 0"/>
    <w:basedOn w:val="Normal"/>
    <w:pPr>
      <w:numPr>
        <w:numId w:val="47"/>
      </w:numPr>
    </w:pPr>
  </w:style>
  <w:style w:type="paragraph" w:customStyle="1" w:styleId="Bullet1">
    <w:name w:val="Bullet 1"/>
    <w:basedOn w:val="Normal"/>
    <w:pPr>
      <w:numPr>
        <w:numId w:val="48"/>
      </w:numPr>
    </w:pPr>
  </w:style>
  <w:style w:type="paragraph" w:customStyle="1" w:styleId="Bullet2">
    <w:name w:val="Bullet 2"/>
    <w:basedOn w:val="Normal"/>
    <w:pPr>
      <w:numPr>
        <w:numId w:val="49"/>
      </w:numPr>
    </w:pPr>
  </w:style>
  <w:style w:type="paragraph" w:customStyle="1" w:styleId="Bullet3">
    <w:name w:val="Bullet 3"/>
    <w:basedOn w:val="Normal"/>
    <w:pPr>
      <w:numPr>
        <w:numId w:val="50"/>
      </w:numPr>
    </w:pPr>
  </w:style>
  <w:style w:type="paragraph" w:customStyle="1" w:styleId="Bullet4">
    <w:name w:val="Bullet 4"/>
    <w:basedOn w:val="Normal"/>
    <w:pPr>
      <w:numPr>
        <w:numId w:val="5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support@itsmtaxud.europa.eu" TargetMode="External"/><Relationship Id="rId26" Type="http://schemas.openxmlformats.org/officeDocument/2006/relationships/hyperlink" Target="https://itsmtaxud.europa.eu/sites/itsm-portal/home/publishing-platform.html?path=eJwVyMENgCAMAMBVXMB0BgNv4wpVizYpLYGi64vPO2js1IC95blYdRRILGNK34XbzXptgp6sZghhhWiviuE5LZVw6OiZ1NHZFCI9JFb--ACtrSEs" TargetMode="External"/><Relationship Id="rId3" Type="http://schemas.openxmlformats.org/officeDocument/2006/relationships/styles" Target="styles.xml"/><Relationship Id="rId21" Type="http://schemas.openxmlformats.org/officeDocument/2006/relationships/hyperlink" Target="https://itsmtaxud.europa.eu/sites/itsm-portal/home/publishing-platform.html?path=eJwdyMENgCAMAMBVXMB0BoJv4wpVQJuUltAS15f4vAMjzwbkVtem3ZGhEM9p42Syh-Q-GL1orxDjDpu-woppCT3j1DVqFkcnFQipkpB5__kBE4Qibw" TargetMode="External"/><Relationship Id="rId34" Type="http://schemas.openxmlformats.org/officeDocument/2006/relationships/hyperlink" Target="https://itsmtaxud.europa.eu/smt/ess.do"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s://itsmtaxud.europa.eu/sites/itsm-portal/home/publishing-platform.html?path=eJwNyMEJgDAMAMBVXEAyg1TwJ64QNdVAmpQmxfXt8w6cgxw4vMzVWqBAZhlT-ynsL-tzCEa2ViClHVb7VAzvaWmEQ1cvpIHBprCRUkP5ASt5H2c" TargetMode="External"/><Relationship Id="rId33" Type="http://schemas.openxmlformats.org/officeDocument/2006/relationships/hyperlink" Target="http://portal.ccntc.ccncsi.int:8080/portal"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itsmtaxud.europa.eu/sites/itsm-portal/home/publishing-platform.html?path=eJwdyMENgCAMAMBVXMB0BoJv4wpVQJuUltAS15f4vAMjzwbkVtem3ZGhEM9p42Syh-Q-GL1orxDjDpu-woppCT3j1DVqFkcnFQipkpB5__kBE4Qibw" TargetMode="External"/><Relationship Id="rId29" Type="http://schemas.openxmlformats.org/officeDocument/2006/relationships/hyperlink" Target="https://itsmtaxud.europa.eu/sites/itsm-portal/home/publishing-platform.html?path=eJwNyMEJgDAMAMBVXEAyg1TwJ64QNdVAmpQmxfXt8w6cgxw4vMzVWqBAZhlT-ynsL-tzCEa2ViClHVb7VAzvaWmEQ1cvpIHBprCRUkP5ASt5H2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itsmtaxud.europa.eu/sites/itsm-portal/home/publishing-platform.html?path=eJwNyMEJgDAMAMBVXEAyg1TwJ64QNdVAmpQmxfXt8w6cgxw4vMzVWqBAZhlT-ynsL-tzCEa2ViClHVb7VAzvaWmEQ1cvpIHBprCRUkP5ASt5H2c" TargetMode="External"/><Relationship Id="rId32" Type="http://schemas.openxmlformats.org/officeDocument/2006/relationships/hyperlink" Target="mailto:support@itsmtaxud.europa.e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itsmtaxud.europa.eu/sites/itsm-portal/home/publishing-platform.html?path=eJwdyMENgCAMAMBVXMB0BoJv4wpVQJuUltAS15f4vAMjzwbkVtem3ZGhEM9p42Syh-Q-GL1orxDjDpu-woppCT3j1DVqFkcnFQipkpB5__kBE4Qibw" TargetMode="External"/><Relationship Id="rId28" Type="http://schemas.openxmlformats.org/officeDocument/2006/relationships/hyperlink" Target="https://itsmtaxud.europa.eu/sites/itsm-portal/home/publishing-platform.html?path=eJwdyMENgCAMAMBVXMB0BoJv4wpVQJuUltAS15f4vAMjzwbkVtem3ZGhEM9p42Syh-Q-GL1orxDjDpu-woppCT3j1DVqFkcnFQipkpB5__kBE4Qibw"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itsmtaxud.europa.eu/sites/itsm-portal/home/publishing-platform.html?path=eJwNyMEJgDAMAMBVXEAyg1TwJ64QNdVAmpQmxfXt8w6cgxw4vMzVWqBAZhlT-ynsL-tzCEa2ViClHVb7VAzvaWmEQ1cvpIHBprCRUkP5ASt5H2c" TargetMode="External"/><Relationship Id="rId31" Type="http://schemas.openxmlformats.org/officeDocument/2006/relationships/hyperlink" Target="https://itsmtaxud.europa.eu/sites/itsm-portal/home/publishing-platform.html?path=eJwNyMEJgDAMAMBVXEAyg1TwJ64QNdVAmpQmxfXt8w6cgxw4vMzVWqBAZhlT-ynsL-tzCEa2ViClHVb7VAzvaWmEQ1cvpIHBprCRUkP5ASt5H2c"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yperlink" Target="https://itsmtaxud.europa.eu/sites/itsm-portal/home/publishing-platform.html?path=eJwdyMENgCAMAMBVXMB0BoJv4wpVQJuUltAS15f4vAMjzwbkVtem3ZGhEM9p42Syh-Q-GL1orxDjDpu-woppCT3j1DVqFkcnFQipkpB5__kBE4Qibw" TargetMode="External"/><Relationship Id="rId27" Type="http://schemas.openxmlformats.org/officeDocument/2006/relationships/hyperlink" Target="https://itsmtaxud.europa.eu/sites/itsm-portal/home/publishing-platform.html?path=eJwdyMENgCAMAMBVXMB0BoJv4wpVQJuUltAS15f4vAMjzwbkVtem3ZGhEM9p42Syh-Q-GL1orxDjDpu-woppCT3j1DVqFkcnFQipkpB5__kBE4Qibw" TargetMode="External"/><Relationship Id="rId30" Type="http://schemas.openxmlformats.org/officeDocument/2006/relationships/hyperlink" Target="https://itsmtaxud.europa.eu/sites/itsm-portal/home/publishing-platform.html?path=eJwdyMENgCAMAMBVXMB0BoJv4wpVQJuUltAS15f4vAMjzwbkVtem3ZGhEM9p42Syh-Q-GL1orxDjDpu-woppCT3j1DVqFkcnFQipkpB5__kBE4Qibw" TargetMode="External"/><Relationship Id="rId35" Type="http://schemas.openxmlformats.org/officeDocument/2006/relationships/hyperlink" Target="http://portal.ccntc.ccncsi.int:8080/port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portal.ccntc.ccncsi.int:8080/portal/DesktopDefault.aspx?tabid=1" TargetMode="External"/><Relationship Id="rId2" Type="http://schemas.openxmlformats.org/officeDocument/2006/relationships/hyperlink" Target="http://www.best-management-practice.com/gempdf/itSMF_An_Introductory_Overview_of_ITIL_V3.pdf" TargetMode="External"/><Relationship Id="rId1" Type="http://schemas.openxmlformats.org/officeDocument/2006/relationships/hyperlink" Target="http://www.itil-officialsit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B629C84-8E11-4DA1-951A-95BABE9D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5</TotalTime>
  <Pages>35</Pages>
  <Words>8098</Words>
  <Characters>56206</Characters>
  <Application>Microsoft Office Word</Application>
  <DocSecurity>0</DocSecurity>
  <Lines>1605</Lines>
  <Paragraphs>1054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DQC</dc:creator>
  <cp:lastModifiedBy>WES PDFC Administrator</cp:lastModifiedBy>
  <cp:revision>8</cp:revision>
  <cp:lastPrinted>2018-10-29T14:56:00Z</cp:lastPrinted>
  <dcterms:created xsi:type="dcterms:W3CDTF">2018-12-06T14:50:00Z</dcterms:created>
  <dcterms:modified xsi:type="dcterms:W3CDTF">2018-12-10T14:52:00Z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First annex">
    <vt:lpwstr>1</vt:lpwstr>
  </property>
  <property fmtid="{D5CDD505-2E9C-101B-9397-08002B2CF9AE}" pid="7" name="Last annex">
    <vt:lpwstr>6</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