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alt="C05E583E-9388-4717-9B78-42580728B7F6" style="width:449.85pt;height:334.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rPr>
          <w:noProof/>
          <w:sz w:val="28"/>
          <w:szCs w:val="28"/>
        </w:rPr>
      </w:pPr>
      <w:bookmarkStart w:id="1" w:name="_Toc472077562"/>
      <w:bookmarkStart w:id="2" w:name="_Toc520120175"/>
      <w:bookmarkStart w:id="3" w:name="_GoBack"/>
      <w:bookmarkEnd w:id="3"/>
      <w:r>
        <w:rPr>
          <w:noProof/>
          <w:sz w:val="28"/>
          <w:szCs w:val="28"/>
        </w:rPr>
        <w:lastRenderedPageBreak/>
        <w:t>INTRODUCTION</w:t>
      </w:r>
      <w:bookmarkEnd w:id="1"/>
      <w:bookmarkEnd w:id="2"/>
    </w:p>
    <w:p>
      <w:pPr>
        <w:rPr>
          <w:noProof/>
        </w:rPr>
      </w:pPr>
    </w:p>
    <w:p>
      <w:pPr>
        <w:spacing w:line="360" w:lineRule="auto"/>
        <w:jc w:val="both"/>
        <w:rPr>
          <w:rFonts w:cs="Times New Roman"/>
          <w:noProof/>
        </w:rPr>
      </w:pPr>
      <w:r>
        <w:rPr>
          <w:rFonts w:eastAsia="Times New Roman" w:cs="Times New Roman"/>
          <w:noProof/>
          <w:lang w:eastAsia="en-GB"/>
        </w:rPr>
        <w:t xml:space="preserve">This report presents the implementation of the </w:t>
      </w:r>
      <w:r>
        <w:rPr>
          <w:noProof/>
        </w:rPr>
        <w:t xml:space="preserve">2015 annual work programme (2015 AWP), </w:t>
      </w:r>
      <w:r>
        <w:rPr>
          <w:rFonts w:eastAsia="Times New Roman" w:cs="Times New Roman"/>
          <w:noProof/>
          <w:lang w:eastAsia="en-GB"/>
        </w:rPr>
        <w:t>under the third Health Programme 2014-2020</w:t>
      </w:r>
      <w:r>
        <w:rPr>
          <w:rFonts w:cs="Times New Roman"/>
          <w:noProof/>
        </w:rPr>
        <w:t xml:space="preserve"> established by Regulation (EU) No 282/2014 of the European Parliament and of the Council of 11 March 2014</w:t>
      </w:r>
      <w:r>
        <w:rPr>
          <w:rStyle w:val="FootnoteReference"/>
          <w:rFonts w:cs="Times New Roman"/>
          <w:noProof/>
        </w:rPr>
        <w:footnoteReference w:id="2"/>
      </w:r>
      <w:r>
        <w:rPr>
          <w:rFonts w:cs="Times New Roman"/>
          <w:noProof/>
        </w:rPr>
        <w:t>.</w:t>
      </w:r>
    </w:p>
    <w:p>
      <w:pPr>
        <w:spacing w:line="360" w:lineRule="auto"/>
        <w:jc w:val="both"/>
        <w:rPr>
          <w:noProof/>
          <w:lang w:eastAsia="en-GB"/>
        </w:rPr>
      </w:pPr>
      <w:r>
        <w:rPr>
          <w:rFonts w:cs="Times New Roman"/>
          <w:noProof/>
        </w:rPr>
        <w:t>Under Article 13 of the Regulation, the Commission must report to the Health Programme Committee on the implementation of all actions funded under the Programme and also to the European Parliament and the Council. This report meets the latter requirement. It provides detailed information on the 2015 budget and how it was committed. It also takes account of the</w:t>
      </w:r>
      <w:r>
        <w:rPr>
          <w:noProof/>
        </w:rPr>
        <w:t xml:space="preserve"> amendment to the 2015 AWP </w:t>
      </w:r>
      <w:r>
        <w:rPr>
          <w:rFonts w:eastAsia="Times New Roman" w:cs="Times New Roman"/>
          <w:noProof/>
          <w:lang w:eastAsia="en-GB"/>
        </w:rPr>
        <w:t xml:space="preserve">to channel funding towards those </w:t>
      </w:r>
      <w:r>
        <w:rPr>
          <w:noProof/>
          <w:lang w:eastAsia="en-GB"/>
        </w:rPr>
        <w:t xml:space="preserve">Member States under particular migratory pressure that require </w:t>
      </w:r>
      <w:r>
        <w:rPr>
          <w:rFonts w:eastAsia="Times New Roman" w:cs="Times New Roman"/>
          <w:noProof/>
          <w:lang w:eastAsia="en-GB"/>
        </w:rPr>
        <w:t>support</w:t>
      </w:r>
      <w:r>
        <w:rPr>
          <w:noProof/>
          <w:lang w:eastAsia="en-GB"/>
        </w:rPr>
        <w:t xml:space="preserve"> in their response to the related health challenges.</w:t>
      </w:r>
    </w:p>
    <w:p>
      <w:pPr>
        <w:spacing w:line="360" w:lineRule="auto"/>
        <w:jc w:val="both"/>
        <w:rPr>
          <w:noProof/>
        </w:rPr>
      </w:pPr>
      <w:r>
        <w:rPr>
          <w:rFonts w:cs="Times New Roman"/>
          <w:noProof/>
        </w:rPr>
        <w:t xml:space="preserve">The Commission Staff Working Document accompanying this </w:t>
      </w:r>
      <w:r>
        <w:rPr>
          <w:noProof/>
        </w:rPr>
        <w:t xml:space="preserve">Report </w:t>
      </w:r>
      <w:r>
        <w:rPr>
          <w:rFonts w:cs="Times New Roman"/>
          <w:noProof/>
        </w:rPr>
        <w:t>sets out a number of examples of the key actions co-funded under the second</w:t>
      </w:r>
      <w:r>
        <w:rPr>
          <w:rStyle w:val="FootnoteReference"/>
          <w:rFonts w:cs="Times New Roman"/>
          <w:noProof/>
        </w:rPr>
        <w:footnoteReference w:id="3"/>
      </w:r>
      <w:r>
        <w:rPr>
          <w:rFonts w:cs="Times New Roman"/>
          <w:noProof/>
        </w:rPr>
        <w:t xml:space="preserve"> and third Health Programmes, for which final results became available in 2015. It also gives examples of actions funded under the 2015 work programme in supportive fields such as evaluation and dissemination. The report also provides tables with an overview of all co-funded activities and contracts</w:t>
      </w:r>
      <w:r>
        <w:rPr>
          <w:noProof/>
        </w:rPr>
        <w:t>.</w:t>
      </w:r>
    </w:p>
    <w:p>
      <w:pPr>
        <w:spacing w:line="360" w:lineRule="auto"/>
        <w:jc w:val="both"/>
        <w:rPr>
          <w:noProof/>
          <w:lang w:eastAsia="en-GB"/>
        </w:rPr>
      </w:pPr>
      <w:r>
        <w:rPr>
          <w:noProof/>
        </w:rPr>
        <w:t>T</w:t>
      </w:r>
      <w:r>
        <w:rPr>
          <w:rFonts w:eastAsia="Times New Roman" w:cs="Times New Roman"/>
          <w:noProof/>
          <w:lang w:eastAsia="en-GB"/>
        </w:rPr>
        <w:t>he 2015 AWP focused on innovation in health and healthcare, with two related action streams (health technology and migrants’ health) highlighted in this report. The Commission decided to amend the 2015 AWP</w:t>
      </w:r>
      <w:r>
        <w:rPr>
          <w:rStyle w:val="FootnoteReference"/>
          <w:rFonts w:eastAsia="Times New Roman" w:cs="Times New Roman"/>
          <w:noProof/>
          <w:lang w:eastAsia="en-GB"/>
        </w:rPr>
        <w:footnoteReference w:id="4"/>
      </w:r>
      <w:r>
        <w:rPr>
          <w:rFonts w:eastAsia="Times New Roman" w:cs="Times New Roman"/>
          <w:noProof/>
          <w:lang w:eastAsia="en-GB"/>
        </w:rPr>
        <w:t xml:space="preserve"> in response</w:t>
      </w:r>
      <w:r>
        <w:rPr>
          <w:noProof/>
        </w:rPr>
        <w:t xml:space="preserve"> to the high influx of migrants in clear need of international protection and the need to provide financial support to organisations able to support Member States in addressing this emergency situation</w:t>
      </w:r>
      <w:r>
        <w:rPr>
          <w:noProof/>
          <w:lang w:eastAsia="en-GB"/>
        </w:rPr>
        <w:t>.</w:t>
      </w:r>
    </w:p>
    <w:p>
      <w:pPr>
        <w:spacing w:line="360" w:lineRule="auto"/>
        <w:jc w:val="both"/>
        <w:rPr>
          <w:rFonts w:eastAsia="Times New Roman" w:cs="Times New Roman"/>
          <w:noProof/>
          <w:lang w:eastAsia="en-GB"/>
        </w:rPr>
      </w:pPr>
      <w:r>
        <w:rPr>
          <w:noProof/>
        </w:rPr>
        <w:t>The Commission ensures that the implementation of the third Health Programme is closely monitored and that results are publicised more widely. It also continues to encourage all Member</w:t>
      </w:r>
      <w:r>
        <w:rPr>
          <w:rFonts w:cs="Times New Roman"/>
          <w:noProof/>
        </w:rPr>
        <w:t xml:space="preserve"> States and other countries involved in the Programme to participate and continues to seek synergies with other EU funding programmes. </w:t>
      </w:r>
      <w:r>
        <w:rPr>
          <w:rFonts w:cs="Times New Roman"/>
          <w:noProof/>
        </w:rPr>
        <w:br w:type="page"/>
      </w:r>
    </w:p>
    <w:bookmarkStart w:id="4" w:name="_Toc472077563" w:displacedByCustomXml="next"/>
    <w:sdt>
      <w:sdtPr>
        <w:rPr>
          <w:rFonts w:eastAsiaTheme="minorHAnsi" w:cstheme="minorBidi"/>
          <w:b w:val="0"/>
          <w:noProof/>
          <w:sz w:val="22"/>
          <w:szCs w:val="22"/>
        </w:rPr>
        <w:id w:val="4676546"/>
        <w:docPartObj>
          <w:docPartGallery w:val="Table of Contents"/>
          <w:docPartUnique/>
        </w:docPartObj>
      </w:sdtPr>
      <w:sdtContent>
        <w:p>
          <w:pPr>
            <w:pStyle w:val="TOCHeading"/>
            <w:rPr>
              <w:noProof/>
            </w:rPr>
          </w:pPr>
          <w:r>
            <w:rPr>
              <w:noProof/>
            </w:rPr>
            <w:t>TABLE OF CONTENTS</w:t>
          </w:r>
        </w:p>
        <w:p>
          <w:pPr>
            <w:pStyle w:val="TOC1"/>
            <w:rPr>
              <w:rFonts w:asciiTheme="minorHAnsi" w:eastAsiaTheme="minorEastAsia" w:hAnsiTheme="minorHAnsi" w:cstheme="minorBidi"/>
              <w:sz w:val="22"/>
              <w:szCs w:val="22"/>
              <w:lang w:eastAsia="en-GB"/>
            </w:rPr>
          </w:pPr>
          <w:r>
            <w:rPr>
              <w:sz w:val="22"/>
              <w:szCs w:val="22"/>
            </w:rPr>
            <w:fldChar w:fldCharType="begin"/>
          </w:r>
          <w:r>
            <w:rPr>
              <w:sz w:val="22"/>
              <w:szCs w:val="22"/>
            </w:rPr>
            <w:instrText xml:space="preserve"> TOC \o "1-3" \h \z \u </w:instrText>
          </w:r>
          <w:r>
            <w:rPr>
              <w:sz w:val="22"/>
              <w:szCs w:val="22"/>
            </w:rPr>
            <w:fldChar w:fldCharType="separate"/>
          </w:r>
          <w:hyperlink w:anchor="_Toc520120175" w:history="1">
            <w:r>
              <w:rPr>
                <w:rStyle w:val="Hyperlink"/>
              </w:rPr>
              <w:t>INTRODUCTION</w:t>
            </w:r>
            <w:r>
              <w:rPr>
                <w:webHidden/>
              </w:rPr>
              <w:tab/>
            </w:r>
            <w:r>
              <w:rPr>
                <w:webHidden/>
              </w:rPr>
              <w:fldChar w:fldCharType="begin"/>
            </w:r>
            <w:r>
              <w:rPr>
                <w:webHidden/>
              </w:rPr>
              <w:instrText xml:space="preserve"> PAGEREF _Toc520120175 \h </w:instrText>
            </w:r>
            <w:r>
              <w:rPr>
                <w:webHidden/>
              </w:rPr>
            </w:r>
            <w:r>
              <w:rPr>
                <w:webHidden/>
              </w:rPr>
              <w:fldChar w:fldCharType="separate"/>
            </w:r>
            <w:r>
              <w:rPr>
                <w:webHidden/>
              </w:rPr>
              <w:t>1</w:t>
            </w:r>
            <w:r>
              <w:rPr>
                <w:webHidden/>
              </w:rPr>
              <w:fldChar w:fldCharType="end"/>
            </w:r>
          </w:hyperlink>
        </w:p>
        <w:p>
          <w:pPr>
            <w:pStyle w:val="TOC1"/>
            <w:rPr>
              <w:rFonts w:asciiTheme="minorHAnsi" w:eastAsiaTheme="minorEastAsia" w:hAnsiTheme="minorHAnsi" w:cstheme="minorBidi"/>
              <w:sz w:val="22"/>
              <w:szCs w:val="22"/>
              <w:lang w:eastAsia="en-GB"/>
            </w:rPr>
          </w:pPr>
          <w:hyperlink w:anchor="_Toc520120176" w:history="1">
            <w:r>
              <w:rPr>
                <w:rStyle w:val="Hyperlink"/>
              </w:rPr>
              <w:t>ACTIONS OF THE YEAR — SPECIFIC THEMATIC FOCUS OF 2015:</w:t>
            </w:r>
            <w:r>
              <w:rPr>
                <w:webHidden/>
              </w:rPr>
              <w:tab/>
            </w:r>
            <w:r>
              <w:rPr>
                <w:webHidden/>
              </w:rPr>
              <w:fldChar w:fldCharType="begin"/>
            </w:r>
            <w:r>
              <w:rPr>
                <w:webHidden/>
              </w:rPr>
              <w:instrText xml:space="preserve"> PAGEREF _Toc520120176 \h </w:instrText>
            </w:r>
            <w:r>
              <w:rPr>
                <w:webHidden/>
              </w:rPr>
            </w:r>
            <w:r>
              <w:rPr>
                <w:webHidden/>
              </w:rPr>
              <w:fldChar w:fldCharType="separate"/>
            </w:r>
            <w:r>
              <w:rPr>
                <w:webHidden/>
              </w:rPr>
              <w:t>3</w:t>
            </w:r>
            <w:r>
              <w:rPr>
                <w:webHidden/>
              </w:rPr>
              <w:fldChar w:fldCharType="end"/>
            </w:r>
          </w:hyperlink>
        </w:p>
        <w:p>
          <w:pPr>
            <w:pStyle w:val="TOC1"/>
            <w:rPr>
              <w:rFonts w:asciiTheme="minorHAnsi" w:eastAsiaTheme="minorEastAsia" w:hAnsiTheme="minorHAnsi" w:cstheme="minorBidi"/>
              <w:sz w:val="22"/>
              <w:szCs w:val="22"/>
              <w:lang w:eastAsia="en-GB"/>
            </w:rPr>
          </w:pPr>
          <w:hyperlink w:anchor="_Toc520120177" w:history="1">
            <w:r>
              <w:rPr>
                <w:rStyle w:val="Hyperlink"/>
              </w:rPr>
              <w:t>BUDGET IMPLEMENTATION</w:t>
            </w:r>
            <w:r>
              <w:rPr>
                <w:webHidden/>
              </w:rPr>
              <w:tab/>
            </w:r>
            <w:r>
              <w:rPr>
                <w:webHidden/>
              </w:rPr>
              <w:fldChar w:fldCharType="begin"/>
            </w:r>
            <w:r>
              <w:rPr>
                <w:webHidden/>
              </w:rPr>
              <w:instrText xml:space="preserve"> PAGEREF _Toc520120177 \h </w:instrText>
            </w:r>
            <w:r>
              <w:rPr>
                <w:webHidden/>
              </w:rPr>
            </w:r>
            <w:r>
              <w:rPr>
                <w:webHidden/>
              </w:rPr>
              <w:fldChar w:fldCharType="separate"/>
            </w:r>
            <w:r>
              <w:rPr>
                <w:webHidden/>
              </w:rPr>
              <w:t>5</w:t>
            </w:r>
            <w:r>
              <w:rPr>
                <w:webHidden/>
              </w:rPr>
              <w:fldChar w:fldCharType="end"/>
            </w:r>
          </w:hyperlink>
        </w:p>
        <w:p>
          <w:pPr>
            <w:pStyle w:val="TOC2"/>
            <w:rPr>
              <w:rFonts w:asciiTheme="minorHAnsi" w:eastAsiaTheme="minorEastAsia" w:hAnsiTheme="minorHAnsi" w:cstheme="minorBidi"/>
              <w:sz w:val="22"/>
              <w:szCs w:val="22"/>
              <w:lang w:eastAsia="en-GB"/>
            </w:rPr>
          </w:pPr>
          <w:hyperlink w:anchor="_Toc520120178" w:history="1">
            <w:r>
              <w:rPr>
                <w:rStyle w:val="Hyperlink"/>
              </w:rPr>
              <w:t>1.</w:t>
            </w:r>
            <w:r>
              <w:rPr>
                <w:rFonts w:asciiTheme="minorHAnsi" w:eastAsiaTheme="minorEastAsia" w:hAnsiTheme="minorHAnsi" w:cstheme="minorBidi"/>
                <w:sz w:val="22"/>
                <w:szCs w:val="22"/>
                <w:lang w:eastAsia="en-GB"/>
              </w:rPr>
              <w:tab/>
            </w:r>
            <w:r>
              <w:rPr>
                <w:rStyle w:val="Hyperlink"/>
              </w:rPr>
              <w:t>Budget</w:t>
            </w:r>
            <w:r>
              <w:rPr>
                <w:webHidden/>
              </w:rPr>
              <w:tab/>
            </w:r>
            <w:r>
              <w:rPr>
                <w:webHidden/>
              </w:rPr>
              <w:fldChar w:fldCharType="begin"/>
            </w:r>
            <w:r>
              <w:rPr>
                <w:webHidden/>
              </w:rPr>
              <w:instrText xml:space="preserve"> PAGEREF _Toc520120178 \h </w:instrText>
            </w:r>
            <w:r>
              <w:rPr>
                <w:webHidden/>
              </w:rPr>
            </w:r>
            <w:r>
              <w:rPr>
                <w:webHidden/>
              </w:rPr>
              <w:fldChar w:fldCharType="separate"/>
            </w:r>
            <w:r>
              <w:rPr>
                <w:webHidden/>
              </w:rPr>
              <w:t>5</w:t>
            </w:r>
            <w:r>
              <w:rPr>
                <w:webHidden/>
              </w:rPr>
              <w:fldChar w:fldCharType="end"/>
            </w:r>
          </w:hyperlink>
        </w:p>
        <w:p>
          <w:pPr>
            <w:pStyle w:val="TOC2"/>
            <w:rPr>
              <w:rFonts w:asciiTheme="minorHAnsi" w:eastAsiaTheme="minorEastAsia" w:hAnsiTheme="minorHAnsi" w:cstheme="minorBidi"/>
              <w:sz w:val="22"/>
              <w:szCs w:val="22"/>
              <w:lang w:eastAsia="en-GB"/>
            </w:rPr>
          </w:pPr>
          <w:hyperlink w:anchor="_Toc520120179" w:history="1">
            <w:r>
              <w:rPr>
                <w:rStyle w:val="Hyperlink"/>
              </w:rPr>
              <w:t>2.</w:t>
            </w:r>
            <w:r>
              <w:rPr>
                <w:rFonts w:asciiTheme="minorHAnsi" w:eastAsiaTheme="minorEastAsia" w:hAnsiTheme="minorHAnsi" w:cstheme="minorBidi"/>
                <w:sz w:val="22"/>
                <w:szCs w:val="22"/>
                <w:lang w:eastAsia="en-GB"/>
              </w:rPr>
              <w:tab/>
            </w:r>
            <w:r>
              <w:rPr>
                <w:rStyle w:val="Hyperlink"/>
              </w:rPr>
              <w:t>Objectives, priorities and financing mechanisms in 2015</w:t>
            </w:r>
            <w:r>
              <w:rPr>
                <w:webHidden/>
              </w:rPr>
              <w:tab/>
            </w:r>
            <w:r>
              <w:rPr>
                <w:webHidden/>
              </w:rPr>
              <w:fldChar w:fldCharType="begin"/>
            </w:r>
            <w:r>
              <w:rPr>
                <w:webHidden/>
              </w:rPr>
              <w:instrText xml:space="preserve"> PAGEREF _Toc520120179 \h </w:instrText>
            </w:r>
            <w:r>
              <w:rPr>
                <w:webHidden/>
              </w:rPr>
            </w:r>
            <w:r>
              <w:rPr>
                <w:webHidden/>
              </w:rPr>
              <w:fldChar w:fldCharType="separate"/>
            </w:r>
            <w:r>
              <w:rPr>
                <w:webHidden/>
              </w:rPr>
              <w:t>7</w:t>
            </w:r>
            <w:r>
              <w:rPr>
                <w:webHidden/>
              </w:rPr>
              <w:fldChar w:fldCharType="end"/>
            </w:r>
          </w:hyperlink>
        </w:p>
        <w:p>
          <w:pPr>
            <w:pStyle w:val="TOC2"/>
            <w:rPr>
              <w:rFonts w:asciiTheme="minorHAnsi" w:eastAsiaTheme="minorEastAsia" w:hAnsiTheme="minorHAnsi" w:cstheme="minorBidi"/>
              <w:sz w:val="22"/>
              <w:szCs w:val="22"/>
              <w:lang w:eastAsia="en-GB"/>
            </w:rPr>
          </w:pPr>
          <w:hyperlink w:anchor="_Toc520120180" w:history="1">
            <w:r>
              <w:rPr>
                <w:rStyle w:val="Hyperlink"/>
              </w:rPr>
              <w:t>3.</w:t>
            </w:r>
            <w:r>
              <w:rPr>
                <w:rFonts w:asciiTheme="minorHAnsi" w:eastAsiaTheme="minorEastAsia" w:hAnsiTheme="minorHAnsi" w:cstheme="minorBidi"/>
                <w:sz w:val="22"/>
                <w:szCs w:val="22"/>
                <w:lang w:eastAsia="en-GB"/>
              </w:rPr>
              <w:tab/>
            </w:r>
            <w:r>
              <w:rPr>
                <w:rStyle w:val="Hyperlink"/>
              </w:rPr>
              <w:t>Implementation of the operational budget by financing mechanism</w:t>
            </w:r>
            <w:r>
              <w:rPr>
                <w:webHidden/>
              </w:rPr>
              <w:tab/>
            </w:r>
            <w:r>
              <w:rPr>
                <w:webHidden/>
              </w:rPr>
              <w:fldChar w:fldCharType="begin"/>
            </w:r>
            <w:r>
              <w:rPr>
                <w:webHidden/>
              </w:rPr>
              <w:instrText xml:space="preserve"> PAGEREF _Toc520120180 \h </w:instrText>
            </w:r>
            <w:r>
              <w:rPr>
                <w:webHidden/>
              </w:rPr>
            </w:r>
            <w:r>
              <w:rPr>
                <w:webHidden/>
              </w:rPr>
              <w:fldChar w:fldCharType="separate"/>
            </w:r>
            <w:r>
              <w:rPr>
                <w:webHidden/>
              </w:rPr>
              <w:t>9</w:t>
            </w:r>
            <w:r>
              <w:rPr>
                <w:webHidden/>
              </w:rPr>
              <w:fldChar w:fldCharType="end"/>
            </w:r>
          </w:hyperlink>
        </w:p>
        <w:p>
          <w:pPr>
            <w:pStyle w:val="TOC2"/>
            <w:rPr>
              <w:rFonts w:asciiTheme="minorHAnsi" w:eastAsiaTheme="minorEastAsia" w:hAnsiTheme="minorHAnsi" w:cstheme="minorBidi"/>
              <w:sz w:val="22"/>
              <w:szCs w:val="22"/>
              <w:lang w:eastAsia="en-GB"/>
            </w:rPr>
          </w:pPr>
          <w:hyperlink w:anchor="_Toc520120181" w:history="1">
            <w:r>
              <w:rPr>
                <w:rStyle w:val="Hyperlink"/>
              </w:rPr>
              <w:t>4.</w:t>
            </w:r>
            <w:r>
              <w:rPr>
                <w:rFonts w:asciiTheme="minorHAnsi" w:eastAsiaTheme="minorEastAsia" w:hAnsiTheme="minorHAnsi" w:cstheme="minorBidi"/>
                <w:sz w:val="22"/>
                <w:szCs w:val="22"/>
                <w:lang w:eastAsia="en-GB"/>
              </w:rPr>
              <w:tab/>
            </w:r>
            <w:r>
              <w:rPr>
                <w:rStyle w:val="Hyperlink"/>
              </w:rPr>
              <w:t>Beneficiaries</w:t>
            </w:r>
            <w:r>
              <w:rPr>
                <w:webHidden/>
              </w:rPr>
              <w:tab/>
            </w:r>
            <w:r>
              <w:rPr>
                <w:webHidden/>
              </w:rPr>
              <w:fldChar w:fldCharType="begin"/>
            </w:r>
            <w:r>
              <w:rPr>
                <w:webHidden/>
              </w:rPr>
              <w:instrText xml:space="preserve"> PAGEREF _Toc520120181 \h </w:instrText>
            </w:r>
            <w:r>
              <w:rPr>
                <w:webHidden/>
              </w:rPr>
            </w:r>
            <w:r>
              <w:rPr>
                <w:webHidden/>
              </w:rPr>
              <w:fldChar w:fldCharType="separate"/>
            </w:r>
            <w:r>
              <w:rPr>
                <w:webHidden/>
              </w:rPr>
              <w:t>11</w:t>
            </w:r>
            <w:r>
              <w:rPr>
                <w:webHidden/>
              </w:rPr>
              <w:fldChar w:fldCharType="end"/>
            </w:r>
          </w:hyperlink>
        </w:p>
        <w:p>
          <w:pPr>
            <w:pStyle w:val="TOC1"/>
            <w:rPr>
              <w:rFonts w:asciiTheme="minorHAnsi" w:eastAsiaTheme="minorEastAsia" w:hAnsiTheme="minorHAnsi" w:cstheme="minorBidi"/>
              <w:sz w:val="22"/>
              <w:szCs w:val="22"/>
              <w:lang w:eastAsia="en-GB"/>
            </w:rPr>
          </w:pPr>
          <w:hyperlink w:anchor="_Toc520120182" w:history="1">
            <w:r>
              <w:rPr>
                <w:rStyle w:val="Hyperlink"/>
              </w:rPr>
              <w:t>OTHER MAIN FEATURES</w:t>
            </w:r>
            <w:r>
              <w:rPr>
                <w:webHidden/>
              </w:rPr>
              <w:tab/>
            </w:r>
            <w:r>
              <w:rPr>
                <w:webHidden/>
              </w:rPr>
              <w:fldChar w:fldCharType="begin"/>
            </w:r>
            <w:r>
              <w:rPr>
                <w:webHidden/>
              </w:rPr>
              <w:instrText xml:space="preserve"> PAGEREF _Toc520120182 \h </w:instrText>
            </w:r>
            <w:r>
              <w:rPr>
                <w:webHidden/>
              </w:rPr>
            </w:r>
            <w:r>
              <w:rPr>
                <w:webHidden/>
              </w:rPr>
              <w:fldChar w:fldCharType="separate"/>
            </w:r>
            <w:r>
              <w:rPr>
                <w:webHidden/>
              </w:rPr>
              <w:t>11</w:t>
            </w:r>
            <w:r>
              <w:rPr>
                <w:webHidden/>
              </w:rPr>
              <w:fldChar w:fldCharType="end"/>
            </w:r>
          </w:hyperlink>
        </w:p>
        <w:p>
          <w:pPr>
            <w:rPr>
              <w:noProof/>
            </w:rPr>
          </w:pPr>
          <w:r>
            <w:rPr>
              <w:rFonts w:cs="Times New Roman"/>
              <w:noProof/>
            </w:rPr>
            <w:fldChar w:fldCharType="end"/>
          </w:r>
        </w:p>
      </w:sdtContent>
    </w:sdt>
    <w:p>
      <w:pPr>
        <w:rPr>
          <w:rFonts w:eastAsia="Times New Roman" w:cs="Times New Roman"/>
          <w:b/>
          <w:bCs/>
          <w:smallCaps/>
          <w:noProof/>
          <w:sz w:val="32"/>
          <w:szCs w:val="24"/>
        </w:rPr>
      </w:pPr>
      <w:r>
        <w:rPr>
          <w:noProof/>
        </w:rPr>
        <w:br w:type="page"/>
      </w:r>
    </w:p>
    <w:p>
      <w:pPr>
        <w:pStyle w:val="Heading1"/>
        <w:rPr>
          <w:noProof/>
          <w:sz w:val="28"/>
        </w:rPr>
      </w:pPr>
      <w:bookmarkStart w:id="5" w:name="_Toc520120176"/>
      <w:r>
        <w:rPr>
          <w:noProof/>
          <w:sz w:val="28"/>
        </w:rPr>
        <w:t>THEMES AND ACTIONS FOR 2015:</w:t>
      </w:r>
      <w:bookmarkEnd w:id="5"/>
      <w:r>
        <w:rPr>
          <w:noProof/>
          <w:sz w:val="28"/>
        </w:rPr>
        <w:t xml:space="preserve"> </w:t>
      </w:r>
    </w:p>
    <w:bookmarkEnd w:id="4"/>
    <w:p>
      <w:pPr>
        <w:autoSpaceDE w:val="0"/>
        <w:autoSpaceDN w:val="0"/>
        <w:adjustRightInd w:val="0"/>
        <w:spacing w:after="0" w:line="360" w:lineRule="auto"/>
        <w:jc w:val="both"/>
        <w:rPr>
          <w:rFonts w:cs="Times New Roman"/>
          <w:noProof/>
          <w:color w:val="000000"/>
        </w:rPr>
      </w:pPr>
    </w:p>
    <w:p>
      <w:pPr>
        <w:autoSpaceDE w:val="0"/>
        <w:autoSpaceDN w:val="0"/>
        <w:adjustRightInd w:val="0"/>
        <w:spacing w:after="0" w:line="360" w:lineRule="auto"/>
        <w:jc w:val="both"/>
        <w:rPr>
          <w:rFonts w:cs="Times New Roman"/>
          <w:noProof/>
          <w:color w:val="000000"/>
        </w:rPr>
      </w:pPr>
      <w:r>
        <w:rPr>
          <w:rFonts w:cs="Times New Roman"/>
          <w:noProof/>
          <w:color w:val="000000"/>
        </w:rPr>
        <w:t>The priority health topic for the 2015 AWP was ‘</w:t>
      </w:r>
      <w:r>
        <w:rPr>
          <w:i/>
          <w:noProof/>
          <w:color w:val="000000"/>
        </w:rPr>
        <w:t xml:space="preserve">health technology assessment (HTA) and </w:t>
      </w:r>
      <w:r>
        <w:rPr>
          <w:rFonts w:cs="Times New Roman"/>
          <w:i/>
          <w:noProof/>
          <w:color w:val="000000"/>
        </w:rPr>
        <w:t>innovation</w:t>
      </w:r>
      <w:r>
        <w:rPr>
          <w:rFonts w:cs="Times New Roman"/>
          <w:noProof/>
          <w:color w:val="000000"/>
        </w:rPr>
        <w:t>’. This was addressed through several actions funded by different financing mechanisms and signed in the first quarter of 2016, most of them for 3 years, meaning that they will run until the end of 2018 and in some cases until 2020. They are:</w:t>
      </w:r>
    </w:p>
    <w:p>
      <w:pPr>
        <w:pStyle w:val="ListParagraph"/>
        <w:numPr>
          <w:ilvl w:val="0"/>
          <w:numId w:val="38"/>
        </w:numPr>
        <w:autoSpaceDE w:val="0"/>
        <w:autoSpaceDN w:val="0"/>
        <w:adjustRightInd w:val="0"/>
        <w:spacing w:after="0" w:line="360" w:lineRule="auto"/>
        <w:jc w:val="both"/>
        <w:rPr>
          <w:rFonts w:ascii="Times New Roman" w:hAnsi="Times New Roman"/>
          <w:noProof/>
          <w:lang w:val="en-GB"/>
        </w:rPr>
      </w:pPr>
      <w:r>
        <w:rPr>
          <w:rFonts w:ascii="Times New Roman" w:hAnsi="Times New Roman"/>
          <w:noProof/>
          <w:color w:val="000000"/>
          <w:lang w:val="en-GB"/>
        </w:rPr>
        <w:t>the new joint action on HTA, representing the highest ever EU contribution (EUR 11 999 798.74) to</w:t>
      </w:r>
      <w:r>
        <w:rPr>
          <w:rFonts w:ascii="Times New Roman" w:hAnsi="Times New Roman"/>
          <w:noProof/>
          <w:lang w:val="en-GB"/>
        </w:rPr>
        <w:t xml:space="preserve"> a single aspect of health policy under the third Health Programme;</w:t>
      </w:r>
    </w:p>
    <w:p>
      <w:pPr>
        <w:pStyle w:val="ListParagraph"/>
        <w:numPr>
          <w:ilvl w:val="0"/>
          <w:numId w:val="38"/>
        </w:numPr>
        <w:autoSpaceDE w:val="0"/>
        <w:autoSpaceDN w:val="0"/>
        <w:adjustRightInd w:val="0"/>
        <w:spacing w:after="0" w:line="360" w:lineRule="auto"/>
        <w:jc w:val="both"/>
        <w:rPr>
          <w:rFonts w:ascii="Times New Roman" w:eastAsiaTheme="minorHAnsi" w:hAnsi="Times New Roman"/>
          <w:noProof/>
          <w:color w:val="000000"/>
          <w:lang w:val="en-GB"/>
        </w:rPr>
      </w:pPr>
      <w:r>
        <w:rPr>
          <w:rFonts w:ascii="Times New Roman" w:eastAsiaTheme="minorHAnsi" w:hAnsi="Times New Roman"/>
          <w:noProof/>
          <w:color w:val="000000"/>
          <w:lang w:val="en-GB"/>
        </w:rPr>
        <w:t>two projects and a joint action on integrated care (total EU contribution EUR 6 837 798.31); and,</w:t>
      </w:r>
    </w:p>
    <w:p>
      <w:pPr>
        <w:pStyle w:val="ListParagraph"/>
        <w:numPr>
          <w:ilvl w:val="0"/>
          <w:numId w:val="38"/>
        </w:numPr>
        <w:autoSpaceDE w:val="0"/>
        <w:autoSpaceDN w:val="0"/>
        <w:adjustRightInd w:val="0"/>
        <w:spacing w:before="100" w:beforeAutospacing="1" w:after="100" w:afterAutospacing="1" w:line="360" w:lineRule="auto"/>
        <w:jc w:val="both"/>
        <w:rPr>
          <w:rFonts w:ascii="Times New Roman" w:eastAsiaTheme="minorHAnsi" w:hAnsi="Times New Roman"/>
          <w:noProof/>
          <w:color w:val="000000"/>
          <w:lang w:val="en-GB"/>
        </w:rPr>
      </w:pPr>
      <w:r>
        <w:rPr>
          <w:rFonts w:ascii="Times New Roman" w:eastAsiaTheme="minorHAnsi" w:hAnsi="Times New Roman"/>
          <w:noProof/>
          <w:color w:val="000000"/>
          <w:lang w:val="en-GB"/>
        </w:rPr>
        <w:t>the preparatory work for the establishment of the European Reference Networks (EUR 381 372.23).</w:t>
      </w:r>
    </w:p>
    <w:p>
      <w:pPr>
        <w:pStyle w:val="NormalWeb"/>
        <w:shd w:val="clear" w:color="auto" w:fill="FFFFFF"/>
        <w:spacing w:after="0" w:line="360" w:lineRule="auto"/>
        <w:jc w:val="both"/>
        <w:rPr>
          <w:rFonts w:eastAsiaTheme="minorHAnsi"/>
          <w:noProof/>
          <w:color w:val="000000"/>
          <w:sz w:val="22"/>
          <w:szCs w:val="22"/>
        </w:rPr>
      </w:pPr>
      <w:r>
        <w:rPr>
          <w:rFonts w:eastAsiaTheme="minorHAnsi"/>
          <w:noProof/>
          <w:color w:val="000000"/>
          <w:sz w:val="22"/>
          <w:szCs w:val="22"/>
        </w:rPr>
        <w:t>Background: The new joint action on HTA is the scientific and technical component of EU cooperation in this area. It was launched in June 2016 and will run until 2020. It includes government appointed organisations (from EU countries, EU accession countries, EEA and EFTA countries), and a large number of relevant regional agencies and not-for-profit organisations that produce or contribute to HTA in Europe.</w:t>
      </w:r>
    </w:p>
    <w:p>
      <w:pPr>
        <w:pStyle w:val="NormalWeb"/>
        <w:shd w:val="clear" w:color="auto" w:fill="FFFFFF"/>
        <w:spacing w:after="0" w:line="360" w:lineRule="auto"/>
        <w:jc w:val="both"/>
        <w:rPr>
          <w:rFonts w:eastAsiaTheme="minorHAnsi"/>
          <w:noProof/>
          <w:color w:val="000000"/>
          <w:sz w:val="22"/>
          <w:szCs w:val="22"/>
        </w:rPr>
      </w:pPr>
    </w:p>
    <w:p>
      <w:pPr>
        <w:pStyle w:val="NormalWeb"/>
        <w:shd w:val="clear" w:color="auto" w:fill="FFFFFF"/>
        <w:spacing w:after="0" w:line="360" w:lineRule="auto"/>
        <w:jc w:val="both"/>
        <w:rPr>
          <w:rFonts w:eastAsiaTheme="minorHAnsi"/>
          <w:noProof/>
          <w:color w:val="000000"/>
          <w:sz w:val="22"/>
          <w:szCs w:val="22"/>
        </w:rPr>
      </w:pPr>
      <w:r>
        <w:rPr>
          <w:rFonts w:eastAsiaTheme="minorHAnsi"/>
          <w:noProof/>
          <w:color w:val="000000"/>
          <w:sz w:val="22"/>
          <w:szCs w:val="22"/>
        </w:rPr>
        <w:t>Goal: The objective is to support voluntary scientific and technical level between HTA bodies. This cooperation should provide input for the development of a model for joint work to be continued after EU funding under the Health Programme ends.</w:t>
      </w:r>
    </w:p>
    <w:p>
      <w:pPr>
        <w:pStyle w:val="NormalWeb"/>
        <w:shd w:val="clear" w:color="auto" w:fill="FFFFFF"/>
        <w:spacing w:after="0" w:line="360" w:lineRule="auto"/>
        <w:jc w:val="both"/>
        <w:rPr>
          <w:rFonts w:eastAsiaTheme="minorHAnsi"/>
          <w:noProof/>
          <w:color w:val="000000"/>
          <w:sz w:val="22"/>
          <w:szCs w:val="22"/>
        </w:rPr>
      </w:pPr>
    </w:p>
    <w:p>
      <w:pPr>
        <w:pStyle w:val="NormalWeb"/>
        <w:shd w:val="clear" w:color="auto" w:fill="FFFFFF"/>
        <w:spacing w:after="360" w:line="360" w:lineRule="auto"/>
        <w:jc w:val="both"/>
        <w:rPr>
          <w:noProof/>
          <w:color w:val="000000"/>
        </w:rPr>
      </w:pPr>
      <w:r>
        <w:rPr>
          <w:rFonts w:eastAsiaTheme="minorHAnsi"/>
          <w:noProof/>
          <w:color w:val="000000"/>
          <w:sz w:val="22"/>
          <w:szCs w:val="22"/>
        </w:rPr>
        <w:t>Means: There is a strong focus on the joint production of health technology assessments and early dialogues on the results and how to apply them in national settings. The early dialogues, particularly the parallel consultations, have become highly valued by companies seeking early advice. As of May 2018, 29 requests for early dialogues have been received by the joint action partners. HTA also assesses other aspects of health technology, for example its cost implications for the patient and its impact on the organisation of healthcare systems in the delivery of care and administration of treatment. It is therefore a multidisciplinary process that systematically reviews the medical, economic, organisational, social and ethical issues related to the use of a health technology.</w:t>
      </w:r>
    </w:p>
    <w:p>
      <w:pPr>
        <w:spacing w:after="120" w:line="360" w:lineRule="auto"/>
        <w:jc w:val="both"/>
        <w:rPr>
          <w:rFonts w:cs="Times New Roman"/>
          <w:noProof/>
          <w:color w:val="000000"/>
        </w:rPr>
      </w:pPr>
      <w:r>
        <w:rPr>
          <w:rFonts w:cs="Times New Roman"/>
          <w:noProof/>
          <w:color w:val="000000"/>
        </w:rPr>
        <w:t>Background: On integrated care, one co-funded project brings together innovative European healthcare regions, industry and academia in a partnership that has the potential to transform ‘cure and care’ delivery services. The project includes both a pilot project phase and scaled-up, routine care practice. The project involves 13 partners from six EU countries (Denmark, Germany, Greece, Netherlands, Spain and United Kingdom).</w:t>
      </w:r>
    </w:p>
    <w:p>
      <w:pPr>
        <w:spacing w:line="360" w:lineRule="auto"/>
        <w:jc w:val="both"/>
        <w:rPr>
          <w:rFonts w:cs="Times New Roman"/>
          <w:noProof/>
          <w:color w:val="000000" w:themeColor="text1"/>
        </w:rPr>
      </w:pPr>
      <w:r>
        <w:rPr>
          <w:rFonts w:cs="Times New Roman"/>
          <w:noProof/>
          <w:color w:val="000000" w:themeColor="text1"/>
        </w:rPr>
        <w:t>Goal: The overall objective is to identify, transfer and scale up existing and operational care coordination and good tele-health practices, with the aim of reaching 75 000 care recipients or patients across regions and programmes in multiple European countries. The project is expected to deliver two major benefits:</w:t>
      </w:r>
    </w:p>
    <w:p>
      <w:pPr>
        <w:pStyle w:val="ListParagraph"/>
        <w:numPr>
          <w:ilvl w:val="0"/>
          <w:numId w:val="53"/>
        </w:numPr>
        <w:spacing w:line="360" w:lineRule="auto"/>
        <w:jc w:val="both"/>
        <w:rPr>
          <w:rFonts w:ascii="Times New Roman" w:eastAsiaTheme="minorHAnsi" w:hAnsi="Times New Roman"/>
          <w:noProof/>
          <w:color w:val="000000" w:themeColor="text1"/>
          <w:lang w:val="en-GB"/>
        </w:rPr>
      </w:pPr>
      <w:r>
        <w:rPr>
          <w:rFonts w:ascii="Times New Roman" w:eastAsiaTheme="minorHAnsi" w:hAnsi="Times New Roman"/>
          <w:noProof/>
          <w:color w:val="000000" w:themeColor="text1"/>
          <w:lang w:val="en-GB"/>
        </w:rPr>
        <w:t>a strong basis for successful twinning and coaching that facilitates shared learning;</w:t>
      </w:r>
    </w:p>
    <w:p>
      <w:pPr>
        <w:pStyle w:val="ListParagraph"/>
        <w:numPr>
          <w:ilvl w:val="0"/>
          <w:numId w:val="53"/>
        </w:numPr>
        <w:spacing w:line="360" w:lineRule="auto"/>
        <w:jc w:val="both"/>
        <w:rPr>
          <w:rFonts w:ascii="Times New Roman" w:eastAsiaTheme="minorHAnsi" w:hAnsi="Times New Roman"/>
          <w:noProof/>
          <w:color w:val="000000" w:themeColor="text1"/>
          <w:lang w:val="en-GB"/>
        </w:rPr>
      </w:pPr>
      <w:r>
        <w:rPr>
          <w:rFonts w:ascii="Times New Roman" w:eastAsiaTheme="minorHAnsi" w:hAnsi="Times New Roman"/>
          <w:noProof/>
          <w:color w:val="000000" w:themeColor="text1"/>
          <w:lang w:val="en-GB"/>
        </w:rPr>
        <w:t>practical support for scaling up good practices that promote active and healthy ageing and the participation of older people in the community. </w:t>
      </w:r>
    </w:p>
    <w:p>
      <w:pPr>
        <w:spacing w:line="360" w:lineRule="auto"/>
        <w:jc w:val="both"/>
        <w:rPr>
          <w:noProof/>
          <w:color w:val="000000" w:themeColor="text1"/>
        </w:rPr>
      </w:pPr>
      <w:r>
        <w:rPr>
          <w:noProof/>
          <w:color w:val="000000" w:themeColor="text1"/>
        </w:rPr>
        <w:t>This combined with a joint action, should contribute substantially to improving the organisation and implementation of integrated care concepts across the EU.</w:t>
      </w:r>
    </w:p>
    <w:p>
      <w:pPr>
        <w:autoSpaceDE w:val="0"/>
        <w:autoSpaceDN w:val="0"/>
        <w:adjustRightInd w:val="0"/>
        <w:spacing w:before="100" w:beforeAutospacing="1" w:after="100" w:afterAutospacing="1" w:line="360" w:lineRule="auto"/>
        <w:jc w:val="both"/>
        <w:rPr>
          <w:rFonts w:cs="Times New Roman"/>
          <w:noProof/>
          <w:color w:val="000000"/>
        </w:rPr>
      </w:pPr>
      <w:r>
        <w:rPr>
          <w:rFonts w:cs="Times New Roman"/>
          <w:noProof/>
        </w:rPr>
        <w:t>Additional actions in response to the migration crisis in the summer of 2015 and following the subsequent amendment to the 2015 AWP, are:</w:t>
      </w:r>
    </w:p>
    <w:p>
      <w:pPr>
        <w:pStyle w:val="ListParagraph"/>
        <w:numPr>
          <w:ilvl w:val="0"/>
          <w:numId w:val="38"/>
        </w:numPr>
        <w:autoSpaceDE w:val="0"/>
        <w:autoSpaceDN w:val="0"/>
        <w:adjustRightInd w:val="0"/>
        <w:spacing w:before="100" w:beforeAutospacing="1" w:after="100" w:afterAutospacing="1" w:line="360" w:lineRule="auto"/>
        <w:jc w:val="both"/>
        <w:rPr>
          <w:rFonts w:ascii="Times New Roman" w:hAnsi="Times New Roman"/>
          <w:noProof/>
          <w:color w:val="000000"/>
          <w:lang w:val="en-GB"/>
        </w:rPr>
      </w:pPr>
      <w:r>
        <w:rPr>
          <w:rFonts w:ascii="Times New Roman" w:hAnsi="Times New Roman"/>
          <w:noProof/>
          <w:color w:val="000000"/>
          <w:lang w:val="en-GB"/>
        </w:rPr>
        <w:t>four projects on migrants’ and refugees’ health (EUR 6 239 154)</w:t>
      </w:r>
    </w:p>
    <w:p>
      <w:pPr>
        <w:pStyle w:val="ListParagraph"/>
        <w:numPr>
          <w:ilvl w:val="0"/>
          <w:numId w:val="38"/>
        </w:numPr>
        <w:autoSpaceDE w:val="0"/>
        <w:autoSpaceDN w:val="0"/>
        <w:adjustRightInd w:val="0"/>
        <w:spacing w:before="100" w:beforeAutospacing="1" w:after="100" w:afterAutospacing="1" w:line="360" w:lineRule="auto"/>
        <w:jc w:val="both"/>
        <w:rPr>
          <w:rFonts w:ascii="Times New Roman" w:hAnsi="Times New Roman"/>
          <w:noProof/>
          <w:color w:val="000000"/>
          <w:lang w:val="en-GB"/>
        </w:rPr>
      </w:pPr>
      <w:r>
        <w:rPr>
          <w:rFonts w:ascii="Times New Roman" w:hAnsi="Times New Roman"/>
          <w:noProof/>
          <w:color w:val="000000"/>
          <w:lang w:val="en-GB"/>
        </w:rPr>
        <w:t>one direct grant to the International Office of Migration (IOM) (EUR 1 000 000).</w:t>
      </w:r>
    </w:p>
    <w:p>
      <w:pPr>
        <w:autoSpaceDE w:val="0"/>
        <w:autoSpaceDN w:val="0"/>
        <w:adjustRightInd w:val="0"/>
        <w:spacing w:before="100" w:beforeAutospacing="1" w:after="100" w:afterAutospacing="1" w:line="360" w:lineRule="auto"/>
        <w:jc w:val="both"/>
        <w:rPr>
          <w:rFonts w:cs="Times New Roman"/>
          <w:noProof/>
          <w:color w:val="000000"/>
        </w:rPr>
      </w:pPr>
      <w:r>
        <w:rPr>
          <w:rFonts w:cs="Times New Roman"/>
          <w:noProof/>
          <w:color w:val="000000"/>
        </w:rPr>
        <w:t xml:space="preserve">These aimed </w:t>
      </w:r>
      <w:r>
        <w:rPr>
          <w:rFonts w:cs="Times New Roman"/>
          <w:noProof/>
        </w:rPr>
        <w:t xml:space="preserve">to </w:t>
      </w:r>
      <w:r>
        <w:rPr>
          <w:rFonts w:cs="Times New Roman"/>
          <w:i/>
          <w:noProof/>
          <w:lang w:eastAsia="en-GB"/>
        </w:rPr>
        <w:t xml:space="preserve">‘support Member States under particular migratory pressure in their response to health related challenges, </w:t>
      </w:r>
      <w:r>
        <w:rPr>
          <w:rFonts w:cs="Times New Roman"/>
          <w:i/>
          <w:noProof/>
          <w:color w:val="000000"/>
        </w:rPr>
        <w:t>with a view to provide concrete support to organisations active in the field and help address the public health impact in the most affected EU Member States</w:t>
      </w:r>
      <w:r>
        <w:rPr>
          <w:rFonts w:cs="Times New Roman"/>
          <w:noProof/>
          <w:color w:val="000000"/>
        </w:rPr>
        <w:t>’</w:t>
      </w:r>
      <w:r>
        <w:rPr>
          <w:rStyle w:val="FootnoteReference"/>
          <w:rFonts w:cs="Times New Roman"/>
          <w:noProof/>
          <w:color w:val="000000"/>
        </w:rPr>
        <w:footnoteReference w:id="5"/>
      </w:r>
      <w:r>
        <w:rPr>
          <w:rFonts w:cs="Times New Roman"/>
          <w:noProof/>
          <w:color w:val="000000"/>
        </w:rPr>
        <w:t>.</w:t>
      </w:r>
    </w:p>
    <w:p>
      <w:pPr>
        <w:spacing w:line="360" w:lineRule="auto"/>
        <w:jc w:val="both"/>
        <w:rPr>
          <w:rFonts w:eastAsia="Calibri" w:cs="Times New Roman"/>
          <w:noProof/>
        </w:rPr>
      </w:pPr>
      <w:r>
        <w:rPr>
          <w:noProof/>
          <w:color w:val="000000"/>
        </w:rPr>
        <w:t xml:space="preserve">Background: </w:t>
      </w:r>
      <w:r>
        <w:rPr>
          <w:rFonts w:eastAsia="Calibri" w:cs="Times New Roman"/>
          <w:bCs/>
          <w:noProof/>
        </w:rPr>
        <w:t xml:space="preserve"> One project, l</w:t>
      </w:r>
      <w:r>
        <w:rPr>
          <w:rFonts w:eastAsia="Calibri" w:cs="Times New Roman"/>
          <w:noProof/>
        </w:rPr>
        <w:t xml:space="preserve">ed by the Andalusian School of Public Health, </w:t>
      </w:r>
      <w:r>
        <w:rPr>
          <w:rFonts w:eastAsia="Calibri" w:cs="Times New Roman"/>
          <w:bCs/>
          <w:noProof/>
        </w:rPr>
        <w:t>brought together partners from seven countries (Belgium, Denmark, Italy, the Netherlands, Poland, Slovakia and Spain)</w:t>
      </w:r>
      <w:r>
        <w:rPr>
          <w:rFonts w:eastAsia="Calibri" w:cs="Times New Roman"/>
          <w:noProof/>
        </w:rPr>
        <w:t>.</w:t>
      </w:r>
    </w:p>
    <w:p>
      <w:pPr>
        <w:spacing w:line="360" w:lineRule="auto"/>
        <w:jc w:val="both"/>
        <w:rPr>
          <w:rFonts w:eastAsia="Calibri" w:cs="Times New Roman"/>
          <w:noProof/>
        </w:rPr>
      </w:pPr>
      <w:r>
        <w:rPr>
          <w:rFonts w:eastAsia="Calibri" w:cs="Times New Roman"/>
          <w:noProof/>
        </w:rPr>
        <w:t xml:space="preserve">Goal: to support Member States in establishing or strengthening a </w:t>
      </w:r>
      <w:r>
        <w:rPr>
          <w:rFonts w:eastAsia="Calibri" w:cs="Times New Roman"/>
          <w:bCs/>
          <w:noProof/>
        </w:rPr>
        <w:t xml:space="preserve">health sector coordination mechanism </w:t>
      </w:r>
      <w:r>
        <w:rPr>
          <w:rFonts w:eastAsia="Calibri" w:cs="Times New Roman"/>
          <w:noProof/>
        </w:rPr>
        <w:t xml:space="preserve">for a coherent and consolidated national and cross-country response to </w:t>
      </w:r>
      <w:r>
        <w:rPr>
          <w:noProof/>
          <w:sz w:val="23"/>
          <w:szCs w:val="23"/>
        </w:rPr>
        <w:t>address</w:t>
      </w:r>
      <w:r>
        <w:rPr>
          <w:noProof/>
        </w:rPr>
        <w:t xml:space="preserve"> the health</w:t>
      </w:r>
      <w:r>
        <w:rPr>
          <w:noProof/>
          <w:sz w:val="23"/>
          <w:szCs w:val="23"/>
        </w:rPr>
        <w:t>-related issues of arriving migrants (</w:t>
      </w:r>
      <w:r>
        <w:rPr>
          <w:rFonts w:eastAsia="Calibri" w:cs="Times New Roman"/>
          <w:noProof/>
        </w:rPr>
        <w:t xml:space="preserve">refugees, asylum seekers and other migrant populations) </w:t>
      </w:r>
      <w:r>
        <w:rPr>
          <w:noProof/>
          <w:sz w:val="23"/>
          <w:szCs w:val="23"/>
        </w:rPr>
        <w:t xml:space="preserve">while preventing and addressing possible communicable diseases and cross border health threats. This was achieved through an assessment of the coordination mechanism in place and by improving coordination and health professionals' capacities and skills. </w:t>
      </w:r>
    </w:p>
    <w:p>
      <w:pPr>
        <w:spacing w:line="360" w:lineRule="auto"/>
        <w:jc w:val="both"/>
        <w:rPr>
          <w:rFonts w:eastAsia="Calibri" w:cs="Times New Roman"/>
          <w:bCs/>
          <w:noProof/>
        </w:rPr>
      </w:pPr>
      <w:r>
        <w:rPr>
          <w:rFonts w:eastAsia="Calibri" w:cs="Times New Roman"/>
          <w:noProof/>
        </w:rPr>
        <w:t xml:space="preserve">Background: Another project </w:t>
      </w:r>
      <w:r>
        <w:rPr>
          <w:rFonts w:eastAsia="Calibri" w:cs="Times New Roman"/>
          <w:bCs/>
          <w:noProof/>
        </w:rPr>
        <w:t>involved eight partners to support health authorities in 11 Member States</w:t>
      </w:r>
      <w:r>
        <w:rPr>
          <w:rFonts w:eastAsia="Calibri" w:cs="Times New Roman"/>
          <w:noProof/>
        </w:rPr>
        <w:t>.</w:t>
      </w:r>
    </w:p>
    <w:p>
      <w:pPr>
        <w:spacing w:line="360" w:lineRule="auto"/>
        <w:jc w:val="both"/>
        <w:rPr>
          <w:rFonts w:eastAsia="Calibri" w:cs="Times New Roman"/>
          <w:noProof/>
        </w:rPr>
      </w:pPr>
      <w:r>
        <w:rPr>
          <w:rFonts w:eastAsia="Calibri" w:cs="Times New Roman"/>
          <w:noProof/>
        </w:rPr>
        <w:t xml:space="preserve">Goal: The project focused on health assessments of incoming migrants via a common instrument allowing Member States to detect and assess potential threats, distribute health promotion materials and raise awareness among stakeholders. </w:t>
      </w:r>
    </w:p>
    <w:p>
      <w:pPr>
        <w:autoSpaceDE w:val="0"/>
        <w:autoSpaceDN w:val="0"/>
        <w:adjustRightInd w:val="0"/>
        <w:spacing w:before="100" w:beforeAutospacing="1" w:after="100" w:afterAutospacing="1" w:line="360" w:lineRule="auto"/>
        <w:jc w:val="both"/>
        <w:rPr>
          <w:noProof/>
          <w:color w:val="000000"/>
        </w:rPr>
      </w:pPr>
      <w:r>
        <w:rPr>
          <w:noProof/>
          <w:color w:val="000000"/>
        </w:rPr>
        <w:t>The detailed overview of all actions funded under the 2015 is provided in the Commission Staff Working Document accompanying this report.</w:t>
      </w:r>
    </w:p>
    <w:p>
      <w:pPr>
        <w:pStyle w:val="Heading1"/>
        <w:rPr>
          <w:noProof/>
          <w:sz w:val="28"/>
          <w:szCs w:val="28"/>
        </w:rPr>
      </w:pPr>
      <w:bookmarkStart w:id="6" w:name="_Toc518922810"/>
      <w:bookmarkStart w:id="7" w:name="_Toc518984355"/>
      <w:bookmarkStart w:id="8" w:name="_DV_M234"/>
      <w:bookmarkStart w:id="9" w:name="_DV_M235"/>
      <w:bookmarkStart w:id="10" w:name="_DV_M236"/>
      <w:bookmarkStart w:id="11" w:name="_DV_M237"/>
      <w:bookmarkStart w:id="12" w:name="_DV_M238"/>
      <w:bookmarkStart w:id="13" w:name="_DV_M240"/>
      <w:bookmarkStart w:id="14" w:name="_Toc472077567"/>
      <w:bookmarkStart w:id="15" w:name="_Toc520120177"/>
      <w:bookmarkEnd w:id="6"/>
      <w:bookmarkEnd w:id="7"/>
      <w:bookmarkEnd w:id="8"/>
      <w:bookmarkEnd w:id="9"/>
      <w:bookmarkEnd w:id="10"/>
      <w:bookmarkEnd w:id="11"/>
      <w:bookmarkEnd w:id="12"/>
      <w:bookmarkEnd w:id="13"/>
      <w:r>
        <w:rPr>
          <w:noProof/>
          <w:sz w:val="28"/>
          <w:szCs w:val="28"/>
        </w:rPr>
        <w:t>BUDGET IMPLEMENTATION</w:t>
      </w:r>
      <w:bookmarkEnd w:id="14"/>
      <w:bookmarkEnd w:id="15"/>
    </w:p>
    <w:p>
      <w:pPr>
        <w:jc w:val="both"/>
        <w:rPr>
          <w:noProof/>
        </w:rPr>
      </w:pPr>
    </w:p>
    <w:p>
      <w:pPr>
        <w:pStyle w:val="ManualHeading2"/>
        <w:rPr>
          <w:noProof/>
        </w:rPr>
      </w:pPr>
      <w:bookmarkStart w:id="16" w:name="_Toc388355509"/>
      <w:bookmarkStart w:id="17" w:name="_Toc390420263"/>
      <w:bookmarkStart w:id="18" w:name="_Toc404756129"/>
      <w:bookmarkStart w:id="19" w:name="_Toc472077568"/>
      <w:bookmarkStart w:id="20" w:name="_Toc520120178"/>
      <w:r>
        <w:t>1.</w:t>
      </w:r>
      <w:r>
        <w:tab/>
      </w:r>
      <w:r>
        <w:rPr>
          <w:noProof/>
        </w:rPr>
        <w:t>Budget</w:t>
      </w:r>
      <w:bookmarkEnd w:id="16"/>
      <w:bookmarkEnd w:id="17"/>
      <w:bookmarkEnd w:id="18"/>
      <w:bookmarkEnd w:id="19"/>
      <w:bookmarkEnd w:id="20"/>
    </w:p>
    <w:p>
      <w:pPr>
        <w:spacing w:line="360" w:lineRule="auto"/>
        <w:jc w:val="both"/>
        <w:rPr>
          <w:rFonts w:cs="Times New Roman"/>
          <w:noProof/>
        </w:rPr>
      </w:pPr>
      <w:r>
        <w:rPr>
          <w:rFonts w:cs="Times New Roman"/>
          <w:noProof/>
        </w:rPr>
        <w:t>The overall budget for the third Health Programme 2014-2020 is EUR 449.4 million. This includes EUR 30 million for the functioning of the Consumer, Health, Food and Agriculture Executive Agency (Chafea) which the Commission has mandated to manage the Health Programme 2014-2020. Chafea has been providing the Commission with technical, scientific and administrative assistance in implementing the Health Programme since 2005</w:t>
      </w:r>
      <w:r>
        <w:rPr>
          <w:rStyle w:val="FootnoteReference"/>
          <w:rFonts w:cs="Times New Roman"/>
          <w:noProof/>
        </w:rPr>
        <w:footnoteReference w:id="6"/>
      </w:r>
      <w:r>
        <w:rPr>
          <w:rFonts w:cs="Times New Roman"/>
          <w:noProof/>
        </w:rPr>
        <w:t>. It organises annual calls for proposals, coordinates the evaluation of submissions, negotiates, signs and manages related grant agreements, and disseminates the results of actions. It is also responsible for many procurement procedures.</w:t>
      </w:r>
    </w:p>
    <w:p>
      <w:pPr>
        <w:spacing w:line="360" w:lineRule="auto"/>
        <w:jc w:val="both"/>
        <w:rPr>
          <w:rFonts w:cs="Times New Roman"/>
          <w:noProof/>
        </w:rPr>
      </w:pPr>
      <w:r>
        <w:rPr>
          <w:rFonts w:cs="Times New Roman"/>
          <w:noProof/>
        </w:rPr>
        <w:t>The budget set out in the work plan for the 2015 AWP</w:t>
      </w:r>
      <w:r>
        <w:rPr>
          <w:rStyle w:val="FootnoteReference"/>
          <w:rFonts w:cs="Times New Roman"/>
          <w:noProof/>
        </w:rPr>
        <w:footnoteReference w:id="7"/>
      </w:r>
      <w:r>
        <w:rPr>
          <w:rFonts w:cs="Times New Roman"/>
          <w:noProof/>
        </w:rPr>
        <w:t xml:space="preserve"> was EUR </w:t>
      </w:r>
      <w:r>
        <w:rPr>
          <w:rFonts w:cs="Times New Roman"/>
          <w:noProof/>
          <w:color w:val="000000"/>
          <w:sz w:val="23"/>
          <w:szCs w:val="23"/>
        </w:rPr>
        <w:t>59 750 000</w:t>
      </w:r>
      <w:r>
        <w:rPr>
          <w:rFonts w:cs="Times New Roman"/>
          <w:noProof/>
        </w:rPr>
        <w:t>, broken down as follows:</w:t>
      </w:r>
    </w:p>
    <w:p>
      <w:pPr>
        <w:pStyle w:val="ListParagraph"/>
        <w:numPr>
          <w:ilvl w:val="0"/>
          <w:numId w:val="27"/>
        </w:numPr>
        <w:spacing w:line="360" w:lineRule="auto"/>
        <w:ind w:left="714" w:hanging="357"/>
        <w:contextualSpacing w:val="0"/>
        <w:jc w:val="both"/>
        <w:rPr>
          <w:rFonts w:ascii="Times New Roman" w:hAnsi="Times New Roman"/>
          <w:noProof/>
          <w:lang w:val="en-GB"/>
        </w:rPr>
      </w:pPr>
      <w:r>
        <w:rPr>
          <w:rFonts w:ascii="Times New Roman" w:hAnsi="Times New Roman"/>
          <w:noProof/>
          <w:lang w:val="en-GB"/>
        </w:rPr>
        <w:t xml:space="preserve">operational expenditure: EUR 54 041 000, corresponding to the </w:t>
      </w:r>
      <w:r>
        <w:rPr>
          <w:rFonts w:ascii="AdvTT82cee651.BI" w:hAnsi="AdvTT82cee651.BI" w:cs="AdvTT82cee651.BI"/>
          <w:noProof/>
          <w:color w:val="231F20"/>
          <w:lang w:val="en-GB"/>
        </w:rPr>
        <w:t xml:space="preserve">third programme for EU action in the field of health (2014-2020) </w:t>
      </w:r>
      <w:r>
        <w:rPr>
          <w:rFonts w:ascii="Times New Roman" w:hAnsi="Times New Roman"/>
          <w:noProof/>
          <w:lang w:val="en-GB"/>
        </w:rPr>
        <w:t>budget line 17 03 01</w:t>
      </w:r>
      <w:r>
        <w:rPr>
          <w:noProof/>
          <w:lang w:val="en-GB"/>
        </w:rPr>
        <w:t xml:space="preserve"> (‘</w:t>
      </w:r>
      <w:r>
        <w:rPr>
          <w:rFonts w:ascii="Times New Roman" w:hAnsi="Times New Roman"/>
          <w:i/>
          <w:noProof/>
          <w:lang w:val="en-GB"/>
        </w:rPr>
        <w:t>Encouraging innovation in health, increasing the sustainability of health systems and protecting Union citizens from serious cross-border health threats’</w:t>
      </w:r>
      <w:r>
        <w:rPr>
          <w:rFonts w:ascii="AdvTTd832f767" w:hAnsi="AdvTTd832f767" w:cs="AdvTTd832f767"/>
          <w:noProof/>
          <w:color w:val="231F20"/>
          <w:lang w:val="en-GB"/>
        </w:rPr>
        <w:t>);</w:t>
      </w:r>
    </w:p>
    <w:p>
      <w:pPr>
        <w:pStyle w:val="ListParagraph"/>
        <w:numPr>
          <w:ilvl w:val="0"/>
          <w:numId w:val="27"/>
        </w:numPr>
        <w:autoSpaceDE w:val="0"/>
        <w:autoSpaceDN w:val="0"/>
        <w:adjustRightInd w:val="0"/>
        <w:spacing w:line="360" w:lineRule="auto"/>
        <w:ind w:left="714" w:hanging="357"/>
        <w:contextualSpacing w:val="0"/>
        <w:jc w:val="both"/>
        <w:rPr>
          <w:rFonts w:ascii="Times New Roman" w:hAnsi="Times New Roman"/>
          <w:noProof/>
          <w:lang w:val="en-GB"/>
        </w:rPr>
      </w:pPr>
      <w:r>
        <w:rPr>
          <w:rFonts w:ascii="Times New Roman" w:hAnsi="Times New Roman"/>
          <w:noProof/>
          <w:lang w:val="en-GB"/>
        </w:rPr>
        <w:t>administrative expenditure: EUR 1 500 000, corresponding to the s</w:t>
      </w:r>
      <w:r>
        <w:rPr>
          <w:rFonts w:ascii="AdvTTd832f767" w:hAnsi="AdvTTd832f767" w:cs="AdvTTd832f767"/>
          <w:noProof/>
          <w:color w:val="231F20"/>
          <w:lang w:val="en-GB"/>
        </w:rPr>
        <w:t xml:space="preserve">upport expenditure for the third Programme for EU action in the field of health (2014-2020) </w:t>
      </w:r>
      <w:r>
        <w:rPr>
          <w:rFonts w:ascii="Times New Roman" w:hAnsi="Times New Roman"/>
          <w:noProof/>
          <w:lang w:val="en-GB"/>
        </w:rPr>
        <w:t>budget line 17 01 04 02.</w:t>
      </w:r>
    </w:p>
    <w:p>
      <w:pPr>
        <w:jc w:val="both"/>
        <w:rPr>
          <w:noProof/>
        </w:rPr>
      </w:pPr>
      <w:r>
        <w:rPr>
          <w:noProof/>
        </w:rPr>
        <w:t>The total operational budget was EUR 55 629 805 and the total administrative budget was EUR 1 551 822, 66. This included EFTA/EEA credits and recovery credits from previous budget years.</w:t>
      </w:r>
    </w:p>
    <w:p>
      <w:pPr>
        <w:pStyle w:val="CommentText"/>
        <w:spacing w:line="360" w:lineRule="auto"/>
        <w:jc w:val="both"/>
        <w:rPr>
          <w:rFonts w:ascii="Times New Roman" w:hAnsi="Times New Roman"/>
          <w:noProof/>
          <w:sz w:val="22"/>
          <w:szCs w:val="22"/>
        </w:rPr>
      </w:pPr>
      <w:r>
        <w:rPr>
          <w:rFonts w:ascii="Times New Roman" w:hAnsi="Times New Roman"/>
          <w:noProof/>
          <w:sz w:val="22"/>
          <w:szCs w:val="22"/>
        </w:rPr>
        <w:t>In 2015, Chafea executed EUR 47 967 105.24 of the operational budget, while the European Commission’s Directorate-General for Health and Food Safety (DG SANTE) executed EUR 6 810 913.51, covering procurement, direct grants and other measures, amounting to a total of EUR 54 778 018.75.</w:t>
      </w:r>
    </w:p>
    <w:p>
      <w:pPr>
        <w:spacing w:line="360" w:lineRule="auto"/>
        <w:jc w:val="both"/>
        <w:rPr>
          <w:rFonts w:cs="Times New Roman"/>
          <w:noProof/>
        </w:rPr>
      </w:pPr>
      <w:r>
        <w:rPr>
          <w:rFonts w:cs="Times New Roman"/>
          <w:noProof/>
        </w:rPr>
        <w:br w:type="column"/>
      </w:r>
    </w:p>
    <w:p>
      <w:pPr>
        <w:pStyle w:val="ManualHeading2"/>
        <w:rPr>
          <w:noProof/>
        </w:rPr>
      </w:pPr>
      <w:bookmarkStart w:id="21" w:name="_Toc388355510"/>
      <w:bookmarkStart w:id="22" w:name="_Toc390420264"/>
      <w:bookmarkStart w:id="23" w:name="_Toc404756130"/>
      <w:bookmarkStart w:id="24" w:name="_Toc472077569"/>
      <w:bookmarkStart w:id="25" w:name="_Toc520120179"/>
      <w:r>
        <w:t>2.</w:t>
      </w:r>
      <w:r>
        <w:tab/>
      </w:r>
      <w:r>
        <w:rPr>
          <w:noProof/>
        </w:rPr>
        <w:t>Objectives, priorities and financing mechanisms</w:t>
      </w:r>
      <w:bookmarkEnd w:id="21"/>
      <w:bookmarkEnd w:id="22"/>
      <w:bookmarkEnd w:id="23"/>
      <w:bookmarkEnd w:id="24"/>
      <w:r>
        <w:rPr>
          <w:noProof/>
        </w:rPr>
        <w:t xml:space="preserve"> in 2015</w:t>
      </w:r>
      <w:bookmarkEnd w:id="25"/>
    </w:p>
    <w:p>
      <w:pPr>
        <w:spacing w:before="100" w:beforeAutospacing="1" w:after="100" w:afterAutospacing="1" w:line="360" w:lineRule="auto"/>
        <w:jc w:val="both"/>
        <w:rPr>
          <w:rFonts w:eastAsia="Times New Roman" w:cs="Times New Roman"/>
          <w:noProof/>
          <w:lang w:eastAsia="en-GB"/>
        </w:rPr>
      </w:pPr>
      <w:r>
        <w:rPr>
          <w:rFonts w:eastAsia="Times New Roman" w:cs="Times New Roman"/>
          <w:noProof/>
          <w:lang w:eastAsia="en-GB"/>
        </w:rPr>
        <w:t>In 2015, the total operational budget was divided among the four specific programme objectives as follows.</w:t>
      </w:r>
    </w:p>
    <w:p>
      <w:pPr>
        <w:numPr>
          <w:ilvl w:val="0"/>
          <w:numId w:val="25"/>
        </w:numPr>
        <w:spacing w:before="100" w:beforeAutospacing="1" w:after="100" w:afterAutospacing="1" w:line="360" w:lineRule="auto"/>
        <w:jc w:val="both"/>
        <w:rPr>
          <w:rFonts w:eastAsia="Times New Roman" w:cs="Times New Roman"/>
          <w:b/>
          <w:i/>
          <w:noProof/>
          <w:lang w:eastAsia="en-GB"/>
        </w:rPr>
      </w:pPr>
      <w:r>
        <w:rPr>
          <w:rFonts w:eastAsia="Times New Roman" w:cs="Times New Roman"/>
          <w:b/>
          <w:noProof/>
          <w:lang w:eastAsia="en-GB"/>
        </w:rPr>
        <w:t>Health promotion:</w:t>
      </w:r>
      <w:r>
        <w:rPr>
          <w:rFonts w:eastAsia="Times New Roman" w:cs="Times New Roman"/>
          <w:noProof/>
          <w:lang w:eastAsia="en-GB"/>
        </w:rPr>
        <w:t xml:space="preserve"> </w:t>
      </w:r>
      <w:r>
        <w:rPr>
          <w:rFonts w:eastAsia="Times New Roman" w:cs="Times New Roman"/>
          <w:b/>
          <w:i/>
          <w:noProof/>
          <w:lang w:eastAsia="en-GB"/>
        </w:rPr>
        <w:t xml:space="preserve">EUR 15 669 170.92 (29 % of the operational budget in 2015) </w:t>
      </w:r>
      <w:r>
        <w:rPr>
          <w:rFonts w:eastAsia="Times New Roman" w:cs="Times New Roman"/>
          <w:noProof/>
          <w:lang w:eastAsia="en-GB"/>
        </w:rPr>
        <w:t xml:space="preserve">for promoting health, preventing diseases and fostering supportive environments for </w:t>
      </w:r>
      <w:r>
        <w:rPr>
          <w:rFonts w:eastAsia="Times New Roman" w:cs="Times New Roman"/>
          <w:bCs/>
          <w:noProof/>
          <w:lang w:eastAsia="en-GB"/>
        </w:rPr>
        <w:t>healthy lifestyles</w:t>
      </w:r>
      <w:r>
        <w:rPr>
          <w:rFonts w:eastAsia="Times New Roman" w:cs="Times New Roman"/>
          <w:noProof/>
          <w:lang w:eastAsia="en-GB"/>
        </w:rPr>
        <w:t xml:space="preserve"> taking into account the ‘health in all policies’ principle.</w:t>
      </w:r>
    </w:p>
    <w:p>
      <w:pPr>
        <w:numPr>
          <w:ilvl w:val="0"/>
          <w:numId w:val="25"/>
        </w:numPr>
        <w:spacing w:before="100" w:beforeAutospacing="1" w:after="100" w:afterAutospacing="1" w:line="360" w:lineRule="auto"/>
        <w:jc w:val="both"/>
        <w:rPr>
          <w:rFonts w:eastAsia="Times New Roman" w:cs="Times New Roman"/>
          <w:b/>
          <w:i/>
          <w:noProof/>
          <w:lang w:eastAsia="en-GB"/>
        </w:rPr>
      </w:pPr>
      <w:r>
        <w:rPr>
          <w:rFonts w:eastAsia="Times New Roman" w:cs="Times New Roman"/>
          <w:b/>
          <w:noProof/>
          <w:lang w:eastAsia="en-GB"/>
        </w:rPr>
        <w:t>Health threats</w:t>
      </w:r>
      <w:r>
        <w:rPr>
          <w:rFonts w:eastAsia="Times New Roman" w:cs="Times New Roman"/>
          <w:noProof/>
          <w:lang w:eastAsia="en-GB"/>
        </w:rPr>
        <w:t xml:space="preserve">: </w:t>
      </w:r>
      <w:r>
        <w:rPr>
          <w:rFonts w:eastAsia="Times New Roman" w:cs="Times New Roman"/>
          <w:b/>
          <w:i/>
          <w:noProof/>
          <w:lang w:eastAsia="en-GB"/>
        </w:rPr>
        <w:t>EUR 5 016 028.59 (9 % of the operational budget in 2015)</w:t>
      </w:r>
      <w:r>
        <w:rPr>
          <w:rFonts w:eastAsia="Times New Roman" w:cs="Times New Roman"/>
          <w:noProof/>
          <w:lang w:eastAsia="en-GB"/>
        </w:rPr>
        <w:t xml:space="preserve"> for protecting EU citizens from serious </w:t>
      </w:r>
      <w:r>
        <w:rPr>
          <w:rFonts w:eastAsia="Times New Roman" w:cs="Times New Roman"/>
          <w:bCs/>
          <w:noProof/>
          <w:lang w:eastAsia="en-GB"/>
        </w:rPr>
        <w:t>cross-border health threats.</w:t>
      </w:r>
    </w:p>
    <w:p>
      <w:pPr>
        <w:numPr>
          <w:ilvl w:val="0"/>
          <w:numId w:val="25"/>
        </w:numPr>
        <w:spacing w:before="100" w:beforeAutospacing="1" w:after="100" w:afterAutospacing="1" w:line="360" w:lineRule="auto"/>
        <w:jc w:val="both"/>
        <w:rPr>
          <w:rFonts w:eastAsia="Times New Roman" w:cs="Times New Roman"/>
          <w:b/>
          <w:i/>
          <w:noProof/>
          <w:lang w:eastAsia="en-GB"/>
        </w:rPr>
      </w:pPr>
      <w:r>
        <w:rPr>
          <w:rFonts w:eastAsia="Times New Roman" w:cs="Times New Roman"/>
          <w:b/>
          <w:noProof/>
          <w:lang w:eastAsia="en-GB"/>
        </w:rPr>
        <w:t>Health systems</w:t>
      </w:r>
      <w:r>
        <w:rPr>
          <w:rFonts w:eastAsia="Times New Roman" w:cs="Times New Roman"/>
          <w:noProof/>
          <w:lang w:eastAsia="en-GB"/>
        </w:rPr>
        <w:t xml:space="preserve">: </w:t>
      </w:r>
      <w:r>
        <w:rPr>
          <w:rFonts w:eastAsia="Times New Roman" w:cs="Times New Roman"/>
          <w:b/>
          <w:i/>
          <w:noProof/>
          <w:lang w:eastAsia="en-GB"/>
        </w:rPr>
        <w:t>EUR 25 106 924.35 (46 % of the operational budget in 2015)</w:t>
      </w:r>
      <w:r>
        <w:rPr>
          <w:rFonts w:eastAsia="Times New Roman" w:cs="Times New Roman"/>
          <w:noProof/>
          <w:lang w:eastAsia="en-GB"/>
        </w:rPr>
        <w:t xml:space="preserve"> for contributing to innovative, efficient and sustainable </w:t>
      </w:r>
      <w:r>
        <w:rPr>
          <w:rFonts w:eastAsia="Times New Roman" w:cs="Times New Roman"/>
          <w:bCs/>
          <w:noProof/>
          <w:lang w:eastAsia="en-GB"/>
        </w:rPr>
        <w:t>health systems.</w:t>
      </w:r>
    </w:p>
    <w:p>
      <w:pPr>
        <w:numPr>
          <w:ilvl w:val="0"/>
          <w:numId w:val="25"/>
        </w:numPr>
        <w:spacing w:before="100" w:beforeAutospacing="1" w:after="100" w:afterAutospacing="1" w:line="360" w:lineRule="auto"/>
        <w:jc w:val="both"/>
        <w:rPr>
          <w:rFonts w:eastAsia="Times New Roman" w:cs="Times New Roman"/>
          <w:b/>
          <w:i/>
          <w:noProof/>
          <w:lang w:eastAsia="en-GB"/>
        </w:rPr>
      </w:pPr>
      <w:r>
        <w:rPr>
          <w:rFonts w:eastAsia="Times New Roman" w:cs="Times New Roman"/>
          <w:b/>
          <w:noProof/>
          <w:lang w:eastAsia="en-GB"/>
        </w:rPr>
        <w:t>Better and safer healthcare</w:t>
      </w:r>
      <w:r>
        <w:rPr>
          <w:rFonts w:eastAsia="Times New Roman" w:cs="Times New Roman"/>
          <w:noProof/>
          <w:lang w:eastAsia="en-GB"/>
        </w:rPr>
        <w:t xml:space="preserve">: </w:t>
      </w:r>
      <w:r>
        <w:rPr>
          <w:rFonts w:eastAsia="Times New Roman" w:cs="Times New Roman"/>
          <w:b/>
          <w:i/>
          <w:noProof/>
          <w:lang w:eastAsia="en-GB"/>
        </w:rPr>
        <w:t>EUR 6 127 923.17 (11 % of the operational budget in 2015)</w:t>
      </w:r>
      <w:r>
        <w:rPr>
          <w:rFonts w:eastAsia="Times New Roman" w:cs="Times New Roman"/>
          <w:noProof/>
          <w:lang w:eastAsia="en-GB"/>
        </w:rPr>
        <w:t xml:space="preserve"> for helping EU citizens access </w:t>
      </w:r>
      <w:r>
        <w:rPr>
          <w:rFonts w:eastAsia="Times New Roman" w:cs="Times New Roman"/>
          <w:bCs/>
          <w:noProof/>
          <w:lang w:eastAsia="en-GB"/>
        </w:rPr>
        <w:t>better and safer healthcare</w:t>
      </w:r>
      <w:r>
        <w:rPr>
          <w:rFonts w:eastAsia="Times New Roman" w:cs="Times New Roman"/>
          <w:noProof/>
          <w:lang w:eastAsia="en-GB"/>
        </w:rPr>
        <w:t>.</w:t>
      </w:r>
    </w:p>
    <w:p>
      <w:pPr>
        <w:spacing w:before="120" w:after="120" w:line="360" w:lineRule="auto"/>
        <w:jc w:val="both"/>
        <w:rPr>
          <w:noProof/>
        </w:rPr>
      </w:pPr>
      <w:r>
        <w:rPr>
          <w:rFonts w:cs="Times New Roman"/>
          <w:noProof/>
        </w:rPr>
        <w:t>The specific call to ‘</w:t>
      </w:r>
      <w:r>
        <w:rPr>
          <w:rFonts w:cs="Times New Roman"/>
          <w:i/>
          <w:noProof/>
        </w:rPr>
        <w:t>support Member States under particular migratory pressure in their response to health related challenges</w:t>
      </w:r>
      <w:r>
        <w:rPr>
          <w:rFonts w:cs="Times New Roman"/>
          <w:noProof/>
        </w:rPr>
        <w:t>’ was a horizontal action related to Objectives 1 (health promotion) and 2 (health threats). The corresponding amount of EUR </w:t>
      </w:r>
      <w:r>
        <w:rPr>
          <w:rFonts w:eastAsia="Times New Roman" w:cs="Times New Roman"/>
          <w:noProof/>
          <w:color w:val="000000"/>
          <w:lang w:eastAsia="en-GB"/>
        </w:rPr>
        <w:t xml:space="preserve">7 234 199.58 </w:t>
      </w:r>
      <w:r>
        <w:rPr>
          <w:rFonts w:cs="Times New Roman"/>
          <w:noProof/>
        </w:rPr>
        <w:t xml:space="preserve">(13 % of the operational budget in 2015) was divided evenly </w:t>
      </w:r>
      <w:r>
        <w:rPr>
          <w:rFonts w:eastAsia="Times New Roman" w:cs="Times New Roman"/>
          <w:noProof/>
          <w:color w:val="000000"/>
          <w:lang w:eastAsia="en-GB"/>
        </w:rPr>
        <w:t>between Objective 1 and Objective 2 and resulted to the calculations above.</w:t>
      </w:r>
    </w:p>
    <w:p>
      <w:pPr>
        <w:spacing w:before="100" w:beforeAutospacing="1" w:after="100" w:afterAutospacing="1" w:line="360" w:lineRule="auto"/>
        <w:jc w:val="both"/>
        <w:rPr>
          <w:rFonts w:eastAsia="Times New Roman" w:cs="Times New Roman"/>
          <w:b/>
          <w:i/>
          <w:noProof/>
          <w:lang w:eastAsia="en-GB"/>
        </w:rPr>
      </w:pPr>
      <w:r>
        <w:rPr>
          <w:rFonts w:eastAsia="Times New Roman" w:cs="Times New Roman"/>
          <w:noProof/>
          <w:lang w:eastAsia="en-GB"/>
        </w:rPr>
        <w:t xml:space="preserve">In addition, </w:t>
      </w:r>
      <w:r>
        <w:rPr>
          <w:rFonts w:eastAsia="Times New Roman" w:cs="Times New Roman"/>
          <w:b/>
          <w:noProof/>
          <w:lang w:eastAsia="en-GB"/>
        </w:rPr>
        <w:t>horizontal activities (IT, communication)</w:t>
      </w:r>
      <w:r>
        <w:rPr>
          <w:rFonts w:eastAsia="Times New Roman" w:cs="Times New Roman"/>
          <w:noProof/>
          <w:lang w:eastAsia="en-GB"/>
        </w:rPr>
        <w:t xml:space="preserve"> amounted to </w:t>
      </w:r>
      <w:r>
        <w:rPr>
          <w:rFonts w:eastAsia="Times New Roman" w:cs="Times New Roman"/>
          <w:b/>
          <w:i/>
          <w:noProof/>
          <w:lang w:eastAsia="en-GB"/>
        </w:rPr>
        <w:t>EUR 2 857 971.72 (5 % of the operational budget in 2015).</w:t>
      </w:r>
    </w:p>
    <w:p>
      <w:pPr>
        <w:spacing w:before="100" w:beforeAutospacing="1" w:after="100" w:afterAutospacing="1" w:line="360" w:lineRule="auto"/>
        <w:rPr>
          <w:rFonts w:eastAsia="Times New Roman" w:cs="Times New Roman"/>
          <w:noProof/>
          <w:lang w:eastAsia="en-GB"/>
        </w:rPr>
      </w:pPr>
    </w:p>
    <w:p>
      <w:pPr>
        <w:keepNext/>
        <w:spacing w:before="120" w:after="120" w:line="360" w:lineRule="auto"/>
        <w:jc w:val="center"/>
        <w:rPr>
          <w:rFonts w:cs="Times New Roman"/>
          <w:b/>
          <w:noProof/>
        </w:rPr>
      </w:pPr>
      <w:r>
        <w:rPr>
          <w:rFonts w:cs="Times New Roman"/>
          <w:b/>
          <w:noProof/>
        </w:rPr>
        <w:t>Figure 1:  Operational budget by third Health Programme objective in 2015</w:t>
      </w:r>
    </w:p>
    <w:p>
      <w:pPr>
        <w:keepNext/>
        <w:spacing w:before="120" w:after="120" w:line="360" w:lineRule="auto"/>
        <w:jc w:val="center"/>
        <w:rPr>
          <w:rFonts w:cs="Times New Roman"/>
          <w:b/>
          <w:noProof/>
        </w:rPr>
      </w:pPr>
      <w:r>
        <w:rPr>
          <w:rFonts w:cs="Times New Roman"/>
          <w:b/>
          <w:noProof/>
          <w:lang w:eastAsia="en-GB"/>
        </w:rPr>
        <w:drawing>
          <wp:inline distT="0" distB="0" distL="0" distR="0">
            <wp:extent cx="3828415" cy="2395855"/>
            <wp:effectExtent l="0" t="0" r="63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8415" cy="2395855"/>
                    </a:xfrm>
                    <a:prstGeom prst="rect">
                      <a:avLst/>
                    </a:prstGeom>
                    <a:noFill/>
                  </pic:spPr>
                </pic:pic>
              </a:graphicData>
            </a:graphic>
          </wp:inline>
        </w:drawing>
      </w:r>
    </w:p>
    <w:p>
      <w:pPr>
        <w:spacing w:before="100" w:beforeAutospacing="1" w:after="100" w:afterAutospacing="1" w:line="360" w:lineRule="auto"/>
        <w:rPr>
          <w:rFonts w:eastAsia="Times New Roman" w:cs="Times New Roman"/>
          <w:noProof/>
          <w:lang w:eastAsia="en-GB"/>
        </w:rPr>
      </w:pPr>
    </w:p>
    <w:p>
      <w:pPr>
        <w:spacing w:before="100" w:beforeAutospacing="1" w:after="100" w:afterAutospacing="1" w:line="360" w:lineRule="auto"/>
        <w:rPr>
          <w:rFonts w:eastAsia="Times New Roman" w:cs="Times New Roman"/>
          <w:noProof/>
          <w:lang w:eastAsia="en-GB"/>
        </w:rPr>
      </w:pPr>
      <w:r>
        <w:rPr>
          <w:rFonts w:eastAsia="Times New Roman" w:cs="Times New Roman"/>
          <w:noProof/>
          <w:lang w:eastAsia="en-GB"/>
        </w:rPr>
        <w:t>The figure below provides information on the Health Programme credits invested as EU contribution under the different thematic priorities in year 2015.</w:t>
      </w:r>
    </w:p>
    <w:p>
      <w:pPr>
        <w:keepNext/>
        <w:spacing w:before="120" w:after="120" w:line="360" w:lineRule="auto"/>
        <w:jc w:val="center"/>
        <w:rPr>
          <w:rFonts w:cs="Times New Roman"/>
          <w:b/>
          <w:noProof/>
        </w:rPr>
      </w:pPr>
      <w:r>
        <w:rPr>
          <w:rFonts w:cs="Times New Roman"/>
          <w:b/>
          <w:noProof/>
        </w:rPr>
        <w:t>Figure 2:  Operational budget by thematic priority in 2015</w:t>
      </w:r>
    </w:p>
    <w:p>
      <w:pPr>
        <w:spacing w:before="100" w:beforeAutospacing="1" w:after="100" w:afterAutospacing="1" w:line="360" w:lineRule="auto"/>
        <w:rPr>
          <w:rFonts w:eastAsia="Times New Roman" w:cs="Times New Roman"/>
          <w:noProof/>
          <w:lang w:eastAsia="en-GB"/>
        </w:rPr>
      </w:pPr>
      <w:r>
        <w:rPr>
          <w:rFonts w:eastAsia="Times New Roman" w:cs="Times New Roman"/>
          <w:noProof/>
          <w:lang w:eastAsia="en-GB"/>
        </w:rPr>
        <w:drawing>
          <wp:inline distT="0" distB="0" distL="0" distR="0">
            <wp:extent cx="5681272" cy="37166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3775" cy="3718283"/>
                    </a:xfrm>
                    <a:prstGeom prst="rect">
                      <a:avLst/>
                    </a:prstGeom>
                    <a:noFill/>
                  </pic:spPr>
                </pic:pic>
              </a:graphicData>
            </a:graphic>
          </wp:inline>
        </w:drawing>
      </w:r>
    </w:p>
    <w:p>
      <w:pPr>
        <w:spacing w:line="360" w:lineRule="auto"/>
        <w:jc w:val="both"/>
        <w:rPr>
          <w:rFonts w:eastAsia="Times New Roman" w:cs="Times New Roman"/>
          <w:noProof/>
          <w:lang w:eastAsia="en-GB"/>
        </w:rPr>
      </w:pPr>
      <w:r>
        <w:rPr>
          <w:rFonts w:eastAsia="Times New Roman" w:cs="Times New Roman"/>
          <w:noProof/>
          <w:lang w:eastAsia="en-GB"/>
        </w:rPr>
        <w:t>The Programme is implemented through a wide range of funding instruments. These are:</w:t>
      </w:r>
    </w:p>
    <w:p>
      <w:pPr>
        <w:pStyle w:val="ListParagraph"/>
        <w:numPr>
          <w:ilvl w:val="0"/>
          <w:numId w:val="26"/>
        </w:numPr>
        <w:spacing w:line="360" w:lineRule="auto"/>
        <w:jc w:val="both"/>
        <w:rPr>
          <w:rFonts w:ascii="Times New Roman" w:hAnsi="Times New Roman"/>
          <w:noProof/>
          <w:lang w:val="en-GB" w:eastAsia="en-GB"/>
        </w:rPr>
      </w:pPr>
      <w:r>
        <w:rPr>
          <w:rFonts w:ascii="Times New Roman" w:hAnsi="Times New Roman"/>
          <w:noProof/>
          <w:lang w:val="en-GB" w:eastAsia="en-GB"/>
        </w:rPr>
        <w:t>actions co-financed with Member State authorities (joint actions);</w:t>
      </w:r>
    </w:p>
    <w:p>
      <w:pPr>
        <w:pStyle w:val="ListParagraph"/>
        <w:numPr>
          <w:ilvl w:val="0"/>
          <w:numId w:val="26"/>
        </w:numPr>
        <w:spacing w:line="360" w:lineRule="auto"/>
        <w:jc w:val="both"/>
        <w:rPr>
          <w:rFonts w:ascii="Times New Roman" w:hAnsi="Times New Roman"/>
          <w:noProof/>
          <w:lang w:val="en-GB" w:eastAsia="en-GB"/>
        </w:rPr>
      </w:pPr>
      <w:r>
        <w:rPr>
          <w:rFonts w:ascii="Times New Roman" w:hAnsi="Times New Roman"/>
          <w:noProof/>
          <w:lang w:val="en-GB" w:eastAsia="en-GB"/>
        </w:rPr>
        <w:t>project grants;</w:t>
      </w:r>
    </w:p>
    <w:p>
      <w:pPr>
        <w:pStyle w:val="ListParagraph"/>
        <w:numPr>
          <w:ilvl w:val="0"/>
          <w:numId w:val="26"/>
        </w:numPr>
        <w:spacing w:line="360" w:lineRule="auto"/>
        <w:jc w:val="both"/>
        <w:rPr>
          <w:rFonts w:ascii="Times New Roman" w:hAnsi="Times New Roman"/>
          <w:noProof/>
          <w:lang w:val="en-GB" w:eastAsia="en-GB"/>
        </w:rPr>
      </w:pPr>
      <w:r>
        <w:rPr>
          <w:rFonts w:ascii="Times New Roman" w:hAnsi="Times New Roman"/>
          <w:noProof/>
          <w:lang w:val="en-GB" w:eastAsia="en-GB"/>
        </w:rPr>
        <w:t>operating grants in support of non-governmental organisations;</w:t>
      </w:r>
    </w:p>
    <w:p>
      <w:pPr>
        <w:pStyle w:val="ListParagraph"/>
        <w:numPr>
          <w:ilvl w:val="0"/>
          <w:numId w:val="26"/>
        </w:numPr>
        <w:spacing w:line="360" w:lineRule="auto"/>
        <w:jc w:val="both"/>
        <w:rPr>
          <w:rFonts w:ascii="Times New Roman" w:hAnsi="Times New Roman"/>
          <w:noProof/>
          <w:lang w:val="en-GB" w:eastAsia="en-GB"/>
        </w:rPr>
      </w:pPr>
      <w:r>
        <w:rPr>
          <w:rFonts w:ascii="Times New Roman" w:hAnsi="Times New Roman"/>
          <w:noProof/>
          <w:lang w:val="en-GB" w:eastAsia="en-GB"/>
        </w:rPr>
        <w:t>direct agreements with international organisations;</w:t>
      </w:r>
    </w:p>
    <w:p>
      <w:pPr>
        <w:pStyle w:val="ListParagraph"/>
        <w:numPr>
          <w:ilvl w:val="0"/>
          <w:numId w:val="26"/>
        </w:numPr>
        <w:spacing w:line="360" w:lineRule="auto"/>
        <w:jc w:val="both"/>
        <w:rPr>
          <w:rFonts w:ascii="Times New Roman" w:hAnsi="Times New Roman"/>
          <w:noProof/>
          <w:lang w:val="en-GB" w:eastAsia="en-GB"/>
        </w:rPr>
      </w:pPr>
      <w:r>
        <w:rPr>
          <w:rFonts w:ascii="Times New Roman" w:hAnsi="Times New Roman"/>
          <w:noProof/>
          <w:lang w:val="en-GB" w:eastAsia="en-GB"/>
        </w:rPr>
        <w:t>public procurement;</w:t>
      </w:r>
    </w:p>
    <w:p>
      <w:pPr>
        <w:pStyle w:val="ListParagraph"/>
        <w:numPr>
          <w:ilvl w:val="0"/>
          <w:numId w:val="26"/>
        </w:numPr>
        <w:spacing w:line="360" w:lineRule="auto"/>
        <w:jc w:val="both"/>
        <w:rPr>
          <w:rFonts w:ascii="Times New Roman" w:hAnsi="Times New Roman"/>
          <w:noProof/>
          <w:lang w:val="en-GB" w:eastAsia="en-GB"/>
        </w:rPr>
      </w:pPr>
      <w:r>
        <w:rPr>
          <w:rFonts w:ascii="Times New Roman" w:hAnsi="Times New Roman"/>
          <w:noProof/>
          <w:lang w:val="en-GB" w:eastAsia="en-GB"/>
        </w:rPr>
        <w:t>other actions, such as the scientific committees, administrative agreements with the Joint Research Centre and grants for Council presidency conferences.</w:t>
      </w:r>
    </w:p>
    <w:p>
      <w:pPr>
        <w:spacing w:line="360" w:lineRule="auto"/>
        <w:jc w:val="both"/>
        <w:rPr>
          <w:rFonts w:cs="Times New Roman"/>
          <w:noProof/>
        </w:rPr>
      </w:pPr>
      <w:r>
        <w:rPr>
          <w:rFonts w:cs="Times New Roman"/>
          <w:noProof/>
        </w:rPr>
        <w:t>Competitive selection and award procedures were used to select initiatives for funding. However, they are not used for joint actions, direct grant agreements and conferences organised by Council presidencies because in those cases competitive procedures are either not allowed under the specific rules or are not used in practice, for example, due to a monopoly situation.</w:t>
      </w:r>
    </w:p>
    <w:p>
      <w:pPr>
        <w:spacing w:line="360" w:lineRule="auto"/>
        <w:jc w:val="both"/>
        <w:rPr>
          <w:rFonts w:cs="Times New Roman"/>
          <w:noProof/>
        </w:rPr>
      </w:pPr>
      <w:r>
        <w:rPr>
          <w:rFonts w:cs="Times New Roman"/>
          <w:noProof/>
        </w:rPr>
        <w:t>Administrative credits covered expenditure for studies, meetings of experts, information and publication costs, and technical and administrative assistance for IT systems.</w:t>
      </w:r>
    </w:p>
    <w:p>
      <w:pPr>
        <w:pStyle w:val="ManualHeading2"/>
        <w:rPr>
          <w:noProof/>
        </w:rPr>
      </w:pPr>
      <w:bookmarkStart w:id="26" w:name="_Toc388355511"/>
      <w:bookmarkStart w:id="27" w:name="_Toc390420265"/>
      <w:bookmarkStart w:id="28" w:name="_Toc404756131"/>
      <w:bookmarkStart w:id="29" w:name="_Toc472077570"/>
      <w:bookmarkStart w:id="30" w:name="_Toc520120180"/>
      <w:r>
        <w:t>3.</w:t>
      </w:r>
      <w:r>
        <w:tab/>
      </w:r>
      <w:r>
        <w:rPr>
          <w:noProof/>
        </w:rPr>
        <w:t>Implementation of the operational budget by financing mechanism</w:t>
      </w:r>
      <w:bookmarkEnd w:id="26"/>
      <w:bookmarkEnd w:id="27"/>
      <w:bookmarkEnd w:id="28"/>
      <w:bookmarkEnd w:id="29"/>
      <w:bookmarkEnd w:id="30"/>
    </w:p>
    <w:tbl>
      <w:tblPr>
        <w:tblStyle w:val="TableGrid"/>
        <w:tblW w:w="9464" w:type="dxa"/>
        <w:tblLook w:val="0000" w:firstRow="0" w:lastRow="0" w:firstColumn="0" w:lastColumn="0" w:noHBand="0" w:noVBand="0"/>
      </w:tblPr>
      <w:tblGrid>
        <w:gridCol w:w="4361"/>
        <w:gridCol w:w="2551"/>
        <w:gridCol w:w="2552"/>
      </w:tblGrid>
      <w:tr>
        <w:trPr>
          <w:trHeight w:val="1020"/>
        </w:trPr>
        <w:tc>
          <w:tcPr>
            <w:tcW w:w="4361" w:type="dxa"/>
            <w:noWrap/>
          </w:tcPr>
          <w:p>
            <w:pPr>
              <w:spacing w:line="360" w:lineRule="auto"/>
              <w:jc w:val="both"/>
              <w:rPr>
                <w:b/>
                <w:noProof/>
                <w:sz w:val="22"/>
                <w:szCs w:val="22"/>
              </w:rPr>
            </w:pPr>
            <w:r>
              <w:rPr>
                <w:b/>
                <w:noProof/>
                <w:sz w:val="22"/>
                <w:szCs w:val="22"/>
              </w:rPr>
              <w:t>Type of financing mechanism</w:t>
            </w:r>
          </w:p>
        </w:tc>
        <w:tc>
          <w:tcPr>
            <w:tcW w:w="2551" w:type="dxa"/>
            <w:noWrap/>
          </w:tcPr>
          <w:p>
            <w:pPr>
              <w:spacing w:line="360" w:lineRule="auto"/>
              <w:jc w:val="both"/>
              <w:rPr>
                <w:b/>
                <w:noProof/>
                <w:sz w:val="22"/>
                <w:szCs w:val="22"/>
              </w:rPr>
            </w:pPr>
            <w:r>
              <w:rPr>
                <w:b/>
                <w:noProof/>
                <w:sz w:val="22"/>
                <w:szCs w:val="22"/>
              </w:rPr>
              <w:t>Implementation (EUR)</w:t>
            </w:r>
            <w:r>
              <w:rPr>
                <w:b/>
                <w:noProof/>
                <w:sz w:val="22"/>
                <w:szCs w:val="22"/>
              </w:rPr>
              <w:br/>
              <w:t>Commitments</w:t>
            </w:r>
          </w:p>
        </w:tc>
        <w:tc>
          <w:tcPr>
            <w:tcW w:w="2552" w:type="dxa"/>
            <w:noWrap/>
          </w:tcPr>
          <w:p>
            <w:pPr>
              <w:spacing w:line="360" w:lineRule="auto"/>
              <w:rPr>
                <w:b/>
                <w:noProof/>
                <w:sz w:val="22"/>
                <w:szCs w:val="22"/>
              </w:rPr>
            </w:pPr>
            <w:r>
              <w:rPr>
                <w:b/>
                <w:noProof/>
                <w:sz w:val="22"/>
                <w:szCs w:val="22"/>
              </w:rPr>
              <w:t>Share of mechanism in total implemented budget (commitments)</w:t>
            </w:r>
          </w:p>
        </w:tc>
      </w:tr>
      <w:tr>
        <w:trPr>
          <w:trHeight w:val="340"/>
        </w:trPr>
        <w:tc>
          <w:tcPr>
            <w:tcW w:w="4361" w:type="dxa"/>
            <w:noWrap/>
          </w:tcPr>
          <w:p>
            <w:pPr>
              <w:spacing w:line="360" w:lineRule="auto"/>
              <w:jc w:val="both"/>
              <w:rPr>
                <w:b/>
                <w:noProof/>
                <w:sz w:val="22"/>
                <w:szCs w:val="22"/>
              </w:rPr>
            </w:pPr>
            <w:r>
              <w:rPr>
                <w:b/>
                <w:noProof/>
                <w:sz w:val="22"/>
                <w:szCs w:val="22"/>
              </w:rPr>
              <w:t>Calls for proposals:</w:t>
            </w:r>
          </w:p>
        </w:tc>
        <w:tc>
          <w:tcPr>
            <w:tcW w:w="2551" w:type="dxa"/>
            <w:noWrap/>
          </w:tcPr>
          <w:p>
            <w:pPr>
              <w:spacing w:line="360" w:lineRule="auto"/>
              <w:jc w:val="right"/>
              <w:rPr>
                <w:b/>
                <w:noProof/>
                <w:sz w:val="22"/>
                <w:szCs w:val="22"/>
              </w:rPr>
            </w:pPr>
          </w:p>
        </w:tc>
        <w:tc>
          <w:tcPr>
            <w:tcW w:w="2552" w:type="dxa"/>
            <w:noWrap/>
          </w:tcPr>
          <w:p>
            <w:pPr>
              <w:tabs>
                <w:tab w:val="decimal" w:pos="792"/>
              </w:tabs>
              <w:spacing w:line="360" w:lineRule="auto"/>
              <w:jc w:val="right"/>
              <w:rPr>
                <w:b/>
                <w:noProof/>
                <w:sz w:val="22"/>
                <w:szCs w:val="22"/>
              </w:rPr>
            </w:pPr>
          </w:p>
        </w:tc>
      </w:tr>
      <w:tr>
        <w:trPr>
          <w:trHeight w:val="340"/>
        </w:trPr>
        <w:tc>
          <w:tcPr>
            <w:tcW w:w="4361" w:type="dxa"/>
            <w:noWrap/>
          </w:tcPr>
          <w:p>
            <w:pPr>
              <w:spacing w:line="360" w:lineRule="auto"/>
              <w:jc w:val="both"/>
              <w:rPr>
                <w:bCs/>
                <w:noProof/>
                <w:sz w:val="22"/>
                <w:szCs w:val="22"/>
              </w:rPr>
            </w:pPr>
            <w:r>
              <w:rPr>
                <w:bCs/>
                <w:noProof/>
                <w:sz w:val="22"/>
                <w:szCs w:val="22"/>
              </w:rPr>
              <w:t>Project grants</w:t>
            </w:r>
          </w:p>
        </w:tc>
        <w:tc>
          <w:tcPr>
            <w:tcW w:w="2551" w:type="dxa"/>
            <w:noWrap/>
          </w:tcPr>
          <w:p>
            <w:pPr>
              <w:spacing w:line="360" w:lineRule="auto"/>
              <w:jc w:val="right"/>
              <w:rPr>
                <w:bCs/>
                <w:noProof/>
                <w:sz w:val="22"/>
                <w:szCs w:val="22"/>
              </w:rPr>
            </w:pPr>
            <w:r>
              <w:rPr>
                <w:bCs/>
                <w:noProof/>
                <w:sz w:val="22"/>
                <w:szCs w:val="22"/>
              </w:rPr>
              <w:t>14 944 000.04</w:t>
            </w:r>
          </w:p>
        </w:tc>
        <w:tc>
          <w:tcPr>
            <w:tcW w:w="2552" w:type="dxa"/>
            <w:noWrap/>
          </w:tcPr>
          <w:p>
            <w:pPr>
              <w:tabs>
                <w:tab w:val="decimal" w:pos="792"/>
              </w:tabs>
              <w:spacing w:line="360" w:lineRule="auto"/>
              <w:jc w:val="right"/>
              <w:rPr>
                <w:noProof/>
                <w:sz w:val="22"/>
                <w:szCs w:val="22"/>
              </w:rPr>
            </w:pPr>
            <w:r>
              <w:rPr>
                <w:noProof/>
                <w:sz w:val="22"/>
                <w:szCs w:val="22"/>
              </w:rPr>
              <w:t>27.3 %</w:t>
            </w:r>
          </w:p>
        </w:tc>
      </w:tr>
      <w:tr>
        <w:trPr>
          <w:trHeight w:val="340"/>
        </w:trPr>
        <w:tc>
          <w:tcPr>
            <w:tcW w:w="4361" w:type="dxa"/>
            <w:noWrap/>
          </w:tcPr>
          <w:p>
            <w:pPr>
              <w:spacing w:line="360" w:lineRule="auto"/>
              <w:jc w:val="both"/>
              <w:rPr>
                <w:bCs/>
                <w:noProof/>
                <w:sz w:val="22"/>
                <w:szCs w:val="22"/>
              </w:rPr>
            </w:pPr>
            <w:r>
              <w:rPr>
                <w:bCs/>
                <w:noProof/>
                <w:sz w:val="22"/>
                <w:szCs w:val="22"/>
              </w:rPr>
              <w:t>Operating grants</w:t>
            </w:r>
          </w:p>
        </w:tc>
        <w:tc>
          <w:tcPr>
            <w:tcW w:w="2551" w:type="dxa"/>
            <w:noWrap/>
          </w:tcPr>
          <w:p>
            <w:pPr>
              <w:spacing w:line="360" w:lineRule="auto"/>
              <w:jc w:val="right"/>
              <w:rPr>
                <w:bCs/>
                <w:noProof/>
                <w:sz w:val="22"/>
                <w:szCs w:val="22"/>
              </w:rPr>
            </w:pPr>
            <w:r>
              <w:rPr>
                <w:bCs/>
                <w:noProof/>
                <w:sz w:val="22"/>
                <w:szCs w:val="22"/>
              </w:rPr>
              <w:t>5 005 520.00</w:t>
            </w:r>
          </w:p>
        </w:tc>
        <w:tc>
          <w:tcPr>
            <w:tcW w:w="2552" w:type="dxa"/>
            <w:noWrap/>
          </w:tcPr>
          <w:p>
            <w:pPr>
              <w:tabs>
                <w:tab w:val="decimal" w:pos="792"/>
              </w:tabs>
              <w:spacing w:line="360" w:lineRule="auto"/>
              <w:jc w:val="right"/>
              <w:rPr>
                <w:noProof/>
                <w:sz w:val="22"/>
                <w:szCs w:val="22"/>
              </w:rPr>
            </w:pPr>
            <w:r>
              <w:rPr>
                <w:noProof/>
                <w:sz w:val="22"/>
                <w:szCs w:val="22"/>
              </w:rPr>
              <w:t>9.1 %</w:t>
            </w:r>
          </w:p>
        </w:tc>
      </w:tr>
      <w:tr>
        <w:trPr>
          <w:trHeight w:val="699"/>
        </w:trPr>
        <w:tc>
          <w:tcPr>
            <w:tcW w:w="4361" w:type="dxa"/>
            <w:noWrap/>
          </w:tcPr>
          <w:p>
            <w:pPr>
              <w:spacing w:line="360" w:lineRule="auto"/>
              <w:jc w:val="both"/>
              <w:rPr>
                <w:b/>
                <w:bCs/>
                <w:noProof/>
                <w:sz w:val="22"/>
                <w:szCs w:val="22"/>
              </w:rPr>
            </w:pPr>
            <w:r>
              <w:rPr>
                <w:b/>
                <w:bCs/>
                <w:noProof/>
                <w:sz w:val="22"/>
                <w:szCs w:val="22"/>
              </w:rPr>
              <w:t>Grants for joint actions</w:t>
            </w:r>
          </w:p>
        </w:tc>
        <w:tc>
          <w:tcPr>
            <w:tcW w:w="2551" w:type="dxa"/>
            <w:noWrap/>
          </w:tcPr>
          <w:p>
            <w:pPr>
              <w:spacing w:line="360" w:lineRule="auto"/>
              <w:jc w:val="right"/>
              <w:rPr>
                <w:b/>
                <w:bCs/>
                <w:noProof/>
                <w:sz w:val="22"/>
                <w:szCs w:val="22"/>
              </w:rPr>
            </w:pPr>
            <w:r>
              <w:rPr>
                <w:b/>
                <w:bCs/>
                <w:noProof/>
                <w:sz w:val="22"/>
                <w:szCs w:val="22"/>
              </w:rPr>
              <w:t>17 791 725.60</w:t>
            </w:r>
          </w:p>
        </w:tc>
        <w:tc>
          <w:tcPr>
            <w:tcW w:w="2552" w:type="dxa"/>
            <w:noWrap/>
          </w:tcPr>
          <w:p>
            <w:pPr>
              <w:tabs>
                <w:tab w:val="decimal" w:pos="792"/>
              </w:tabs>
              <w:spacing w:line="360" w:lineRule="auto"/>
              <w:jc w:val="right"/>
              <w:rPr>
                <w:b/>
                <w:noProof/>
                <w:sz w:val="22"/>
                <w:szCs w:val="22"/>
              </w:rPr>
            </w:pPr>
            <w:r>
              <w:rPr>
                <w:b/>
                <w:noProof/>
                <w:sz w:val="22"/>
                <w:szCs w:val="22"/>
              </w:rPr>
              <w:t>32.5 %</w:t>
            </w:r>
          </w:p>
        </w:tc>
      </w:tr>
      <w:tr>
        <w:trPr>
          <w:trHeight w:val="517"/>
        </w:trPr>
        <w:tc>
          <w:tcPr>
            <w:tcW w:w="4361" w:type="dxa"/>
            <w:noWrap/>
          </w:tcPr>
          <w:p>
            <w:pPr>
              <w:spacing w:line="360" w:lineRule="auto"/>
              <w:rPr>
                <w:b/>
                <w:bCs/>
                <w:noProof/>
                <w:sz w:val="22"/>
                <w:szCs w:val="22"/>
              </w:rPr>
            </w:pPr>
            <w:r>
              <w:rPr>
                <w:b/>
                <w:bCs/>
                <w:noProof/>
                <w:sz w:val="22"/>
                <w:szCs w:val="22"/>
              </w:rPr>
              <w:t xml:space="preserve">Conference grants to the Member States holding the presidency of the EU </w:t>
            </w:r>
          </w:p>
        </w:tc>
        <w:tc>
          <w:tcPr>
            <w:tcW w:w="2551" w:type="dxa"/>
            <w:noWrap/>
          </w:tcPr>
          <w:p>
            <w:pPr>
              <w:spacing w:line="360" w:lineRule="auto"/>
              <w:jc w:val="right"/>
              <w:rPr>
                <w:b/>
                <w:noProof/>
                <w:sz w:val="22"/>
                <w:szCs w:val="22"/>
              </w:rPr>
            </w:pPr>
            <w:r>
              <w:rPr>
                <w:b/>
                <w:noProof/>
                <w:sz w:val="22"/>
                <w:szCs w:val="22"/>
              </w:rPr>
              <w:t>120 434.90</w:t>
            </w:r>
          </w:p>
        </w:tc>
        <w:tc>
          <w:tcPr>
            <w:tcW w:w="2552" w:type="dxa"/>
            <w:noWrap/>
          </w:tcPr>
          <w:p>
            <w:pPr>
              <w:tabs>
                <w:tab w:val="decimal" w:pos="792"/>
              </w:tabs>
              <w:spacing w:line="360" w:lineRule="auto"/>
              <w:jc w:val="right"/>
              <w:rPr>
                <w:b/>
                <w:noProof/>
                <w:sz w:val="22"/>
                <w:szCs w:val="22"/>
              </w:rPr>
            </w:pPr>
            <w:r>
              <w:rPr>
                <w:b/>
                <w:noProof/>
                <w:sz w:val="22"/>
                <w:szCs w:val="22"/>
              </w:rPr>
              <w:t>0.2 %</w:t>
            </w:r>
          </w:p>
        </w:tc>
      </w:tr>
      <w:tr>
        <w:trPr>
          <w:trHeight w:val="340"/>
        </w:trPr>
        <w:tc>
          <w:tcPr>
            <w:tcW w:w="4361" w:type="dxa"/>
            <w:noWrap/>
          </w:tcPr>
          <w:p>
            <w:pPr>
              <w:spacing w:line="360" w:lineRule="auto"/>
              <w:jc w:val="both"/>
              <w:rPr>
                <w:b/>
                <w:bCs/>
                <w:noProof/>
                <w:sz w:val="22"/>
                <w:szCs w:val="22"/>
              </w:rPr>
            </w:pPr>
            <w:r>
              <w:rPr>
                <w:b/>
                <w:bCs/>
                <w:noProof/>
                <w:sz w:val="22"/>
                <w:szCs w:val="22"/>
              </w:rPr>
              <w:t>Direct grant agreements</w:t>
            </w:r>
          </w:p>
        </w:tc>
        <w:tc>
          <w:tcPr>
            <w:tcW w:w="2551" w:type="dxa"/>
            <w:noWrap/>
          </w:tcPr>
          <w:p>
            <w:pPr>
              <w:spacing w:line="360" w:lineRule="auto"/>
              <w:jc w:val="right"/>
              <w:rPr>
                <w:b/>
                <w:bCs/>
                <w:noProof/>
                <w:sz w:val="22"/>
                <w:szCs w:val="22"/>
              </w:rPr>
            </w:pPr>
          </w:p>
        </w:tc>
        <w:tc>
          <w:tcPr>
            <w:tcW w:w="2552" w:type="dxa"/>
            <w:noWrap/>
          </w:tcPr>
          <w:p>
            <w:pPr>
              <w:tabs>
                <w:tab w:val="decimal" w:pos="792"/>
              </w:tabs>
              <w:spacing w:line="360" w:lineRule="auto"/>
              <w:jc w:val="right"/>
              <w:rPr>
                <w:b/>
                <w:noProof/>
                <w:sz w:val="22"/>
                <w:szCs w:val="22"/>
              </w:rPr>
            </w:pPr>
          </w:p>
        </w:tc>
      </w:tr>
      <w:tr>
        <w:trPr>
          <w:trHeight w:val="631"/>
        </w:trPr>
        <w:tc>
          <w:tcPr>
            <w:tcW w:w="4361" w:type="dxa"/>
            <w:noWrap/>
          </w:tcPr>
          <w:p>
            <w:pPr>
              <w:spacing w:line="360" w:lineRule="auto"/>
              <w:jc w:val="right"/>
              <w:rPr>
                <w:b/>
                <w:bCs/>
                <w:i/>
                <w:noProof/>
                <w:sz w:val="22"/>
                <w:szCs w:val="22"/>
              </w:rPr>
            </w:pPr>
            <w:r>
              <w:rPr>
                <w:b/>
                <w:bCs/>
                <w:i/>
                <w:noProof/>
                <w:sz w:val="22"/>
                <w:szCs w:val="22"/>
              </w:rPr>
              <w:t>Managed by CHAFEA</w:t>
            </w:r>
          </w:p>
          <w:p>
            <w:pPr>
              <w:spacing w:line="360" w:lineRule="auto"/>
              <w:jc w:val="right"/>
              <w:rPr>
                <w:b/>
                <w:bCs/>
                <w:i/>
                <w:noProof/>
                <w:sz w:val="22"/>
                <w:szCs w:val="22"/>
              </w:rPr>
            </w:pPr>
          </w:p>
        </w:tc>
        <w:tc>
          <w:tcPr>
            <w:tcW w:w="2551" w:type="dxa"/>
            <w:noWrap/>
          </w:tcPr>
          <w:p>
            <w:pPr>
              <w:spacing w:line="360" w:lineRule="auto"/>
              <w:jc w:val="right"/>
              <w:rPr>
                <w:b/>
                <w:bCs/>
                <w:noProof/>
                <w:sz w:val="22"/>
                <w:szCs w:val="22"/>
              </w:rPr>
            </w:pPr>
            <w:r>
              <w:rPr>
                <w:b/>
                <w:bCs/>
                <w:noProof/>
                <w:sz w:val="22"/>
                <w:szCs w:val="22"/>
              </w:rPr>
              <w:t>3 715 000.00</w:t>
            </w:r>
          </w:p>
        </w:tc>
        <w:tc>
          <w:tcPr>
            <w:tcW w:w="2552" w:type="dxa"/>
            <w:noWrap/>
          </w:tcPr>
          <w:p>
            <w:pPr>
              <w:tabs>
                <w:tab w:val="decimal" w:pos="792"/>
              </w:tabs>
              <w:spacing w:line="360" w:lineRule="auto"/>
              <w:jc w:val="right"/>
              <w:rPr>
                <w:b/>
                <w:noProof/>
                <w:sz w:val="22"/>
                <w:szCs w:val="22"/>
              </w:rPr>
            </w:pPr>
            <w:r>
              <w:rPr>
                <w:b/>
                <w:noProof/>
                <w:sz w:val="22"/>
                <w:szCs w:val="22"/>
              </w:rPr>
              <w:t>6.8 %</w:t>
            </w:r>
          </w:p>
        </w:tc>
      </w:tr>
      <w:tr>
        <w:trPr>
          <w:trHeight w:val="631"/>
        </w:trPr>
        <w:tc>
          <w:tcPr>
            <w:tcW w:w="4361" w:type="dxa"/>
            <w:noWrap/>
          </w:tcPr>
          <w:p>
            <w:pPr>
              <w:spacing w:line="360" w:lineRule="auto"/>
              <w:jc w:val="right"/>
              <w:rPr>
                <w:b/>
                <w:bCs/>
                <w:i/>
                <w:noProof/>
                <w:sz w:val="22"/>
                <w:szCs w:val="22"/>
              </w:rPr>
            </w:pPr>
            <w:r>
              <w:rPr>
                <w:b/>
                <w:bCs/>
                <w:i/>
                <w:noProof/>
                <w:sz w:val="22"/>
                <w:szCs w:val="22"/>
              </w:rPr>
              <w:t>Managed by DG SANTE</w:t>
            </w:r>
          </w:p>
        </w:tc>
        <w:tc>
          <w:tcPr>
            <w:tcW w:w="2551" w:type="dxa"/>
            <w:noWrap/>
          </w:tcPr>
          <w:p>
            <w:pPr>
              <w:spacing w:line="360" w:lineRule="auto"/>
              <w:jc w:val="right"/>
              <w:rPr>
                <w:b/>
                <w:bCs/>
                <w:noProof/>
                <w:sz w:val="22"/>
                <w:szCs w:val="22"/>
              </w:rPr>
            </w:pPr>
            <w:r>
              <w:rPr>
                <w:b/>
                <w:bCs/>
                <w:noProof/>
                <w:sz w:val="22"/>
                <w:szCs w:val="22"/>
              </w:rPr>
              <w:t>120 747.29</w:t>
            </w:r>
          </w:p>
        </w:tc>
        <w:tc>
          <w:tcPr>
            <w:tcW w:w="2552" w:type="dxa"/>
            <w:noWrap/>
          </w:tcPr>
          <w:p>
            <w:pPr>
              <w:tabs>
                <w:tab w:val="decimal" w:pos="792"/>
              </w:tabs>
              <w:spacing w:line="360" w:lineRule="auto"/>
              <w:jc w:val="right"/>
              <w:rPr>
                <w:b/>
                <w:noProof/>
                <w:sz w:val="22"/>
                <w:szCs w:val="22"/>
              </w:rPr>
            </w:pPr>
            <w:r>
              <w:rPr>
                <w:b/>
                <w:noProof/>
                <w:sz w:val="22"/>
                <w:szCs w:val="22"/>
              </w:rPr>
              <w:t>0.2 %</w:t>
            </w:r>
          </w:p>
        </w:tc>
      </w:tr>
      <w:tr>
        <w:trPr>
          <w:trHeight w:val="631"/>
        </w:trPr>
        <w:tc>
          <w:tcPr>
            <w:tcW w:w="4361" w:type="dxa"/>
            <w:noWrap/>
          </w:tcPr>
          <w:p>
            <w:pPr>
              <w:spacing w:line="360" w:lineRule="auto"/>
              <w:jc w:val="both"/>
              <w:rPr>
                <w:b/>
                <w:bCs/>
                <w:noProof/>
                <w:sz w:val="22"/>
                <w:szCs w:val="22"/>
              </w:rPr>
            </w:pPr>
            <w:r>
              <w:rPr>
                <w:b/>
                <w:bCs/>
                <w:noProof/>
                <w:sz w:val="22"/>
                <w:szCs w:val="22"/>
              </w:rPr>
              <w:t>Procurement (service contracts)</w:t>
            </w:r>
          </w:p>
        </w:tc>
        <w:tc>
          <w:tcPr>
            <w:tcW w:w="2551" w:type="dxa"/>
            <w:noWrap/>
          </w:tcPr>
          <w:p>
            <w:pPr>
              <w:spacing w:line="360" w:lineRule="auto"/>
              <w:jc w:val="right"/>
              <w:rPr>
                <w:b/>
                <w:bCs/>
                <w:noProof/>
                <w:sz w:val="22"/>
                <w:szCs w:val="22"/>
              </w:rPr>
            </w:pPr>
          </w:p>
        </w:tc>
        <w:tc>
          <w:tcPr>
            <w:tcW w:w="2552" w:type="dxa"/>
            <w:noWrap/>
          </w:tcPr>
          <w:p>
            <w:pPr>
              <w:tabs>
                <w:tab w:val="decimal" w:pos="792"/>
              </w:tabs>
              <w:spacing w:line="360" w:lineRule="auto"/>
              <w:jc w:val="right"/>
              <w:rPr>
                <w:b/>
                <w:noProof/>
                <w:sz w:val="22"/>
                <w:szCs w:val="22"/>
              </w:rPr>
            </w:pPr>
          </w:p>
        </w:tc>
      </w:tr>
      <w:tr>
        <w:trPr>
          <w:trHeight w:val="340"/>
        </w:trPr>
        <w:tc>
          <w:tcPr>
            <w:tcW w:w="4361" w:type="dxa"/>
            <w:noWrap/>
          </w:tcPr>
          <w:p>
            <w:pPr>
              <w:spacing w:line="360" w:lineRule="auto"/>
              <w:jc w:val="right"/>
              <w:rPr>
                <w:b/>
                <w:bCs/>
                <w:i/>
                <w:noProof/>
                <w:sz w:val="22"/>
                <w:szCs w:val="22"/>
              </w:rPr>
            </w:pPr>
            <w:r>
              <w:rPr>
                <w:b/>
                <w:bCs/>
                <w:i/>
                <w:noProof/>
                <w:sz w:val="22"/>
                <w:szCs w:val="22"/>
              </w:rPr>
              <w:t>Managed by CHAFEA</w:t>
            </w:r>
          </w:p>
        </w:tc>
        <w:tc>
          <w:tcPr>
            <w:tcW w:w="2551" w:type="dxa"/>
            <w:noWrap/>
          </w:tcPr>
          <w:p>
            <w:pPr>
              <w:spacing w:line="360" w:lineRule="auto"/>
              <w:jc w:val="right"/>
              <w:rPr>
                <w:noProof/>
                <w:sz w:val="22"/>
                <w:szCs w:val="22"/>
              </w:rPr>
            </w:pPr>
            <w:r>
              <w:rPr>
                <w:noProof/>
                <w:sz w:val="22"/>
                <w:szCs w:val="22"/>
              </w:rPr>
              <w:t>5 890 424.70</w:t>
            </w:r>
          </w:p>
        </w:tc>
        <w:tc>
          <w:tcPr>
            <w:tcW w:w="2552" w:type="dxa"/>
            <w:noWrap/>
          </w:tcPr>
          <w:p>
            <w:pPr>
              <w:tabs>
                <w:tab w:val="decimal" w:pos="792"/>
              </w:tabs>
              <w:spacing w:line="360" w:lineRule="auto"/>
              <w:jc w:val="right"/>
              <w:rPr>
                <w:noProof/>
                <w:sz w:val="22"/>
                <w:szCs w:val="22"/>
              </w:rPr>
            </w:pPr>
            <w:r>
              <w:rPr>
                <w:noProof/>
                <w:sz w:val="22"/>
                <w:szCs w:val="22"/>
              </w:rPr>
              <w:t>10.8 %</w:t>
            </w:r>
          </w:p>
        </w:tc>
      </w:tr>
      <w:tr>
        <w:trPr>
          <w:trHeight w:val="340"/>
        </w:trPr>
        <w:tc>
          <w:tcPr>
            <w:tcW w:w="4361" w:type="dxa"/>
            <w:noWrap/>
          </w:tcPr>
          <w:p>
            <w:pPr>
              <w:spacing w:line="360" w:lineRule="auto"/>
              <w:jc w:val="right"/>
              <w:rPr>
                <w:b/>
                <w:bCs/>
                <w:i/>
                <w:noProof/>
                <w:sz w:val="22"/>
                <w:szCs w:val="22"/>
              </w:rPr>
            </w:pPr>
            <w:r>
              <w:rPr>
                <w:b/>
                <w:bCs/>
                <w:i/>
                <w:noProof/>
                <w:sz w:val="22"/>
                <w:szCs w:val="22"/>
              </w:rPr>
              <w:t>Managed by DG SANTE</w:t>
            </w:r>
          </w:p>
        </w:tc>
        <w:tc>
          <w:tcPr>
            <w:tcW w:w="2551" w:type="dxa"/>
            <w:noWrap/>
          </w:tcPr>
          <w:p>
            <w:pPr>
              <w:spacing w:line="360" w:lineRule="auto"/>
              <w:jc w:val="right"/>
              <w:rPr>
                <w:noProof/>
                <w:sz w:val="22"/>
                <w:szCs w:val="22"/>
              </w:rPr>
            </w:pPr>
            <w:r>
              <w:rPr>
                <w:noProof/>
                <w:sz w:val="22"/>
                <w:szCs w:val="22"/>
              </w:rPr>
              <w:t>5 744 988.82</w:t>
            </w:r>
          </w:p>
        </w:tc>
        <w:tc>
          <w:tcPr>
            <w:tcW w:w="2552" w:type="dxa"/>
            <w:noWrap/>
          </w:tcPr>
          <w:p>
            <w:pPr>
              <w:tabs>
                <w:tab w:val="decimal" w:pos="792"/>
              </w:tabs>
              <w:spacing w:line="360" w:lineRule="auto"/>
              <w:jc w:val="right"/>
              <w:rPr>
                <w:noProof/>
                <w:sz w:val="22"/>
                <w:szCs w:val="22"/>
              </w:rPr>
            </w:pPr>
            <w:r>
              <w:rPr>
                <w:noProof/>
                <w:sz w:val="22"/>
                <w:szCs w:val="22"/>
              </w:rPr>
              <w:t>10.5 %</w:t>
            </w:r>
          </w:p>
        </w:tc>
      </w:tr>
      <w:tr>
        <w:trPr>
          <w:trHeight w:val="517"/>
        </w:trPr>
        <w:tc>
          <w:tcPr>
            <w:tcW w:w="4361" w:type="dxa"/>
            <w:noWrap/>
          </w:tcPr>
          <w:p>
            <w:pPr>
              <w:spacing w:line="360" w:lineRule="auto"/>
              <w:rPr>
                <w:b/>
                <w:bCs/>
                <w:noProof/>
                <w:sz w:val="22"/>
                <w:szCs w:val="22"/>
              </w:rPr>
            </w:pPr>
            <w:r>
              <w:rPr>
                <w:b/>
                <w:bCs/>
                <w:noProof/>
                <w:sz w:val="22"/>
                <w:szCs w:val="22"/>
              </w:rPr>
              <w:t xml:space="preserve">Other actions </w:t>
            </w:r>
          </w:p>
        </w:tc>
        <w:tc>
          <w:tcPr>
            <w:tcW w:w="2551" w:type="dxa"/>
            <w:noWrap/>
          </w:tcPr>
          <w:p>
            <w:pPr>
              <w:spacing w:line="360" w:lineRule="auto"/>
              <w:jc w:val="right"/>
              <w:rPr>
                <w:b/>
                <w:noProof/>
                <w:sz w:val="22"/>
                <w:szCs w:val="22"/>
              </w:rPr>
            </w:pPr>
          </w:p>
        </w:tc>
        <w:tc>
          <w:tcPr>
            <w:tcW w:w="2552" w:type="dxa"/>
            <w:noWrap/>
          </w:tcPr>
          <w:p>
            <w:pPr>
              <w:tabs>
                <w:tab w:val="decimal" w:pos="792"/>
              </w:tabs>
              <w:spacing w:line="360" w:lineRule="auto"/>
              <w:jc w:val="right"/>
              <w:rPr>
                <w:b/>
                <w:noProof/>
                <w:sz w:val="22"/>
                <w:szCs w:val="22"/>
              </w:rPr>
            </w:pPr>
          </w:p>
        </w:tc>
      </w:tr>
      <w:tr>
        <w:trPr>
          <w:trHeight w:val="517"/>
        </w:trPr>
        <w:tc>
          <w:tcPr>
            <w:tcW w:w="4361" w:type="dxa"/>
            <w:noWrap/>
          </w:tcPr>
          <w:p>
            <w:pPr>
              <w:spacing w:line="360" w:lineRule="auto"/>
              <w:jc w:val="right"/>
              <w:rPr>
                <w:b/>
                <w:bCs/>
                <w:noProof/>
                <w:sz w:val="22"/>
                <w:szCs w:val="22"/>
              </w:rPr>
            </w:pPr>
            <w:r>
              <w:rPr>
                <w:b/>
                <w:bCs/>
                <w:i/>
                <w:noProof/>
                <w:sz w:val="22"/>
                <w:szCs w:val="22"/>
              </w:rPr>
              <w:t>Managed by CHAFEA</w:t>
            </w:r>
          </w:p>
        </w:tc>
        <w:tc>
          <w:tcPr>
            <w:tcW w:w="2551" w:type="dxa"/>
            <w:noWrap/>
          </w:tcPr>
          <w:p>
            <w:pPr>
              <w:spacing w:line="360" w:lineRule="auto"/>
              <w:jc w:val="right"/>
              <w:rPr>
                <w:bCs/>
                <w:noProof/>
                <w:sz w:val="22"/>
                <w:szCs w:val="22"/>
              </w:rPr>
            </w:pPr>
            <w:r>
              <w:rPr>
                <w:bCs/>
                <w:noProof/>
                <w:sz w:val="22"/>
                <w:szCs w:val="22"/>
              </w:rPr>
              <w:t>500 000.00</w:t>
            </w:r>
          </w:p>
        </w:tc>
        <w:tc>
          <w:tcPr>
            <w:tcW w:w="2552" w:type="dxa"/>
            <w:noWrap/>
          </w:tcPr>
          <w:p>
            <w:pPr>
              <w:tabs>
                <w:tab w:val="decimal" w:pos="792"/>
              </w:tabs>
              <w:spacing w:line="360" w:lineRule="auto"/>
              <w:jc w:val="right"/>
              <w:rPr>
                <w:bCs/>
                <w:noProof/>
                <w:sz w:val="22"/>
                <w:szCs w:val="22"/>
              </w:rPr>
            </w:pPr>
            <w:r>
              <w:rPr>
                <w:bCs/>
                <w:noProof/>
                <w:sz w:val="22"/>
                <w:szCs w:val="22"/>
              </w:rPr>
              <w:t>0.9 %</w:t>
            </w:r>
          </w:p>
        </w:tc>
      </w:tr>
      <w:tr>
        <w:trPr>
          <w:trHeight w:val="517"/>
        </w:trPr>
        <w:tc>
          <w:tcPr>
            <w:tcW w:w="4361" w:type="dxa"/>
            <w:noWrap/>
          </w:tcPr>
          <w:p>
            <w:pPr>
              <w:spacing w:line="360" w:lineRule="auto"/>
              <w:jc w:val="right"/>
              <w:rPr>
                <w:b/>
                <w:bCs/>
                <w:noProof/>
                <w:sz w:val="22"/>
                <w:szCs w:val="22"/>
              </w:rPr>
            </w:pPr>
            <w:r>
              <w:rPr>
                <w:b/>
                <w:bCs/>
                <w:i/>
                <w:noProof/>
                <w:sz w:val="22"/>
                <w:szCs w:val="22"/>
              </w:rPr>
              <w:t>Managed by DG SANTE</w:t>
            </w:r>
          </w:p>
        </w:tc>
        <w:tc>
          <w:tcPr>
            <w:tcW w:w="2551" w:type="dxa"/>
            <w:noWrap/>
          </w:tcPr>
          <w:p>
            <w:pPr>
              <w:spacing w:line="360" w:lineRule="auto"/>
              <w:jc w:val="right"/>
              <w:rPr>
                <w:bCs/>
                <w:noProof/>
                <w:sz w:val="22"/>
                <w:szCs w:val="22"/>
              </w:rPr>
            </w:pPr>
            <w:r>
              <w:rPr>
                <w:bCs/>
                <w:noProof/>
                <w:sz w:val="22"/>
                <w:szCs w:val="22"/>
              </w:rPr>
              <w:t>945 177.40</w:t>
            </w:r>
          </w:p>
        </w:tc>
        <w:tc>
          <w:tcPr>
            <w:tcW w:w="2552" w:type="dxa"/>
            <w:noWrap/>
          </w:tcPr>
          <w:p>
            <w:pPr>
              <w:tabs>
                <w:tab w:val="decimal" w:pos="792"/>
              </w:tabs>
              <w:spacing w:line="360" w:lineRule="auto"/>
              <w:jc w:val="right"/>
              <w:rPr>
                <w:bCs/>
                <w:noProof/>
                <w:sz w:val="22"/>
                <w:szCs w:val="22"/>
              </w:rPr>
            </w:pPr>
            <w:r>
              <w:rPr>
                <w:bCs/>
                <w:noProof/>
                <w:sz w:val="22"/>
                <w:szCs w:val="22"/>
              </w:rPr>
              <w:t>1.7 %</w:t>
            </w:r>
          </w:p>
        </w:tc>
      </w:tr>
      <w:tr>
        <w:trPr>
          <w:trHeight w:val="340"/>
        </w:trPr>
        <w:tc>
          <w:tcPr>
            <w:tcW w:w="4361" w:type="dxa"/>
            <w:noWrap/>
          </w:tcPr>
          <w:p>
            <w:pPr>
              <w:spacing w:line="360" w:lineRule="auto"/>
              <w:jc w:val="both"/>
              <w:rPr>
                <w:b/>
                <w:bCs/>
                <w:noProof/>
                <w:sz w:val="22"/>
                <w:szCs w:val="22"/>
              </w:rPr>
            </w:pPr>
            <w:r>
              <w:rPr>
                <w:b/>
                <w:bCs/>
                <w:noProof/>
                <w:sz w:val="22"/>
                <w:szCs w:val="22"/>
              </w:rPr>
              <w:t>Budget implemented in 2015</w:t>
            </w:r>
          </w:p>
        </w:tc>
        <w:tc>
          <w:tcPr>
            <w:tcW w:w="2551" w:type="dxa"/>
            <w:noWrap/>
          </w:tcPr>
          <w:p>
            <w:pPr>
              <w:spacing w:line="360" w:lineRule="auto"/>
              <w:jc w:val="right"/>
              <w:rPr>
                <w:b/>
                <w:noProof/>
                <w:sz w:val="22"/>
                <w:szCs w:val="22"/>
              </w:rPr>
            </w:pPr>
            <w:r>
              <w:rPr>
                <w:b/>
                <w:noProof/>
                <w:sz w:val="22"/>
                <w:szCs w:val="22"/>
              </w:rPr>
              <w:t>54 778 018.75</w:t>
            </w:r>
          </w:p>
        </w:tc>
        <w:tc>
          <w:tcPr>
            <w:tcW w:w="2552" w:type="dxa"/>
            <w:noWrap/>
          </w:tcPr>
          <w:p>
            <w:pPr>
              <w:tabs>
                <w:tab w:val="decimal" w:pos="792"/>
              </w:tabs>
              <w:spacing w:line="360" w:lineRule="auto"/>
              <w:jc w:val="right"/>
              <w:rPr>
                <w:noProof/>
                <w:sz w:val="22"/>
                <w:szCs w:val="22"/>
              </w:rPr>
            </w:pPr>
            <w:r>
              <w:rPr>
                <w:noProof/>
                <w:sz w:val="22"/>
                <w:szCs w:val="22"/>
              </w:rPr>
              <w:t>100 %</w:t>
            </w:r>
          </w:p>
        </w:tc>
      </w:tr>
      <w:tr>
        <w:trPr>
          <w:trHeight w:val="340"/>
        </w:trPr>
        <w:tc>
          <w:tcPr>
            <w:tcW w:w="4361" w:type="dxa"/>
            <w:noWrap/>
          </w:tcPr>
          <w:p>
            <w:pPr>
              <w:spacing w:line="360" w:lineRule="auto"/>
              <w:jc w:val="both"/>
              <w:rPr>
                <w:b/>
                <w:bCs/>
                <w:noProof/>
                <w:sz w:val="22"/>
                <w:szCs w:val="22"/>
              </w:rPr>
            </w:pPr>
            <w:r>
              <w:rPr>
                <w:b/>
                <w:bCs/>
                <w:noProof/>
                <w:sz w:val="22"/>
                <w:szCs w:val="22"/>
              </w:rPr>
              <w:t>Total available budget</w:t>
            </w:r>
          </w:p>
        </w:tc>
        <w:tc>
          <w:tcPr>
            <w:tcW w:w="2551" w:type="dxa"/>
            <w:noWrap/>
          </w:tcPr>
          <w:p>
            <w:pPr>
              <w:spacing w:line="360" w:lineRule="auto"/>
              <w:ind w:left="-108" w:right="33"/>
              <w:jc w:val="right"/>
              <w:rPr>
                <w:b/>
                <w:noProof/>
                <w:sz w:val="22"/>
                <w:szCs w:val="22"/>
              </w:rPr>
            </w:pPr>
            <w:r>
              <w:rPr>
                <w:b/>
                <w:noProof/>
                <w:sz w:val="22"/>
                <w:szCs w:val="22"/>
              </w:rPr>
              <w:t xml:space="preserve">         55 629 805.00</w:t>
            </w:r>
          </w:p>
        </w:tc>
        <w:tc>
          <w:tcPr>
            <w:tcW w:w="2552" w:type="dxa"/>
            <w:noWrap/>
          </w:tcPr>
          <w:p>
            <w:pPr>
              <w:spacing w:line="360" w:lineRule="auto"/>
              <w:jc w:val="both"/>
              <w:rPr>
                <w:noProof/>
                <w:sz w:val="22"/>
                <w:szCs w:val="22"/>
              </w:rPr>
            </w:pPr>
          </w:p>
        </w:tc>
      </w:tr>
      <w:tr>
        <w:trPr>
          <w:trHeight w:val="255"/>
        </w:trPr>
        <w:tc>
          <w:tcPr>
            <w:tcW w:w="4361" w:type="dxa"/>
            <w:noWrap/>
          </w:tcPr>
          <w:p>
            <w:pPr>
              <w:spacing w:line="360" w:lineRule="auto"/>
              <w:jc w:val="both"/>
              <w:rPr>
                <w:bCs/>
                <w:noProof/>
                <w:sz w:val="22"/>
                <w:szCs w:val="22"/>
              </w:rPr>
            </w:pPr>
            <w:r>
              <w:rPr>
                <w:b/>
                <w:bCs/>
                <w:noProof/>
                <w:sz w:val="22"/>
                <w:szCs w:val="22"/>
              </w:rPr>
              <w:t>Credits not used</w:t>
            </w:r>
            <w:r>
              <w:rPr>
                <w:rStyle w:val="FootnoteReference"/>
                <w:b/>
                <w:bCs/>
                <w:noProof/>
                <w:sz w:val="22"/>
                <w:szCs w:val="22"/>
              </w:rPr>
              <w:footnoteReference w:id="8"/>
            </w:r>
            <w:r>
              <w:rPr>
                <w:bCs/>
                <w:noProof/>
                <w:sz w:val="22"/>
                <w:szCs w:val="22"/>
              </w:rPr>
              <w:t xml:space="preserve"> </w:t>
            </w:r>
          </w:p>
        </w:tc>
        <w:tc>
          <w:tcPr>
            <w:tcW w:w="2551" w:type="dxa"/>
            <w:noWrap/>
          </w:tcPr>
          <w:p>
            <w:pPr>
              <w:spacing w:line="360" w:lineRule="auto"/>
              <w:jc w:val="right"/>
              <w:rPr>
                <w:b/>
                <w:noProof/>
                <w:sz w:val="22"/>
                <w:szCs w:val="22"/>
              </w:rPr>
            </w:pPr>
          </w:p>
        </w:tc>
        <w:tc>
          <w:tcPr>
            <w:tcW w:w="2552" w:type="dxa"/>
            <w:noWrap/>
          </w:tcPr>
          <w:p>
            <w:pPr>
              <w:spacing w:line="360" w:lineRule="auto"/>
              <w:jc w:val="both"/>
              <w:rPr>
                <w:noProof/>
                <w:sz w:val="22"/>
                <w:szCs w:val="22"/>
              </w:rPr>
            </w:pPr>
          </w:p>
        </w:tc>
      </w:tr>
      <w:tr>
        <w:trPr>
          <w:trHeight w:val="517"/>
        </w:trPr>
        <w:tc>
          <w:tcPr>
            <w:tcW w:w="4361" w:type="dxa"/>
            <w:noWrap/>
          </w:tcPr>
          <w:p>
            <w:pPr>
              <w:spacing w:line="360" w:lineRule="auto"/>
              <w:jc w:val="right"/>
              <w:rPr>
                <w:b/>
                <w:bCs/>
                <w:noProof/>
                <w:sz w:val="22"/>
                <w:szCs w:val="22"/>
              </w:rPr>
            </w:pPr>
            <w:r>
              <w:rPr>
                <w:b/>
                <w:bCs/>
                <w:i/>
                <w:noProof/>
                <w:sz w:val="22"/>
                <w:szCs w:val="22"/>
              </w:rPr>
              <w:t>by CHAFEA</w:t>
            </w:r>
          </w:p>
        </w:tc>
        <w:tc>
          <w:tcPr>
            <w:tcW w:w="2551" w:type="dxa"/>
            <w:noWrap/>
          </w:tcPr>
          <w:p>
            <w:pPr>
              <w:spacing w:line="360" w:lineRule="auto"/>
              <w:jc w:val="right"/>
              <w:rPr>
                <w:bCs/>
                <w:noProof/>
                <w:sz w:val="22"/>
                <w:szCs w:val="22"/>
              </w:rPr>
            </w:pPr>
            <w:r>
              <w:rPr>
                <w:bCs/>
                <w:noProof/>
                <w:sz w:val="22"/>
                <w:szCs w:val="22"/>
              </w:rPr>
              <w:t>218 478.65</w:t>
            </w:r>
          </w:p>
        </w:tc>
        <w:tc>
          <w:tcPr>
            <w:tcW w:w="2552" w:type="dxa"/>
            <w:noWrap/>
          </w:tcPr>
          <w:p>
            <w:pPr>
              <w:tabs>
                <w:tab w:val="decimal" w:pos="792"/>
              </w:tabs>
              <w:spacing w:line="360" w:lineRule="auto"/>
              <w:jc w:val="right"/>
              <w:rPr>
                <w:bCs/>
                <w:noProof/>
                <w:sz w:val="22"/>
                <w:szCs w:val="22"/>
              </w:rPr>
            </w:pPr>
          </w:p>
        </w:tc>
      </w:tr>
      <w:tr>
        <w:trPr>
          <w:trHeight w:val="517"/>
        </w:trPr>
        <w:tc>
          <w:tcPr>
            <w:tcW w:w="4361" w:type="dxa"/>
            <w:noWrap/>
          </w:tcPr>
          <w:p>
            <w:pPr>
              <w:spacing w:line="360" w:lineRule="auto"/>
              <w:jc w:val="right"/>
              <w:rPr>
                <w:b/>
                <w:bCs/>
                <w:noProof/>
                <w:sz w:val="22"/>
                <w:szCs w:val="22"/>
              </w:rPr>
            </w:pPr>
            <w:r>
              <w:rPr>
                <w:b/>
                <w:bCs/>
                <w:i/>
                <w:noProof/>
                <w:sz w:val="22"/>
                <w:szCs w:val="22"/>
              </w:rPr>
              <w:t xml:space="preserve"> by DG SANTE</w:t>
            </w:r>
          </w:p>
        </w:tc>
        <w:tc>
          <w:tcPr>
            <w:tcW w:w="2551" w:type="dxa"/>
            <w:noWrap/>
          </w:tcPr>
          <w:p>
            <w:pPr>
              <w:spacing w:line="360" w:lineRule="auto"/>
              <w:jc w:val="right"/>
              <w:rPr>
                <w:bCs/>
                <w:noProof/>
                <w:sz w:val="22"/>
                <w:szCs w:val="22"/>
              </w:rPr>
            </w:pPr>
            <w:r>
              <w:rPr>
                <w:bCs/>
                <w:noProof/>
                <w:sz w:val="22"/>
                <w:szCs w:val="22"/>
              </w:rPr>
              <w:t>633 307.60</w:t>
            </w:r>
          </w:p>
        </w:tc>
        <w:tc>
          <w:tcPr>
            <w:tcW w:w="2552" w:type="dxa"/>
            <w:noWrap/>
          </w:tcPr>
          <w:p>
            <w:pPr>
              <w:tabs>
                <w:tab w:val="decimal" w:pos="792"/>
              </w:tabs>
              <w:spacing w:line="360" w:lineRule="auto"/>
              <w:jc w:val="right"/>
              <w:rPr>
                <w:bCs/>
                <w:noProof/>
                <w:sz w:val="22"/>
                <w:szCs w:val="22"/>
              </w:rPr>
            </w:pPr>
          </w:p>
        </w:tc>
      </w:tr>
    </w:tbl>
    <w:p>
      <w:pPr>
        <w:rPr>
          <w:rFonts w:eastAsia="Calibri" w:cs="Times New Roman"/>
          <w:b/>
          <w:bCs/>
          <w:noProof/>
          <w:kern w:val="32"/>
          <w:sz w:val="28"/>
          <w:szCs w:val="28"/>
        </w:rPr>
      </w:pPr>
      <w:bookmarkStart w:id="31" w:name="_Toc472077575"/>
      <w:r>
        <w:rPr>
          <w:rFonts w:eastAsia="Calibri"/>
          <w:noProof/>
          <w:sz w:val="28"/>
          <w:szCs w:val="28"/>
        </w:rPr>
        <w:br w:type="page"/>
      </w:r>
    </w:p>
    <w:p>
      <w:pPr>
        <w:pStyle w:val="ManualHeading2"/>
        <w:rPr>
          <w:noProof/>
        </w:rPr>
      </w:pPr>
      <w:bookmarkStart w:id="32" w:name="_Toc520120181"/>
      <w:r>
        <w:t>4.</w:t>
      </w:r>
      <w:r>
        <w:tab/>
      </w:r>
      <w:r>
        <w:rPr>
          <w:noProof/>
        </w:rPr>
        <w:t>Beneficiaries</w:t>
      </w:r>
      <w:bookmarkEnd w:id="31"/>
      <w:bookmarkEnd w:id="32"/>
    </w:p>
    <w:p>
      <w:pPr>
        <w:spacing w:line="360" w:lineRule="auto"/>
        <w:jc w:val="both"/>
        <w:rPr>
          <w:rFonts w:cs="Times New Roman"/>
          <w:noProof/>
        </w:rPr>
      </w:pPr>
      <w:r>
        <w:rPr>
          <w:rFonts w:cs="Times New Roman"/>
          <w:noProof/>
        </w:rPr>
        <w:t>In 2015, more than 200</w:t>
      </w:r>
      <w:r>
        <w:rPr>
          <w:rStyle w:val="FootnoteReference"/>
          <w:rFonts w:cs="Times New Roman"/>
          <w:noProof/>
        </w:rPr>
        <w:footnoteReference w:id="9"/>
      </w:r>
      <w:r>
        <w:rPr>
          <w:rFonts w:cs="Times New Roman"/>
          <w:noProof/>
          <w:vertAlign w:val="superscript"/>
        </w:rPr>
        <w:t xml:space="preserve"> </w:t>
      </w:r>
      <w:r>
        <w:rPr>
          <w:rFonts w:cs="Times New Roman"/>
          <w:noProof/>
        </w:rPr>
        <w:t>different grant agreements and service contracts were signed with various beneficiaries and service providers, ranging from governmental and non-governmental organisations to academic institutions and private companies. The category ‘other’ includes beneficiaries such as healthcare providers and international organisations. Figure 3 provides an overview of the different groups of beneficiaries.</w:t>
      </w:r>
    </w:p>
    <w:p>
      <w:pPr>
        <w:spacing w:before="120" w:after="120" w:line="360" w:lineRule="auto"/>
        <w:jc w:val="center"/>
        <w:rPr>
          <w:rFonts w:cs="Times New Roman"/>
          <w:b/>
          <w:noProof/>
        </w:rPr>
      </w:pPr>
      <w:r>
        <w:rPr>
          <w:rFonts w:cs="Times New Roman"/>
          <w:b/>
          <w:noProof/>
        </w:rPr>
        <w:t>Figure 3:  Types of beneficiaries of the third Health Programme in 2015</w:t>
      </w:r>
    </w:p>
    <w:p>
      <w:pPr>
        <w:spacing w:line="360" w:lineRule="auto"/>
        <w:jc w:val="center"/>
        <w:rPr>
          <w:rFonts w:cs="Times New Roman"/>
          <w:noProof/>
        </w:rPr>
      </w:pPr>
      <w:r>
        <w:rPr>
          <w:rFonts w:cs="Times New Roman"/>
          <w:noProof/>
          <w:lang w:eastAsia="en-GB"/>
        </w:rPr>
        <w:drawing>
          <wp:inline distT="0" distB="0" distL="0" distR="0">
            <wp:extent cx="4054475" cy="257302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54475" cy="2573020"/>
                    </a:xfrm>
                    <a:prstGeom prst="rect">
                      <a:avLst/>
                    </a:prstGeom>
                    <a:noFill/>
                  </pic:spPr>
                </pic:pic>
              </a:graphicData>
            </a:graphic>
          </wp:inline>
        </w:drawing>
      </w:r>
    </w:p>
    <w:p>
      <w:pPr>
        <w:pStyle w:val="Heading1"/>
        <w:rPr>
          <w:rFonts w:eastAsia="Calibri"/>
          <w:noProof/>
          <w:sz w:val="28"/>
          <w:szCs w:val="28"/>
        </w:rPr>
      </w:pPr>
      <w:bookmarkStart w:id="33" w:name="_Toc472077576"/>
    </w:p>
    <w:p>
      <w:pPr>
        <w:pStyle w:val="Heading1"/>
        <w:spacing w:before="240"/>
        <w:rPr>
          <w:rFonts w:eastAsia="Calibri"/>
          <w:noProof/>
        </w:rPr>
      </w:pPr>
      <w:bookmarkStart w:id="34" w:name="_Toc520120182"/>
      <w:r>
        <w:rPr>
          <w:rFonts w:eastAsia="Calibri"/>
          <w:noProof/>
          <w:sz w:val="28"/>
          <w:szCs w:val="28"/>
        </w:rPr>
        <w:t>OTHER MAIN FEATURES</w:t>
      </w:r>
      <w:bookmarkEnd w:id="33"/>
      <w:bookmarkEnd w:id="34"/>
    </w:p>
    <w:p>
      <w:pPr>
        <w:spacing w:before="240" w:line="360" w:lineRule="auto"/>
        <w:jc w:val="both"/>
        <w:rPr>
          <w:rFonts w:cs="Times New Roman"/>
          <w:noProof/>
        </w:rPr>
      </w:pPr>
      <w:r>
        <w:rPr>
          <w:rFonts w:cs="Times New Roman"/>
          <w:noProof/>
        </w:rPr>
        <w:t xml:space="preserve">2015 was the second year of the third Health Programme that was seriously affected by the pressure caused by the unprecedented influx of refugees entering Europe. This situation tested the Programme’s flexibility to quickly adapt to new policy needs, as well as Chafea’s ability to respond accordingly and implement decisions related to the AWP. </w:t>
      </w:r>
      <w:r>
        <w:rPr>
          <w:rFonts w:cs="Times New Roman"/>
          <w:noProof/>
          <w:color w:val="000000"/>
        </w:rPr>
        <w:t>Chafea launched the related direct grants and call for proposals for projects in record time and was able to sign the selected grant agreements within less than 3 months of the 2015 AWP amendment.</w:t>
      </w:r>
    </w:p>
    <w:p>
      <w:pPr>
        <w:spacing w:before="240" w:line="360" w:lineRule="auto"/>
        <w:jc w:val="both"/>
        <w:rPr>
          <w:rFonts w:cs="Times New Roman"/>
          <w:noProof/>
        </w:rPr>
      </w:pPr>
      <w:r>
        <w:rPr>
          <w:rFonts w:cs="Times New Roman"/>
          <w:noProof/>
        </w:rPr>
        <w:t xml:space="preserve">This was helped by simplified administrative procedures introduced in 2014 as well as the participant portal for online submissions and the online evaluation and electronic signature of the grant agreements. Despite the minor hurdles in the system, this reduced the time taken to sign the grants. </w:t>
      </w:r>
    </w:p>
    <w:p>
      <w:pPr>
        <w:spacing w:line="360" w:lineRule="auto"/>
        <w:jc w:val="both"/>
        <w:rPr>
          <w:rFonts w:cs="Times New Roman"/>
          <w:noProof/>
        </w:rPr>
      </w:pPr>
      <w:r>
        <w:rPr>
          <w:rFonts w:cs="Times New Roman"/>
          <w:noProof/>
        </w:rPr>
        <w:t>The number of participants involved in joint actions continued to be relatively high, as was the case for the second Health Programme and first year of the third Health Programme. In 2015, there were between 10 and 45 partners (beneficiaries) per joint action. This high number was a challenge for the Programme’s overall management and coordination, as all partners had to sign the grant agreement.</w:t>
      </w:r>
    </w:p>
    <w:p>
      <w:pPr>
        <w:spacing w:line="360" w:lineRule="auto"/>
        <w:jc w:val="both"/>
        <w:rPr>
          <w:rFonts w:cs="Times New Roman"/>
          <w:noProof/>
        </w:rPr>
      </w:pPr>
      <w:r>
        <w:rPr>
          <w:rFonts w:cs="Times New Roman"/>
          <w:noProof/>
        </w:rPr>
        <w:t>Following the recommendations of the ex post evaluation of the second Health Programme 2008-2014</w:t>
      </w:r>
      <w:r>
        <w:rPr>
          <w:rStyle w:val="FootnoteReference"/>
          <w:rFonts w:cs="Times New Roman"/>
          <w:noProof/>
        </w:rPr>
        <w:footnoteReference w:id="10"/>
      </w:r>
      <w:r>
        <w:rPr>
          <w:rFonts w:cs="Times New Roman"/>
          <w:noProof/>
        </w:rPr>
        <w:t xml:space="preserve"> and mid-term evaluation of the third Health Programme</w:t>
      </w:r>
      <w:r>
        <w:rPr>
          <w:rStyle w:val="FootnoteReference"/>
          <w:rFonts w:cs="Times New Roman"/>
          <w:noProof/>
        </w:rPr>
        <w:footnoteReference w:id="11"/>
      </w:r>
      <w:r>
        <w:rPr>
          <w:rFonts w:cs="Times New Roman"/>
          <w:noProof/>
        </w:rPr>
        <w:t>, Chafea invested significant resources in information and dissemination activities, in close collaboration with DG SANTE and the Health Programme’s network of National Focal Points. It organised several workshops, helped organise major national and international conferences, and organised stand-alone events in collaboration with national authorities in Member States. A more detailed description of the dissemination activities in 2015 is provided in the Commission Staff Working Document accompanying this report.</w:t>
      </w:r>
    </w:p>
    <w:p>
      <w:pPr>
        <w:spacing w:line="360" w:lineRule="auto"/>
        <w:jc w:val="both"/>
        <w:rPr>
          <w:rFonts w:cs="Times New Roman"/>
          <w:noProof/>
        </w:rPr>
      </w:pPr>
      <w:r>
        <w:rPr>
          <w:rFonts w:cs="Times New Roman"/>
          <w:noProof/>
        </w:rPr>
        <w:t>Building on the processes and tools developed under the third Health Programme, electronic monitoring and reporting has been introduced to save time on both sides. As a result, both the beneficiary and Chafea have become paperless, especially in the case of grants. The CORDA</w:t>
      </w:r>
      <w:r>
        <w:rPr>
          <w:rStyle w:val="FootnoteReference"/>
          <w:rFonts w:cs="Times New Roman"/>
          <w:noProof/>
        </w:rPr>
        <w:footnoteReference w:id="12"/>
      </w:r>
      <w:r>
        <w:rPr>
          <w:rFonts w:cs="Times New Roman"/>
          <w:noProof/>
        </w:rPr>
        <w:t xml:space="preserve"> system, implemented by the common support centre of the EU research and innovation programme, centralises the data collected for all co-funded actions managed by Chafea and monitored using H2020 electronic tools. It is the key source of information, providing feedback on whether the Programme’s objectives and priorities have been met and on the types of actions and organisations that have been co-funded. </w:t>
      </w:r>
    </w:p>
    <w:p>
      <w:pPr>
        <w:spacing w:line="360" w:lineRule="auto"/>
        <w:jc w:val="both"/>
        <w:rPr>
          <w:rFonts w:cs="Times New Roman"/>
          <w:noProof/>
        </w:rPr>
      </w:pPr>
      <w:r>
        <w:rPr>
          <w:rFonts w:cs="Times New Roman"/>
          <w:noProof/>
        </w:rPr>
        <w:t>Further improvements are to be introduced in the coming years, including an improved electronic monitoring and reporting system and better and more targeted dissemination. In addition, efforts will continue to increase the participation of organisations and institutions from countries which, until now, have been under-represented among the beneficiaries.</w:t>
      </w:r>
    </w:p>
    <w:p>
      <w:pPr>
        <w:spacing w:line="360" w:lineRule="auto"/>
        <w:jc w:val="both"/>
        <w:rPr>
          <w:noProof/>
        </w:rPr>
      </w:pPr>
      <w:r>
        <w:rPr>
          <w:noProof/>
        </w:rPr>
        <w:t>The identification of key priority areas for each year of the Programme has shown the added value of ensuring continuity between the annual work programmes. It has improved the overall coherence and consistency of the third Health Programme and supported the use of the deliverables and results of previous funding rounds.</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dvTT82cee651.BI">
    <w:panose1 w:val="00000000000000000000"/>
    <w:charset w:val="00"/>
    <w:family w:val="roman"/>
    <w:notTrueType/>
    <w:pitch w:val="default"/>
    <w:sig w:usb0="00000003" w:usb1="00000000" w:usb2="00000000" w:usb3="00000000" w:csb0="00000001" w:csb1="00000000"/>
  </w:font>
  <w:font w:name="AdvTTd832f767">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097951"/>
      <w:docPartObj>
        <w:docPartGallery w:val="Page Numbers (Bottom of Page)"/>
        <w:docPartUnique/>
      </w:docPartObj>
    </w:sdtPr>
    <w:sdtContent>
      <w:p>
        <w:pPr>
          <w:pStyle w:val="Footer"/>
          <w:jc w:val="right"/>
        </w:pPr>
        <w:r>
          <w:fldChar w:fldCharType="begin"/>
        </w:r>
        <w:r>
          <w:instrText xml:space="preserve"> PAGE   \* MERGEFORMAT </w:instrText>
        </w:r>
        <w:r>
          <w:fldChar w:fldCharType="separate"/>
        </w:r>
        <w:r>
          <w:rPr>
            <w:noProof/>
          </w:rPr>
          <w:t>12</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rPr>
          <w:rFonts w:asciiTheme="minorHAnsi" w:hAnsiTheme="minorHAnsi"/>
          <w:lang w:val="pl-PL"/>
        </w:rPr>
      </w:pPr>
      <w:r>
        <w:rPr>
          <w:rStyle w:val="FootnoteReference"/>
          <w:rFonts w:asciiTheme="minorHAnsi" w:hAnsiTheme="minorHAnsi"/>
        </w:rPr>
        <w:footnoteRef/>
      </w:r>
      <w:r>
        <w:rPr>
          <w:rFonts w:asciiTheme="minorHAnsi" w:hAnsiTheme="minorHAnsi"/>
          <w:lang w:val="pl-PL"/>
        </w:rPr>
        <w:t xml:space="preserve"> OJ L 86, 21.3.2014, p. 1.</w:t>
      </w:r>
    </w:p>
  </w:footnote>
  <w:footnote w:id="3">
    <w:p>
      <w:pPr>
        <w:pStyle w:val="FootnoteText"/>
        <w:spacing w:after="0"/>
        <w:rPr>
          <w:rFonts w:asciiTheme="minorHAnsi" w:hAnsiTheme="minorHAnsi"/>
          <w:lang w:val="pl-PL"/>
        </w:rPr>
      </w:pPr>
      <w:r>
        <w:rPr>
          <w:rStyle w:val="FootnoteReference"/>
          <w:rFonts w:asciiTheme="minorHAnsi" w:hAnsiTheme="minorHAnsi"/>
        </w:rPr>
        <w:footnoteRef/>
      </w:r>
      <w:r>
        <w:rPr>
          <w:rFonts w:asciiTheme="minorHAnsi" w:hAnsiTheme="minorHAnsi"/>
          <w:lang w:val="pl-PL"/>
        </w:rPr>
        <w:t xml:space="preserve"> OJ L 301, 20.11.2007, p. 3.</w:t>
      </w:r>
    </w:p>
  </w:footnote>
  <w:footnote w:id="4">
    <w:p>
      <w:pPr>
        <w:pStyle w:val="FootnoteText"/>
        <w:rPr>
          <w:lang w:val="pl-PL"/>
        </w:rPr>
      </w:pPr>
      <w:r>
        <w:rPr>
          <w:rStyle w:val="FootnoteReference"/>
          <w:rFonts w:asciiTheme="minorHAnsi" w:hAnsiTheme="minorHAnsi"/>
        </w:rPr>
        <w:footnoteRef/>
      </w:r>
      <w:r>
        <w:rPr>
          <w:rFonts w:asciiTheme="minorHAnsi" w:hAnsiTheme="minorHAnsi"/>
          <w:lang w:val="pl-PL"/>
        </w:rPr>
        <w:t xml:space="preserve"> </w:t>
      </w:r>
      <w:hyperlink r:id="rId1" w:history="1">
        <w:r>
          <w:rPr>
            <w:rStyle w:val="Hyperlink"/>
            <w:rFonts w:asciiTheme="minorHAnsi" w:hAnsiTheme="minorHAnsi"/>
            <w:lang w:val="pl-PL"/>
          </w:rPr>
          <w:t>https://ec.europa.eu/health/sites/health/files/programme/docs/wp2015_amendment_en.pdf</w:t>
        </w:r>
      </w:hyperlink>
    </w:p>
  </w:footnote>
  <w:footnote w:id="5">
    <w:p>
      <w:pPr>
        <w:pStyle w:val="FootnoteText"/>
      </w:pPr>
      <w:r>
        <w:rPr>
          <w:rStyle w:val="FootnoteReference"/>
        </w:rPr>
        <w:footnoteRef/>
      </w:r>
      <w:r>
        <w:t xml:space="preserve"> </w:t>
      </w:r>
      <w:r>
        <w:rPr>
          <w:rStyle w:val="Hyperlink"/>
          <w:rFonts w:asciiTheme="minorHAnsi" w:hAnsiTheme="minorHAnsi"/>
        </w:rPr>
        <w:t>The call for proposals was launched in October 2015.</w:t>
      </w:r>
    </w:p>
  </w:footnote>
  <w:footnote w:id="6">
    <w:p>
      <w:pPr>
        <w:pStyle w:val="FootnoteText"/>
        <w:spacing w:after="0" w:line="240" w:lineRule="auto"/>
        <w:jc w:val="both"/>
        <w:rPr>
          <w:rFonts w:asciiTheme="minorHAnsi" w:hAnsiTheme="minorHAnsi"/>
        </w:rPr>
      </w:pPr>
      <w:r>
        <w:rPr>
          <w:rStyle w:val="FootnoteReference"/>
          <w:rFonts w:asciiTheme="minorHAnsi" w:hAnsiTheme="minorHAnsi"/>
        </w:rPr>
        <w:footnoteRef/>
      </w:r>
      <w:r>
        <w:rPr>
          <w:rFonts w:asciiTheme="minorHAnsi" w:hAnsiTheme="minorHAnsi"/>
        </w:rPr>
        <w:t xml:space="preserve"> Decision 2004/858/EC of 15 December 2004 (OJ L 369, 16.12.2005, p. 73) amended by Decision 2008/544/EC of 20 June 2008 (OJ L 173, 3.7.2008, p. 27). Since December 2014 </w:t>
      </w:r>
      <w:r>
        <w:rPr>
          <w:rStyle w:val="Strong"/>
          <w:rFonts w:asciiTheme="minorHAnsi" w:hAnsiTheme="minorHAnsi"/>
          <w:b w:val="0"/>
        </w:rPr>
        <w:t>Chafea</w:t>
      </w:r>
      <w:r>
        <w:rPr>
          <w:rFonts w:asciiTheme="minorHAnsi" w:hAnsiTheme="minorHAnsi"/>
        </w:rPr>
        <w:t xml:space="preserve"> has replaced the Executive Agency for Health and Consumers (EAHC) under </w:t>
      </w:r>
      <w:hyperlink r:id="rId2" w:tgtFrame="_blank" w:history="1">
        <w:r>
          <w:rPr>
            <w:rStyle w:val="Hyperlink"/>
            <w:rFonts w:asciiTheme="minorHAnsi" w:hAnsiTheme="minorHAnsi"/>
          </w:rPr>
          <w:t>Commission Implementing Decision 2014/927/EU</w:t>
        </w:r>
      </w:hyperlink>
    </w:p>
  </w:footnote>
  <w:footnote w:id="7">
    <w:p>
      <w:pPr>
        <w:pStyle w:val="FootnoteText"/>
        <w:spacing w:after="0" w:line="240" w:lineRule="auto"/>
        <w:jc w:val="both"/>
        <w:rPr>
          <w:rFonts w:ascii="Times New Roman" w:hAnsi="Times New Roman"/>
        </w:rPr>
      </w:pPr>
      <w:r>
        <w:rPr>
          <w:rStyle w:val="FootnoteReference"/>
          <w:rFonts w:asciiTheme="minorHAnsi" w:hAnsiTheme="minorHAnsi"/>
        </w:rPr>
        <w:footnoteRef/>
      </w:r>
      <w:r>
        <w:rPr>
          <w:rFonts w:asciiTheme="minorHAnsi" w:hAnsiTheme="minorHAnsi"/>
        </w:rPr>
        <w:t xml:space="preserve"> </w:t>
      </w:r>
      <w:hyperlink r:id="rId3" w:history="1">
        <w:r>
          <w:rPr>
            <w:rStyle w:val="Hyperlink"/>
            <w:rFonts w:asciiTheme="minorHAnsi" w:hAnsiTheme="minorHAnsi"/>
          </w:rPr>
          <w:t>Commission Decision C(2015) 3594 of 2 June 2015</w:t>
        </w:r>
        <w:r>
          <w:rPr>
            <w:rStyle w:val="Hyperlink"/>
            <w:rFonts w:ascii="Times New Roman" w:hAnsi="Times New Roman"/>
          </w:rPr>
          <w:t xml:space="preserve"> </w:t>
        </w:r>
      </w:hyperlink>
      <w:r>
        <w:rPr>
          <w:rStyle w:val="Hyperlink"/>
          <w:rFonts w:ascii="Times New Roman" w:hAnsi="Times New Roman"/>
        </w:rPr>
        <w:t xml:space="preserve">(see at: </w:t>
      </w:r>
      <w:hyperlink r:id="rId4" w:history="1">
        <w:r>
          <w:rPr>
            <w:rStyle w:val="Hyperlink"/>
            <w:rFonts w:ascii="Times New Roman" w:hAnsi="Times New Roman"/>
          </w:rPr>
          <w:t>https://ec.europa.eu/health/sites/health/files/programmes/docs/wp2015_en.pdf</w:t>
        </w:r>
      </w:hyperlink>
      <w:r>
        <w:rPr>
          <w:rFonts w:ascii="Times New Roman" w:hAnsi="Times New Roman"/>
        </w:rPr>
        <w:t xml:space="preserve"> .</w:t>
      </w:r>
    </w:p>
  </w:footnote>
  <w:footnote w:id="8">
    <w:p>
      <w:pPr>
        <w:pStyle w:val="FootnoteText"/>
        <w:spacing w:after="0"/>
        <w:rPr>
          <w:rFonts w:asciiTheme="minorHAnsi" w:hAnsiTheme="minorHAnsi"/>
        </w:rPr>
      </w:pPr>
      <w:r>
        <w:rPr>
          <w:rStyle w:val="FootnoteReference"/>
          <w:rFonts w:asciiTheme="minorHAnsi" w:hAnsiTheme="minorHAnsi"/>
        </w:rPr>
        <w:footnoteRef/>
      </w:r>
      <w:r>
        <w:rPr>
          <w:rFonts w:asciiTheme="minorHAnsi" w:hAnsiTheme="minorHAnsi"/>
        </w:rPr>
        <w:t xml:space="preserve"> Pre-accession credits were not yet used, leading to differences between amounts in the award decision and the actual amounts.</w:t>
      </w:r>
    </w:p>
  </w:footnote>
  <w:footnote w:id="9">
    <w:p>
      <w:pPr>
        <w:pStyle w:val="FootnoteText"/>
        <w:rPr>
          <w:rFonts w:asciiTheme="minorHAnsi" w:hAnsiTheme="minorHAnsi"/>
        </w:rPr>
      </w:pPr>
      <w:r>
        <w:rPr>
          <w:rStyle w:val="FootnoteReference"/>
          <w:rFonts w:asciiTheme="minorHAnsi" w:hAnsiTheme="minorHAnsi"/>
        </w:rPr>
        <w:footnoteRef/>
      </w:r>
      <w:r>
        <w:rPr>
          <w:rFonts w:asciiTheme="minorHAnsi" w:hAnsiTheme="minorHAnsi"/>
        </w:rPr>
        <w:t xml:space="preserve"> This excludes contracts signed with individual experts e.g. those on the scientific committees.</w:t>
      </w:r>
    </w:p>
  </w:footnote>
  <w:footnote w:id="10">
    <w:p>
      <w:pPr>
        <w:pStyle w:val="FootnoteText"/>
      </w:pPr>
      <w:r>
        <w:rPr>
          <w:rStyle w:val="FootnoteReference"/>
        </w:rPr>
        <w:footnoteRef/>
      </w:r>
      <w:r>
        <w:t xml:space="preserve"> COM(2016) 243 final of 10.5.2016.</w:t>
      </w:r>
    </w:p>
  </w:footnote>
  <w:footnote w:id="11">
    <w:p>
      <w:pPr>
        <w:pStyle w:val="FootnoteText"/>
      </w:pPr>
      <w:r>
        <w:rPr>
          <w:rStyle w:val="FootnoteReference"/>
        </w:rPr>
        <w:footnoteRef/>
      </w:r>
      <w:r>
        <w:t xml:space="preserve"> COM(2017) 586 final of 11.10.2017.</w:t>
      </w:r>
    </w:p>
  </w:footnote>
  <w:footnote w:id="12">
    <w:p>
      <w:pPr>
        <w:pStyle w:val="FootnoteText"/>
      </w:pPr>
      <w:r>
        <w:rPr>
          <w:rStyle w:val="FootnoteReference"/>
        </w:rPr>
        <w:footnoteRef/>
      </w:r>
      <w:r>
        <w:t xml:space="preserve"> CORDA is the Common Research Data Warehouse, i.e. the place of storage of all the information on EU-funded projects and their results. Started as the reference data base for EU funded research, stretching back to 1990, it now includes the actions co-funded by the 3</w:t>
      </w:r>
      <w:r>
        <w:rPr>
          <w:vertAlign w:val="superscript"/>
        </w:rPr>
        <w:t>rd</w:t>
      </w:r>
      <w:r>
        <w:t xml:space="preserve"> health programme which are managed through the H2020 tools.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8" w:type="dxa"/>
      <w:tblLayout w:type="fixed"/>
      <w:tblCellMar>
        <w:left w:w="0" w:type="dxa"/>
        <w:right w:w="0" w:type="dxa"/>
      </w:tblCellMar>
      <w:tblLook w:val="0000" w:firstRow="0" w:lastRow="0" w:firstColumn="0" w:lastColumn="0" w:noHBand="0" w:noVBand="0"/>
    </w:tblPr>
    <w:tblGrid>
      <w:gridCol w:w="9468"/>
    </w:tblGrid>
    <w:tr>
      <w:trPr>
        <w:trHeight w:val="426"/>
      </w:trPr>
      <w:tc>
        <w:tcPr>
          <w:tcW w:w="9468" w:type="dxa"/>
          <w:tcBorders>
            <w:top w:val="nil"/>
            <w:left w:val="nil"/>
            <w:bottom w:val="nil"/>
            <w:right w:val="nil"/>
          </w:tcBorders>
        </w:tcPr>
        <w:p>
          <w:pPr>
            <w:widowControl w:val="0"/>
            <w:autoSpaceDE w:val="0"/>
            <w:autoSpaceDN w:val="0"/>
            <w:spacing w:after="0"/>
            <w:ind w:right="85"/>
            <w:jc w:val="center"/>
            <w:rPr>
              <w:rFonts w:ascii="Arial" w:hAnsi="Arial" w:cs="Arial"/>
              <w:sz w:val="16"/>
              <w:szCs w:val="16"/>
            </w:rPr>
          </w:pPr>
        </w:p>
      </w:tc>
    </w:tr>
  </w:tbl>
  <w:p>
    <w:pPr>
      <w:pStyle w:val="Header"/>
    </w:pPr>
    <w:r>
      <w:object w:dxaOrig="9072" w:dyaOrig="124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4.45pt;height:621.5pt" o:ole="">
          <v:imagedata r:id="rId1" o:title=""/>
        </v:shape>
        <o:OLEObject Type="Embed" ProgID="Word.Document.12" ShapeID="_x0000_i1026" DrawAspect="Content" ObjectID="_1606116370" r:id="rId2">
          <o:FieldCodes>\s</o:FieldCodes>
        </o:OLEObject>
      </w:obje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09AA66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6FC6470"/>
    <w:lvl w:ilvl="0">
      <w:start w:val="1"/>
      <w:numFmt w:val="decimal"/>
      <w:pStyle w:val="ListNumber3"/>
      <w:lvlText w:val="%1."/>
      <w:lvlJc w:val="left"/>
      <w:pPr>
        <w:tabs>
          <w:tab w:val="num" w:pos="926"/>
        </w:tabs>
        <w:ind w:left="926" w:hanging="360"/>
      </w:pPr>
    </w:lvl>
  </w:abstractNum>
  <w:abstractNum w:abstractNumId="2">
    <w:nsid w:val="FFFFFF7F"/>
    <w:multiLevelType w:val="singleLevel"/>
    <w:tmpl w:val="42A06A8A"/>
    <w:lvl w:ilvl="0">
      <w:start w:val="1"/>
      <w:numFmt w:val="decimal"/>
      <w:pStyle w:val="ListNumber2"/>
      <w:lvlText w:val="%1."/>
      <w:lvlJc w:val="left"/>
      <w:pPr>
        <w:tabs>
          <w:tab w:val="num" w:pos="643"/>
        </w:tabs>
        <w:ind w:left="643" w:hanging="360"/>
      </w:pPr>
    </w:lvl>
  </w:abstractNum>
  <w:abstractNum w:abstractNumId="3">
    <w:nsid w:val="FFFFFF81"/>
    <w:multiLevelType w:val="singleLevel"/>
    <w:tmpl w:val="2F36B92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288CFC5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4F8CFFA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31F6387E"/>
    <w:lvl w:ilvl="0">
      <w:start w:val="1"/>
      <w:numFmt w:val="decimal"/>
      <w:pStyle w:val="ListNumber"/>
      <w:lvlText w:val="%1."/>
      <w:lvlJc w:val="left"/>
      <w:pPr>
        <w:tabs>
          <w:tab w:val="num" w:pos="360"/>
        </w:tabs>
        <w:ind w:left="360" w:hanging="360"/>
      </w:pPr>
    </w:lvl>
  </w:abstractNum>
  <w:abstractNum w:abstractNumId="7">
    <w:nsid w:val="FFFFFF89"/>
    <w:multiLevelType w:val="singleLevel"/>
    <w:tmpl w:val="E0329818"/>
    <w:name w:val="0,413154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2DC5A10"/>
    <w:multiLevelType w:val="hybridMultilevel"/>
    <w:tmpl w:val="CB40E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7A91BA6"/>
    <w:multiLevelType w:val="hybridMultilevel"/>
    <w:tmpl w:val="CAFE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7CF4D7F"/>
    <w:multiLevelType w:val="hybridMultilevel"/>
    <w:tmpl w:val="20547F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D300D85"/>
    <w:multiLevelType w:val="hybridMultilevel"/>
    <w:tmpl w:val="B16C0F4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08323A3"/>
    <w:multiLevelType w:val="hybridMultilevel"/>
    <w:tmpl w:val="CBA86206"/>
    <w:lvl w:ilvl="0" w:tplc="08090011">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nsid w:val="128F2C54"/>
    <w:multiLevelType w:val="multilevel"/>
    <w:tmpl w:val="ADECC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16062B06"/>
    <w:multiLevelType w:val="multilevel"/>
    <w:tmpl w:val="7592CA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1A741B3C"/>
    <w:multiLevelType w:val="hybridMultilevel"/>
    <w:tmpl w:val="91B68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B3C78B8"/>
    <w:multiLevelType w:val="multilevel"/>
    <w:tmpl w:val="2ED4F4D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7">
    <w:nsid w:val="1C5D40E1"/>
    <w:multiLevelType w:val="hybridMultilevel"/>
    <w:tmpl w:val="722CA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D4922DC"/>
    <w:multiLevelType w:val="hybridMultilevel"/>
    <w:tmpl w:val="6048F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2320986"/>
    <w:multiLevelType w:val="hybridMultilevel"/>
    <w:tmpl w:val="373A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7132B5D"/>
    <w:multiLevelType w:val="hybridMultilevel"/>
    <w:tmpl w:val="6A6C25E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82419EC"/>
    <w:multiLevelType w:val="hybridMultilevel"/>
    <w:tmpl w:val="3234604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3">
    <w:nsid w:val="2A0967B8"/>
    <w:multiLevelType w:val="multilevel"/>
    <w:tmpl w:val="5178F132"/>
    <w:lvl w:ilvl="0">
      <w:start w:val="1"/>
      <w:numFmt w:val="decimal"/>
      <w:lvlText w:val="%1"/>
      <w:lvlJc w:val="left"/>
      <w:pPr>
        <w:ind w:left="432" w:hanging="432"/>
      </w:pPr>
      <w:rPr>
        <w:b/>
      </w:rPr>
    </w:lvl>
    <w:lvl w:ilvl="1">
      <w:start w:val="1"/>
      <w:numFmt w:val="decimal"/>
      <w:pStyle w:val="Heading2"/>
      <w:lvlText w:val="%2."/>
      <w:lvlJc w:val="left"/>
      <w:pPr>
        <w:ind w:left="860" w:hanging="576"/>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2C656211"/>
    <w:multiLevelType w:val="hybridMultilevel"/>
    <w:tmpl w:val="AECAE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6">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7">
    <w:nsid w:val="2F6E5929"/>
    <w:multiLevelType w:val="hybridMultilevel"/>
    <w:tmpl w:val="62B6553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8">
    <w:nsid w:val="32327534"/>
    <w:multiLevelType w:val="hybridMultilevel"/>
    <w:tmpl w:val="4DE8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3545D84"/>
    <w:multiLevelType w:val="hybridMultilevel"/>
    <w:tmpl w:val="D304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84D2CF2"/>
    <w:multiLevelType w:val="multilevel"/>
    <w:tmpl w:val="0AACAD9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AC54519"/>
    <w:multiLevelType w:val="multilevel"/>
    <w:tmpl w:val="19FAF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34">
    <w:nsid w:val="44DA2072"/>
    <w:multiLevelType w:val="hybridMultilevel"/>
    <w:tmpl w:val="E39C9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6">
    <w:nsid w:val="51B54209"/>
    <w:multiLevelType w:val="hybridMultilevel"/>
    <w:tmpl w:val="145C6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2391591"/>
    <w:multiLevelType w:val="multilevel"/>
    <w:tmpl w:val="C8305900"/>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60"/>
        </w:tabs>
        <w:ind w:left="97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8">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9">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1">
    <w:nsid w:val="5C4B6584"/>
    <w:multiLevelType w:val="multilevel"/>
    <w:tmpl w:val="9B3CC870"/>
    <w:lvl w:ilvl="0">
      <w:start w:val="1"/>
      <w:numFmt w:val="decimal"/>
      <w:lvlText w:val="%1."/>
      <w:lvlJc w:val="left"/>
      <w:pPr>
        <w:tabs>
          <w:tab w:val="num" w:pos="720"/>
        </w:tabs>
        <w:ind w:left="720" w:hanging="360"/>
      </w:pPr>
      <w:rPr>
        <w:rFonts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
    <w:nsid w:val="64A12FA4"/>
    <w:multiLevelType w:val="multilevel"/>
    <w:tmpl w:val="E9B68C2E"/>
    <w:lvl w:ilvl="0">
      <w:start w:val="1"/>
      <w:numFmt w:val="decimal"/>
      <w:lvlText w:val="%1"/>
      <w:lvlJc w:val="left"/>
      <w:pPr>
        <w:ind w:left="432" w:hanging="432"/>
      </w:pPr>
      <w:rPr>
        <w:b/>
      </w:rPr>
    </w:lvl>
    <w:lvl w:ilvl="1">
      <w:start w:val="1"/>
      <w:numFmt w:val="decimal"/>
      <w:lvlText w:val="%1.%2"/>
      <w:lvlJc w:val="left"/>
      <w:pPr>
        <w:ind w:left="860" w:hanging="576"/>
      </w:pPr>
      <w:rPr>
        <w:color w:val="auto"/>
        <w:sz w:val="24"/>
        <w:szCs w:val="24"/>
      </w:r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nsid w:val="663977AF"/>
    <w:multiLevelType w:val="hybridMultilevel"/>
    <w:tmpl w:val="789A437E"/>
    <w:name w:val="0,8244091"/>
    <w:lvl w:ilvl="0" w:tplc="1F86C700">
      <w:start w:val="1"/>
      <w:numFmt w:val="bullet"/>
      <w:lvlRestart w:val="0"/>
      <w:pStyle w:val="ListDash"/>
      <w:lvlText w:val="–"/>
      <w:lvlJc w:val="left"/>
      <w:pPr>
        <w:tabs>
          <w:tab w:val="num" w:pos="283"/>
        </w:tabs>
        <w:ind w:left="283"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670D2527"/>
    <w:multiLevelType w:val="hybridMultilevel"/>
    <w:tmpl w:val="B1349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7">
    <w:nsid w:val="6AB15973"/>
    <w:multiLevelType w:val="multilevel"/>
    <w:tmpl w:val="0AF6C76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F3E6E66"/>
    <w:multiLevelType w:val="hybridMultilevel"/>
    <w:tmpl w:val="1BCA7430"/>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3"/>
  </w:num>
  <w:num w:numId="2">
    <w:abstractNumId w:val="42"/>
  </w:num>
  <w:num w:numId="3">
    <w:abstractNumId w:val="32"/>
  </w:num>
  <w:num w:numId="4">
    <w:abstractNumId w:val="46"/>
  </w:num>
  <w:num w:numId="5">
    <w:abstractNumId w:val="26"/>
  </w:num>
  <w:num w:numId="6">
    <w:abstractNumId w:val="33"/>
  </w:num>
  <w:num w:numId="7">
    <w:abstractNumId w:val="20"/>
  </w:num>
  <w:num w:numId="8">
    <w:abstractNumId w:val="35"/>
  </w:num>
  <w:num w:numId="9">
    <w:abstractNumId w:val="39"/>
  </w:num>
  <w:num w:numId="10">
    <w:abstractNumId w:val="40"/>
  </w:num>
  <w:num w:numId="11">
    <w:abstractNumId w:val="25"/>
  </w:num>
  <w:num w:numId="12">
    <w:abstractNumId w:val="38"/>
  </w:num>
  <w:num w:numId="13">
    <w:abstractNumId w:val="49"/>
  </w:num>
  <w:num w:numId="14">
    <w:abstractNumId w:val="7"/>
  </w:num>
  <w:num w:numId="15">
    <w:abstractNumId w:val="5"/>
  </w:num>
  <w:num w:numId="16">
    <w:abstractNumId w:val="4"/>
  </w:num>
  <w:num w:numId="17">
    <w:abstractNumId w:val="3"/>
  </w:num>
  <w:num w:numId="18">
    <w:abstractNumId w:val="44"/>
  </w:num>
  <w:num w:numId="19">
    <w:abstractNumId w:val="37"/>
  </w:num>
  <w:num w:numId="20">
    <w:abstractNumId w:val="16"/>
  </w:num>
  <w:num w:numId="21">
    <w:abstractNumId w:val="6"/>
  </w:num>
  <w:num w:numId="22">
    <w:abstractNumId w:val="2"/>
  </w:num>
  <w:num w:numId="23">
    <w:abstractNumId w:val="1"/>
  </w:num>
  <w:num w:numId="24">
    <w:abstractNumId w:val="0"/>
  </w:num>
  <w:num w:numId="25">
    <w:abstractNumId w:val="47"/>
  </w:num>
  <w:num w:numId="26">
    <w:abstractNumId w:val="19"/>
  </w:num>
  <w:num w:numId="27">
    <w:abstractNumId w:val="9"/>
  </w:num>
  <w:num w:numId="28">
    <w:abstractNumId w:val="48"/>
  </w:num>
  <w:num w:numId="29">
    <w:abstractNumId w:val="21"/>
  </w:num>
  <w:num w:numId="30">
    <w:abstractNumId w:val="28"/>
  </w:num>
  <w:num w:numId="31">
    <w:abstractNumId w:val="22"/>
  </w:num>
  <w:num w:numId="32">
    <w:abstractNumId w:val="8"/>
  </w:num>
  <w:num w:numId="33">
    <w:abstractNumId w:val="27"/>
  </w:num>
  <w:num w:numId="34">
    <w:abstractNumId w:val="15"/>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10"/>
  </w:num>
  <w:num w:numId="40">
    <w:abstractNumId w:val="11"/>
  </w:num>
  <w:num w:numId="41">
    <w:abstractNumId w:val="30"/>
  </w:num>
  <w:num w:numId="42">
    <w:abstractNumId w:val="14"/>
  </w:num>
  <w:num w:numId="43">
    <w:abstractNumId w:val="23"/>
  </w:num>
  <w:num w:numId="44">
    <w:abstractNumId w:val="23"/>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24"/>
  </w:num>
  <w:num w:numId="48">
    <w:abstractNumId w:val="13"/>
  </w:num>
  <w:num w:numId="49">
    <w:abstractNumId w:val="41"/>
    <w:lvlOverride w:ilvl="0">
      <w:startOverride w:val="1"/>
    </w:lvlOverride>
    <w:lvlOverride w:ilvl="1"/>
    <w:lvlOverride w:ilvl="2"/>
    <w:lvlOverride w:ilvl="3"/>
    <w:lvlOverride w:ilvl="4"/>
    <w:lvlOverride w:ilvl="5"/>
    <w:lvlOverride w:ilvl="6"/>
    <w:lvlOverride w:ilvl="7"/>
    <w:lvlOverride w:ilvl="8"/>
  </w:num>
  <w:num w:numId="50">
    <w:abstractNumId w:val="12"/>
  </w:num>
  <w:num w:numId="51">
    <w:abstractNumId w:val="34"/>
  </w:num>
  <w:num w:numId="52">
    <w:abstractNumId w:val="17"/>
  </w:num>
  <w:num w:numId="53">
    <w:abstractNumId w:val="45"/>
  </w:num>
  <w:num w:numId="54">
    <w:abstractNumId w:val="29"/>
  </w:num>
  <w:num w:numId="55">
    <w:abstractNumId w:val="3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hyphenationZone w:val="425"/>
  <w:drawingGridHorizontalSpacing w:val="110"/>
  <w:displayHorizontalDrawingGridEvery w:val="2"/>
  <w:characterSpacingControl w:val="doNotCompress"/>
  <w:hdrShapeDefaults>
    <o:shapedefaults v:ext="edit" spidmax="26626"/>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05E583E-9388-4717-9B78-42580728B7F6"/>
    <w:docVar w:name="LW_COVERPAGE_TYPE" w:val="1"/>
    <w:docVar w:name="LW_CROSSREFERENCE" w:val="{SWD(2018) 489 final}"/>
    <w:docVar w:name="LW_DocType" w:val="NORMAL"/>
    <w:docVar w:name="LW_EMISSION" w:val="12.12.2018"/>
    <w:docVar w:name="LW_EMISSION_ISODATE" w:val="2018-12-12"/>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8) 81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Implementation of the third Programme of the Union's action in the field of health in 2015"/>
    <w:docVar w:name="LW_TYPE.DOC.CP" w:val="REPORT FROM THE COMMISSION TO THE EUROPEAN PARLIAMENT AND THE COUNCIL"/>
    <w:docVar w:name="Stamp" w:val="\\dossiers.dgt.cec.eu.int\dossiers\SANTE\SANTE-2018-11157\SANTE-2018-11157-00-00-EN-EDT-00.201809171739266421595.DOCX"/>
  </w:docVar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table of figures" w:uiPriority="0"/>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paragraph" w:styleId="Heading1">
    <w:name w:val="heading 1"/>
    <w:basedOn w:val="Normal"/>
    <w:next w:val="Normal"/>
    <w:link w:val="Heading1Char"/>
    <w:qFormat/>
    <w:pPr>
      <w:keepNext/>
      <w:spacing w:before="360" w:after="120" w:line="240" w:lineRule="auto"/>
      <w:jc w:val="both"/>
      <w:outlineLvl w:val="0"/>
    </w:pPr>
    <w:rPr>
      <w:rFonts w:eastAsia="Times New Roman" w:cs="Times New Roman"/>
      <w:b/>
      <w:bCs/>
      <w:kern w:val="32"/>
      <w:sz w:val="32"/>
      <w:szCs w:val="32"/>
    </w:rPr>
  </w:style>
  <w:style w:type="paragraph" w:styleId="Heading2">
    <w:name w:val="heading 2"/>
    <w:basedOn w:val="Normal"/>
    <w:next w:val="Normal"/>
    <w:link w:val="Heading2Char"/>
    <w:qFormat/>
    <w:pPr>
      <w:keepNext/>
      <w:numPr>
        <w:ilvl w:val="1"/>
        <w:numId w:val="35"/>
      </w:numPr>
      <w:spacing w:after="240" w:line="240" w:lineRule="auto"/>
      <w:jc w:val="both"/>
      <w:outlineLvl w:val="1"/>
    </w:pPr>
    <w:rPr>
      <w:rFonts w:eastAsia="Times New Roman" w:cs="Times New Roman"/>
      <w:b/>
      <w:bCs/>
      <w:i/>
      <w:iCs/>
      <w:sz w:val="28"/>
      <w:szCs w:val="28"/>
    </w:rPr>
  </w:style>
  <w:style w:type="paragraph" w:styleId="Heading3">
    <w:name w:val="heading 3"/>
    <w:basedOn w:val="Normal"/>
    <w:next w:val="Normal"/>
    <w:link w:val="Heading3Char"/>
    <w:qFormat/>
    <w:pPr>
      <w:keepNext/>
      <w:numPr>
        <w:ilvl w:val="2"/>
        <w:numId w:val="1"/>
      </w:numPr>
      <w:spacing w:before="120" w:after="120" w:line="240" w:lineRule="auto"/>
      <w:jc w:val="both"/>
      <w:outlineLvl w:val="2"/>
    </w:pPr>
    <w:rPr>
      <w:rFonts w:eastAsia="Times New Roman" w:cs="Times New Roman"/>
      <w:bCs/>
      <w:i/>
      <w:sz w:val="24"/>
      <w:szCs w:val="26"/>
    </w:rPr>
  </w:style>
  <w:style w:type="paragraph" w:styleId="Heading4">
    <w:name w:val="heading 4"/>
    <w:basedOn w:val="Normal"/>
    <w:next w:val="Normal"/>
    <w:link w:val="Heading4Char"/>
    <w:qFormat/>
    <w:pPr>
      <w:keepNext/>
      <w:numPr>
        <w:ilvl w:val="3"/>
        <w:numId w:val="1"/>
      </w:numPr>
      <w:spacing w:before="120" w:after="120" w:line="240" w:lineRule="auto"/>
      <w:jc w:val="both"/>
      <w:outlineLvl w:val="3"/>
    </w:pPr>
    <w:rPr>
      <w:rFonts w:eastAsia="Times New Roman" w:cs="Times New Roman"/>
      <w:bCs/>
      <w:sz w:val="24"/>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mbria" w:eastAsia="Times New Roman"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sz w:val="24"/>
    </w:r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sz w:val="24"/>
    </w:rPr>
  </w:style>
  <w:style w:type="character" w:customStyle="1" w:styleId="HeaderCoverPageChar">
    <w:name w:val="Header Cover Page Char"/>
    <w:basedOn w:val="DefaultParagraphFont"/>
    <w:link w:val="HeaderCoverPage"/>
    <w:rPr>
      <w:rFonts w:ascii="Times New Roman" w:hAnsi="Times New Roman"/>
      <w:sz w:val="24"/>
    </w:rPr>
  </w:style>
  <w:style w:type="character" w:customStyle="1" w:styleId="Heading1Char">
    <w:name w:val="Heading 1 Char"/>
    <w:basedOn w:val="DefaultParagraphFont"/>
    <w:link w:val="Heading1"/>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character" w:customStyle="1" w:styleId="Heading5Char">
    <w:name w:val="Heading 5 Char"/>
    <w:basedOn w:val="DefaultParagraphFont"/>
    <w:link w:val="Heading5"/>
    <w:uiPriority w:val="9"/>
    <w:semiHidden/>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Pr>
      <w:rFonts w:ascii="Calibri" w:eastAsia="Times New Roman" w:hAnsi="Calibri" w:cs="Times New Roman"/>
      <w:b/>
      <w:bCs/>
    </w:rPr>
  </w:style>
  <w:style w:type="character" w:customStyle="1" w:styleId="Heading7Char">
    <w:name w:val="Heading 7 Char"/>
    <w:basedOn w:val="DefaultParagraphFont"/>
    <w:link w:val="Heading7"/>
    <w:uiPriority w:val="9"/>
    <w:semiHidden/>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Pr>
      <w:rFonts w:ascii="Cambria" w:eastAsia="Times New Roman" w:hAnsi="Cambria" w:cs="Times New Roman"/>
    </w:rPr>
  </w:style>
  <w:style w:type="paragraph" w:styleId="TOC1">
    <w:name w:val="toc 1"/>
    <w:basedOn w:val="Normal"/>
    <w:next w:val="Normal"/>
    <w:autoRedefine/>
    <w:uiPriority w:val="39"/>
    <w:unhideWhenUsed/>
    <w:pPr>
      <w:tabs>
        <w:tab w:val="left" w:pos="440"/>
        <w:tab w:val="right" w:leader="dot" w:pos="9063"/>
      </w:tabs>
    </w:pPr>
    <w:rPr>
      <w:rFonts w:eastAsia="Calibri" w:cs="Times New Roman"/>
      <w:noProof/>
      <w:sz w:val="24"/>
      <w:szCs w:val="24"/>
    </w:rPr>
  </w:style>
  <w:style w:type="paragraph" w:styleId="TOC3">
    <w:name w:val="toc 3"/>
    <w:basedOn w:val="Normal"/>
    <w:next w:val="Normal"/>
    <w:autoRedefine/>
    <w:uiPriority w:val="39"/>
    <w:unhideWhenUsed/>
    <w:pPr>
      <w:ind w:left="440"/>
    </w:pPr>
    <w:rPr>
      <w:rFonts w:ascii="Calibri" w:eastAsia="Calibri" w:hAnsi="Calibri" w:cs="Times New Roman"/>
    </w:rPr>
  </w:style>
  <w:style w:type="paragraph" w:styleId="TOC2">
    <w:name w:val="toc 2"/>
    <w:basedOn w:val="Normal"/>
    <w:next w:val="Normal"/>
    <w:autoRedefine/>
    <w:uiPriority w:val="39"/>
    <w:unhideWhenUsed/>
    <w:pPr>
      <w:tabs>
        <w:tab w:val="left" w:pos="880"/>
        <w:tab w:val="right" w:leader="dot" w:pos="9063"/>
      </w:tabs>
      <w:spacing w:after="100"/>
      <w:ind w:left="142"/>
    </w:pPr>
    <w:rPr>
      <w:rFonts w:eastAsia="Arial Unicode MS" w:cs="Times New Roman"/>
      <w:noProof/>
      <w:sz w:val="24"/>
      <w:szCs w:val="24"/>
      <w:lang w:eastAsia="zh-CN"/>
    </w:rPr>
  </w:style>
  <w:style w:type="paragraph" w:styleId="TOC4">
    <w:name w:val="toc 4"/>
    <w:basedOn w:val="Normal"/>
    <w:next w:val="Normal"/>
    <w:autoRedefine/>
    <w:uiPriority w:val="39"/>
    <w:unhideWhenUsed/>
    <w:pPr>
      <w:spacing w:after="100"/>
      <w:ind w:left="660"/>
    </w:pPr>
    <w:rPr>
      <w:rFonts w:ascii="Calibri" w:eastAsia="Times New Roman" w:hAnsi="Calibri" w:cs="Times New Roman"/>
      <w:lang w:eastAsia="en-GB"/>
    </w:rPr>
  </w:style>
  <w:style w:type="paragraph" w:styleId="TOC5">
    <w:name w:val="toc 5"/>
    <w:basedOn w:val="Normal"/>
    <w:next w:val="Normal"/>
    <w:autoRedefine/>
    <w:uiPriority w:val="39"/>
    <w:unhideWhenUsed/>
    <w:pPr>
      <w:spacing w:after="100"/>
      <w:ind w:left="880"/>
    </w:pPr>
    <w:rPr>
      <w:rFonts w:ascii="Calibri" w:eastAsia="Times New Roman" w:hAnsi="Calibri" w:cs="Times New Roman"/>
      <w:lang w:eastAsia="en-GB"/>
    </w:rPr>
  </w:style>
  <w:style w:type="paragraph" w:styleId="TOC6">
    <w:name w:val="toc 6"/>
    <w:basedOn w:val="Normal"/>
    <w:next w:val="Normal"/>
    <w:autoRedefine/>
    <w:uiPriority w:val="39"/>
    <w:unhideWhenUsed/>
    <w:pPr>
      <w:spacing w:after="100"/>
      <w:ind w:left="1100"/>
    </w:pPr>
    <w:rPr>
      <w:rFonts w:ascii="Calibri" w:eastAsia="Times New Roman" w:hAnsi="Calibri" w:cs="Times New Roman"/>
      <w:lang w:eastAsia="en-GB"/>
    </w:rPr>
  </w:style>
  <w:style w:type="paragraph" w:styleId="TOC7">
    <w:name w:val="toc 7"/>
    <w:basedOn w:val="Normal"/>
    <w:next w:val="Normal"/>
    <w:autoRedefine/>
    <w:uiPriority w:val="39"/>
    <w:unhideWhenUsed/>
    <w:pPr>
      <w:spacing w:after="100"/>
      <w:ind w:left="1320"/>
    </w:pPr>
    <w:rPr>
      <w:rFonts w:ascii="Calibri" w:eastAsia="Times New Roman" w:hAnsi="Calibri" w:cs="Times New Roman"/>
      <w:lang w:eastAsia="en-GB"/>
    </w:rPr>
  </w:style>
  <w:style w:type="paragraph" w:styleId="TOC8">
    <w:name w:val="toc 8"/>
    <w:basedOn w:val="Normal"/>
    <w:next w:val="Normal"/>
    <w:autoRedefine/>
    <w:uiPriority w:val="39"/>
    <w:unhideWhenUsed/>
    <w:pPr>
      <w:spacing w:after="100"/>
      <w:ind w:left="1540"/>
    </w:pPr>
    <w:rPr>
      <w:rFonts w:ascii="Calibri" w:eastAsia="Times New Roman" w:hAnsi="Calibri" w:cs="Times New Roman"/>
      <w:lang w:eastAsia="en-GB"/>
    </w:rPr>
  </w:style>
  <w:style w:type="paragraph" w:styleId="TOC9">
    <w:name w:val="toc 9"/>
    <w:basedOn w:val="Normal"/>
    <w:next w:val="Normal"/>
    <w:autoRedefine/>
    <w:uiPriority w:val="39"/>
    <w:unhideWhenUsed/>
    <w:pPr>
      <w:spacing w:after="100"/>
      <w:ind w:left="1760"/>
    </w:pPr>
    <w:rPr>
      <w:rFonts w:ascii="Calibri" w:eastAsia="Times New Roman" w:hAnsi="Calibri" w:cs="Times New Roman"/>
      <w:lang w:eastAsia="en-GB"/>
    </w:rPr>
  </w:style>
  <w:style w:type="character" w:styleId="Hyperlink">
    <w:name w:val="Hyperlink"/>
    <w:uiPriority w:val="99"/>
    <w:unhideWhenUsed/>
    <w:rPr>
      <w:color w:val="0000FF"/>
      <w:u w:val="single"/>
    </w:rPr>
  </w:style>
  <w:style w:type="paragraph" w:styleId="PlainText">
    <w:name w:val="Plain Text"/>
    <w:basedOn w:val="Normal"/>
    <w:link w:val="PlainTextChar"/>
    <w:pPr>
      <w:spacing w:after="24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character" w:styleId="FollowedHyperlink">
    <w:name w:val="FollowedHyperlink"/>
    <w:unhideWhenUsed/>
    <w:rPr>
      <w:color w:val="800080"/>
      <w:u w:val="single"/>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nhideWhenUsed/>
    <w:rPr>
      <w:rFonts w:ascii="Calibri" w:eastAsia="Calibri" w:hAnsi="Calibri" w:cs="Times New Roman"/>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Calibri" w:eastAsia="Calibri" w:hAnsi="Calibri" w:cs="Times New Roman"/>
      <w:b/>
      <w:bCs/>
      <w:sz w:val="20"/>
      <w:szCs w:val="20"/>
    </w:rPr>
  </w:style>
  <w:style w:type="paragraph" w:styleId="BalloonText">
    <w:name w:val="Balloon Text"/>
    <w:basedOn w:val="Normal"/>
    <w:link w:val="BalloonTextChar"/>
    <w:uiPriority w:val="99"/>
    <w:unhideWhenUse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paragraph" w:styleId="FootnoteText">
    <w:name w:val="footnote text"/>
    <w:basedOn w:val="Normal"/>
    <w:semiHidden/>
    <w:unhideWhenUsed/>
    <w:rPr>
      <w:rFonts w:ascii="Calibri" w:eastAsia="Calibri" w:hAnsi="Calibri" w:cs="Times New Roman"/>
      <w:sz w:val="20"/>
      <w:szCs w:val="20"/>
    </w:rPr>
  </w:style>
  <w:style w:type="character" w:customStyle="1" w:styleId="FootnoteTextChar">
    <w:name w:val="Footnote Text Char"/>
    <w:basedOn w:val="DefaultParagraphFont"/>
    <w:semiHidden/>
    <w:rPr>
      <w:rFonts w:ascii="Calibri" w:eastAsia="Calibri" w:hAnsi="Calibri" w:cs="Times New Roman"/>
      <w:sz w:val="20"/>
      <w:szCs w:val="20"/>
    </w:rPr>
  </w:style>
  <w:style w:type="character" w:styleId="FootnoteReference">
    <w:name w:val="footnote reference"/>
    <w:aliases w:val="Footnote symbol,Footnote,Voetnootverwijzing,Times 10 Point,Exposant 3 Point,Appel note de bas de p,BVI fnr,Footnote Refernece,Fußnotenzeichen_Raxen,callout,Footnote Reference Number,SUPERS,Footnote reference number,note TESI,fr,o"/>
    <w:unhideWhenUsed/>
    <w:rPr>
      <w:vertAlign w:val="superscript"/>
    </w:rPr>
  </w:style>
  <w:style w:type="paragraph" w:customStyle="1" w:styleId="HeaderLandscape">
    <w:name w:val="HeaderLandscape"/>
    <w:basedOn w:val="Normal"/>
    <w:pPr>
      <w:tabs>
        <w:tab w:val="center" w:pos="7285"/>
        <w:tab w:val="right" w:pos="14003"/>
      </w:tabs>
      <w:spacing w:after="120" w:line="240" w:lineRule="auto"/>
      <w:jc w:val="both"/>
    </w:pPr>
    <w:rPr>
      <w:rFonts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cs="Times New Roman"/>
      <w:sz w:val="24"/>
    </w:rPr>
  </w:style>
  <w:style w:type="paragraph" w:customStyle="1" w:styleId="Text1">
    <w:name w:val="Text 1"/>
    <w:basedOn w:val="Normal"/>
    <w:pPr>
      <w:spacing w:before="120" w:after="120" w:line="240" w:lineRule="auto"/>
      <w:ind w:left="850"/>
      <w:jc w:val="both"/>
    </w:pPr>
    <w:rPr>
      <w:rFonts w:eastAsia="Times New Roman" w:cs="Times New Roman"/>
      <w:sz w:val="24"/>
      <w:szCs w:val="24"/>
    </w:rPr>
  </w:style>
  <w:style w:type="paragraph" w:customStyle="1" w:styleId="Text2">
    <w:name w:val="Text 2"/>
    <w:basedOn w:val="Normal"/>
    <w:pPr>
      <w:spacing w:before="120" w:after="120" w:line="240" w:lineRule="auto"/>
      <w:ind w:left="1417"/>
      <w:jc w:val="both"/>
    </w:pPr>
    <w:rPr>
      <w:rFonts w:eastAsia="Times New Roman" w:cs="Times New Roman"/>
      <w:sz w:val="24"/>
      <w:szCs w:val="24"/>
    </w:rPr>
  </w:style>
  <w:style w:type="paragraph" w:customStyle="1" w:styleId="Text3">
    <w:name w:val="Text 3"/>
    <w:basedOn w:val="Normal"/>
    <w:pPr>
      <w:spacing w:before="120" w:after="120" w:line="240" w:lineRule="auto"/>
      <w:ind w:left="1984"/>
      <w:jc w:val="both"/>
    </w:pPr>
    <w:rPr>
      <w:rFonts w:eastAsia="Times New Roman" w:cs="Times New Roman"/>
      <w:sz w:val="24"/>
      <w:szCs w:val="24"/>
    </w:rPr>
  </w:style>
  <w:style w:type="paragraph" w:customStyle="1" w:styleId="Text4">
    <w:name w:val="Text 4"/>
    <w:basedOn w:val="Normal"/>
    <w:pPr>
      <w:spacing w:before="120" w:after="120" w:line="240" w:lineRule="auto"/>
      <w:ind w:left="2551"/>
      <w:jc w:val="both"/>
    </w:pPr>
    <w:rPr>
      <w:rFonts w:eastAsia="Times New Roman" w:cs="Times New Roman"/>
      <w:sz w:val="24"/>
      <w:szCs w:val="24"/>
    </w:rPr>
  </w:style>
  <w:style w:type="paragraph" w:customStyle="1" w:styleId="NormalCentered">
    <w:name w:val="Normal Centered"/>
    <w:basedOn w:val="Normal"/>
    <w:pPr>
      <w:spacing w:before="120" w:after="120" w:line="240" w:lineRule="auto"/>
      <w:jc w:val="center"/>
    </w:pPr>
    <w:rPr>
      <w:rFonts w:eastAsia="Times New Roman" w:cs="Times New Roman"/>
      <w:sz w:val="24"/>
      <w:szCs w:val="24"/>
    </w:rPr>
  </w:style>
  <w:style w:type="paragraph" w:customStyle="1" w:styleId="NormalLeft">
    <w:name w:val="Normal Left"/>
    <w:basedOn w:val="Normal"/>
    <w:pPr>
      <w:spacing w:before="120" w:after="120" w:line="240" w:lineRule="auto"/>
    </w:pPr>
    <w:rPr>
      <w:rFonts w:eastAsia="Times New Roman" w:cs="Times New Roman"/>
      <w:sz w:val="24"/>
      <w:szCs w:val="24"/>
    </w:rPr>
  </w:style>
  <w:style w:type="paragraph" w:customStyle="1" w:styleId="NormalRight">
    <w:name w:val="Normal Right"/>
    <w:basedOn w:val="Normal"/>
    <w:pPr>
      <w:spacing w:before="120" w:after="120" w:line="240" w:lineRule="auto"/>
      <w:jc w:val="right"/>
    </w:pPr>
    <w:rPr>
      <w:rFonts w:eastAsia="Times New Roman" w:cs="Times New Roman"/>
      <w:sz w:val="24"/>
      <w:szCs w:val="24"/>
    </w:rPr>
  </w:style>
  <w:style w:type="paragraph" w:customStyle="1" w:styleId="QuotedText">
    <w:name w:val="Quoted Text"/>
    <w:basedOn w:val="Normal"/>
    <w:pPr>
      <w:spacing w:before="120" w:after="120" w:line="240" w:lineRule="auto"/>
      <w:ind w:left="1417"/>
      <w:jc w:val="both"/>
    </w:pPr>
    <w:rPr>
      <w:rFonts w:eastAsia="Times New Roman" w:cs="Times New Roman"/>
      <w:sz w:val="24"/>
      <w:szCs w:val="24"/>
    </w:rPr>
  </w:style>
  <w:style w:type="paragraph" w:customStyle="1" w:styleId="Point0">
    <w:name w:val="Point 0"/>
    <w:basedOn w:val="Normal"/>
    <w:pPr>
      <w:spacing w:before="120" w:after="120" w:line="240" w:lineRule="auto"/>
      <w:ind w:left="850" w:hanging="850"/>
      <w:jc w:val="both"/>
    </w:pPr>
    <w:rPr>
      <w:rFonts w:eastAsia="Times New Roman" w:cs="Times New Roman"/>
      <w:sz w:val="24"/>
      <w:szCs w:val="24"/>
    </w:rPr>
  </w:style>
  <w:style w:type="paragraph" w:customStyle="1" w:styleId="Point1">
    <w:name w:val="Point 1"/>
    <w:basedOn w:val="Normal"/>
    <w:pPr>
      <w:spacing w:before="120" w:after="120" w:line="240" w:lineRule="auto"/>
      <w:ind w:left="1417" w:hanging="567"/>
      <w:jc w:val="both"/>
    </w:pPr>
    <w:rPr>
      <w:rFonts w:eastAsia="Times New Roman" w:cs="Times New Roman"/>
      <w:sz w:val="24"/>
      <w:szCs w:val="24"/>
    </w:rPr>
  </w:style>
  <w:style w:type="paragraph" w:customStyle="1" w:styleId="Point2">
    <w:name w:val="Point 2"/>
    <w:basedOn w:val="Normal"/>
    <w:pPr>
      <w:spacing w:before="120" w:after="120" w:line="240" w:lineRule="auto"/>
      <w:ind w:left="1984" w:hanging="567"/>
      <w:jc w:val="both"/>
    </w:pPr>
    <w:rPr>
      <w:rFonts w:eastAsia="Times New Roman" w:cs="Times New Roman"/>
      <w:sz w:val="24"/>
      <w:szCs w:val="24"/>
    </w:rPr>
  </w:style>
  <w:style w:type="paragraph" w:customStyle="1" w:styleId="Point3">
    <w:name w:val="Point 3"/>
    <w:basedOn w:val="Normal"/>
    <w:pPr>
      <w:spacing w:before="120" w:after="120" w:line="240" w:lineRule="auto"/>
      <w:ind w:left="2551" w:hanging="567"/>
      <w:jc w:val="both"/>
    </w:pPr>
    <w:rPr>
      <w:rFonts w:eastAsia="Times New Roman" w:cs="Times New Roman"/>
      <w:sz w:val="24"/>
      <w:szCs w:val="24"/>
    </w:rPr>
  </w:style>
  <w:style w:type="paragraph" w:customStyle="1" w:styleId="Point4">
    <w:name w:val="Point 4"/>
    <w:basedOn w:val="Normal"/>
    <w:pPr>
      <w:spacing w:before="120" w:after="120" w:line="240" w:lineRule="auto"/>
      <w:ind w:left="3118" w:hanging="567"/>
      <w:jc w:val="both"/>
    </w:pPr>
    <w:rPr>
      <w:rFonts w:eastAsia="Times New Roman" w:cs="Times New Roman"/>
      <w:sz w:val="24"/>
      <w:szCs w:val="24"/>
    </w:rPr>
  </w:style>
  <w:style w:type="paragraph" w:customStyle="1" w:styleId="Tiret0">
    <w:name w:val="Tiret 0"/>
    <w:basedOn w:val="Point0"/>
    <w:pPr>
      <w:numPr>
        <w:numId w:val="2"/>
      </w:numPr>
    </w:pPr>
  </w:style>
  <w:style w:type="paragraph" w:customStyle="1" w:styleId="Tiret1">
    <w:name w:val="Tiret 1"/>
    <w:basedOn w:val="Point1"/>
    <w:pPr>
      <w:numPr>
        <w:numId w:val="3"/>
      </w:numPr>
    </w:pPr>
  </w:style>
  <w:style w:type="paragraph" w:customStyle="1" w:styleId="Tiret2">
    <w:name w:val="Tiret 2"/>
    <w:basedOn w:val="Point2"/>
    <w:pPr>
      <w:numPr>
        <w:numId w:val="4"/>
      </w:numPr>
    </w:pPr>
  </w:style>
  <w:style w:type="paragraph" w:customStyle="1" w:styleId="Tiret3">
    <w:name w:val="Tiret 3"/>
    <w:basedOn w:val="Point3"/>
    <w:pPr>
      <w:numPr>
        <w:numId w:val="5"/>
      </w:numPr>
    </w:pPr>
  </w:style>
  <w:style w:type="paragraph" w:customStyle="1" w:styleId="Tiret4">
    <w:name w:val="Tiret 4"/>
    <w:basedOn w:val="Point4"/>
    <w:pPr>
      <w:numPr>
        <w:numId w:val="6"/>
      </w:numPr>
    </w:pPr>
  </w:style>
  <w:style w:type="paragraph" w:customStyle="1" w:styleId="PointDouble0">
    <w:name w:val="PointDouble 0"/>
    <w:basedOn w:val="Normal"/>
    <w:pPr>
      <w:tabs>
        <w:tab w:val="left" w:pos="850"/>
      </w:tabs>
      <w:spacing w:before="120" w:after="120" w:line="240" w:lineRule="auto"/>
      <w:ind w:left="1417" w:hanging="1417"/>
      <w:jc w:val="both"/>
    </w:pPr>
    <w:rPr>
      <w:rFonts w:eastAsia="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eastAsia="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eastAsia="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eastAsia="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eastAsia="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eastAsia="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eastAsia="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eastAsia="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eastAsia="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eastAsia="Times New Roman" w:cs="Times New Roman"/>
      <w:sz w:val="24"/>
      <w:szCs w:val="24"/>
    </w:rPr>
  </w:style>
  <w:style w:type="paragraph" w:customStyle="1" w:styleId="NumPar1">
    <w:name w:val="NumPar 1"/>
    <w:basedOn w:val="Normal"/>
    <w:next w:val="Text1"/>
    <w:pPr>
      <w:numPr>
        <w:numId w:val="7"/>
      </w:numPr>
      <w:spacing w:before="120" w:after="120" w:line="240" w:lineRule="auto"/>
      <w:jc w:val="both"/>
    </w:pPr>
    <w:rPr>
      <w:rFonts w:eastAsia="Times New Roman" w:cs="Times New Roman"/>
      <w:sz w:val="24"/>
      <w:szCs w:val="24"/>
    </w:rPr>
  </w:style>
  <w:style w:type="paragraph" w:customStyle="1" w:styleId="NumPar2">
    <w:name w:val="NumPar 2"/>
    <w:basedOn w:val="Normal"/>
    <w:next w:val="Text1"/>
    <w:pPr>
      <w:numPr>
        <w:ilvl w:val="1"/>
        <w:numId w:val="7"/>
      </w:numPr>
      <w:spacing w:before="120" w:after="120" w:line="240" w:lineRule="auto"/>
      <w:jc w:val="both"/>
    </w:pPr>
    <w:rPr>
      <w:rFonts w:eastAsia="Times New Roman" w:cs="Times New Roman"/>
      <w:sz w:val="24"/>
      <w:szCs w:val="24"/>
    </w:rPr>
  </w:style>
  <w:style w:type="paragraph" w:customStyle="1" w:styleId="NumPar3">
    <w:name w:val="NumPar 3"/>
    <w:basedOn w:val="Normal"/>
    <w:next w:val="Text1"/>
    <w:pPr>
      <w:numPr>
        <w:ilvl w:val="2"/>
        <w:numId w:val="7"/>
      </w:numPr>
      <w:spacing w:before="120" w:after="120" w:line="240" w:lineRule="auto"/>
      <w:jc w:val="both"/>
    </w:pPr>
    <w:rPr>
      <w:rFonts w:eastAsia="Times New Roman" w:cs="Times New Roman"/>
      <w:sz w:val="24"/>
      <w:szCs w:val="24"/>
    </w:rPr>
  </w:style>
  <w:style w:type="paragraph" w:customStyle="1" w:styleId="NumPar4">
    <w:name w:val="NumPar 4"/>
    <w:basedOn w:val="Normal"/>
    <w:next w:val="Text1"/>
    <w:pPr>
      <w:numPr>
        <w:ilvl w:val="3"/>
        <w:numId w:val="7"/>
      </w:numPr>
      <w:spacing w:before="120" w:after="120" w:line="240" w:lineRule="auto"/>
      <w:jc w:val="both"/>
    </w:pPr>
    <w:rPr>
      <w:rFonts w:eastAsia="Times New Roman" w:cs="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eastAsia="Times New Roman" w:cs="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eastAsia="Times New Roman" w:cs="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eastAsia="Times New Roman" w:cs="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eastAsia="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eastAsia="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eastAsia="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eastAsia="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eastAsia="Times New Roman" w:cs="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eastAsia="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eastAsia="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eastAsia="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eastAsia="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eastAsia="Times New Roman" w:cs="Times New Roman"/>
      <w:b/>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uiPriority w:val="39"/>
    <w:qFormat/>
    <w:pPr>
      <w:spacing w:before="120" w:after="240" w:line="240" w:lineRule="auto"/>
    </w:pPr>
    <w:rPr>
      <w:rFonts w:eastAsia="Times New Roman" w:cs="Times New Roman"/>
      <w:b/>
      <w:sz w:val="28"/>
      <w:szCs w:val="24"/>
    </w:rPr>
  </w:style>
  <w:style w:type="paragraph" w:customStyle="1" w:styleId="Point0number">
    <w:name w:val="Point 0 (number)"/>
    <w:basedOn w:val="Normal"/>
    <w:pPr>
      <w:numPr>
        <w:numId w:val="20"/>
      </w:numPr>
      <w:spacing w:before="120" w:after="120" w:line="240" w:lineRule="auto"/>
      <w:jc w:val="both"/>
    </w:pPr>
    <w:rPr>
      <w:rFonts w:eastAsia="Times New Roman" w:cs="Times New Roman"/>
      <w:sz w:val="24"/>
      <w:szCs w:val="24"/>
    </w:rPr>
  </w:style>
  <w:style w:type="paragraph" w:customStyle="1" w:styleId="Point1number">
    <w:name w:val="Point 1 (number)"/>
    <w:basedOn w:val="Normal"/>
    <w:pPr>
      <w:numPr>
        <w:ilvl w:val="2"/>
        <w:numId w:val="20"/>
      </w:numPr>
      <w:spacing w:before="120" w:after="120" w:line="240" w:lineRule="auto"/>
      <w:jc w:val="both"/>
    </w:pPr>
    <w:rPr>
      <w:rFonts w:eastAsia="Times New Roman" w:cs="Times New Roman"/>
      <w:sz w:val="24"/>
      <w:szCs w:val="24"/>
    </w:rPr>
  </w:style>
  <w:style w:type="paragraph" w:customStyle="1" w:styleId="Point2number">
    <w:name w:val="Point 2 (number)"/>
    <w:basedOn w:val="Normal"/>
    <w:pPr>
      <w:numPr>
        <w:ilvl w:val="4"/>
        <w:numId w:val="20"/>
      </w:numPr>
      <w:spacing w:before="120" w:after="120" w:line="240" w:lineRule="auto"/>
      <w:jc w:val="both"/>
    </w:pPr>
    <w:rPr>
      <w:rFonts w:eastAsia="Times New Roman" w:cs="Times New Roman"/>
      <w:sz w:val="24"/>
      <w:szCs w:val="24"/>
    </w:rPr>
  </w:style>
  <w:style w:type="paragraph" w:customStyle="1" w:styleId="Point3number">
    <w:name w:val="Point 3 (number)"/>
    <w:basedOn w:val="Normal"/>
    <w:pPr>
      <w:numPr>
        <w:ilvl w:val="6"/>
        <w:numId w:val="20"/>
      </w:numPr>
      <w:spacing w:before="120" w:after="120" w:line="240" w:lineRule="auto"/>
      <w:jc w:val="both"/>
    </w:pPr>
    <w:rPr>
      <w:rFonts w:eastAsia="Times New Roman" w:cs="Times New Roman"/>
      <w:sz w:val="24"/>
      <w:szCs w:val="24"/>
    </w:rPr>
  </w:style>
  <w:style w:type="paragraph" w:customStyle="1" w:styleId="Point0letter">
    <w:name w:val="Point 0 (letter)"/>
    <w:basedOn w:val="Normal"/>
    <w:pPr>
      <w:numPr>
        <w:ilvl w:val="1"/>
        <w:numId w:val="20"/>
      </w:numPr>
      <w:spacing w:before="120" w:after="120" w:line="240" w:lineRule="auto"/>
      <w:jc w:val="both"/>
    </w:pPr>
    <w:rPr>
      <w:rFonts w:eastAsia="Times New Roman" w:cs="Times New Roman"/>
      <w:sz w:val="24"/>
      <w:szCs w:val="24"/>
    </w:rPr>
  </w:style>
  <w:style w:type="paragraph" w:customStyle="1" w:styleId="Point1letter">
    <w:name w:val="Point 1 (letter)"/>
    <w:basedOn w:val="Normal"/>
    <w:pPr>
      <w:numPr>
        <w:ilvl w:val="3"/>
        <w:numId w:val="20"/>
      </w:numPr>
      <w:spacing w:before="120" w:after="120" w:line="240" w:lineRule="auto"/>
      <w:jc w:val="both"/>
    </w:pPr>
    <w:rPr>
      <w:rFonts w:eastAsia="Times New Roman" w:cs="Times New Roman"/>
      <w:sz w:val="24"/>
      <w:szCs w:val="24"/>
    </w:rPr>
  </w:style>
  <w:style w:type="paragraph" w:customStyle="1" w:styleId="Point2letter">
    <w:name w:val="Point 2 (letter)"/>
    <w:basedOn w:val="Normal"/>
    <w:pPr>
      <w:numPr>
        <w:ilvl w:val="5"/>
        <w:numId w:val="20"/>
      </w:numPr>
      <w:spacing w:before="120" w:after="120" w:line="240" w:lineRule="auto"/>
      <w:jc w:val="both"/>
    </w:pPr>
    <w:rPr>
      <w:rFonts w:eastAsia="Times New Roman" w:cs="Times New Roman"/>
      <w:sz w:val="24"/>
      <w:szCs w:val="24"/>
    </w:rPr>
  </w:style>
  <w:style w:type="paragraph" w:customStyle="1" w:styleId="Point3letter">
    <w:name w:val="Point 3 (letter)"/>
    <w:basedOn w:val="Normal"/>
    <w:pPr>
      <w:numPr>
        <w:ilvl w:val="7"/>
        <w:numId w:val="20"/>
      </w:numPr>
      <w:spacing w:before="120" w:after="120" w:line="240" w:lineRule="auto"/>
      <w:jc w:val="both"/>
    </w:pPr>
    <w:rPr>
      <w:rFonts w:eastAsia="Times New Roman" w:cs="Times New Roman"/>
      <w:sz w:val="24"/>
      <w:szCs w:val="24"/>
    </w:rPr>
  </w:style>
  <w:style w:type="paragraph" w:customStyle="1" w:styleId="Point4letter">
    <w:name w:val="Point 4 (letter)"/>
    <w:basedOn w:val="Normal"/>
    <w:pPr>
      <w:numPr>
        <w:ilvl w:val="8"/>
        <w:numId w:val="20"/>
      </w:numPr>
      <w:spacing w:before="120" w:after="120" w:line="240" w:lineRule="auto"/>
      <w:jc w:val="both"/>
    </w:pPr>
    <w:rPr>
      <w:rFonts w:eastAsia="Times New Roman" w:cs="Times New Roman"/>
      <w:sz w:val="24"/>
      <w:szCs w:val="24"/>
    </w:rPr>
  </w:style>
  <w:style w:type="paragraph" w:customStyle="1" w:styleId="Bullet0">
    <w:name w:val="Bullet 0"/>
    <w:basedOn w:val="Normal"/>
    <w:pPr>
      <w:numPr>
        <w:numId w:val="8"/>
      </w:numPr>
      <w:spacing w:before="120" w:after="120" w:line="240" w:lineRule="auto"/>
      <w:jc w:val="both"/>
    </w:pPr>
    <w:rPr>
      <w:rFonts w:eastAsia="Times New Roman" w:cs="Times New Roman"/>
      <w:sz w:val="24"/>
      <w:szCs w:val="24"/>
    </w:rPr>
  </w:style>
  <w:style w:type="paragraph" w:customStyle="1" w:styleId="Bullet1">
    <w:name w:val="Bullet 1"/>
    <w:basedOn w:val="Normal"/>
    <w:pPr>
      <w:numPr>
        <w:numId w:val="9"/>
      </w:numPr>
      <w:spacing w:before="120" w:after="120" w:line="240" w:lineRule="auto"/>
      <w:jc w:val="both"/>
    </w:pPr>
    <w:rPr>
      <w:rFonts w:eastAsia="Times New Roman" w:cs="Times New Roman"/>
      <w:sz w:val="24"/>
      <w:szCs w:val="24"/>
    </w:rPr>
  </w:style>
  <w:style w:type="paragraph" w:customStyle="1" w:styleId="Bullet2">
    <w:name w:val="Bullet 2"/>
    <w:basedOn w:val="Normal"/>
    <w:pPr>
      <w:numPr>
        <w:numId w:val="10"/>
      </w:numPr>
      <w:spacing w:before="120" w:after="120" w:line="240" w:lineRule="auto"/>
      <w:jc w:val="both"/>
    </w:pPr>
    <w:rPr>
      <w:rFonts w:eastAsia="Times New Roman" w:cs="Times New Roman"/>
      <w:sz w:val="24"/>
      <w:szCs w:val="24"/>
    </w:rPr>
  </w:style>
  <w:style w:type="paragraph" w:customStyle="1" w:styleId="Bullet3">
    <w:name w:val="Bullet 3"/>
    <w:basedOn w:val="Normal"/>
    <w:pPr>
      <w:numPr>
        <w:numId w:val="11"/>
      </w:numPr>
      <w:spacing w:before="120" w:after="120" w:line="240" w:lineRule="auto"/>
      <w:jc w:val="both"/>
    </w:pPr>
    <w:rPr>
      <w:rFonts w:eastAsia="Times New Roman" w:cs="Times New Roman"/>
      <w:sz w:val="24"/>
      <w:szCs w:val="24"/>
    </w:rPr>
  </w:style>
  <w:style w:type="paragraph" w:customStyle="1" w:styleId="Bullet4">
    <w:name w:val="Bullet 4"/>
    <w:basedOn w:val="Normal"/>
    <w:pPr>
      <w:numPr>
        <w:numId w:val="12"/>
      </w:numPr>
      <w:spacing w:before="120" w:after="120" w:line="240" w:lineRule="auto"/>
      <w:jc w:val="both"/>
    </w:pPr>
    <w:rPr>
      <w:rFonts w:eastAsia="Times New Roman" w:cs="Times New Roman"/>
      <w:sz w:val="24"/>
      <w:szCs w:val="24"/>
    </w:rPr>
  </w:style>
  <w:style w:type="paragraph" w:customStyle="1" w:styleId="Annexetitreexpos">
    <w:name w:val="Annexe titre (exposé)"/>
    <w:basedOn w:val="Normal"/>
    <w:next w:val="Normal"/>
    <w:pPr>
      <w:spacing w:before="120" w:after="120" w:line="240" w:lineRule="auto"/>
      <w:jc w:val="center"/>
    </w:pPr>
    <w:rPr>
      <w:rFonts w:eastAsia="Times New Roman" w:cs="Times New Roman"/>
      <w:b/>
      <w:sz w:val="24"/>
      <w:szCs w:val="24"/>
      <w:u w:val="single"/>
    </w:rPr>
  </w:style>
  <w:style w:type="paragraph" w:customStyle="1" w:styleId="Annexetitre">
    <w:name w:val="Annexe titre"/>
    <w:basedOn w:val="Normal"/>
    <w:next w:val="Normal"/>
    <w:pPr>
      <w:spacing w:before="120" w:after="120" w:line="240" w:lineRule="auto"/>
      <w:jc w:val="center"/>
    </w:pPr>
    <w:rPr>
      <w:rFonts w:eastAsia="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eastAsia="Times New Roman" w:cs="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eastAsia="Times New Roman" w:cs="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eastAsia="Times New Roman" w:cs="Times New Roman"/>
      <w:sz w:val="24"/>
      <w:szCs w:val="24"/>
      <w:u w:val="single"/>
    </w:rPr>
  </w:style>
  <w:style w:type="paragraph" w:customStyle="1" w:styleId="Confidence">
    <w:name w:val="Confidence"/>
    <w:basedOn w:val="Normal"/>
    <w:next w:val="Normal"/>
    <w:pPr>
      <w:spacing w:before="360" w:after="120" w:line="240" w:lineRule="auto"/>
      <w:jc w:val="center"/>
    </w:pPr>
    <w:rPr>
      <w:rFonts w:eastAsia="Times New Roman" w:cs="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eastAsia="Times New Roman" w:cs="Times New Roman"/>
      <w:i/>
      <w:sz w:val="32"/>
      <w:szCs w:val="24"/>
    </w:rPr>
  </w:style>
  <w:style w:type="paragraph" w:customStyle="1" w:styleId="Considrant">
    <w:name w:val="Considérant"/>
    <w:basedOn w:val="Normal"/>
    <w:pPr>
      <w:numPr>
        <w:numId w:val="13"/>
      </w:numPr>
      <w:spacing w:before="120" w:after="120" w:line="240" w:lineRule="auto"/>
      <w:jc w:val="both"/>
    </w:pPr>
    <w:rPr>
      <w:rFonts w:eastAsia="Times New Roman" w:cs="Times New Roman"/>
      <w:sz w:val="24"/>
      <w:szCs w:val="24"/>
    </w:rPr>
  </w:style>
  <w:style w:type="paragraph" w:customStyle="1" w:styleId="Corrigendum">
    <w:name w:val="Corrigendum"/>
    <w:basedOn w:val="Normal"/>
    <w:next w:val="Normal"/>
    <w:pPr>
      <w:spacing w:after="240" w:line="240" w:lineRule="auto"/>
    </w:pPr>
    <w:rPr>
      <w:rFonts w:eastAsia="Times New Roman" w:cs="Times New Roman"/>
      <w:sz w:val="24"/>
      <w:szCs w:val="24"/>
    </w:rPr>
  </w:style>
  <w:style w:type="paragraph" w:customStyle="1" w:styleId="Datedadoption">
    <w:name w:val="Date d'adoption"/>
    <w:basedOn w:val="Normal"/>
    <w:next w:val="Titreobjet"/>
    <w:pPr>
      <w:spacing w:before="360" w:after="0" w:line="240" w:lineRule="auto"/>
      <w:jc w:val="center"/>
    </w:pPr>
    <w:rPr>
      <w:rFonts w:eastAsia="Times New Roman" w:cs="Times New Roman"/>
      <w:b/>
      <w:sz w:val="24"/>
      <w:szCs w:val="24"/>
    </w:rPr>
  </w:style>
  <w:style w:type="paragraph" w:customStyle="1" w:styleId="Emission">
    <w:name w:val="Emission"/>
    <w:basedOn w:val="Normal"/>
    <w:next w:val="Rfrenceinstitutionnelle"/>
    <w:pPr>
      <w:spacing w:after="0" w:line="240" w:lineRule="auto"/>
      <w:ind w:left="5103"/>
    </w:pPr>
    <w:rPr>
      <w:rFonts w:eastAsia="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eastAsia="Times New Roman" w:cs="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eastAsia="Times New Roman" w:cs="Times New Roman"/>
      <w:sz w:val="24"/>
      <w:szCs w:val="24"/>
    </w:rPr>
  </w:style>
  <w:style w:type="paragraph" w:customStyle="1" w:styleId="Formuledadoption">
    <w:name w:val="Formule d'adoption"/>
    <w:basedOn w:val="Normal"/>
    <w:next w:val="Titrearticle"/>
    <w:pPr>
      <w:keepNext/>
      <w:spacing w:before="120" w:after="120" w:line="240" w:lineRule="auto"/>
      <w:jc w:val="both"/>
    </w:pPr>
    <w:rPr>
      <w:rFonts w:eastAsia="Times New Roman" w:cs="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eastAsia="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eastAsia="Times New Roman" w:cs="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eastAsia="Times New Roman" w:cs="Times New Roman"/>
      <w:b/>
      <w:caps/>
      <w:sz w:val="24"/>
      <w:szCs w:val="24"/>
    </w:rPr>
  </w:style>
  <w:style w:type="paragraph" w:customStyle="1" w:styleId="ManualConsidrant">
    <w:name w:val="Manual Considérant"/>
    <w:basedOn w:val="Normal"/>
    <w:pPr>
      <w:spacing w:before="120" w:after="120" w:line="240" w:lineRule="auto"/>
      <w:ind w:left="709" w:hanging="709"/>
      <w:jc w:val="both"/>
    </w:pPr>
    <w:rPr>
      <w:rFonts w:eastAsia="Times New Roman" w:cs="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pPr>
      <w:tabs>
        <w:tab w:val="left" w:pos="4252"/>
      </w:tabs>
      <w:spacing w:after="0" w:line="240" w:lineRule="auto"/>
    </w:pPr>
    <w:rPr>
      <w:rFonts w:eastAsia="Times New Roman" w:cs="Times New Roman"/>
      <w:i/>
      <w:sz w:val="24"/>
      <w:szCs w:val="24"/>
    </w:rPr>
  </w:style>
  <w:style w:type="paragraph" w:customStyle="1" w:styleId="Rfrenceinstitutionnelle">
    <w:name w:val="Référence institutionnelle"/>
    <w:basedOn w:val="Normal"/>
    <w:next w:val="Confidentialit"/>
    <w:pPr>
      <w:spacing w:after="240" w:line="240" w:lineRule="auto"/>
      <w:ind w:left="5103"/>
    </w:pPr>
    <w:rPr>
      <w:rFonts w:eastAsia="Times New Roman" w:cs="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eastAsia="Times New Roman" w:cs="Times New Roman"/>
      <w:sz w:val="24"/>
      <w:szCs w:val="24"/>
    </w:rPr>
  </w:style>
  <w:style w:type="paragraph" w:customStyle="1" w:styleId="Rfrenceinterne">
    <w:name w:val="Référence interne"/>
    <w:basedOn w:val="Normal"/>
    <w:next w:val="Rfrenceinterinstitutionnelle"/>
    <w:pPr>
      <w:spacing w:after="0" w:line="240" w:lineRule="auto"/>
      <w:ind w:left="5103"/>
    </w:pPr>
    <w:rPr>
      <w:rFonts w:eastAsia="Times New Roman" w:cs="Times New Roman"/>
      <w:sz w:val="24"/>
      <w:szCs w:val="24"/>
    </w:rPr>
  </w:style>
  <w:style w:type="paragraph" w:customStyle="1" w:styleId="Sous-titreobjet">
    <w:name w:val="Sous-titre objet"/>
    <w:basedOn w:val="Normal"/>
    <w:pPr>
      <w:spacing w:after="0" w:line="240" w:lineRule="auto"/>
      <w:jc w:val="center"/>
    </w:pPr>
    <w:rPr>
      <w:rFonts w:eastAsia="Times New Roman" w:cs="Times New Roman"/>
      <w:b/>
      <w:sz w:val="24"/>
      <w:szCs w:val="24"/>
    </w:rPr>
  </w:style>
  <w:style w:type="paragraph" w:customStyle="1" w:styleId="Statut">
    <w:name w:val="Statut"/>
    <w:basedOn w:val="Normal"/>
    <w:next w:val="Typedudocument"/>
    <w:pPr>
      <w:spacing w:before="360" w:after="0" w:line="240" w:lineRule="auto"/>
      <w:jc w:val="center"/>
    </w:pPr>
    <w:rPr>
      <w:rFonts w:eastAsia="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eastAsia="Times New Roman" w:cs="Times New Roman"/>
      <w:i/>
      <w:sz w:val="24"/>
      <w:szCs w:val="24"/>
    </w:rPr>
  </w:style>
  <w:style w:type="paragraph" w:customStyle="1" w:styleId="Titreobjet">
    <w:name w:val="Titre objet"/>
    <w:basedOn w:val="Normal"/>
    <w:next w:val="Sous-titreobjet"/>
    <w:pPr>
      <w:spacing w:before="360" w:after="360" w:line="240" w:lineRule="auto"/>
      <w:jc w:val="center"/>
    </w:pPr>
    <w:rPr>
      <w:rFonts w:eastAsia="Times New Roman" w:cs="Times New Roman"/>
      <w:b/>
      <w:sz w:val="24"/>
      <w:szCs w:val="24"/>
    </w:rPr>
  </w:style>
  <w:style w:type="paragraph" w:customStyle="1" w:styleId="Typedudocument">
    <w:name w:val="Type du document"/>
    <w:basedOn w:val="Normal"/>
    <w:next w:val="Titreobjet"/>
    <w:link w:val="TypedudocumentChar"/>
    <w:pPr>
      <w:spacing w:before="360" w:after="0" w:line="240" w:lineRule="auto"/>
      <w:jc w:val="center"/>
    </w:pPr>
    <w:rPr>
      <w:rFonts w:eastAsia="Times New Roman" w:cs="Times New Roman"/>
      <w:b/>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eastAsia="Times New Roman" w:cs="Times New Roman"/>
      <w:sz w:val="24"/>
      <w:szCs w:val="24"/>
    </w:rPr>
  </w:style>
  <w:style w:type="paragraph" w:customStyle="1" w:styleId="Objetexterne">
    <w:name w:val="Objet externe"/>
    <w:basedOn w:val="Normal"/>
    <w:next w:val="Normal"/>
    <w:pPr>
      <w:spacing w:before="120" w:after="120" w:line="240" w:lineRule="auto"/>
      <w:jc w:val="both"/>
    </w:pPr>
    <w:rPr>
      <w:rFonts w:eastAsia="Times New Roman" w:cs="Times New Roman"/>
      <w:i/>
      <w:caps/>
      <w:sz w:val="24"/>
      <w:szCs w:val="24"/>
    </w:rPr>
  </w:style>
  <w:style w:type="paragraph" w:customStyle="1" w:styleId="Supertitre">
    <w:name w:val="Supertitre"/>
    <w:basedOn w:val="Normal"/>
    <w:next w:val="Normal"/>
    <w:pPr>
      <w:spacing w:after="600" w:line="240" w:lineRule="auto"/>
      <w:jc w:val="center"/>
    </w:pPr>
    <w:rPr>
      <w:rFonts w:eastAsia="Times New Roman" w:cs="Times New Roman"/>
      <w:b/>
      <w:sz w:val="24"/>
      <w:szCs w:val="24"/>
    </w:rPr>
  </w:style>
  <w:style w:type="paragraph" w:customStyle="1" w:styleId="Languesfaisantfoi">
    <w:name w:val="Langues faisant foi"/>
    <w:basedOn w:val="Normal"/>
    <w:next w:val="Normal"/>
    <w:pPr>
      <w:spacing w:before="360" w:after="0" w:line="240" w:lineRule="auto"/>
      <w:jc w:val="center"/>
    </w:pPr>
    <w:rPr>
      <w:rFonts w:eastAsia="Times New Roman" w:cs="Times New Roman"/>
      <w:sz w:val="24"/>
      <w:szCs w:val="24"/>
    </w:rPr>
  </w:style>
  <w:style w:type="paragraph" w:customStyle="1" w:styleId="Rfrencecroise">
    <w:name w:val="Référence croisée"/>
    <w:basedOn w:val="Normal"/>
    <w:pPr>
      <w:spacing w:after="0" w:line="240" w:lineRule="auto"/>
      <w:jc w:val="center"/>
    </w:pPr>
    <w:rPr>
      <w:rFonts w:eastAsia="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eastAsia="Times New Roman" w:cs="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eastAsia="Times New Roman" w:cs="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eastAsia="Times New Roman" w:cs="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eastAsia="Times New Roman" w:cs="Times New Roman"/>
      <w:b/>
      <w:sz w:val="24"/>
      <w:szCs w:val="24"/>
    </w:rPr>
  </w:style>
  <w:style w:type="paragraph" w:customStyle="1" w:styleId="Objetacteprincipal">
    <w:name w:val="Objet acte principal"/>
    <w:basedOn w:val="Normal"/>
    <w:next w:val="Titrearticle"/>
    <w:pPr>
      <w:spacing w:after="360" w:line="240" w:lineRule="auto"/>
      <w:jc w:val="center"/>
    </w:pPr>
    <w:rPr>
      <w:rFonts w:eastAsia="Times New Roman" w:cs="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eastAsia="Times New Roman" w:cs="Times New Roman"/>
      <w:sz w:val="24"/>
      <w:szCs w:val="24"/>
    </w:rPr>
  </w:style>
  <w:style w:type="paragraph" w:styleId="ListBullet">
    <w:name w:val="List Bullet"/>
    <w:basedOn w:val="Normal"/>
    <w:pPr>
      <w:numPr>
        <w:numId w:val="14"/>
      </w:numPr>
      <w:spacing w:before="120" w:after="120" w:line="240" w:lineRule="auto"/>
      <w:contextualSpacing/>
      <w:jc w:val="both"/>
    </w:pPr>
    <w:rPr>
      <w:rFonts w:eastAsia="Times New Roman" w:cs="Times New Roman"/>
      <w:sz w:val="24"/>
      <w:szCs w:val="24"/>
    </w:rPr>
  </w:style>
  <w:style w:type="paragraph" w:styleId="ListBullet2">
    <w:name w:val="List Bullet 2"/>
    <w:basedOn w:val="Normal"/>
    <w:pPr>
      <w:numPr>
        <w:numId w:val="15"/>
      </w:numPr>
      <w:spacing w:before="120" w:after="120" w:line="240" w:lineRule="auto"/>
      <w:contextualSpacing/>
      <w:jc w:val="both"/>
    </w:pPr>
    <w:rPr>
      <w:rFonts w:eastAsia="Times New Roman" w:cs="Times New Roman"/>
      <w:sz w:val="24"/>
      <w:szCs w:val="24"/>
    </w:rPr>
  </w:style>
  <w:style w:type="paragraph" w:styleId="ListBullet3">
    <w:name w:val="List Bullet 3"/>
    <w:basedOn w:val="Normal"/>
    <w:pPr>
      <w:numPr>
        <w:numId w:val="16"/>
      </w:numPr>
      <w:spacing w:before="120" w:after="120" w:line="240" w:lineRule="auto"/>
      <w:contextualSpacing/>
      <w:jc w:val="both"/>
    </w:pPr>
    <w:rPr>
      <w:rFonts w:eastAsia="Times New Roman" w:cs="Times New Roman"/>
      <w:sz w:val="24"/>
      <w:szCs w:val="24"/>
    </w:rPr>
  </w:style>
  <w:style w:type="paragraph" w:styleId="ListBullet4">
    <w:name w:val="List Bullet 4"/>
    <w:basedOn w:val="Normal"/>
    <w:pPr>
      <w:numPr>
        <w:numId w:val="17"/>
      </w:numPr>
      <w:spacing w:before="120" w:after="120" w:line="240" w:lineRule="auto"/>
      <w:contextualSpacing/>
      <w:jc w:val="both"/>
    </w:pPr>
    <w:rPr>
      <w:rFonts w:eastAsia="Times New Roman" w:cs="Times New Roman"/>
      <w:sz w:val="24"/>
      <w:szCs w:val="24"/>
    </w:rPr>
  </w:style>
  <w:style w:type="paragraph" w:customStyle="1" w:styleId="ListDash">
    <w:name w:val="List Dash"/>
    <w:basedOn w:val="Normal"/>
    <w:pPr>
      <w:numPr>
        <w:numId w:val="18"/>
      </w:numPr>
      <w:spacing w:before="120" w:after="120" w:line="240" w:lineRule="auto"/>
      <w:jc w:val="both"/>
    </w:pPr>
    <w:rPr>
      <w:rFonts w:eastAsia="Times New Roman" w:cs="Times New Roman"/>
      <w:sz w:val="24"/>
      <w:szCs w:val="24"/>
    </w:rPr>
  </w:style>
  <w:style w:type="character" w:styleId="Strong">
    <w:name w:val="Strong"/>
    <w:uiPriority w:val="22"/>
    <w:qFormat/>
    <w:rPr>
      <w:b/>
      <w:bCs/>
    </w:rPr>
  </w:style>
  <w:style w:type="paragraph" w:styleId="ListParagraph">
    <w:name w:val="List Paragraph"/>
    <w:basedOn w:val="Normal"/>
    <w:uiPriority w:val="34"/>
    <w:qFormat/>
    <w:pPr>
      <w:ind w:left="720"/>
      <w:contextualSpacing/>
    </w:pPr>
    <w:rPr>
      <w:rFonts w:ascii="Calibri" w:eastAsia="Times New Roman" w:hAnsi="Calibri" w:cs="Times New Roman"/>
      <w:lang w:val="fr-FR"/>
    </w:rPr>
  </w:style>
  <w:style w:type="numbering" w:styleId="111111">
    <w:name w:val="Outline List 2"/>
    <w:basedOn w:val="NoList"/>
    <w:pPr>
      <w:numPr>
        <w:numId w:val="19"/>
      </w:numPr>
    </w:pPr>
  </w:style>
  <w:style w:type="character" w:styleId="PageNumber">
    <w:name w:val="page numbe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qFormat/>
    <w:pPr>
      <w:spacing w:before="120" w:after="120" w:line="240" w:lineRule="auto"/>
      <w:jc w:val="both"/>
    </w:pPr>
    <w:rPr>
      <w:rFonts w:eastAsia="Times New Roman" w:cs="Times New Roman"/>
      <w:b/>
      <w:bCs/>
      <w:sz w:val="20"/>
      <w:szCs w:val="20"/>
    </w:rPr>
  </w:style>
  <w:style w:type="paragraph" w:styleId="TableofFigures">
    <w:name w:val="table of figures"/>
    <w:basedOn w:val="Normal"/>
    <w:next w:val="Normal"/>
    <w:pPr>
      <w:spacing w:before="120" w:after="120" w:line="240" w:lineRule="auto"/>
      <w:jc w:val="both"/>
    </w:pPr>
    <w:rPr>
      <w:rFonts w:eastAsia="Times New Roman" w:cs="Times New Roman"/>
      <w:sz w:val="24"/>
      <w:szCs w:val="24"/>
    </w:rPr>
  </w:style>
  <w:style w:type="paragraph" w:styleId="ListNumber">
    <w:name w:val="List Number"/>
    <w:basedOn w:val="Normal"/>
    <w:pPr>
      <w:numPr>
        <w:numId w:val="21"/>
      </w:numPr>
      <w:spacing w:before="120" w:after="120" w:line="240" w:lineRule="auto"/>
      <w:contextualSpacing/>
      <w:jc w:val="both"/>
    </w:pPr>
    <w:rPr>
      <w:rFonts w:eastAsia="Times New Roman" w:cs="Times New Roman"/>
      <w:sz w:val="24"/>
      <w:szCs w:val="24"/>
    </w:rPr>
  </w:style>
  <w:style w:type="paragraph" w:styleId="ListNumber2">
    <w:name w:val="List Number 2"/>
    <w:basedOn w:val="Normal"/>
    <w:pPr>
      <w:numPr>
        <w:numId w:val="22"/>
      </w:numPr>
      <w:spacing w:before="120" w:after="120" w:line="240" w:lineRule="auto"/>
      <w:contextualSpacing/>
      <w:jc w:val="both"/>
    </w:pPr>
    <w:rPr>
      <w:rFonts w:eastAsia="Times New Roman" w:cs="Times New Roman"/>
      <w:sz w:val="24"/>
      <w:szCs w:val="24"/>
    </w:rPr>
  </w:style>
  <w:style w:type="paragraph" w:styleId="ListNumber3">
    <w:name w:val="List Number 3"/>
    <w:basedOn w:val="Normal"/>
    <w:pPr>
      <w:numPr>
        <w:numId w:val="23"/>
      </w:numPr>
      <w:spacing w:before="120" w:after="120" w:line="240" w:lineRule="auto"/>
      <w:contextualSpacing/>
      <w:jc w:val="both"/>
    </w:pPr>
    <w:rPr>
      <w:rFonts w:eastAsia="Times New Roman" w:cs="Times New Roman"/>
      <w:sz w:val="24"/>
      <w:szCs w:val="24"/>
    </w:rPr>
  </w:style>
  <w:style w:type="paragraph" w:styleId="ListNumber4">
    <w:name w:val="List Number 4"/>
    <w:basedOn w:val="Normal"/>
    <w:pPr>
      <w:numPr>
        <w:numId w:val="24"/>
      </w:numPr>
      <w:spacing w:before="120" w:after="120" w:line="240" w:lineRule="auto"/>
      <w:contextualSpacing/>
      <w:jc w:val="both"/>
    </w:pPr>
    <w:rPr>
      <w:rFonts w:eastAsia="Times New Roman" w:cs="Times New Roman"/>
      <w:sz w:val="24"/>
      <w:szCs w:val="24"/>
    </w:rPr>
  </w:style>
  <w:style w:type="character" w:customStyle="1" w:styleId="TypedudocumentChar">
    <w:name w:val="Type du document Char"/>
    <w:link w:val="Typedudocument"/>
    <w:rPr>
      <w:rFonts w:ascii="Times New Roman" w:eastAsia="Times New Roman" w:hAnsi="Times New Roman" w:cs="Times New Roman"/>
      <w:b/>
      <w:sz w:val="24"/>
      <w:szCs w:val="24"/>
    </w:rPr>
  </w:style>
  <w:style w:type="paragraph" w:styleId="DocumentMap">
    <w:name w:val="Document Map"/>
    <w:basedOn w:val="Normal"/>
    <w:link w:val="DocumentMapChar"/>
    <w:semiHidden/>
    <w:pPr>
      <w:shd w:val="clear" w:color="auto" w:fill="000080"/>
    </w:pPr>
    <w:rPr>
      <w:rFonts w:ascii="Tahoma" w:eastAsia="Calibri" w:hAnsi="Tahoma" w:cs="Tahoma"/>
    </w:rPr>
  </w:style>
  <w:style w:type="character" w:customStyle="1" w:styleId="DocumentMapChar">
    <w:name w:val="Document Map Char"/>
    <w:basedOn w:val="DefaultParagraphFont"/>
    <w:link w:val="DocumentMap"/>
    <w:semiHidden/>
    <w:rPr>
      <w:rFonts w:ascii="Tahoma" w:eastAsia="Calibri" w:hAnsi="Tahoma" w:cs="Tahoma"/>
      <w:shd w:val="clear" w:color="auto" w:fill="000080"/>
    </w:rPr>
  </w:style>
  <w:style w:type="paragraph" w:customStyle="1" w:styleId="EntInstit">
    <w:name w:val="EntInstit"/>
    <w:basedOn w:val="NormalConseil"/>
    <w:pPr>
      <w:jc w:val="right"/>
    </w:pPr>
    <w:rPr>
      <w:b/>
    </w:rPr>
  </w:style>
  <w:style w:type="paragraph" w:customStyle="1" w:styleId="NormalConseil">
    <w:name w:val="NormalConseil"/>
    <w:basedOn w:val="Normal"/>
    <w:pPr>
      <w:spacing w:after="0" w:line="240" w:lineRule="auto"/>
    </w:pPr>
    <w:rPr>
      <w:rFonts w:eastAsia="Times New Roman" w:cs="Times New Roman"/>
      <w:sz w:val="24"/>
      <w:szCs w:val="20"/>
      <w:lang w:eastAsia="fr-BE"/>
    </w:rPr>
  </w:style>
  <w:style w:type="paragraph" w:customStyle="1" w:styleId="EntRefer">
    <w:name w:val="EntRefer"/>
    <w:basedOn w:val="NormalConseil"/>
    <w:rPr>
      <w:b/>
    </w:rPr>
  </w:style>
  <w:style w:type="paragraph" w:customStyle="1" w:styleId="EntEmet">
    <w:name w:val="EntEmet"/>
    <w:basedOn w:val="NormalConseil"/>
    <w:pPr>
      <w:tabs>
        <w:tab w:val="left" w:pos="284"/>
        <w:tab w:val="left" w:pos="567"/>
        <w:tab w:val="left" w:pos="851"/>
        <w:tab w:val="left" w:pos="1134"/>
        <w:tab w:val="left" w:pos="1418"/>
      </w:tabs>
      <w:spacing w:before="40"/>
    </w:pPr>
  </w:style>
  <w:style w:type="paragraph" w:customStyle="1" w:styleId="EntLogo">
    <w:name w:val="EntLogo"/>
    <w:basedOn w:val="NormalConseil"/>
    <w:next w:val="EntInstit"/>
    <w:pPr>
      <w:spacing w:line="360" w:lineRule="auto"/>
    </w:pPr>
    <w:rPr>
      <w:b/>
    </w:rPr>
  </w:style>
  <w:style w:type="paragraph" w:customStyle="1" w:styleId="FooterConseil">
    <w:name w:val="FooterConseil"/>
    <w:basedOn w:val="NormalConseil"/>
    <w:pPr>
      <w:tabs>
        <w:tab w:val="center" w:pos="4820"/>
        <w:tab w:val="center" w:pos="7371"/>
        <w:tab w:val="right" w:pos="9639"/>
      </w:tabs>
    </w:pPr>
  </w:style>
  <w:style w:type="paragraph" w:styleId="NormalWeb">
    <w:name w:val="Normal (Web)"/>
    <w:basedOn w:val="Normal"/>
    <w:uiPriority w:val="99"/>
    <w:unhideWhenUsed/>
    <w:rPr>
      <w:rFonts w:eastAsia="Calibri" w:cs="Times New Roman"/>
      <w:sz w:val="24"/>
      <w:szCs w:val="24"/>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style>
  <w:style w:type="numbering" w:customStyle="1" w:styleId="1111111">
    <w:name w:val="1 / 1.1 / 1.1.11"/>
    <w:basedOn w:val="NoList"/>
    <w:next w:val="111111"/>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style>
  <w:style w:type="table" w:styleId="LightList-Accent4">
    <w:name w:val="Light List Accent 4"/>
    <w:basedOn w:val="TableNormal"/>
    <w:uiPriority w:val="61"/>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footnotedefaultstyleChar">
    <w:name w:val="footnote default style Char"/>
    <w:basedOn w:val="DefaultParagraphFont"/>
    <w:link w:val="footnotedefaultstyle"/>
    <w:locked/>
    <w:rPr>
      <w:rFonts w:ascii="Verdana" w:hAnsi="Verdana"/>
    </w:rPr>
  </w:style>
  <w:style w:type="paragraph" w:customStyle="1" w:styleId="footnotedefaultstyle">
    <w:name w:val="footnote default style"/>
    <w:basedOn w:val="Normal"/>
    <w:link w:val="footnotedefaultstyleChar"/>
    <w:pPr>
      <w:spacing w:after="0" w:line="240" w:lineRule="auto"/>
      <w:ind w:left="357" w:hanging="357"/>
      <w:jc w:val="both"/>
    </w:pPr>
    <w:rPr>
      <w:rFonts w:ascii="Verdana" w:hAnsi="Verdana"/>
    </w:rPr>
  </w:style>
  <w:style w:type="paragraph" w:customStyle="1" w:styleId="rtejustify">
    <w:name w:val="rtejustify"/>
    <w:basedOn w:val="Normal"/>
    <w:pPr>
      <w:spacing w:before="100" w:beforeAutospacing="1" w:after="100" w:afterAutospacing="1" w:line="240" w:lineRule="auto"/>
    </w:pPr>
    <w:rPr>
      <w:rFonts w:eastAsia="Times New Roman" w:cs="Times New Roman"/>
      <w:sz w:val="24"/>
      <w:szCs w:val="24"/>
      <w:lang w:eastAsia="en-GB"/>
    </w:rPr>
  </w:style>
  <w:style w:type="paragraph" w:customStyle="1" w:styleId="Declassification">
    <w:name w:val="Declassification"/>
    <w:basedOn w:val="Normal"/>
    <w:next w:val="Normal"/>
    <w:pPr>
      <w:spacing w:after="0" w:line="240" w:lineRule="auto"/>
      <w:jc w:val="both"/>
    </w:pPr>
    <w:rPr>
      <w:rFonts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paragraph" w:customStyle="1" w:styleId="doc-ti">
    <w:name w:val="doc-ti"/>
    <w:basedOn w:val="Normal"/>
    <w:pPr>
      <w:spacing w:before="100" w:beforeAutospacing="1" w:after="100" w:afterAutospacing="1" w:line="240" w:lineRule="auto"/>
    </w:pPr>
    <w:rPr>
      <w:rFonts w:eastAsia="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table of figures" w:uiPriority="0"/>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paragraph" w:styleId="Heading1">
    <w:name w:val="heading 1"/>
    <w:basedOn w:val="Normal"/>
    <w:next w:val="Normal"/>
    <w:link w:val="Heading1Char"/>
    <w:qFormat/>
    <w:pPr>
      <w:keepNext/>
      <w:spacing w:before="360" w:after="120" w:line="240" w:lineRule="auto"/>
      <w:jc w:val="both"/>
      <w:outlineLvl w:val="0"/>
    </w:pPr>
    <w:rPr>
      <w:rFonts w:eastAsia="Times New Roman" w:cs="Times New Roman"/>
      <w:b/>
      <w:bCs/>
      <w:kern w:val="32"/>
      <w:sz w:val="32"/>
      <w:szCs w:val="32"/>
    </w:rPr>
  </w:style>
  <w:style w:type="paragraph" w:styleId="Heading2">
    <w:name w:val="heading 2"/>
    <w:basedOn w:val="Normal"/>
    <w:next w:val="Normal"/>
    <w:link w:val="Heading2Char"/>
    <w:qFormat/>
    <w:pPr>
      <w:keepNext/>
      <w:numPr>
        <w:ilvl w:val="1"/>
        <w:numId w:val="35"/>
      </w:numPr>
      <w:spacing w:after="240" w:line="240" w:lineRule="auto"/>
      <w:jc w:val="both"/>
      <w:outlineLvl w:val="1"/>
    </w:pPr>
    <w:rPr>
      <w:rFonts w:eastAsia="Times New Roman" w:cs="Times New Roman"/>
      <w:b/>
      <w:bCs/>
      <w:i/>
      <w:iCs/>
      <w:sz w:val="28"/>
      <w:szCs w:val="28"/>
    </w:rPr>
  </w:style>
  <w:style w:type="paragraph" w:styleId="Heading3">
    <w:name w:val="heading 3"/>
    <w:basedOn w:val="Normal"/>
    <w:next w:val="Normal"/>
    <w:link w:val="Heading3Char"/>
    <w:qFormat/>
    <w:pPr>
      <w:keepNext/>
      <w:numPr>
        <w:ilvl w:val="2"/>
        <w:numId w:val="1"/>
      </w:numPr>
      <w:spacing w:before="120" w:after="120" w:line="240" w:lineRule="auto"/>
      <w:jc w:val="both"/>
      <w:outlineLvl w:val="2"/>
    </w:pPr>
    <w:rPr>
      <w:rFonts w:eastAsia="Times New Roman" w:cs="Times New Roman"/>
      <w:bCs/>
      <w:i/>
      <w:sz w:val="24"/>
      <w:szCs w:val="26"/>
    </w:rPr>
  </w:style>
  <w:style w:type="paragraph" w:styleId="Heading4">
    <w:name w:val="heading 4"/>
    <w:basedOn w:val="Normal"/>
    <w:next w:val="Normal"/>
    <w:link w:val="Heading4Char"/>
    <w:qFormat/>
    <w:pPr>
      <w:keepNext/>
      <w:numPr>
        <w:ilvl w:val="3"/>
        <w:numId w:val="1"/>
      </w:numPr>
      <w:spacing w:before="120" w:after="120" w:line="240" w:lineRule="auto"/>
      <w:jc w:val="both"/>
      <w:outlineLvl w:val="3"/>
    </w:pPr>
    <w:rPr>
      <w:rFonts w:eastAsia="Times New Roman" w:cs="Times New Roman"/>
      <w:bCs/>
      <w:sz w:val="24"/>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mbria" w:eastAsia="Times New Roman"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sz w:val="24"/>
    </w:r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sz w:val="24"/>
    </w:rPr>
  </w:style>
  <w:style w:type="character" w:customStyle="1" w:styleId="HeaderCoverPageChar">
    <w:name w:val="Header Cover Page Char"/>
    <w:basedOn w:val="DefaultParagraphFont"/>
    <w:link w:val="HeaderCoverPage"/>
    <w:rPr>
      <w:rFonts w:ascii="Times New Roman" w:hAnsi="Times New Roman"/>
      <w:sz w:val="24"/>
    </w:rPr>
  </w:style>
  <w:style w:type="character" w:customStyle="1" w:styleId="Heading1Char">
    <w:name w:val="Heading 1 Char"/>
    <w:basedOn w:val="DefaultParagraphFont"/>
    <w:link w:val="Heading1"/>
    <w:rPr>
      <w:rFonts w:ascii="Times New Roman" w:eastAsia="Times New Roman" w:hAnsi="Times New Roman" w:cs="Times New Roman"/>
      <w:b/>
      <w:bCs/>
      <w:kern w:val="32"/>
      <w:sz w:val="32"/>
      <w:szCs w:val="32"/>
    </w:rPr>
  </w:style>
  <w:style w:type="character" w:customStyle="1" w:styleId="Heading2Char">
    <w:name w:val="Heading 2 Char"/>
    <w:basedOn w:val="DefaultParagraphFont"/>
    <w:link w:val="Heading2"/>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Pr>
      <w:rFonts w:ascii="Times New Roman" w:eastAsia="Times New Roman" w:hAnsi="Times New Roman" w:cs="Times New Roman"/>
      <w:bCs/>
      <w:i/>
      <w:sz w:val="24"/>
      <w:szCs w:val="26"/>
    </w:rPr>
  </w:style>
  <w:style w:type="character" w:customStyle="1" w:styleId="Heading4Char">
    <w:name w:val="Heading 4 Char"/>
    <w:basedOn w:val="DefaultParagraphFont"/>
    <w:link w:val="Heading4"/>
    <w:rPr>
      <w:rFonts w:ascii="Times New Roman" w:eastAsia="Times New Roman" w:hAnsi="Times New Roman" w:cs="Times New Roman"/>
      <w:bCs/>
      <w:sz w:val="24"/>
      <w:szCs w:val="28"/>
    </w:rPr>
  </w:style>
  <w:style w:type="character" w:customStyle="1" w:styleId="Heading5Char">
    <w:name w:val="Heading 5 Char"/>
    <w:basedOn w:val="DefaultParagraphFont"/>
    <w:link w:val="Heading5"/>
    <w:uiPriority w:val="9"/>
    <w:semiHidden/>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Pr>
      <w:rFonts w:ascii="Calibri" w:eastAsia="Times New Roman" w:hAnsi="Calibri" w:cs="Times New Roman"/>
      <w:b/>
      <w:bCs/>
    </w:rPr>
  </w:style>
  <w:style w:type="character" w:customStyle="1" w:styleId="Heading7Char">
    <w:name w:val="Heading 7 Char"/>
    <w:basedOn w:val="DefaultParagraphFont"/>
    <w:link w:val="Heading7"/>
    <w:uiPriority w:val="9"/>
    <w:semiHidden/>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Pr>
      <w:rFonts w:ascii="Cambria" w:eastAsia="Times New Roman" w:hAnsi="Cambria" w:cs="Times New Roman"/>
    </w:rPr>
  </w:style>
  <w:style w:type="paragraph" w:styleId="TOC1">
    <w:name w:val="toc 1"/>
    <w:basedOn w:val="Normal"/>
    <w:next w:val="Normal"/>
    <w:autoRedefine/>
    <w:uiPriority w:val="39"/>
    <w:unhideWhenUsed/>
    <w:pPr>
      <w:tabs>
        <w:tab w:val="left" w:pos="440"/>
        <w:tab w:val="right" w:leader="dot" w:pos="9063"/>
      </w:tabs>
    </w:pPr>
    <w:rPr>
      <w:rFonts w:eastAsia="Calibri" w:cs="Times New Roman"/>
      <w:noProof/>
      <w:sz w:val="24"/>
      <w:szCs w:val="24"/>
    </w:rPr>
  </w:style>
  <w:style w:type="paragraph" w:styleId="TOC3">
    <w:name w:val="toc 3"/>
    <w:basedOn w:val="Normal"/>
    <w:next w:val="Normal"/>
    <w:autoRedefine/>
    <w:uiPriority w:val="39"/>
    <w:unhideWhenUsed/>
    <w:pPr>
      <w:ind w:left="440"/>
    </w:pPr>
    <w:rPr>
      <w:rFonts w:ascii="Calibri" w:eastAsia="Calibri" w:hAnsi="Calibri" w:cs="Times New Roman"/>
    </w:rPr>
  </w:style>
  <w:style w:type="paragraph" w:styleId="TOC2">
    <w:name w:val="toc 2"/>
    <w:basedOn w:val="Normal"/>
    <w:next w:val="Normal"/>
    <w:autoRedefine/>
    <w:uiPriority w:val="39"/>
    <w:unhideWhenUsed/>
    <w:pPr>
      <w:tabs>
        <w:tab w:val="left" w:pos="880"/>
        <w:tab w:val="right" w:leader="dot" w:pos="9063"/>
      </w:tabs>
      <w:spacing w:after="100"/>
      <w:ind w:left="142"/>
    </w:pPr>
    <w:rPr>
      <w:rFonts w:eastAsia="Arial Unicode MS" w:cs="Times New Roman"/>
      <w:noProof/>
      <w:sz w:val="24"/>
      <w:szCs w:val="24"/>
      <w:lang w:eastAsia="zh-CN"/>
    </w:rPr>
  </w:style>
  <w:style w:type="paragraph" w:styleId="TOC4">
    <w:name w:val="toc 4"/>
    <w:basedOn w:val="Normal"/>
    <w:next w:val="Normal"/>
    <w:autoRedefine/>
    <w:uiPriority w:val="39"/>
    <w:unhideWhenUsed/>
    <w:pPr>
      <w:spacing w:after="100"/>
      <w:ind w:left="660"/>
    </w:pPr>
    <w:rPr>
      <w:rFonts w:ascii="Calibri" w:eastAsia="Times New Roman" w:hAnsi="Calibri" w:cs="Times New Roman"/>
      <w:lang w:eastAsia="en-GB"/>
    </w:rPr>
  </w:style>
  <w:style w:type="paragraph" w:styleId="TOC5">
    <w:name w:val="toc 5"/>
    <w:basedOn w:val="Normal"/>
    <w:next w:val="Normal"/>
    <w:autoRedefine/>
    <w:uiPriority w:val="39"/>
    <w:unhideWhenUsed/>
    <w:pPr>
      <w:spacing w:after="100"/>
      <w:ind w:left="880"/>
    </w:pPr>
    <w:rPr>
      <w:rFonts w:ascii="Calibri" w:eastAsia="Times New Roman" w:hAnsi="Calibri" w:cs="Times New Roman"/>
      <w:lang w:eastAsia="en-GB"/>
    </w:rPr>
  </w:style>
  <w:style w:type="paragraph" w:styleId="TOC6">
    <w:name w:val="toc 6"/>
    <w:basedOn w:val="Normal"/>
    <w:next w:val="Normal"/>
    <w:autoRedefine/>
    <w:uiPriority w:val="39"/>
    <w:unhideWhenUsed/>
    <w:pPr>
      <w:spacing w:after="100"/>
      <w:ind w:left="1100"/>
    </w:pPr>
    <w:rPr>
      <w:rFonts w:ascii="Calibri" w:eastAsia="Times New Roman" w:hAnsi="Calibri" w:cs="Times New Roman"/>
      <w:lang w:eastAsia="en-GB"/>
    </w:rPr>
  </w:style>
  <w:style w:type="paragraph" w:styleId="TOC7">
    <w:name w:val="toc 7"/>
    <w:basedOn w:val="Normal"/>
    <w:next w:val="Normal"/>
    <w:autoRedefine/>
    <w:uiPriority w:val="39"/>
    <w:unhideWhenUsed/>
    <w:pPr>
      <w:spacing w:after="100"/>
      <w:ind w:left="1320"/>
    </w:pPr>
    <w:rPr>
      <w:rFonts w:ascii="Calibri" w:eastAsia="Times New Roman" w:hAnsi="Calibri" w:cs="Times New Roman"/>
      <w:lang w:eastAsia="en-GB"/>
    </w:rPr>
  </w:style>
  <w:style w:type="paragraph" w:styleId="TOC8">
    <w:name w:val="toc 8"/>
    <w:basedOn w:val="Normal"/>
    <w:next w:val="Normal"/>
    <w:autoRedefine/>
    <w:uiPriority w:val="39"/>
    <w:unhideWhenUsed/>
    <w:pPr>
      <w:spacing w:after="100"/>
      <w:ind w:left="1540"/>
    </w:pPr>
    <w:rPr>
      <w:rFonts w:ascii="Calibri" w:eastAsia="Times New Roman" w:hAnsi="Calibri" w:cs="Times New Roman"/>
      <w:lang w:eastAsia="en-GB"/>
    </w:rPr>
  </w:style>
  <w:style w:type="paragraph" w:styleId="TOC9">
    <w:name w:val="toc 9"/>
    <w:basedOn w:val="Normal"/>
    <w:next w:val="Normal"/>
    <w:autoRedefine/>
    <w:uiPriority w:val="39"/>
    <w:unhideWhenUsed/>
    <w:pPr>
      <w:spacing w:after="100"/>
      <w:ind w:left="1760"/>
    </w:pPr>
    <w:rPr>
      <w:rFonts w:ascii="Calibri" w:eastAsia="Times New Roman" w:hAnsi="Calibri" w:cs="Times New Roman"/>
      <w:lang w:eastAsia="en-GB"/>
    </w:rPr>
  </w:style>
  <w:style w:type="character" w:styleId="Hyperlink">
    <w:name w:val="Hyperlink"/>
    <w:uiPriority w:val="99"/>
    <w:unhideWhenUsed/>
    <w:rPr>
      <w:color w:val="0000FF"/>
      <w:u w:val="single"/>
    </w:rPr>
  </w:style>
  <w:style w:type="paragraph" w:styleId="PlainText">
    <w:name w:val="Plain Text"/>
    <w:basedOn w:val="Normal"/>
    <w:link w:val="PlainTextChar"/>
    <w:pPr>
      <w:spacing w:after="240" w:line="240" w:lineRule="auto"/>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character" w:styleId="FollowedHyperlink">
    <w:name w:val="FollowedHyperlink"/>
    <w:unhideWhenUsed/>
    <w:rPr>
      <w:color w:val="800080"/>
      <w:u w:val="single"/>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nhideWhenUsed/>
    <w:rPr>
      <w:rFonts w:ascii="Calibri" w:eastAsia="Calibri" w:hAnsi="Calibri" w:cs="Times New Roman"/>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Calibri" w:eastAsia="Calibri" w:hAnsi="Calibri" w:cs="Times New Roman"/>
      <w:b/>
      <w:bCs/>
      <w:sz w:val="20"/>
      <w:szCs w:val="20"/>
    </w:rPr>
  </w:style>
  <w:style w:type="paragraph" w:styleId="BalloonText">
    <w:name w:val="Balloon Text"/>
    <w:basedOn w:val="Normal"/>
    <w:link w:val="BalloonTextChar"/>
    <w:uiPriority w:val="99"/>
    <w:unhideWhenUsed/>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rPr>
  </w:style>
  <w:style w:type="paragraph" w:styleId="FootnoteText">
    <w:name w:val="footnote text"/>
    <w:basedOn w:val="Normal"/>
    <w:semiHidden/>
    <w:unhideWhenUsed/>
    <w:rPr>
      <w:rFonts w:ascii="Calibri" w:eastAsia="Calibri" w:hAnsi="Calibri" w:cs="Times New Roman"/>
      <w:sz w:val="20"/>
      <w:szCs w:val="20"/>
    </w:rPr>
  </w:style>
  <w:style w:type="character" w:customStyle="1" w:styleId="FootnoteTextChar">
    <w:name w:val="Footnote Text Char"/>
    <w:basedOn w:val="DefaultParagraphFont"/>
    <w:semiHidden/>
    <w:rPr>
      <w:rFonts w:ascii="Calibri" w:eastAsia="Calibri" w:hAnsi="Calibri" w:cs="Times New Roman"/>
      <w:sz w:val="20"/>
      <w:szCs w:val="20"/>
    </w:rPr>
  </w:style>
  <w:style w:type="character" w:styleId="FootnoteReference">
    <w:name w:val="footnote reference"/>
    <w:aliases w:val="Footnote symbol,Footnote,Voetnootverwijzing,Times 10 Point,Exposant 3 Point,Appel note de bas de p,BVI fnr,Footnote Refernece,Fußnotenzeichen_Raxen,callout,Footnote Reference Number,SUPERS,Footnote reference number,note TESI,fr,o"/>
    <w:unhideWhenUsed/>
    <w:rPr>
      <w:vertAlign w:val="superscript"/>
    </w:rPr>
  </w:style>
  <w:style w:type="paragraph" w:customStyle="1" w:styleId="HeaderLandscape">
    <w:name w:val="HeaderLandscape"/>
    <w:basedOn w:val="Normal"/>
    <w:pPr>
      <w:tabs>
        <w:tab w:val="center" w:pos="7285"/>
        <w:tab w:val="right" w:pos="14003"/>
      </w:tabs>
      <w:spacing w:after="120" w:line="240" w:lineRule="auto"/>
      <w:jc w:val="both"/>
    </w:pPr>
    <w:rPr>
      <w:rFonts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cs="Times New Roman"/>
      <w:sz w:val="24"/>
    </w:rPr>
  </w:style>
  <w:style w:type="paragraph" w:customStyle="1" w:styleId="Text1">
    <w:name w:val="Text 1"/>
    <w:basedOn w:val="Normal"/>
    <w:pPr>
      <w:spacing w:before="120" w:after="120" w:line="240" w:lineRule="auto"/>
      <w:ind w:left="850"/>
      <w:jc w:val="both"/>
    </w:pPr>
    <w:rPr>
      <w:rFonts w:eastAsia="Times New Roman" w:cs="Times New Roman"/>
      <w:sz w:val="24"/>
      <w:szCs w:val="24"/>
    </w:rPr>
  </w:style>
  <w:style w:type="paragraph" w:customStyle="1" w:styleId="Text2">
    <w:name w:val="Text 2"/>
    <w:basedOn w:val="Normal"/>
    <w:pPr>
      <w:spacing w:before="120" w:after="120" w:line="240" w:lineRule="auto"/>
      <w:ind w:left="1417"/>
      <w:jc w:val="both"/>
    </w:pPr>
    <w:rPr>
      <w:rFonts w:eastAsia="Times New Roman" w:cs="Times New Roman"/>
      <w:sz w:val="24"/>
      <w:szCs w:val="24"/>
    </w:rPr>
  </w:style>
  <w:style w:type="paragraph" w:customStyle="1" w:styleId="Text3">
    <w:name w:val="Text 3"/>
    <w:basedOn w:val="Normal"/>
    <w:pPr>
      <w:spacing w:before="120" w:after="120" w:line="240" w:lineRule="auto"/>
      <w:ind w:left="1984"/>
      <w:jc w:val="both"/>
    </w:pPr>
    <w:rPr>
      <w:rFonts w:eastAsia="Times New Roman" w:cs="Times New Roman"/>
      <w:sz w:val="24"/>
      <w:szCs w:val="24"/>
    </w:rPr>
  </w:style>
  <w:style w:type="paragraph" w:customStyle="1" w:styleId="Text4">
    <w:name w:val="Text 4"/>
    <w:basedOn w:val="Normal"/>
    <w:pPr>
      <w:spacing w:before="120" w:after="120" w:line="240" w:lineRule="auto"/>
      <w:ind w:left="2551"/>
      <w:jc w:val="both"/>
    </w:pPr>
    <w:rPr>
      <w:rFonts w:eastAsia="Times New Roman" w:cs="Times New Roman"/>
      <w:sz w:val="24"/>
      <w:szCs w:val="24"/>
    </w:rPr>
  </w:style>
  <w:style w:type="paragraph" w:customStyle="1" w:styleId="NormalCentered">
    <w:name w:val="Normal Centered"/>
    <w:basedOn w:val="Normal"/>
    <w:pPr>
      <w:spacing w:before="120" w:after="120" w:line="240" w:lineRule="auto"/>
      <w:jc w:val="center"/>
    </w:pPr>
    <w:rPr>
      <w:rFonts w:eastAsia="Times New Roman" w:cs="Times New Roman"/>
      <w:sz w:val="24"/>
      <w:szCs w:val="24"/>
    </w:rPr>
  </w:style>
  <w:style w:type="paragraph" w:customStyle="1" w:styleId="NormalLeft">
    <w:name w:val="Normal Left"/>
    <w:basedOn w:val="Normal"/>
    <w:pPr>
      <w:spacing w:before="120" w:after="120" w:line="240" w:lineRule="auto"/>
    </w:pPr>
    <w:rPr>
      <w:rFonts w:eastAsia="Times New Roman" w:cs="Times New Roman"/>
      <w:sz w:val="24"/>
      <w:szCs w:val="24"/>
    </w:rPr>
  </w:style>
  <w:style w:type="paragraph" w:customStyle="1" w:styleId="NormalRight">
    <w:name w:val="Normal Right"/>
    <w:basedOn w:val="Normal"/>
    <w:pPr>
      <w:spacing w:before="120" w:after="120" w:line="240" w:lineRule="auto"/>
      <w:jc w:val="right"/>
    </w:pPr>
    <w:rPr>
      <w:rFonts w:eastAsia="Times New Roman" w:cs="Times New Roman"/>
      <w:sz w:val="24"/>
      <w:szCs w:val="24"/>
    </w:rPr>
  </w:style>
  <w:style w:type="paragraph" w:customStyle="1" w:styleId="QuotedText">
    <w:name w:val="Quoted Text"/>
    <w:basedOn w:val="Normal"/>
    <w:pPr>
      <w:spacing w:before="120" w:after="120" w:line="240" w:lineRule="auto"/>
      <w:ind w:left="1417"/>
      <w:jc w:val="both"/>
    </w:pPr>
    <w:rPr>
      <w:rFonts w:eastAsia="Times New Roman" w:cs="Times New Roman"/>
      <w:sz w:val="24"/>
      <w:szCs w:val="24"/>
    </w:rPr>
  </w:style>
  <w:style w:type="paragraph" w:customStyle="1" w:styleId="Point0">
    <w:name w:val="Point 0"/>
    <w:basedOn w:val="Normal"/>
    <w:pPr>
      <w:spacing w:before="120" w:after="120" w:line="240" w:lineRule="auto"/>
      <w:ind w:left="850" w:hanging="850"/>
      <w:jc w:val="both"/>
    </w:pPr>
    <w:rPr>
      <w:rFonts w:eastAsia="Times New Roman" w:cs="Times New Roman"/>
      <w:sz w:val="24"/>
      <w:szCs w:val="24"/>
    </w:rPr>
  </w:style>
  <w:style w:type="paragraph" w:customStyle="1" w:styleId="Point1">
    <w:name w:val="Point 1"/>
    <w:basedOn w:val="Normal"/>
    <w:pPr>
      <w:spacing w:before="120" w:after="120" w:line="240" w:lineRule="auto"/>
      <w:ind w:left="1417" w:hanging="567"/>
      <w:jc w:val="both"/>
    </w:pPr>
    <w:rPr>
      <w:rFonts w:eastAsia="Times New Roman" w:cs="Times New Roman"/>
      <w:sz w:val="24"/>
      <w:szCs w:val="24"/>
    </w:rPr>
  </w:style>
  <w:style w:type="paragraph" w:customStyle="1" w:styleId="Point2">
    <w:name w:val="Point 2"/>
    <w:basedOn w:val="Normal"/>
    <w:pPr>
      <w:spacing w:before="120" w:after="120" w:line="240" w:lineRule="auto"/>
      <w:ind w:left="1984" w:hanging="567"/>
      <w:jc w:val="both"/>
    </w:pPr>
    <w:rPr>
      <w:rFonts w:eastAsia="Times New Roman" w:cs="Times New Roman"/>
      <w:sz w:val="24"/>
      <w:szCs w:val="24"/>
    </w:rPr>
  </w:style>
  <w:style w:type="paragraph" w:customStyle="1" w:styleId="Point3">
    <w:name w:val="Point 3"/>
    <w:basedOn w:val="Normal"/>
    <w:pPr>
      <w:spacing w:before="120" w:after="120" w:line="240" w:lineRule="auto"/>
      <w:ind w:left="2551" w:hanging="567"/>
      <w:jc w:val="both"/>
    </w:pPr>
    <w:rPr>
      <w:rFonts w:eastAsia="Times New Roman" w:cs="Times New Roman"/>
      <w:sz w:val="24"/>
      <w:szCs w:val="24"/>
    </w:rPr>
  </w:style>
  <w:style w:type="paragraph" w:customStyle="1" w:styleId="Point4">
    <w:name w:val="Point 4"/>
    <w:basedOn w:val="Normal"/>
    <w:pPr>
      <w:spacing w:before="120" w:after="120" w:line="240" w:lineRule="auto"/>
      <w:ind w:left="3118" w:hanging="567"/>
      <w:jc w:val="both"/>
    </w:pPr>
    <w:rPr>
      <w:rFonts w:eastAsia="Times New Roman" w:cs="Times New Roman"/>
      <w:sz w:val="24"/>
      <w:szCs w:val="24"/>
    </w:rPr>
  </w:style>
  <w:style w:type="paragraph" w:customStyle="1" w:styleId="Tiret0">
    <w:name w:val="Tiret 0"/>
    <w:basedOn w:val="Point0"/>
    <w:pPr>
      <w:numPr>
        <w:numId w:val="2"/>
      </w:numPr>
    </w:pPr>
  </w:style>
  <w:style w:type="paragraph" w:customStyle="1" w:styleId="Tiret1">
    <w:name w:val="Tiret 1"/>
    <w:basedOn w:val="Point1"/>
    <w:pPr>
      <w:numPr>
        <w:numId w:val="3"/>
      </w:numPr>
    </w:pPr>
  </w:style>
  <w:style w:type="paragraph" w:customStyle="1" w:styleId="Tiret2">
    <w:name w:val="Tiret 2"/>
    <w:basedOn w:val="Point2"/>
    <w:pPr>
      <w:numPr>
        <w:numId w:val="4"/>
      </w:numPr>
    </w:pPr>
  </w:style>
  <w:style w:type="paragraph" w:customStyle="1" w:styleId="Tiret3">
    <w:name w:val="Tiret 3"/>
    <w:basedOn w:val="Point3"/>
    <w:pPr>
      <w:numPr>
        <w:numId w:val="5"/>
      </w:numPr>
    </w:pPr>
  </w:style>
  <w:style w:type="paragraph" w:customStyle="1" w:styleId="Tiret4">
    <w:name w:val="Tiret 4"/>
    <w:basedOn w:val="Point4"/>
    <w:pPr>
      <w:numPr>
        <w:numId w:val="6"/>
      </w:numPr>
    </w:pPr>
  </w:style>
  <w:style w:type="paragraph" w:customStyle="1" w:styleId="PointDouble0">
    <w:name w:val="PointDouble 0"/>
    <w:basedOn w:val="Normal"/>
    <w:pPr>
      <w:tabs>
        <w:tab w:val="left" w:pos="850"/>
      </w:tabs>
      <w:spacing w:before="120" w:after="120" w:line="240" w:lineRule="auto"/>
      <w:ind w:left="1417" w:hanging="1417"/>
      <w:jc w:val="both"/>
    </w:pPr>
    <w:rPr>
      <w:rFonts w:eastAsia="Times New Roman" w:cs="Times New Roman"/>
      <w:sz w:val="24"/>
      <w:szCs w:val="24"/>
    </w:rPr>
  </w:style>
  <w:style w:type="paragraph" w:customStyle="1" w:styleId="PointDouble1">
    <w:name w:val="PointDouble 1"/>
    <w:basedOn w:val="Normal"/>
    <w:pPr>
      <w:tabs>
        <w:tab w:val="left" w:pos="1417"/>
      </w:tabs>
      <w:spacing w:before="120" w:after="120" w:line="240" w:lineRule="auto"/>
      <w:ind w:left="1984" w:hanging="1134"/>
      <w:jc w:val="both"/>
    </w:pPr>
    <w:rPr>
      <w:rFonts w:eastAsia="Times New Roman" w:cs="Times New Roman"/>
      <w:sz w:val="24"/>
      <w:szCs w:val="24"/>
    </w:rPr>
  </w:style>
  <w:style w:type="paragraph" w:customStyle="1" w:styleId="PointDouble2">
    <w:name w:val="PointDouble 2"/>
    <w:basedOn w:val="Normal"/>
    <w:pPr>
      <w:tabs>
        <w:tab w:val="left" w:pos="1984"/>
      </w:tabs>
      <w:spacing w:before="120" w:after="120" w:line="240" w:lineRule="auto"/>
      <w:ind w:left="2551" w:hanging="1134"/>
      <w:jc w:val="both"/>
    </w:pPr>
    <w:rPr>
      <w:rFonts w:eastAsia="Times New Roman" w:cs="Times New Roman"/>
      <w:sz w:val="24"/>
      <w:szCs w:val="24"/>
    </w:rPr>
  </w:style>
  <w:style w:type="paragraph" w:customStyle="1" w:styleId="PointDouble3">
    <w:name w:val="PointDouble 3"/>
    <w:basedOn w:val="Normal"/>
    <w:pPr>
      <w:tabs>
        <w:tab w:val="left" w:pos="2551"/>
      </w:tabs>
      <w:spacing w:before="120" w:after="120" w:line="240" w:lineRule="auto"/>
      <w:ind w:left="3118" w:hanging="1134"/>
      <w:jc w:val="both"/>
    </w:pPr>
    <w:rPr>
      <w:rFonts w:eastAsia="Times New Roman" w:cs="Times New Roman"/>
      <w:sz w:val="24"/>
      <w:szCs w:val="24"/>
    </w:rPr>
  </w:style>
  <w:style w:type="paragraph" w:customStyle="1" w:styleId="PointDouble4">
    <w:name w:val="PointDouble 4"/>
    <w:basedOn w:val="Normal"/>
    <w:pPr>
      <w:tabs>
        <w:tab w:val="left" w:pos="3118"/>
      </w:tabs>
      <w:spacing w:before="120" w:after="120" w:line="240" w:lineRule="auto"/>
      <w:ind w:left="3685" w:hanging="1134"/>
      <w:jc w:val="both"/>
    </w:pPr>
    <w:rPr>
      <w:rFonts w:eastAsia="Times New Roman" w:cs="Times New Roman"/>
      <w:sz w:val="24"/>
      <w:szCs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eastAsia="Times New Roman" w:cs="Times New Roman"/>
      <w:sz w:val="24"/>
      <w:szCs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eastAsia="Times New Roman" w:cs="Times New Roman"/>
      <w:sz w:val="24"/>
      <w:szCs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eastAsia="Times New Roman" w:cs="Times New Roman"/>
      <w:sz w:val="24"/>
      <w:szCs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eastAsia="Times New Roman" w:cs="Times New Roman"/>
      <w:sz w:val="24"/>
      <w:szCs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eastAsia="Times New Roman" w:cs="Times New Roman"/>
      <w:sz w:val="24"/>
      <w:szCs w:val="24"/>
    </w:rPr>
  </w:style>
  <w:style w:type="paragraph" w:customStyle="1" w:styleId="NumPar1">
    <w:name w:val="NumPar 1"/>
    <w:basedOn w:val="Normal"/>
    <w:next w:val="Text1"/>
    <w:pPr>
      <w:numPr>
        <w:numId w:val="7"/>
      </w:numPr>
      <w:spacing w:before="120" w:after="120" w:line="240" w:lineRule="auto"/>
      <w:jc w:val="both"/>
    </w:pPr>
    <w:rPr>
      <w:rFonts w:eastAsia="Times New Roman" w:cs="Times New Roman"/>
      <w:sz w:val="24"/>
      <w:szCs w:val="24"/>
    </w:rPr>
  </w:style>
  <w:style w:type="paragraph" w:customStyle="1" w:styleId="NumPar2">
    <w:name w:val="NumPar 2"/>
    <w:basedOn w:val="Normal"/>
    <w:next w:val="Text1"/>
    <w:pPr>
      <w:numPr>
        <w:ilvl w:val="1"/>
        <w:numId w:val="7"/>
      </w:numPr>
      <w:spacing w:before="120" w:after="120" w:line="240" w:lineRule="auto"/>
      <w:jc w:val="both"/>
    </w:pPr>
    <w:rPr>
      <w:rFonts w:eastAsia="Times New Roman" w:cs="Times New Roman"/>
      <w:sz w:val="24"/>
      <w:szCs w:val="24"/>
    </w:rPr>
  </w:style>
  <w:style w:type="paragraph" w:customStyle="1" w:styleId="NumPar3">
    <w:name w:val="NumPar 3"/>
    <w:basedOn w:val="Normal"/>
    <w:next w:val="Text1"/>
    <w:pPr>
      <w:numPr>
        <w:ilvl w:val="2"/>
        <w:numId w:val="7"/>
      </w:numPr>
      <w:spacing w:before="120" w:after="120" w:line="240" w:lineRule="auto"/>
      <w:jc w:val="both"/>
    </w:pPr>
    <w:rPr>
      <w:rFonts w:eastAsia="Times New Roman" w:cs="Times New Roman"/>
      <w:sz w:val="24"/>
      <w:szCs w:val="24"/>
    </w:rPr>
  </w:style>
  <w:style w:type="paragraph" w:customStyle="1" w:styleId="NumPar4">
    <w:name w:val="NumPar 4"/>
    <w:basedOn w:val="Normal"/>
    <w:next w:val="Text1"/>
    <w:pPr>
      <w:numPr>
        <w:ilvl w:val="3"/>
        <w:numId w:val="7"/>
      </w:numPr>
      <w:spacing w:before="120" w:after="120" w:line="240" w:lineRule="auto"/>
      <w:jc w:val="both"/>
    </w:pPr>
    <w:rPr>
      <w:rFonts w:eastAsia="Times New Roman" w:cs="Times New Roman"/>
      <w:sz w:val="24"/>
      <w:szCs w:val="24"/>
    </w:rPr>
  </w:style>
  <w:style w:type="paragraph" w:customStyle="1" w:styleId="ManualNumPar1">
    <w:name w:val="Manual NumPar 1"/>
    <w:basedOn w:val="Normal"/>
    <w:next w:val="Text1"/>
    <w:pPr>
      <w:spacing w:before="120" w:after="120" w:line="240" w:lineRule="auto"/>
      <w:ind w:left="850" w:hanging="850"/>
      <w:jc w:val="both"/>
    </w:pPr>
    <w:rPr>
      <w:rFonts w:eastAsia="Times New Roman" w:cs="Times New Roman"/>
      <w:sz w:val="24"/>
      <w:szCs w:val="24"/>
    </w:rPr>
  </w:style>
  <w:style w:type="paragraph" w:customStyle="1" w:styleId="ManualNumPar2">
    <w:name w:val="Manual NumPar 2"/>
    <w:basedOn w:val="Normal"/>
    <w:next w:val="Text1"/>
    <w:pPr>
      <w:spacing w:before="120" w:after="120" w:line="240" w:lineRule="auto"/>
      <w:ind w:left="850" w:hanging="850"/>
      <w:jc w:val="both"/>
    </w:pPr>
    <w:rPr>
      <w:rFonts w:eastAsia="Times New Roman" w:cs="Times New Roman"/>
      <w:sz w:val="24"/>
      <w:szCs w:val="24"/>
    </w:rPr>
  </w:style>
  <w:style w:type="paragraph" w:customStyle="1" w:styleId="ManualNumPar3">
    <w:name w:val="Manual NumPar 3"/>
    <w:basedOn w:val="Normal"/>
    <w:next w:val="Text1"/>
    <w:pPr>
      <w:spacing w:before="120" w:after="120" w:line="240" w:lineRule="auto"/>
      <w:ind w:left="850" w:hanging="850"/>
      <w:jc w:val="both"/>
    </w:pPr>
    <w:rPr>
      <w:rFonts w:eastAsia="Times New Roman" w:cs="Times New Roman"/>
      <w:sz w:val="24"/>
      <w:szCs w:val="24"/>
    </w:rPr>
  </w:style>
  <w:style w:type="paragraph" w:customStyle="1" w:styleId="ManualNumPar4">
    <w:name w:val="Manual NumPar 4"/>
    <w:basedOn w:val="Normal"/>
    <w:next w:val="Text1"/>
    <w:pPr>
      <w:spacing w:before="120" w:after="120" w:line="240" w:lineRule="auto"/>
      <w:ind w:left="850" w:hanging="850"/>
      <w:jc w:val="both"/>
    </w:pPr>
    <w:rPr>
      <w:rFonts w:eastAsia="Times New Roman" w:cs="Times New Roman"/>
      <w:sz w:val="24"/>
      <w:szCs w:val="24"/>
    </w:rPr>
  </w:style>
  <w:style w:type="paragraph" w:customStyle="1" w:styleId="QuotedNumPar">
    <w:name w:val="Quoted NumPar"/>
    <w:basedOn w:val="Normal"/>
    <w:pPr>
      <w:spacing w:before="120" w:after="120" w:line="240" w:lineRule="auto"/>
      <w:ind w:left="1417" w:hanging="567"/>
      <w:jc w:val="both"/>
    </w:pPr>
    <w:rPr>
      <w:rFonts w:eastAsia="Times New Roman" w:cs="Times New Roman"/>
      <w:sz w:val="24"/>
      <w:szCs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eastAsia="Times New Roman" w:cs="Times New Roman"/>
      <w:b/>
      <w:smallCaps/>
      <w:sz w:val="24"/>
      <w:szCs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eastAsia="Times New Roman" w:cs="Times New Roman"/>
      <w:b/>
      <w:sz w:val="24"/>
      <w:szCs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eastAsia="Times New Roman" w:cs="Times New Roman"/>
      <w:i/>
      <w:sz w:val="24"/>
      <w:szCs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eastAsia="Times New Roman" w:cs="Times New Roman"/>
      <w:sz w:val="24"/>
      <w:szCs w:val="24"/>
    </w:rPr>
  </w:style>
  <w:style w:type="paragraph" w:customStyle="1" w:styleId="ChapterTitle">
    <w:name w:val="ChapterTitle"/>
    <w:basedOn w:val="Normal"/>
    <w:next w:val="Normal"/>
    <w:pPr>
      <w:keepNext/>
      <w:spacing w:before="120" w:after="360" w:line="240" w:lineRule="auto"/>
      <w:jc w:val="center"/>
    </w:pPr>
    <w:rPr>
      <w:rFonts w:eastAsia="Times New Roman" w:cs="Times New Roman"/>
      <w:b/>
      <w:sz w:val="32"/>
      <w:szCs w:val="24"/>
    </w:rPr>
  </w:style>
  <w:style w:type="paragraph" w:customStyle="1" w:styleId="PartTitle">
    <w:name w:val="PartTitle"/>
    <w:basedOn w:val="Normal"/>
    <w:next w:val="ChapterTitle"/>
    <w:pPr>
      <w:keepNext/>
      <w:pageBreakBefore/>
      <w:spacing w:before="120" w:after="360" w:line="240" w:lineRule="auto"/>
      <w:jc w:val="center"/>
    </w:pPr>
    <w:rPr>
      <w:rFonts w:eastAsia="Times New Roman" w:cs="Times New Roman"/>
      <w:b/>
      <w:sz w:val="36"/>
      <w:szCs w:val="24"/>
    </w:rPr>
  </w:style>
  <w:style w:type="paragraph" w:customStyle="1" w:styleId="SectionTitle">
    <w:name w:val="SectionTitle"/>
    <w:basedOn w:val="Normal"/>
    <w:next w:val="Heading1"/>
    <w:pPr>
      <w:keepNext/>
      <w:spacing w:before="120" w:after="360" w:line="240" w:lineRule="auto"/>
      <w:jc w:val="center"/>
    </w:pPr>
    <w:rPr>
      <w:rFonts w:eastAsia="Times New Roman" w:cs="Times New Roman"/>
      <w:b/>
      <w:smallCaps/>
      <w:sz w:val="28"/>
      <w:szCs w:val="24"/>
    </w:rPr>
  </w:style>
  <w:style w:type="paragraph" w:customStyle="1" w:styleId="TableTitle">
    <w:name w:val="Table Title"/>
    <w:basedOn w:val="Normal"/>
    <w:next w:val="Normal"/>
    <w:pPr>
      <w:spacing w:before="120" w:after="120" w:line="240" w:lineRule="auto"/>
      <w:jc w:val="center"/>
    </w:pPr>
    <w:rPr>
      <w:rFonts w:eastAsia="Times New Roman" w:cs="Times New Roman"/>
      <w:b/>
      <w:sz w:val="24"/>
      <w:szCs w:val="24"/>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styleId="TOCHeading">
    <w:name w:val="TOC Heading"/>
    <w:basedOn w:val="Normal"/>
    <w:next w:val="Normal"/>
    <w:uiPriority w:val="39"/>
    <w:qFormat/>
    <w:pPr>
      <w:spacing w:before="120" w:after="240" w:line="240" w:lineRule="auto"/>
    </w:pPr>
    <w:rPr>
      <w:rFonts w:eastAsia="Times New Roman" w:cs="Times New Roman"/>
      <w:b/>
      <w:sz w:val="28"/>
      <w:szCs w:val="24"/>
    </w:rPr>
  </w:style>
  <w:style w:type="paragraph" w:customStyle="1" w:styleId="Point0number">
    <w:name w:val="Point 0 (number)"/>
    <w:basedOn w:val="Normal"/>
    <w:pPr>
      <w:numPr>
        <w:numId w:val="20"/>
      </w:numPr>
      <w:spacing w:before="120" w:after="120" w:line="240" w:lineRule="auto"/>
      <w:jc w:val="both"/>
    </w:pPr>
    <w:rPr>
      <w:rFonts w:eastAsia="Times New Roman" w:cs="Times New Roman"/>
      <w:sz w:val="24"/>
      <w:szCs w:val="24"/>
    </w:rPr>
  </w:style>
  <w:style w:type="paragraph" w:customStyle="1" w:styleId="Point1number">
    <w:name w:val="Point 1 (number)"/>
    <w:basedOn w:val="Normal"/>
    <w:pPr>
      <w:numPr>
        <w:ilvl w:val="2"/>
        <w:numId w:val="20"/>
      </w:numPr>
      <w:spacing w:before="120" w:after="120" w:line="240" w:lineRule="auto"/>
      <w:jc w:val="both"/>
    </w:pPr>
    <w:rPr>
      <w:rFonts w:eastAsia="Times New Roman" w:cs="Times New Roman"/>
      <w:sz w:val="24"/>
      <w:szCs w:val="24"/>
    </w:rPr>
  </w:style>
  <w:style w:type="paragraph" w:customStyle="1" w:styleId="Point2number">
    <w:name w:val="Point 2 (number)"/>
    <w:basedOn w:val="Normal"/>
    <w:pPr>
      <w:numPr>
        <w:ilvl w:val="4"/>
        <w:numId w:val="20"/>
      </w:numPr>
      <w:spacing w:before="120" w:after="120" w:line="240" w:lineRule="auto"/>
      <w:jc w:val="both"/>
    </w:pPr>
    <w:rPr>
      <w:rFonts w:eastAsia="Times New Roman" w:cs="Times New Roman"/>
      <w:sz w:val="24"/>
      <w:szCs w:val="24"/>
    </w:rPr>
  </w:style>
  <w:style w:type="paragraph" w:customStyle="1" w:styleId="Point3number">
    <w:name w:val="Point 3 (number)"/>
    <w:basedOn w:val="Normal"/>
    <w:pPr>
      <w:numPr>
        <w:ilvl w:val="6"/>
        <w:numId w:val="20"/>
      </w:numPr>
      <w:spacing w:before="120" w:after="120" w:line="240" w:lineRule="auto"/>
      <w:jc w:val="both"/>
    </w:pPr>
    <w:rPr>
      <w:rFonts w:eastAsia="Times New Roman" w:cs="Times New Roman"/>
      <w:sz w:val="24"/>
      <w:szCs w:val="24"/>
    </w:rPr>
  </w:style>
  <w:style w:type="paragraph" w:customStyle="1" w:styleId="Point0letter">
    <w:name w:val="Point 0 (letter)"/>
    <w:basedOn w:val="Normal"/>
    <w:pPr>
      <w:numPr>
        <w:ilvl w:val="1"/>
        <w:numId w:val="20"/>
      </w:numPr>
      <w:spacing w:before="120" w:after="120" w:line="240" w:lineRule="auto"/>
      <w:jc w:val="both"/>
    </w:pPr>
    <w:rPr>
      <w:rFonts w:eastAsia="Times New Roman" w:cs="Times New Roman"/>
      <w:sz w:val="24"/>
      <w:szCs w:val="24"/>
    </w:rPr>
  </w:style>
  <w:style w:type="paragraph" w:customStyle="1" w:styleId="Point1letter">
    <w:name w:val="Point 1 (letter)"/>
    <w:basedOn w:val="Normal"/>
    <w:pPr>
      <w:numPr>
        <w:ilvl w:val="3"/>
        <w:numId w:val="20"/>
      </w:numPr>
      <w:spacing w:before="120" w:after="120" w:line="240" w:lineRule="auto"/>
      <w:jc w:val="both"/>
    </w:pPr>
    <w:rPr>
      <w:rFonts w:eastAsia="Times New Roman" w:cs="Times New Roman"/>
      <w:sz w:val="24"/>
      <w:szCs w:val="24"/>
    </w:rPr>
  </w:style>
  <w:style w:type="paragraph" w:customStyle="1" w:styleId="Point2letter">
    <w:name w:val="Point 2 (letter)"/>
    <w:basedOn w:val="Normal"/>
    <w:pPr>
      <w:numPr>
        <w:ilvl w:val="5"/>
        <w:numId w:val="20"/>
      </w:numPr>
      <w:spacing w:before="120" w:after="120" w:line="240" w:lineRule="auto"/>
      <w:jc w:val="both"/>
    </w:pPr>
    <w:rPr>
      <w:rFonts w:eastAsia="Times New Roman" w:cs="Times New Roman"/>
      <w:sz w:val="24"/>
      <w:szCs w:val="24"/>
    </w:rPr>
  </w:style>
  <w:style w:type="paragraph" w:customStyle="1" w:styleId="Point3letter">
    <w:name w:val="Point 3 (letter)"/>
    <w:basedOn w:val="Normal"/>
    <w:pPr>
      <w:numPr>
        <w:ilvl w:val="7"/>
        <w:numId w:val="20"/>
      </w:numPr>
      <w:spacing w:before="120" w:after="120" w:line="240" w:lineRule="auto"/>
      <w:jc w:val="both"/>
    </w:pPr>
    <w:rPr>
      <w:rFonts w:eastAsia="Times New Roman" w:cs="Times New Roman"/>
      <w:sz w:val="24"/>
      <w:szCs w:val="24"/>
    </w:rPr>
  </w:style>
  <w:style w:type="paragraph" w:customStyle="1" w:styleId="Point4letter">
    <w:name w:val="Point 4 (letter)"/>
    <w:basedOn w:val="Normal"/>
    <w:pPr>
      <w:numPr>
        <w:ilvl w:val="8"/>
        <w:numId w:val="20"/>
      </w:numPr>
      <w:spacing w:before="120" w:after="120" w:line="240" w:lineRule="auto"/>
      <w:jc w:val="both"/>
    </w:pPr>
    <w:rPr>
      <w:rFonts w:eastAsia="Times New Roman" w:cs="Times New Roman"/>
      <w:sz w:val="24"/>
      <w:szCs w:val="24"/>
    </w:rPr>
  </w:style>
  <w:style w:type="paragraph" w:customStyle="1" w:styleId="Bullet0">
    <w:name w:val="Bullet 0"/>
    <w:basedOn w:val="Normal"/>
    <w:pPr>
      <w:numPr>
        <w:numId w:val="8"/>
      </w:numPr>
      <w:spacing w:before="120" w:after="120" w:line="240" w:lineRule="auto"/>
      <w:jc w:val="both"/>
    </w:pPr>
    <w:rPr>
      <w:rFonts w:eastAsia="Times New Roman" w:cs="Times New Roman"/>
      <w:sz w:val="24"/>
      <w:szCs w:val="24"/>
    </w:rPr>
  </w:style>
  <w:style w:type="paragraph" w:customStyle="1" w:styleId="Bullet1">
    <w:name w:val="Bullet 1"/>
    <w:basedOn w:val="Normal"/>
    <w:pPr>
      <w:numPr>
        <w:numId w:val="9"/>
      </w:numPr>
      <w:spacing w:before="120" w:after="120" w:line="240" w:lineRule="auto"/>
      <w:jc w:val="both"/>
    </w:pPr>
    <w:rPr>
      <w:rFonts w:eastAsia="Times New Roman" w:cs="Times New Roman"/>
      <w:sz w:val="24"/>
      <w:szCs w:val="24"/>
    </w:rPr>
  </w:style>
  <w:style w:type="paragraph" w:customStyle="1" w:styleId="Bullet2">
    <w:name w:val="Bullet 2"/>
    <w:basedOn w:val="Normal"/>
    <w:pPr>
      <w:numPr>
        <w:numId w:val="10"/>
      </w:numPr>
      <w:spacing w:before="120" w:after="120" w:line="240" w:lineRule="auto"/>
      <w:jc w:val="both"/>
    </w:pPr>
    <w:rPr>
      <w:rFonts w:eastAsia="Times New Roman" w:cs="Times New Roman"/>
      <w:sz w:val="24"/>
      <w:szCs w:val="24"/>
    </w:rPr>
  </w:style>
  <w:style w:type="paragraph" w:customStyle="1" w:styleId="Bullet3">
    <w:name w:val="Bullet 3"/>
    <w:basedOn w:val="Normal"/>
    <w:pPr>
      <w:numPr>
        <w:numId w:val="11"/>
      </w:numPr>
      <w:spacing w:before="120" w:after="120" w:line="240" w:lineRule="auto"/>
      <w:jc w:val="both"/>
    </w:pPr>
    <w:rPr>
      <w:rFonts w:eastAsia="Times New Roman" w:cs="Times New Roman"/>
      <w:sz w:val="24"/>
      <w:szCs w:val="24"/>
    </w:rPr>
  </w:style>
  <w:style w:type="paragraph" w:customStyle="1" w:styleId="Bullet4">
    <w:name w:val="Bullet 4"/>
    <w:basedOn w:val="Normal"/>
    <w:pPr>
      <w:numPr>
        <w:numId w:val="12"/>
      </w:numPr>
      <w:spacing w:before="120" w:after="120" w:line="240" w:lineRule="auto"/>
      <w:jc w:val="both"/>
    </w:pPr>
    <w:rPr>
      <w:rFonts w:eastAsia="Times New Roman" w:cs="Times New Roman"/>
      <w:sz w:val="24"/>
      <w:szCs w:val="24"/>
    </w:rPr>
  </w:style>
  <w:style w:type="paragraph" w:customStyle="1" w:styleId="Annexetitreexpos">
    <w:name w:val="Annexe titre (exposé)"/>
    <w:basedOn w:val="Normal"/>
    <w:next w:val="Normal"/>
    <w:pPr>
      <w:spacing w:before="120" w:after="120" w:line="240" w:lineRule="auto"/>
      <w:jc w:val="center"/>
    </w:pPr>
    <w:rPr>
      <w:rFonts w:eastAsia="Times New Roman" w:cs="Times New Roman"/>
      <w:b/>
      <w:sz w:val="24"/>
      <w:szCs w:val="24"/>
      <w:u w:val="single"/>
    </w:rPr>
  </w:style>
  <w:style w:type="paragraph" w:customStyle="1" w:styleId="Annexetitre">
    <w:name w:val="Annexe titre"/>
    <w:basedOn w:val="Normal"/>
    <w:next w:val="Normal"/>
    <w:pPr>
      <w:spacing w:before="120" w:after="120" w:line="240" w:lineRule="auto"/>
      <w:jc w:val="center"/>
    </w:pPr>
    <w:rPr>
      <w:rFonts w:eastAsia="Times New Roman" w:cs="Times New Roman"/>
      <w:b/>
      <w:sz w:val="24"/>
      <w:szCs w:val="24"/>
      <w:u w:val="single"/>
    </w:rPr>
  </w:style>
  <w:style w:type="paragraph" w:customStyle="1" w:styleId="Annexetitrefichefinancire">
    <w:name w:val="Annexe titre (fiche financière)"/>
    <w:basedOn w:val="Normal"/>
    <w:next w:val="Normal"/>
    <w:pPr>
      <w:spacing w:before="120" w:after="120" w:line="240" w:lineRule="auto"/>
      <w:jc w:val="center"/>
    </w:pPr>
    <w:rPr>
      <w:rFonts w:eastAsia="Times New Roman" w:cs="Times New Roman"/>
      <w:b/>
      <w:sz w:val="24"/>
      <w:szCs w:val="24"/>
      <w:u w:val="single"/>
    </w:rPr>
  </w:style>
  <w:style w:type="paragraph" w:customStyle="1" w:styleId="Applicationdirecte">
    <w:name w:val="Application directe"/>
    <w:basedOn w:val="Normal"/>
    <w:next w:val="Fait"/>
    <w:pPr>
      <w:spacing w:before="480" w:after="120" w:line="240" w:lineRule="auto"/>
      <w:jc w:val="both"/>
    </w:pPr>
    <w:rPr>
      <w:rFonts w:eastAsia="Times New Roman" w:cs="Times New Roman"/>
      <w:sz w:val="24"/>
      <w:szCs w:val="24"/>
    </w:rPr>
  </w:style>
  <w:style w:type="paragraph" w:customStyle="1" w:styleId="Avertissementtitre">
    <w:name w:val="Avertissement titre"/>
    <w:basedOn w:val="Normal"/>
    <w:next w:val="Normal"/>
    <w:pPr>
      <w:keepNext/>
      <w:spacing w:before="480" w:after="120" w:line="240" w:lineRule="auto"/>
      <w:jc w:val="both"/>
    </w:pPr>
    <w:rPr>
      <w:rFonts w:eastAsia="Times New Roman" w:cs="Times New Roman"/>
      <w:sz w:val="24"/>
      <w:szCs w:val="24"/>
      <w:u w:val="single"/>
    </w:rPr>
  </w:style>
  <w:style w:type="paragraph" w:customStyle="1" w:styleId="Confidence">
    <w:name w:val="Confidence"/>
    <w:basedOn w:val="Normal"/>
    <w:next w:val="Normal"/>
    <w:pPr>
      <w:spacing w:before="360" w:after="120" w:line="240" w:lineRule="auto"/>
      <w:jc w:val="center"/>
    </w:pPr>
    <w:rPr>
      <w:rFonts w:eastAsia="Times New Roman" w:cs="Times New Roman"/>
      <w:sz w:val="24"/>
      <w:szCs w:val="24"/>
    </w:rPr>
  </w:style>
  <w:style w:type="paragraph" w:customStyle="1" w:styleId="Confidentialit">
    <w:name w:val="Confidentialité"/>
    <w:basedOn w:val="Normal"/>
    <w:next w:val="TypedudocumentPagedecouverture"/>
    <w:pPr>
      <w:spacing w:before="240" w:after="240" w:line="240" w:lineRule="auto"/>
      <w:ind w:left="5103"/>
      <w:jc w:val="both"/>
    </w:pPr>
    <w:rPr>
      <w:rFonts w:eastAsia="Times New Roman" w:cs="Times New Roman"/>
      <w:i/>
      <w:sz w:val="32"/>
      <w:szCs w:val="24"/>
    </w:rPr>
  </w:style>
  <w:style w:type="paragraph" w:customStyle="1" w:styleId="Considrant">
    <w:name w:val="Considérant"/>
    <w:basedOn w:val="Normal"/>
    <w:pPr>
      <w:numPr>
        <w:numId w:val="13"/>
      </w:numPr>
      <w:spacing w:before="120" w:after="120" w:line="240" w:lineRule="auto"/>
      <w:jc w:val="both"/>
    </w:pPr>
    <w:rPr>
      <w:rFonts w:eastAsia="Times New Roman" w:cs="Times New Roman"/>
      <w:sz w:val="24"/>
      <w:szCs w:val="24"/>
    </w:rPr>
  </w:style>
  <w:style w:type="paragraph" w:customStyle="1" w:styleId="Corrigendum">
    <w:name w:val="Corrigendum"/>
    <w:basedOn w:val="Normal"/>
    <w:next w:val="Normal"/>
    <w:pPr>
      <w:spacing w:after="240" w:line="240" w:lineRule="auto"/>
    </w:pPr>
    <w:rPr>
      <w:rFonts w:eastAsia="Times New Roman" w:cs="Times New Roman"/>
      <w:sz w:val="24"/>
      <w:szCs w:val="24"/>
    </w:rPr>
  </w:style>
  <w:style w:type="paragraph" w:customStyle="1" w:styleId="Datedadoption">
    <w:name w:val="Date d'adoption"/>
    <w:basedOn w:val="Normal"/>
    <w:next w:val="Titreobjet"/>
    <w:pPr>
      <w:spacing w:before="360" w:after="0" w:line="240" w:lineRule="auto"/>
      <w:jc w:val="center"/>
    </w:pPr>
    <w:rPr>
      <w:rFonts w:eastAsia="Times New Roman" w:cs="Times New Roman"/>
      <w:b/>
      <w:sz w:val="24"/>
      <w:szCs w:val="24"/>
    </w:rPr>
  </w:style>
  <w:style w:type="paragraph" w:customStyle="1" w:styleId="Emission">
    <w:name w:val="Emission"/>
    <w:basedOn w:val="Normal"/>
    <w:next w:val="Rfrenceinstitutionnelle"/>
    <w:pPr>
      <w:spacing w:after="0" w:line="240" w:lineRule="auto"/>
      <w:ind w:left="5103"/>
    </w:pPr>
    <w:rPr>
      <w:rFonts w:eastAsia="Times New Roman" w:cs="Times New Roman"/>
      <w:sz w:val="24"/>
      <w:szCs w:val="24"/>
    </w:rPr>
  </w:style>
  <w:style w:type="paragraph" w:customStyle="1" w:styleId="Exposdesmotifstitre">
    <w:name w:val="Exposé des motifs titre"/>
    <w:basedOn w:val="Normal"/>
    <w:next w:val="Normal"/>
    <w:pPr>
      <w:spacing w:before="120" w:after="120" w:line="240" w:lineRule="auto"/>
      <w:jc w:val="center"/>
    </w:pPr>
    <w:rPr>
      <w:rFonts w:eastAsia="Times New Roman" w:cs="Times New Roman"/>
      <w:b/>
      <w:sz w:val="24"/>
      <w:szCs w:val="24"/>
      <w:u w:val="single"/>
    </w:rPr>
  </w:style>
  <w:style w:type="paragraph" w:customStyle="1" w:styleId="Fait">
    <w:name w:val="Fait à"/>
    <w:basedOn w:val="Normal"/>
    <w:next w:val="Institutionquisigne"/>
    <w:pPr>
      <w:keepNext/>
      <w:spacing w:before="120" w:after="0" w:line="240" w:lineRule="auto"/>
      <w:jc w:val="both"/>
    </w:pPr>
    <w:rPr>
      <w:rFonts w:eastAsia="Times New Roman" w:cs="Times New Roman"/>
      <w:sz w:val="24"/>
      <w:szCs w:val="24"/>
    </w:rPr>
  </w:style>
  <w:style w:type="paragraph" w:customStyle="1" w:styleId="Formuledadoption">
    <w:name w:val="Formule d'adoption"/>
    <w:basedOn w:val="Normal"/>
    <w:next w:val="Titrearticle"/>
    <w:pPr>
      <w:keepNext/>
      <w:spacing w:before="120" w:after="120" w:line="240" w:lineRule="auto"/>
      <w:jc w:val="both"/>
    </w:pPr>
    <w:rPr>
      <w:rFonts w:eastAsia="Times New Roman" w:cs="Times New Roman"/>
      <w:sz w:val="24"/>
      <w:szCs w:val="24"/>
    </w:rPr>
  </w:style>
  <w:style w:type="paragraph" w:customStyle="1" w:styleId="Institutionquiagit">
    <w:name w:val="Institution qui agit"/>
    <w:basedOn w:val="Normal"/>
    <w:next w:val="Normal"/>
    <w:pPr>
      <w:keepNext/>
      <w:spacing w:before="600" w:after="120" w:line="240" w:lineRule="auto"/>
      <w:jc w:val="both"/>
    </w:pPr>
    <w:rPr>
      <w:rFonts w:eastAsia="Times New Roman" w:cs="Times New Roman"/>
      <w:sz w:val="24"/>
      <w:szCs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eastAsia="Times New Roman" w:cs="Times New Roman"/>
      <w:i/>
      <w:sz w:val="24"/>
      <w:szCs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eastAsia="Times New Roman" w:cs="Times New Roman"/>
      <w:b/>
      <w:caps/>
      <w:sz w:val="24"/>
      <w:szCs w:val="24"/>
    </w:rPr>
  </w:style>
  <w:style w:type="paragraph" w:customStyle="1" w:styleId="ManualConsidrant">
    <w:name w:val="Manual Considérant"/>
    <w:basedOn w:val="Normal"/>
    <w:pPr>
      <w:spacing w:before="120" w:after="120" w:line="240" w:lineRule="auto"/>
      <w:ind w:left="709" w:hanging="709"/>
      <w:jc w:val="both"/>
    </w:pPr>
    <w:rPr>
      <w:rFonts w:eastAsia="Times New Roman" w:cs="Times New Roman"/>
      <w:sz w:val="24"/>
      <w:szCs w:val="24"/>
    </w:rPr>
  </w:style>
  <w:style w:type="paragraph" w:customStyle="1" w:styleId="Nomdelinstitution">
    <w:name w:val="Nom de l'institution"/>
    <w:basedOn w:val="Normal"/>
    <w:next w:val="Emission"/>
    <w:pPr>
      <w:spacing w:after="0" w:line="240" w:lineRule="auto"/>
    </w:pPr>
    <w:rPr>
      <w:rFonts w:ascii="Arial" w:eastAsia="Times New Roman" w:hAnsi="Arial" w:cs="Arial"/>
      <w:sz w:val="24"/>
      <w:szCs w:val="24"/>
    </w:rPr>
  </w:style>
  <w:style w:type="paragraph" w:customStyle="1" w:styleId="Personnequisigne">
    <w:name w:val="Personne qui signe"/>
    <w:basedOn w:val="Normal"/>
    <w:next w:val="Institutionquisigne"/>
    <w:pPr>
      <w:tabs>
        <w:tab w:val="left" w:pos="4252"/>
      </w:tabs>
      <w:spacing w:after="0" w:line="240" w:lineRule="auto"/>
    </w:pPr>
    <w:rPr>
      <w:rFonts w:eastAsia="Times New Roman" w:cs="Times New Roman"/>
      <w:i/>
      <w:sz w:val="24"/>
      <w:szCs w:val="24"/>
    </w:rPr>
  </w:style>
  <w:style w:type="paragraph" w:customStyle="1" w:styleId="Rfrenceinstitutionnelle">
    <w:name w:val="Référence institutionnelle"/>
    <w:basedOn w:val="Normal"/>
    <w:next w:val="Confidentialit"/>
    <w:pPr>
      <w:spacing w:after="240" w:line="240" w:lineRule="auto"/>
      <w:ind w:left="5103"/>
    </w:pPr>
    <w:rPr>
      <w:rFonts w:eastAsia="Times New Roman" w:cs="Times New Roman"/>
      <w:sz w:val="24"/>
      <w:szCs w:val="24"/>
    </w:rPr>
  </w:style>
  <w:style w:type="paragraph" w:customStyle="1" w:styleId="Rfrenceinterinstitutionnelle">
    <w:name w:val="Référence interinstitutionnelle"/>
    <w:basedOn w:val="Normal"/>
    <w:next w:val="Statut"/>
    <w:pPr>
      <w:spacing w:after="0" w:line="240" w:lineRule="auto"/>
      <w:ind w:left="5103"/>
    </w:pPr>
    <w:rPr>
      <w:rFonts w:eastAsia="Times New Roman" w:cs="Times New Roman"/>
      <w:sz w:val="24"/>
      <w:szCs w:val="24"/>
    </w:rPr>
  </w:style>
  <w:style w:type="paragraph" w:customStyle="1" w:styleId="Rfrenceinterne">
    <w:name w:val="Référence interne"/>
    <w:basedOn w:val="Normal"/>
    <w:next w:val="Rfrenceinterinstitutionnelle"/>
    <w:pPr>
      <w:spacing w:after="0" w:line="240" w:lineRule="auto"/>
      <w:ind w:left="5103"/>
    </w:pPr>
    <w:rPr>
      <w:rFonts w:eastAsia="Times New Roman" w:cs="Times New Roman"/>
      <w:sz w:val="24"/>
      <w:szCs w:val="24"/>
    </w:rPr>
  </w:style>
  <w:style w:type="paragraph" w:customStyle="1" w:styleId="Sous-titreobjet">
    <w:name w:val="Sous-titre objet"/>
    <w:basedOn w:val="Normal"/>
    <w:pPr>
      <w:spacing w:after="0" w:line="240" w:lineRule="auto"/>
      <w:jc w:val="center"/>
    </w:pPr>
    <w:rPr>
      <w:rFonts w:eastAsia="Times New Roman" w:cs="Times New Roman"/>
      <w:b/>
      <w:sz w:val="24"/>
      <w:szCs w:val="24"/>
    </w:rPr>
  </w:style>
  <w:style w:type="paragraph" w:customStyle="1" w:styleId="Statut">
    <w:name w:val="Statut"/>
    <w:basedOn w:val="Normal"/>
    <w:next w:val="Typedudocument"/>
    <w:pPr>
      <w:spacing w:before="360" w:after="0" w:line="240" w:lineRule="auto"/>
      <w:jc w:val="center"/>
    </w:pPr>
    <w:rPr>
      <w:rFonts w:eastAsia="Times New Roman" w:cs="Times New Roman"/>
      <w:sz w:val="24"/>
      <w:szCs w:val="24"/>
    </w:rPr>
  </w:style>
  <w:style w:type="paragraph" w:customStyle="1" w:styleId="Titrearticle">
    <w:name w:val="Titre article"/>
    <w:basedOn w:val="Normal"/>
    <w:next w:val="Normal"/>
    <w:pPr>
      <w:keepNext/>
      <w:spacing w:before="360" w:after="120" w:line="240" w:lineRule="auto"/>
      <w:jc w:val="center"/>
    </w:pPr>
    <w:rPr>
      <w:rFonts w:eastAsia="Times New Roman" w:cs="Times New Roman"/>
      <w:i/>
      <w:sz w:val="24"/>
      <w:szCs w:val="24"/>
    </w:rPr>
  </w:style>
  <w:style w:type="paragraph" w:customStyle="1" w:styleId="Titreobjet">
    <w:name w:val="Titre objet"/>
    <w:basedOn w:val="Normal"/>
    <w:next w:val="Sous-titreobjet"/>
    <w:pPr>
      <w:spacing w:before="360" w:after="360" w:line="240" w:lineRule="auto"/>
      <w:jc w:val="center"/>
    </w:pPr>
    <w:rPr>
      <w:rFonts w:eastAsia="Times New Roman" w:cs="Times New Roman"/>
      <w:b/>
      <w:sz w:val="24"/>
      <w:szCs w:val="24"/>
    </w:rPr>
  </w:style>
  <w:style w:type="paragraph" w:customStyle="1" w:styleId="Typedudocument">
    <w:name w:val="Type du document"/>
    <w:basedOn w:val="Normal"/>
    <w:next w:val="Titreobjet"/>
    <w:link w:val="TypedudocumentChar"/>
    <w:pPr>
      <w:spacing w:before="360" w:after="0" w:line="240" w:lineRule="auto"/>
      <w:jc w:val="center"/>
    </w:pPr>
    <w:rPr>
      <w:rFonts w:eastAsia="Times New Roman" w:cs="Times New Roman"/>
      <w:b/>
      <w:sz w:val="24"/>
      <w:szCs w:val="24"/>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before="120" w:after="120" w:line="360" w:lineRule="auto"/>
      <w:ind w:left="3402"/>
    </w:pPr>
    <w:rPr>
      <w:rFonts w:eastAsia="Times New Roman" w:cs="Times New Roman"/>
      <w:sz w:val="24"/>
      <w:szCs w:val="24"/>
    </w:rPr>
  </w:style>
  <w:style w:type="paragraph" w:customStyle="1" w:styleId="Objetexterne">
    <w:name w:val="Objet externe"/>
    <w:basedOn w:val="Normal"/>
    <w:next w:val="Normal"/>
    <w:pPr>
      <w:spacing w:before="120" w:after="120" w:line="240" w:lineRule="auto"/>
      <w:jc w:val="both"/>
    </w:pPr>
    <w:rPr>
      <w:rFonts w:eastAsia="Times New Roman" w:cs="Times New Roman"/>
      <w:i/>
      <w:caps/>
      <w:sz w:val="24"/>
      <w:szCs w:val="24"/>
    </w:rPr>
  </w:style>
  <w:style w:type="paragraph" w:customStyle="1" w:styleId="Supertitre">
    <w:name w:val="Supertitre"/>
    <w:basedOn w:val="Normal"/>
    <w:next w:val="Normal"/>
    <w:pPr>
      <w:spacing w:after="600" w:line="240" w:lineRule="auto"/>
      <w:jc w:val="center"/>
    </w:pPr>
    <w:rPr>
      <w:rFonts w:eastAsia="Times New Roman" w:cs="Times New Roman"/>
      <w:b/>
      <w:sz w:val="24"/>
      <w:szCs w:val="24"/>
    </w:rPr>
  </w:style>
  <w:style w:type="paragraph" w:customStyle="1" w:styleId="Languesfaisantfoi">
    <w:name w:val="Langues faisant foi"/>
    <w:basedOn w:val="Normal"/>
    <w:next w:val="Normal"/>
    <w:pPr>
      <w:spacing w:before="360" w:after="0" w:line="240" w:lineRule="auto"/>
      <w:jc w:val="center"/>
    </w:pPr>
    <w:rPr>
      <w:rFonts w:eastAsia="Times New Roman" w:cs="Times New Roman"/>
      <w:sz w:val="24"/>
      <w:szCs w:val="24"/>
    </w:rPr>
  </w:style>
  <w:style w:type="paragraph" w:customStyle="1" w:styleId="Rfrencecroise">
    <w:name w:val="Référence croisée"/>
    <w:basedOn w:val="Normal"/>
    <w:pPr>
      <w:spacing w:after="0" w:line="240" w:lineRule="auto"/>
      <w:jc w:val="center"/>
    </w:pPr>
    <w:rPr>
      <w:rFonts w:eastAsia="Times New Roman" w:cs="Times New Roman"/>
      <w:sz w:val="24"/>
      <w:szCs w:val="24"/>
    </w:rPr>
  </w:style>
  <w:style w:type="paragraph" w:customStyle="1" w:styleId="Fichefinanciretitre">
    <w:name w:val="Fiche financière titre"/>
    <w:basedOn w:val="Normal"/>
    <w:next w:val="Normal"/>
    <w:pPr>
      <w:spacing w:before="120" w:after="120" w:line="240" w:lineRule="auto"/>
      <w:jc w:val="center"/>
    </w:pPr>
    <w:rPr>
      <w:rFonts w:eastAsia="Times New Roman" w:cs="Times New Roman"/>
      <w:b/>
      <w:sz w:val="24"/>
      <w:szCs w:val="24"/>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after="240" w:line="240" w:lineRule="auto"/>
      <w:ind w:left="5103"/>
    </w:pPr>
    <w:rPr>
      <w:rFonts w:eastAsia="Times New Roman" w:cs="Times New Roma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after="240" w:line="240" w:lineRule="auto"/>
      <w:jc w:val="center"/>
    </w:pPr>
    <w:rPr>
      <w:rFonts w:eastAsia="Times New Roman" w:cs="Times New Roman"/>
      <w:b/>
      <w:i/>
      <w:sz w:val="24"/>
      <w:szCs w:val="24"/>
    </w:rPr>
  </w:style>
  <w:style w:type="paragraph" w:customStyle="1" w:styleId="Typeacteprincipal">
    <w:name w:val="Type acte principal"/>
    <w:basedOn w:val="Normal"/>
    <w:next w:val="Objetacteprincipal"/>
    <w:pPr>
      <w:spacing w:after="240" w:line="240" w:lineRule="auto"/>
      <w:jc w:val="center"/>
    </w:pPr>
    <w:rPr>
      <w:rFonts w:eastAsia="Times New Roman" w:cs="Times New Roman"/>
      <w:b/>
      <w:sz w:val="24"/>
      <w:szCs w:val="24"/>
    </w:rPr>
  </w:style>
  <w:style w:type="paragraph" w:customStyle="1" w:styleId="Objetacteprincipal">
    <w:name w:val="Objet acte principal"/>
    <w:basedOn w:val="Normal"/>
    <w:next w:val="Titrearticle"/>
    <w:pPr>
      <w:spacing w:after="360" w:line="240" w:lineRule="auto"/>
      <w:jc w:val="center"/>
    </w:pPr>
    <w:rPr>
      <w:rFonts w:eastAsia="Times New Roman" w:cs="Times New Roma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eastAsia="Times New Roman" w:cs="Times New Roman"/>
      <w:sz w:val="24"/>
      <w:szCs w:val="24"/>
    </w:rPr>
  </w:style>
  <w:style w:type="paragraph" w:styleId="ListBullet">
    <w:name w:val="List Bullet"/>
    <w:basedOn w:val="Normal"/>
    <w:pPr>
      <w:numPr>
        <w:numId w:val="14"/>
      </w:numPr>
      <w:spacing w:before="120" w:after="120" w:line="240" w:lineRule="auto"/>
      <w:contextualSpacing/>
      <w:jc w:val="both"/>
    </w:pPr>
    <w:rPr>
      <w:rFonts w:eastAsia="Times New Roman" w:cs="Times New Roman"/>
      <w:sz w:val="24"/>
      <w:szCs w:val="24"/>
    </w:rPr>
  </w:style>
  <w:style w:type="paragraph" w:styleId="ListBullet2">
    <w:name w:val="List Bullet 2"/>
    <w:basedOn w:val="Normal"/>
    <w:pPr>
      <w:numPr>
        <w:numId w:val="15"/>
      </w:numPr>
      <w:spacing w:before="120" w:after="120" w:line="240" w:lineRule="auto"/>
      <w:contextualSpacing/>
      <w:jc w:val="both"/>
    </w:pPr>
    <w:rPr>
      <w:rFonts w:eastAsia="Times New Roman" w:cs="Times New Roman"/>
      <w:sz w:val="24"/>
      <w:szCs w:val="24"/>
    </w:rPr>
  </w:style>
  <w:style w:type="paragraph" w:styleId="ListBullet3">
    <w:name w:val="List Bullet 3"/>
    <w:basedOn w:val="Normal"/>
    <w:pPr>
      <w:numPr>
        <w:numId w:val="16"/>
      </w:numPr>
      <w:spacing w:before="120" w:after="120" w:line="240" w:lineRule="auto"/>
      <w:contextualSpacing/>
      <w:jc w:val="both"/>
    </w:pPr>
    <w:rPr>
      <w:rFonts w:eastAsia="Times New Roman" w:cs="Times New Roman"/>
      <w:sz w:val="24"/>
      <w:szCs w:val="24"/>
    </w:rPr>
  </w:style>
  <w:style w:type="paragraph" w:styleId="ListBullet4">
    <w:name w:val="List Bullet 4"/>
    <w:basedOn w:val="Normal"/>
    <w:pPr>
      <w:numPr>
        <w:numId w:val="17"/>
      </w:numPr>
      <w:spacing w:before="120" w:after="120" w:line="240" w:lineRule="auto"/>
      <w:contextualSpacing/>
      <w:jc w:val="both"/>
    </w:pPr>
    <w:rPr>
      <w:rFonts w:eastAsia="Times New Roman" w:cs="Times New Roman"/>
      <w:sz w:val="24"/>
      <w:szCs w:val="24"/>
    </w:rPr>
  </w:style>
  <w:style w:type="paragraph" w:customStyle="1" w:styleId="ListDash">
    <w:name w:val="List Dash"/>
    <w:basedOn w:val="Normal"/>
    <w:pPr>
      <w:numPr>
        <w:numId w:val="18"/>
      </w:numPr>
      <w:spacing w:before="120" w:after="120" w:line="240" w:lineRule="auto"/>
      <w:jc w:val="both"/>
    </w:pPr>
    <w:rPr>
      <w:rFonts w:eastAsia="Times New Roman" w:cs="Times New Roman"/>
      <w:sz w:val="24"/>
      <w:szCs w:val="24"/>
    </w:rPr>
  </w:style>
  <w:style w:type="character" w:styleId="Strong">
    <w:name w:val="Strong"/>
    <w:uiPriority w:val="22"/>
    <w:qFormat/>
    <w:rPr>
      <w:b/>
      <w:bCs/>
    </w:rPr>
  </w:style>
  <w:style w:type="paragraph" w:styleId="ListParagraph">
    <w:name w:val="List Paragraph"/>
    <w:basedOn w:val="Normal"/>
    <w:uiPriority w:val="34"/>
    <w:qFormat/>
    <w:pPr>
      <w:ind w:left="720"/>
      <w:contextualSpacing/>
    </w:pPr>
    <w:rPr>
      <w:rFonts w:ascii="Calibri" w:eastAsia="Times New Roman" w:hAnsi="Calibri" w:cs="Times New Roman"/>
      <w:lang w:val="fr-FR"/>
    </w:rPr>
  </w:style>
  <w:style w:type="numbering" w:styleId="111111">
    <w:name w:val="Outline List 2"/>
    <w:basedOn w:val="NoList"/>
    <w:pPr>
      <w:numPr>
        <w:numId w:val="19"/>
      </w:numPr>
    </w:pPr>
  </w:style>
  <w:style w:type="character" w:styleId="PageNumber">
    <w:name w:val="page numbe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qFormat/>
    <w:pPr>
      <w:spacing w:before="120" w:after="120" w:line="240" w:lineRule="auto"/>
      <w:jc w:val="both"/>
    </w:pPr>
    <w:rPr>
      <w:rFonts w:eastAsia="Times New Roman" w:cs="Times New Roman"/>
      <w:b/>
      <w:bCs/>
      <w:sz w:val="20"/>
      <w:szCs w:val="20"/>
    </w:rPr>
  </w:style>
  <w:style w:type="paragraph" w:styleId="TableofFigures">
    <w:name w:val="table of figures"/>
    <w:basedOn w:val="Normal"/>
    <w:next w:val="Normal"/>
    <w:pPr>
      <w:spacing w:before="120" w:after="120" w:line="240" w:lineRule="auto"/>
      <w:jc w:val="both"/>
    </w:pPr>
    <w:rPr>
      <w:rFonts w:eastAsia="Times New Roman" w:cs="Times New Roman"/>
      <w:sz w:val="24"/>
      <w:szCs w:val="24"/>
    </w:rPr>
  </w:style>
  <w:style w:type="paragraph" w:styleId="ListNumber">
    <w:name w:val="List Number"/>
    <w:basedOn w:val="Normal"/>
    <w:pPr>
      <w:numPr>
        <w:numId w:val="21"/>
      </w:numPr>
      <w:spacing w:before="120" w:after="120" w:line="240" w:lineRule="auto"/>
      <w:contextualSpacing/>
      <w:jc w:val="both"/>
    </w:pPr>
    <w:rPr>
      <w:rFonts w:eastAsia="Times New Roman" w:cs="Times New Roman"/>
      <w:sz w:val="24"/>
      <w:szCs w:val="24"/>
    </w:rPr>
  </w:style>
  <w:style w:type="paragraph" w:styleId="ListNumber2">
    <w:name w:val="List Number 2"/>
    <w:basedOn w:val="Normal"/>
    <w:pPr>
      <w:numPr>
        <w:numId w:val="22"/>
      </w:numPr>
      <w:spacing w:before="120" w:after="120" w:line="240" w:lineRule="auto"/>
      <w:contextualSpacing/>
      <w:jc w:val="both"/>
    </w:pPr>
    <w:rPr>
      <w:rFonts w:eastAsia="Times New Roman" w:cs="Times New Roman"/>
      <w:sz w:val="24"/>
      <w:szCs w:val="24"/>
    </w:rPr>
  </w:style>
  <w:style w:type="paragraph" w:styleId="ListNumber3">
    <w:name w:val="List Number 3"/>
    <w:basedOn w:val="Normal"/>
    <w:pPr>
      <w:numPr>
        <w:numId w:val="23"/>
      </w:numPr>
      <w:spacing w:before="120" w:after="120" w:line="240" w:lineRule="auto"/>
      <w:contextualSpacing/>
      <w:jc w:val="both"/>
    </w:pPr>
    <w:rPr>
      <w:rFonts w:eastAsia="Times New Roman" w:cs="Times New Roman"/>
      <w:sz w:val="24"/>
      <w:szCs w:val="24"/>
    </w:rPr>
  </w:style>
  <w:style w:type="paragraph" w:styleId="ListNumber4">
    <w:name w:val="List Number 4"/>
    <w:basedOn w:val="Normal"/>
    <w:pPr>
      <w:numPr>
        <w:numId w:val="24"/>
      </w:numPr>
      <w:spacing w:before="120" w:after="120" w:line="240" w:lineRule="auto"/>
      <w:contextualSpacing/>
      <w:jc w:val="both"/>
    </w:pPr>
    <w:rPr>
      <w:rFonts w:eastAsia="Times New Roman" w:cs="Times New Roman"/>
      <w:sz w:val="24"/>
      <w:szCs w:val="24"/>
    </w:rPr>
  </w:style>
  <w:style w:type="character" w:customStyle="1" w:styleId="TypedudocumentChar">
    <w:name w:val="Type du document Char"/>
    <w:link w:val="Typedudocument"/>
    <w:rPr>
      <w:rFonts w:ascii="Times New Roman" w:eastAsia="Times New Roman" w:hAnsi="Times New Roman" w:cs="Times New Roman"/>
      <w:b/>
      <w:sz w:val="24"/>
      <w:szCs w:val="24"/>
    </w:rPr>
  </w:style>
  <w:style w:type="paragraph" w:styleId="DocumentMap">
    <w:name w:val="Document Map"/>
    <w:basedOn w:val="Normal"/>
    <w:link w:val="DocumentMapChar"/>
    <w:semiHidden/>
    <w:pPr>
      <w:shd w:val="clear" w:color="auto" w:fill="000080"/>
    </w:pPr>
    <w:rPr>
      <w:rFonts w:ascii="Tahoma" w:eastAsia="Calibri" w:hAnsi="Tahoma" w:cs="Tahoma"/>
    </w:rPr>
  </w:style>
  <w:style w:type="character" w:customStyle="1" w:styleId="DocumentMapChar">
    <w:name w:val="Document Map Char"/>
    <w:basedOn w:val="DefaultParagraphFont"/>
    <w:link w:val="DocumentMap"/>
    <w:semiHidden/>
    <w:rPr>
      <w:rFonts w:ascii="Tahoma" w:eastAsia="Calibri" w:hAnsi="Tahoma" w:cs="Tahoma"/>
      <w:shd w:val="clear" w:color="auto" w:fill="000080"/>
    </w:rPr>
  </w:style>
  <w:style w:type="paragraph" w:customStyle="1" w:styleId="EntInstit">
    <w:name w:val="EntInstit"/>
    <w:basedOn w:val="NormalConseil"/>
    <w:pPr>
      <w:jc w:val="right"/>
    </w:pPr>
    <w:rPr>
      <w:b/>
    </w:rPr>
  </w:style>
  <w:style w:type="paragraph" w:customStyle="1" w:styleId="NormalConseil">
    <w:name w:val="NormalConseil"/>
    <w:basedOn w:val="Normal"/>
    <w:pPr>
      <w:spacing w:after="0" w:line="240" w:lineRule="auto"/>
    </w:pPr>
    <w:rPr>
      <w:rFonts w:eastAsia="Times New Roman" w:cs="Times New Roman"/>
      <w:sz w:val="24"/>
      <w:szCs w:val="20"/>
      <w:lang w:eastAsia="fr-BE"/>
    </w:rPr>
  </w:style>
  <w:style w:type="paragraph" w:customStyle="1" w:styleId="EntRefer">
    <w:name w:val="EntRefer"/>
    <w:basedOn w:val="NormalConseil"/>
    <w:rPr>
      <w:b/>
    </w:rPr>
  </w:style>
  <w:style w:type="paragraph" w:customStyle="1" w:styleId="EntEmet">
    <w:name w:val="EntEmet"/>
    <w:basedOn w:val="NormalConseil"/>
    <w:pPr>
      <w:tabs>
        <w:tab w:val="left" w:pos="284"/>
        <w:tab w:val="left" w:pos="567"/>
        <w:tab w:val="left" w:pos="851"/>
        <w:tab w:val="left" w:pos="1134"/>
        <w:tab w:val="left" w:pos="1418"/>
      </w:tabs>
      <w:spacing w:before="40"/>
    </w:pPr>
  </w:style>
  <w:style w:type="paragraph" w:customStyle="1" w:styleId="EntLogo">
    <w:name w:val="EntLogo"/>
    <w:basedOn w:val="NormalConseil"/>
    <w:next w:val="EntInstit"/>
    <w:pPr>
      <w:spacing w:line="360" w:lineRule="auto"/>
    </w:pPr>
    <w:rPr>
      <w:b/>
    </w:rPr>
  </w:style>
  <w:style w:type="paragraph" w:customStyle="1" w:styleId="FooterConseil">
    <w:name w:val="FooterConseil"/>
    <w:basedOn w:val="NormalConseil"/>
    <w:pPr>
      <w:tabs>
        <w:tab w:val="center" w:pos="4820"/>
        <w:tab w:val="center" w:pos="7371"/>
        <w:tab w:val="right" w:pos="9639"/>
      </w:tabs>
    </w:pPr>
  </w:style>
  <w:style w:type="paragraph" w:styleId="NormalWeb">
    <w:name w:val="Normal (Web)"/>
    <w:basedOn w:val="Normal"/>
    <w:uiPriority w:val="99"/>
    <w:unhideWhenUsed/>
    <w:rPr>
      <w:rFonts w:eastAsia="Calibri" w:cs="Times New Roman"/>
      <w:sz w:val="24"/>
      <w:szCs w:val="24"/>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style>
  <w:style w:type="numbering" w:customStyle="1" w:styleId="1111111">
    <w:name w:val="1 / 1.1 / 1.1.11"/>
    <w:basedOn w:val="NoList"/>
    <w:next w:val="111111"/>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style>
  <w:style w:type="table" w:styleId="LightList-Accent4">
    <w:name w:val="Light List Accent 4"/>
    <w:basedOn w:val="TableNormal"/>
    <w:uiPriority w:val="61"/>
    <w:pPr>
      <w:spacing w:after="0" w:line="240" w:lineRule="auto"/>
    </w:pPr>
    <w:rPr>
      <w:rFonts w:ascii="Calibri" w:eastAsia="Calibri" w:hAnsi="Calibri"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footnotedefaultstyleChar">
    <w:name w:val="footnote default style Char"/>
    <w:basedOn w:val="DefaultParagraphFont"/>
    <w:link w:val="footnotedefaultstyle"/>
    <w:locked/>
    <w:rPr>
      <w:rFonts w:ascii="Verdana" w:hAnsi="Verdana"/>
    </w:rPr>
  </w:style>
  <w:style w:type="paragraph" w:customStyle="1" w:styleId="footnotedefaultstyle">
    <w:name w:val="footnote default style"/>
    <w:basedOn w:val="Normal"/>
    <w:link w:val="footnotedefaultstyleChar"/>
    <w:pPr>
      <w:spacing w:after="0" w:line="240" w:lineRule="auto"/>
      <w:ind w:left="357" w:hanging="357"/>
      <w:jc w:val="both"/>
    </w:pPr>
    <w:rPr>
      <w:rFonts w:ascii="Verdana" w:hAnsi="Verdana"/>
    </w:rPr>
  </w:style>
  <w:style w:type="paragraph" w:customStyle="1" w:styleId="rtejustify">
    <w:name w:val="rtejustify"/>
    <w:basedOn w:val="Normal"/>
    <w:pPr>
      <w:spacing w:before="100" w:beforeAutospacing="1" w:after="100" w:afterAutospacing="1" w:line="240" w:lineRule="auto"/>
    </w:pPr>
    <w:rPr>
      <w:rFonts w:eastAsia="Times New Roman" w:cs="Times New Roman"/>
      <w:sz w:val="24"/>
      <w:szCs w:val="24"/>
      <w:lang w:eastAsia="en-GB"/>
    </w:rPr>
  </w:style>
  <w:style w:type="paragraph" w:customStyle="1" w:styleId="Declassification">
    <w:name w:val="Declassification"/>
    <w:basedOn w:val="Normal"/>
    <w:next w:val="Normal"/>
    <w:pPr>
      <w:spacing w:after="0" w:line="240" w:lineRule="auto"/>
      <w:jc w:val="both"/>
    </w:pPr>
    <w:rPr>
      <w:rFonts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paragraph" w:customStyle="1" w:styleId="doc-ti">
    <w:name w:val="doc-ti"/>
    <w:basedOn w:val="Normal"/>
    <w:pPr>
      <w:spacing w:before="100" w:beforeAutospacing="1" w:after="100" w:afterAutospacing="1" w:line="240" w:lineRule="auto"/>
    </w:pPr>
    <w:rPr>
      <w:rFonts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9668">
      <w:bodyDiv w:val="1"/>
      <w:marLeft w:val="0"/>
      <w:marRight w:val="0"/>
      <w:marTop w:val="0"/>
      <w:marBottom w:val="0"/>
      <w:divBdr>
        <w:top w:val="none" w:sz="0" w:space="0" w:color="auto"/>
        <w:left w:val="none" w:sz="0" w:space="0" w:color="auto"/>
        <w:bottom w:val="none" w:sz="0" w:space="0" w:color="auto"/>
        <w:right w:val="none" w:sz="0" w:space="0" w:color="auto"/>
      </w:divBdr>
    </w:div>
    <w:div w:id="47151934">
      <w:bodyDiv w:val="1"/>
      <w:marLeft w:val="0"/>
      <w:marRight w:val="0"/>
      <w:marTop w:val="0"/>
      <w:marBottom w:val="0"/>
      <w:divBdr>
        <w:top w:val="none" w:sz="0" w:space="0" w:color="auto"/>
        <w:left w:val="none" w:sz="0" w:space="0" w:color="auto"/>
        <w:bottom w:val="none" w:sz="0" w:space="0" w:color="auto"/>
        <w:right w:val="none" w:sz="0" w:space="0" w:color="auto"/>
      </w:divBdr>
    </w:div>
    <w:div w:id="69355342">
      <w:bodyDiv w:val="1"/>
      <w:marLeft w:val="0"/>
      <w:marRight w:val="0"/>
      <w:marTop w:val="0"/>
      <w:marBottom w:val="0"/>
      <w:divBdr>
        <w:top w:val="none" w:sz="0" w:space="0" w:color="auto"/>
        <w:left w:val="none" w:sz="0" w:space="0" w:color="auto"/>
        <w:bottom w:val="none" w:sz="0" w:space="0" w:color="auto"/>
        <w:right w:val="none" w:sz="0" w:space="0" w:color="auto"/>
      </w:divBdr>
    </w:div>
    <w:div w:id="109395635">
      <w:bodyDiv w:val="1"/>
      <w:marLeft w:val="0"/>
      <w:marRight w:val="0"/>
      <w:marTop w:val="0"/>
      <w:marBottom w:val="0"/>
      <w:divBdr>
        <w:top w:val="none" w:sz="0" w:space="0" w:color="auto"/>
        <w:left w:val="none" w:sz="0" w:space="0" w:color="auto"/>
        <w:bottom w:val="none" w:sz="0" w:space="0" w:color="auto"/>
        <w:right w:val="none" w:sz="0" w:space="0" w:color="auto"/>
      </w:divBdr>
    </w:div>
    <w:div w:id="127480165">
      <w:bodyDiv w:val="1"/>
      <w:marLeft w:val="0"/>
      <w:marRight w:val="0"/>
      <w:marTop w:val="0"/>
      <w:marBottom w:val="0"/>
      <w:divBdr>
        <w:top w:val="none" w:sz="0" w:space="0" w:color="auto"/>
        <w:left w:val="none" w:sz="0" w:space="0" w:color="auto"/>
        <w:bottom w:val="none" w:sz="0" w:space="0" w:color="auto"/>
        <w:right w:val="none" w:sz="0" w:space="0" w:color="auto"/>
      </w:divBdr>
    </w:div>
    <w:div w:id="138235314">
      <w:bodyDiv w:val="1"/>
      <w:marLeft w:val="0"/>
      <w:marRight w:val="0"/>
      <w:marTop w:val="0"/>
      <w:marBottom w:val="0"/>
      <w:divBdr>
        <w:top w:val="none" w:sz="0" w:space="0" w:color="auto"/>
        <w:left w:val="none" w:sz="0" w:space="0" w:color="auto"/>
        <w:bottom w:val="none" w:sz="0" w:space="0" w:color="auto"/>
        <w:right w:val="none" w:sz="0" w:space="0" w:color="auto"/>
      </w:divBdr>
      <w:divsChild>
        <w:div w:id="1714885340">
          <w:marLeft w:val="0"/>
          <w:marRight w:val="0"/>
          <w:marTop w:val="0"/>
          <w:marBottom w:val="0"/>
          <w:divBdr>
            <w:top w:val="none" w:sz="0" w:space="0" w:color="auto"/>
            <w:left w:val="none" w:sz="0" w:space="0" w:color="auto"/>
            <w:bottom w:val="none" w:sz="0" w:space="0" w:color="auto"/>
            <w:right w:val="none" w:sz="0" w:space="0" w:color="auto"/>
          </w:divBdr>
          <w:divsChild>
            <w:div w:id="800611097">
              <w:marLeft w:val="0"/>
              <w:marRight w:val="0"/>
              <w:marTop w:val="0"/>
              <w:marBottom w:val="0"/>
              <w:divBdr>
                <w:top w:val="none" w:sz="0" w:space="0" w:color="auto"/>
                <w:left w:val="none" w:sz="0" w:space="0" w:color="auto"/>
                <w:bottom w:val="none" w:sz="0" w:space="0" w:color="auto"/>
                <w:right w:val="none" w:sz="0" w:space="0" w:color="auto"/>
              </w:divBdr>
              <w:divsChild>
                <w:div w:id="1390154784">
                  <w:marLeft w:val="0"/>
                  <w:marRight w:val="0"/>
                  <w:marTop w:val="0"/>
                  <w:marBottom w:val="0"/>
                  <w:divBdr>
                    <w:top w:val="none" w:sz="0" w:space="0" w:color="auto"/>
                    <w:left w:val="none" w:sz="0" w:space="0" w:color="auto"/>
                    <w:bottom w:val="none" w:sz="0" w:space="0" w:color="auto"/>
                    <w:right w:val="none" w:sz="0" w:space="0" w:color="auto"/>
                  </w:divBdr>
                  <w:divsChild>
                    <w:div w:id="214195939">
                      <w:marLeft w:val="0"/>
                      <w:marRight w:val="0"/>
                      <w:marTop w:val="0"/>
                      <w:marBottom w:val="0"/>
                      <w:divBdr>
                        <w:top w:val="none" w:sz="0" w:space="0" w:color="auto"/>
                        <w:left w:val="none" w:sz="0" w:space="0" w:color="auto"/>
                        <w:bottom w:val="none" w:sz="0" w:space="0" w:color="auto"/>
                        <w:right w:val="none" w:sz="0" w:space="0" w:color="auto"/>
                      </w:divBdr>
                      <w:divsChild>
                        <w:div w:id="43313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33958">
      <w:bodyDiv w:val="1"/>
      <w:marLeft w:val="0"/>
      <w:marRight w:val="0"/>
      <w:marTop w:val="0"/>
      <w:marBottom w:val="0"/>
      <w:divBdr>
        <w:top w:val="none" w:sz="0" w:space="0" w:color="auto"/>
        <w:left w:val="none" w:sz="0" w:space="0" w:color="auto"/>
        <w:bottom w:val="none" w:sz="0" w:space="0" w:color="auto"/>
        <w:right w:val="none" w:sz="0" w:space="0" w:color="auto"/>
      </w:divBdr>
    </w:div>
    <w:div w:id="180516488">
      <w:bodyDiv w:val="1"/>
      <w:marLeft w:val="0"/>
      <w:marRight w:val="0"/>
      <w:marTop w:val="0"/>
      <w:marBottom w:val="0"/>
      <w:divBdr>
        <w:top w:val="none" w:sz="0" w:space="0" w:color="auto"/>
        <w:left w:val="none" w:sz="0" w:space="0" w:color="auto"/>
        <w:bottom w:val="none" w:sz="0" w:space="0" w:color="auto"/>
        <w:right w:val="none" w:sz="0" w:space="0" w:color="auto"/>
      </w:divBdr>
    </w:div>
    <w:div w:id="183641237">
      <w:bodyDiv w:val="1"/>
      <w:marLeft w:val="0"/>
      <w:marRight w:val="0"/>
      <w:marTop w:val="0"/>
      <w:marBottom w:val="0"/>
      <w:divBdr>
        <w:top w:val="none" w:sz="0" w:space="0" w:color="auto"/>
        <w:left w:val="none" w:sz="0" w:space="0" w:color="auto"/>
        <w:bottom w:val="none" w:sz="0" w:space="0" w:color="auto"/>
        <w:right w:val="none" w:sz="0" w:space="0" w:color="auto"/>
      </w:divBdr>
    </w:div>
    <w:div w:id="205266399">
      <w:bodyDiv w:val="1"/>
      <w:marLeft w:val="0"/>
      <w:marRight w:val="0"/>
      <w:marTop w:val="0"/>
      <w:marBottom w:val="0"/>
      <w:divBdr>
        <w:top w:val="none" w:sz="0" w:space="0" w:color="auto"/>
        <w:left w:val="none" w:sz="0" w:space="0" w:color="auto"/>
        <w:bottom w:val="none" w:sz="0" w:space="0" w:color="auto"/>
        <w:right w:val="none" w:sz="0" w:space="0" w:color="auto"/>
      </w:divBdr>
    </w:div>
    <w:div w:id="207030180">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291132663">
      <w:bodyDiv w:val="1"/>
      <w:marLeft w:val="0"/>
      <w:marRight w:val="0"/>
      <w:marTop w:val="0"/>
      <w:marBottom w:val="0"/>
      <w:divBdr>
        <w:top w:val="none" w:sz="0" w:space="0" w:color="auto"/>
        <w:left w:val="none" w:sz="0" w:space="0" w:color="auto"/>
        <w:bottom w:val="none" w:sz="0" w:space="0" w:color="auto"/>
        <w:right w:val="none" w:sz="0" w:space="0" w:color="auto"/>
      </w:divBdr>
    </w:div>
    <w:div w:id="300775213">
      <w:bodyDiv w:val="1"/>
      <w:marLeft w:val="0"/>
      <w:marRight w:val="0"/>
      <w:marTop w:val="0"/>
      <w:marBottom w:val="0"/>
      <w:divBdr>
        <w:top w:val="none" w:sz="0" w:space="0" w:color="auto"/>
        <w:left w:val="none" w:sz="0" w:space="0" w:color="auto"/>
        <w:bottom w:val="none" w:sz="0" w:space="0" w:color="auto"/>
        <w:right w:val="none" w:sz="0" w:space="0" w:color="auto"/>
      </w:divBdr>
    </w:div>
    <w:div w:id="372006173">
      <w:bodyDiv w:val="1"/>
      <w:marLeft w:val="0"/>
      <w:marRight w:val="0"/>
      <w:marTop w:val="0"/>
      <w:marBottom w:val="0"/>
      <w:divBdr>
        <w:top w:val="none" w:sz="0" w:space="0" w:color="auto"/>
        <w:left w:val="none" w:sz="0" w:space="0" w:color="auto"/>
        <w:bottom w:val="none" w:sz="0" w:space="0" w:color="auto"/>
        <w:right w:val="none" w:sz="0" w:space="0" w:color="auto"/>
      </w:divBdr>
    </w:div>
    <w:div w:id="373194080">
      <w:bodyDiv w:val="1"/>
      <w:marLeft w:val="0"/>
      <w:marRight w:val="0"/>
      <w:marTop w:val="0"/>
      <w:marBottom w:val="0"/>
      <w:divBdr>
        <w:top w:val="none" w:sz="0" w:space="0" w:color="auto"/>
        <w:left w:val="none" w:sz="0" w:space="0" w:color="auto"/>
        <w:bottom w:val="none" w:sz="0" w:space="0" w:color="auto"/>
        <w:right w:val="none" w:sz="0" w:space="0" w:color="auto"/>
      </w:divBdr>
    </w:div>
    <w:div w:id="460730473">
      <w:bodyDiv w:val="1"/>
      <w:marLeft w:val="0"/>
      <w:marRight w:val="0"/>
      <w:marTop w:val="0"/>
      <w:marBottom w:val="0"/>
      <w:divBdr>
        <w:top w:val="none" w:sz="0" w:space="0" w:color="auto"/>
        <w:left w:val="none" w:sz="0" w:space="0" w:color="auto"/>
        <w:bottom w:val="none" w:sz="0" w:space="0" w:color="auto"/>
        <w:right w:val="none" w:sz="0" w:space="0" w:color="auto"/>
      </w:divBdr>
    </w:div>
    <w:div w:id="461387523">
      <w:bodyDiv w:val="1"/>
      <w:marLeft w:val="0"/>
      <w:marRight w:val="0"/>
      <w:marTop w:val="0"/>
      <w:marBottom w:val="0"/>
      <w:divBdr>
        <w:top w:val="none" w:sz="0" w:space="0" w:color="auto"/>
        <w:left w:val="none" w:sz="0" w:space="0" w:color="auto"/>
        <w:bottom w:val="none" w:sz="0" w:space="0" w:color="auto"/>
        <w:right w:val="none" w:sz="0" w:space="0" w:color="auto"/>
      </w:divBdr>
    </w:div>
    <w:div w:id="575434405">
      <w:bodyDiv w:val="1"/>
      <w:marLeft w:val="0"/>
      <w:marRight w:val="0"/>
      <w:marTop w:val="0"/>
      <w:marBottom w:val="0"/>
      <w:divBdr>
        <w:top w:val="none" w:sz="0" w:space="0" w:color="auto"/>
        <w:left w:val="none" w:sz="0" w:space="0" w:color="auto"/>
        <w:bottom w:val="none" w:sz="0" w:space="0" w:color="auto"/>
        <w:right w:val="none" w:sz="0" w:space="0" w:color="auto"/>
      </w:divBdr>
    </w:div>
    <w:div w:id="607927946">
      <w:bodyDiv w:val="1"/>
      <w:marLeft w:val="0"/>
      <w:marRight w:val="0"/>
      <w:marTop w:val="0"/>
      <w:marBottom w:val="0"/>
      <w:divBdr>
        <w:top w:val="none" w:sz="0" w:space="0" w:color="auto"/>
        <w:left w:val="none" w:sz="0" w:space="0" w:color="auto"/>
        <w:bottom w:val="none" w:sz="0" w:space="0" w:color="auto"/>
        <w:right w:val="none" w:sz="0" w:space="0" w:color="auto"/>
      </w:divBdr>
      <w:divsChild>
        <w:div w:id="850022250">
          <w:marLeft w:val="0"/>
          <w:marRight w:val="0"/>
          <w:marTop w:val="0"/>
          <w:marBottom w:val="0"/>
          <w:divBdr>
            <w:top w:val="none" w:sz="0" w:space="0" w:color="auto"/>
            <w:left w:val="none" w:sz="0" w:space="0" w:color="auto"/>
            <w:bottom w:val="none" w:sz="0" w:space="0" w:color="auto"/>
            <w:right w:val="none" w:sz="0" w:space="0" w:color="auto"/>
          </w:divBdr>
          <w:divsChild>
            <w:div w:id="556169316">
              <w:marLeft w:val="0"/>
              <w:marRight w:val="0"/>
              <w:marTop w:val="0"/>
              <w:marBottom w:val="0"/>
              <w:divBdr>
                <w:top w:val="none" w:sz="0" w:space="0" w:color="auto"/>
                <w:left w:val="none" w:sz="0" w:space="0" w:color="auto"/>
                <w:bottom w:val="none" w:sz="0" w:space="0" w:color="auto"/>
                <w:right w:val="none" w:sz="0" w:space="0" w:color="auto"/>
              </w:divBdr>
              <w:divsChild>
                <w:div w:id="281882465">
                  <w:marLeft w:val="0"/>
                  <w:marRight w:val="0"/>
                  <w:marTop w:val="0"/>
                  <w:marBottom w:val="0"/>
                  <w:divBdr>
                    <w:top w:val="none" w:sz="0" w:space="0" w:color="auto"/>
                    <w:left w:val="none" w:sz="0" w:space="0" w:color="auto"/>
                    <w:bottom w:val="none" w:sz="0" w:space="0" w:color="auto"/>
                    <w:right w:val="none" w:sz="0" w:space="0" w:color="auto"/>
                  </w:divBdr>
                  <w:divsChild>
                    <w:div w:id="665787151">
                      <w:marLeft w:val="0"/>
                      <w:marRight w:val="0"/>
                      <w:marTop w:val="0"/>
                      <w:marBottom w:val="0"/>
                      <w:divBdr>
                        <w:top w:val="none" w:sz="0" w:space="0" w:color="auto"/>
                        <w:left w:val="none" w:sz="0" w:space="0" w:color="auto"/>
                        <w:bottom w:val="none" w:sz="0" w:space="0" w:color="auto"/>
                        <w:right w:val="none" w:sz="0" w:space="0" w:color="auto"/>
                      </w:divBdr>
                      <w:divsChild>
                        <w:div w:id="959649044">
                          <w:marLeft w:val="0"/>
                          <w:marRight w:val="0"/>
                          <w:marTop w:val="150"/>
                          <w:marBottom w:val="0"/>
                          <w:divBdr>
                            <w:top w:val="none" w:sz="0" w:space="0" w:color="auto"/>
                            <w:left w:val="none" w:sz="0" w:space="0" w:color="auto"/>
                            <w:bottom w:val="none" w:sz="0" w:space="0" w:color="auto"/>
                            <w:right w:val="none" w:sz="0" w:space="0" w:color="auto"/>
                          </w:divBdr>
                          <w:divsChild>
                            <w:div w:id="1542665418">
                              <w:marLeft w:val="0"/>
                              <w:marRight w:val="0"/>
                              <w:marTop w:val="0"/>
                              <w:marBottom w:val="0"/>
                              <w:divBdr>
                                <w:top w:val="none" w:sz="0" w:space="0" w:color="auto"/>
                                <w:left w:val="none" w:sz="0" w:space="0" w:color="auto"/>
                                <w:bottom w:val="none" w:sz="0" w:space="0" w:color="auto"/>
                                <w:right w:val="none" w:sz="0" w:space="0" w:color="auto"/>
                              </w:divBdr>
                              <w:divsChild>
                                <w:div w:id="355693972">
                                  <w:marLeft w:val="0"/>
                                  <w:marRight w:val="0"/>
                                  <w:marTop w:val="0"/>
                                  <w:marBottom w:val="0"/>
                                  <w:divBdr>
                                    <w:top w:val="none" w:sz="0" w:space="0" w:color="auto"/>
                                    <w:left w:val="none" w:sz="0" w:space="0" w:color="auto"/>
                                    <w:bottom w:val="none" w:sz="0" w:space="0" w:color="auto"/>
                                    <w:right w:val="none" w:sz="0" w:space="0" w:color="auto"/>
                                  </w:divBdr>
                                  <w:divsChild>
                                    <w:div w:id="1020623427">
                                      <w:marLeft w:val="0"/>
                                      <w:marRight w:val="0"/>
                                      <w:marTop w:val="0"/>
                                      <w:marBottom w:val="0"/>
                                      <w:divBdr>
                                        <w:top w:val="none" w:sz="0" w:space="0" w:color="auto"/>
                                        <w:left w:val="none" w:sz="0" w:space="0" w:color="auto"/>
                                        <w:bottom w:val="none" w:sz="0" w:space="0" w:color="auto"/>
                                        <w:right w:val="none" w:sz="0" w:space="0" w:color="auto"/>
                                      </w:divBdr>
                                      <w:divsChild>
                                        <w:div w:id="1049308148">
                                          <w:marLeft w:val="0"/>
                                          <w:marRight w:val="0"/>
                                          <w:marTop w:val="0"/>
                                          <w:marBottom w:val="0"/>
                                          <w:divBdr>
                                            <w:top w:val="none" w:sz="0" w:space="0" w:color="auto"/>
                                            <w:left w:val="none" w:sz="0" w:space="0" w:color="auto"/>
                                            <w:bottom w:val="none" w:sz="0" w:space="0" w:color="auto"/>
                                            <w:right w:val="none" w:sz="0" w:space="0" w:color="auto"/>
                                          </w:divBdr>
                                          <w:divsChild>
                                            <w:div w:id="2060124732">
                                              <w:marLeft w:val="0"/>
                                              <w:marRight w:val="0"/>
                                              <w:marTop w:val="0"/>
                                              <w:marBottom w:val="0"/>
                                              <w:divBdr>
                                                <w:top w:val="none" w:sz="0" w:space="0" w:color="auto"/>
                                                <w:left w:val="none" w:sz="0" w:space="0" w:color="auto"/>
                                                <w:bottom w:val="none" w:sz="0" w:space="0" w:color="auto"/>
                                                <w:right w:val="none" w:sz="0" w:space="0" w:color="auto"/>
                                              </w:divBdr>
                                              <w:divsChild>
                                                <w:div w:id="1241257141">
                                                  <w:marLeft w:val="0"/>
                                                  <w:marRight w:val="0"/>
                                                  <w:marTop w:val="0"/>
                                                  <w:marBottom w:val="0"/>
                                                  <w:divBdr>
                                                    <w:top w:val="none" w:sz="0" w:space="0" w:color="auto"/>
                                                    <w:left w:val="none" w:sz="0" w:space="0" w:color="auto"/>
                                                    <w:bottom w:val="none" w:sz="0" w:space="0" w:color="auto"/>
                                                    <w:right w:val="none" w:sz="0" w:space="0" w:color="auto"/>
                                                  </w:divBdr>
                                                  <w:divsChild>
                                                    <w:div w:id="581329241">
                                                      <w:marLeft w:val="0"/>
                                                      <w:marRight w:val="0"/>
                                                      <w:marTop w:val="0"/>
                                                      <w:marBottom w:val="0"/>
                                                      <w:divBdr>
                                                        <w:top w:val="none" w:sz="0" w:space="0" w:color="auto"/>
                                                        <w:left w:val="none" w:sz="0" w:space="0" w:color="auto"/>
                                                        <w:bottom w:val="none" w:sz="0" w:space="0" w:color="auto"/>
                                                        <w:right w:val="none" w:sz="0" w:space="0" w:color="auto"/>
                                                      </w:divBdr>
                                                      <w:divsChild>
                                                        <w:div w:id="206570183">
                                                          <w:marLeft w:val="0"/>
                                                          <w:marRight w:val="0"/>
                                                          <w:marTop w:val="0"/>
                                                          <w:marBottom w:val="0"/>
                                                          <w:divBdr>
                                                            <w:top w:val="none" w:sz="0" w:space="0" w:color="auto"/>
                                                            <w:left w:val="none" w:sz="0" w:space="0" w:color="auto"/>
                                                            <w:bottom w:val="none" w:sz="0" w:space="0" w:color="auto"/>
                                                            <w:right w:val="none" w:sz="0" w:space="0" w:color="auto"/>
                                                          </w:divBdr>
                                                          <w:divsChild>
                                                            <w:div w:id="462773388">
                                                              <w:marLeft w:val="0"/>
                                                              <w:marRight w:val="0"/>
                                                              <w:marTop w:val="0"/>
                                                              <w:marBottom w:val="0"/>
                                                              <w:divBdr>
                                                                <w:top w:val="none" w:sz="0" w:space="0" w:color="auto"/>
                                                                <w:left w:val="none" w:sz="0" w:space="0" w:color="auto"/>
                                                                <w:bottom w:val="none" w:sz="0" w:space="0" w:color="auto"/>
                                                                <w:right w:val="none" w:sz="0" w:space="0" w:color="auto"/>
                                                              </w:divBdr>
                                                              <w:divsChild>
                                                                <w:div w:id="1824925186">
                                                                  <w:marLeft w:val="0"/>
                                                                  <w:marRight w:val="0"/>
                                                                  <w:marTop w:val="0"/>
                                                                  <w:marBottom w:val="0"/>
                                                                  <w:divBdr>
                                                                    <w:top w:val="none" w:sz="0" w:space="0" w:color="auto"/>
                                                                    <w:left w:val="none" w:sz="0" w:space="0" w:color="auto"/>
                                                                    <w:bottom w:val="none" w:sz="0" w:space="0" w:color="auto"/>
                                                                    <w:right w:val="none" w:sz="0" w:space="0" w:color="auto"/>
                                                                  </w:divBdr>
                                                                  <w:divsChild>
                                                                    <w:div w:id="706687569">
                                                                      <w:marLeft w:val="0"/>
                                                                      <w:marRight w:val="0"/>
                                                                      <w:marTop w:val="0"/>
                                                                      <w:marBottom w:val="0"/>
                                                                      <w:divBdr>
                                                                        <w:top w:val="none" w:sz="0" w:space="0" w:color="auto"/>
                                                                        <w:left w:val="none" w:sz="0" w:space="0" w:color="auto"/>
                                                                        <w:bottom w:val="none" w:sz="0" w:space="0" w:color="auto"/>
                                                                        <w:right w:val="none" w:sz="0" w:space="0" w:color="auto"/>
                                                                      </w:divBdr>
                                                                      <w:divsChild>
                                                                        <w:div w:id="2279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4213952">
      <w:bodyDiv w:val="1"/>
      <w:marLeft w:val="0"/>
      <w:marRight w:val="0"/>
      <w:marTop w:val="0"/>
      <w:marBottom w:val="0"/>
      <w:divBdr>
        <w:top w:val="none" w:sz="0" w:space="0" w:color="auto"/>
        <w:left w:val="none" w:sz="0" w:space="0" w:color="auto"/>
        <w:bottom w:val="none" w:sz="0" w:space="0" w:color="auto"/>
        <w:right w:val="none" w:sz="0" w:space="0" w:color="auto"/>
      </w:divBdr>
    </w:div>
    <w:div w:id="714816181">
      <w:bodyDiv w:val="1"/>
      <w:marLeft w:val="0"/>
      <w:marRight w:val="0"/>
      <w:marTop w:val="0"/>
      <w:marBottom w:val="0"/>
      <w:divBdr>
        <w:top w:val="none" w:sz="0" w:space="0" w:color="auto"/>
        <w:left w:val="none" w:sz="0" w:space="0" w:color="auto"/>
        <w:bottom w:val="none" w:sz="0" w:space="0" w:color="auto"/>
        <w:right w:val="none" w:sz="0" w:space="0" w:color="auto"/>
      </w:divBdr>
    </w:div>
    <w:div w:id="754321380">
      <w:bodyDiv w:val="1"/>
      <w:marLeft w:val="0"/>
      <w:marRight w:val="0"/>
      <w:marTop w:val="0"/>
      <w:marBottom w:val="0"/>
      <w:divBdr>
        <w:top w:val="none" w:sz="0" w:space="0" w:color="auto"/>
        <w:left w:val="none" w:sz="0" w:space="0" w:color="auto"/>
        <w:bottom w:val="none" w:sz="0" w:space="0" w:color="auto"/>
        <w:right w:val="none" w:sz="0" w:space="0" w:color="auto"/>
      </w:divBdr>
    </w:div>
    <w:div w:id="814033623">
      <w:bodyDiv w:val="1"/>
      <w:marLeft w:val="0"/>
      <w:marRight w:val="0"/>
      <w:marTop w:val="0"/>
      <w:marBottom w:val="0"/>
      <w:divBdr>
        <w:top w:val="none" w:sz="0" w:space="0" w:color="auto"/>
        <w:left w:val="none" w:sz="0" w:space="0" w:color="auto"/>
        <w:bottom w:val="none" w:sz="0" w:space="0" w:color="auto"/>
        <w:right w:val="none" w:sz="0" w:space="0" w:color="auto"/>
      </w:divBdr>
    </w:div>
    <w:div w:id="932324286">
      <w:bodyDiv w:val="1"/>
      <w:marLeft w:val="0"/>
      <w:marRight w:val="0"/>
      <w:marTop w:val="0"/>
      <w:marBottom w:val="0"/>
      <w:divBdr>
        <w:top w:val="none" w:sz="0" w:space="0" w:color="auto"/>
        <w:left w:val="none" w:sz="0" w:space="0" w:color="auto"/>
        <w:bottom w:val="none" w:sz="0" w:space="0" w:color="auto"/>
        <w:right w:val="none" w:sz="0" w:space="0" w:color="auto"/>
      </w:divBdr>
    </w:div>
    <w:div w:id="968626350">
      <w:bodyDiv w:val="1"/>
      <w:marLeft w:val="0"/>
      <w:marRight w:val="0"/>
      <w:marTop w:val="0"/>
      <w:marBottom w:val="0"/>
      <w:divBdr>
        <w:top w:val="none" w:sz="0" w:space="0" w:color="auto"/>
        <w:left w:val="none" w:sz="0" w:space="0" w:color="auto"/>
        <w:bottom w:val="none" w:sz="0" w:space="0" w:color="auto"/>
        <w:right w:val="none" w:sz="0" w:space="0" w:color="auto"/>
      </w:divBdr>
    </w:div>
    <w:div w:id="1045570462">
      <w:bodyDiv w:val="1"/>
      <w:marLeft w:val="0"/>
      <w:marRight w:val="0"/>
      <w:marTop w:val="0"/>
      <w:marBottom w:val="0"/>
      <w:divBdr>
        <w:top w:val="none" w:sz="0" w:space="0" w:color="auto"/>
        <w:left w:val="none" w:sz="0" w:space="0" w:color="auto"/>
        <w:bottom w:val="none" w:sz="0" w:space="0" w:color="auto"/>
        <w:right w:val="none" w:sz="0" w:space="0" w:color="auto"/>
      </w:divBdr>
    </w:div>
    <w:div w:id="1061368972">
      <w:bodyDiv w:val="1"/>
      <w:marLeft w:val="0"/>
      <w:marRight w:val="0"/>
      <w:marTop w:val="0"/>
      <w:marBottom w:val="0"/>
      <w:divBdr>
        <w:top w:val="none" w:sz="0" w:space="0" w:color="auto"/>
        <w:left w:val="none" w:sz="0" w:space="0" w:color="auto"/>
        <w:bottom w:val="none" w:sz="0" w:space="0" w:color="auto"/>
        <w:right w:val="none" w:sz="0" w:space="0" w:color="auto"/>
      </w:divBdr>
    </w:div>
    <w:div w:id="1096756206">
      <w:bodyDiv w:val="1"/>
      <w:marLeft w:val="0"/>
      <w:marRight w:val="0"/>
      <w:marTop w:val="0"/>
      <w:marBottom w:val="0"/>
      <w:divBdr>
        <w:top w:val="none" w:sz="0" w:space="0" w:color="auto"/>
        <w:left w:val="none" w:sz="0" w:space="0" w:color="auto"/>
        <w:bottom w:val="none" w:sz="0" w:space="0" w:color="auto"/>
        <w:right w:val="none" w:sz="0" w:space="0" w:color="auto"/>
      </w:divBdr>
    </w:div>
    <w:div w:id="1105732180">
      <w:bodyDiv w:val="1"/>
      <w:marLeft w:val="0"/>
      <w:marRight w:val="0"/>
      <w:marTop w:val="0"/>
      <w:marBottom w:val="0"/>
      <w:divBdr>
        <w:top w:val="none" w:sz="0" w:space="0" w:color="auto"/>
        <w:left w:val="none" w:sz="0" w:space="0" w:color="auto"/>
        <w:bottom w:val="none" w:sz="0" w:space="0" w:color="auto"/>
        <w:right w:val="none" w:sz="0" w:space="0" w:color="auto"/>
      </w:divBdr>
    </w:div>
    <w:div w:id="1112699578">
      <w:bodyDiv w:val="1"/>
      <w:marLeft w:val="0"/>
      <w:marRight w:val="0"/>
      <w:marTop w:val="0"/>
      <w:marBottom w:val="0"/>
      <w:divBdr>
        <w:top w:val="none" w:sz="0" w:space="0" w:color="auto"/>
        <w:left w:val="none" w:sz="0" w:space="0" w:color="auto"/>
        <w:bottom w:val="none" w:sz="0" w:space="0" w:color="auto"/>
        <w:right w:val="none" w:sz="0" w:space="0" w:color="auto"/>
      </w:divBdr>
    </w:div>
    <w:div w:id="1131288496">
      <w:bodyDiv w:val="1"/>
      <w:marLeft w:val="0"/>
      <w:marRight w:val="0"/>
      <w:marTop w:val="0"/>
      <w:marBottom w:val="0"/>
      <w:divBdr>
        <w:top w:val="none" w:sz="0" w:space="0" w:color="auto"/>
        <w:left w:val="none" w:sz="0" w:space="0" w:color="auto"/>
        <w:bottom w:val="none" w:sz="0" w:space="0" w:color="auto"/>
        <w:right w:val="none" w:sz="0" w:space="0" w:color="auto"/>
      </w:divBdr>
    </w:div>
    <w:div w:id="1216622994">
      <w:bodyDiv w:val="1"/>
      <w:marLeft w:val="0"/>
      <w:marRight w:val="0"/>
      <w:marTop w:val="0"/>
      <w:marBottom w:val="0"/>
      <w:divBdr>
        <w:top w:val="none" w:sz="0" w:space="0" w:color="auto"/>
        <w:left w:val="none" w:sz="0" w:space="0" w:color="auto"/>
        <w:bottom w:val="none" w:sz="0" w:space="0" w:color="auto"/>
        <w:right w:val="none" w:sz="0" w:space="0" w:color="auto"/>
      </w:divBdr>
    </w:div>
    <w:div w:id="1228803273">
      <w:bodyDiv w:val="1"/>
      <w:marLeft w:val="0"/>
      <w:marRight w:val="0"/>
      <w:marTop w:val="0"/>
      <w:marBottom w:val="0"/>
      <w:divBdr>
        <w:top w:val="none" w:sz="0" w:space="0" w:color="auto"/>
        <w:left w:val="none" w:sz="0" w:space="0" w:color="auto"/>
        <w:bottom w:val="none" w:sz="0" w:space="0" w:color="auto"/>
        <w:right w:val="none" w:sz="0" w:space="0" w:color="auto"/>
      </w:divBdr>
    </w:div>
    <w:div w:id="1249265688">
      <w:bodyDiv w:val="1"/>
      <w:marLeft w:val="0"/>
      <w:marRight w:val="0"/>
      <w:marTop w:val="0"/>
      <w:marBottom w:val="0"/>
      <w:divBdr>
        <w:top w:val="none" w:sz="0" w:space="0" w:color="auto"/>
        <w:left w:val="none" w:sz="0" w:space="0" w:color="auto"/>
        <w:bottom w:val="none" w:sz="0" w:space="0" w:color="auto"/>
        <w:right w:val="none" w:sz="0" w:space="0" w:color="auto"/>
      </w:divBdr>
    </w:div>
    <w:div w:id="1252543980">
      <w:bodyDiv w:val="1"/>
      <w:marLeft w:val="0"/>
      <w:marRight w:val="0"/>
      <w:marTop w:val="0"/>
      <w:marBottom w:val="0"/>
      <w:divBdr>
        <w:top w:val="none" w:sz="0" w:space="0" w:color="auto"/>
        <w:left w:val="none" w:sz="0" w:space="0" w:color="auto"/>
        <w:bottom w:val="none" w:sz="0" w:space="0" w:color="auto"/>
        <w:right w:val="none" w:sz="0" w:space="0" w:color="auto"/>
      </w:divBdr>
    </w:div>
    <w:div w:id="1292201186">
      <w:bodyDiv w:val="1"/>
      <w:marLeft w:val="0"/>
      <w:marRight w:val="0"/>
      <w:marTop w:val="0"/>
      <w:marBottom w:val="0"/>
      <w:divBdr>
        <w:top w:val="none" w:sz="0" w:space="0" w:color="auto"/>
        <w:left w:val="none" w:sz="0" w:space="0" w:color="auto"/>
        <w:bottom w:val="none" w:sz="0" w:space="0" w:color="auto"/>
        <w:right w:val="none" w:sz="0" w:space="0" w:color="auto"/>
      </w:divBdr>
    </w:div>
    <w:div w:id="1316103323">
      <w:bodyDiv w:val="1"/>
      <w:marLeft w:val="0"/>
      <w:marRight w:val="0"/>
      <w:marTop w:val="0"/>
      <w:marBottom w:val="0"/>
      <w:divBdr>
        <w:top w:val="none" w:sz="0" w:space="0" w:color="auto"/>
        <w:left w:val="none" w:sz="0" w:space="0" w:color="auto"/>
        <w:bottom w:val="none" w:sz="0" w:space="0" w:color="auto"/>
        <w:right w:val="none" w:sz="0" w:space="0" w:color="auto"/>
      </w:divBdr>
    </w:div>
    <w:div w:id="1389373861">
      <w:bodyDiv w:val="1"/>
      <w:marLeft w:val="0"/>
      <w:marRight w:val="0"/>
      <w:marTop w:val="0"/>
      <w:marBottom w:val="0"/>
      <w:divBdr>
        <w:top w:val="none" w:sz="0" w:space="0" w:color="auto"/>
        <w:left w:val="none" w:sz="0" w:space="0" w:color="auto"/>
        <w:bottom w:val="none" w:sz="0" w:space="0" w:color="auto"/>
        <w:right w:val="none" w:sz="0" w:space="0" w:color="auto"/>
      </w:divBdr>
    </w:div>
    <w:div w:id="1414551358">
      <w:bodyDiv w:val="1"/>
      <w:marLeft w:val="0"/>
      <w:marRight w:val="0"/>
      <w:marTop w:val="0"/>
      <w:marBottom w:val="0"/>
      <w:divBdr>
        <w:top w:val="none" w:sz="0" w:space="0" w:color="auto"/>
        <w:left w:val="none" w:sz="0" w:space="0" w:color="auto"/>
        <w:bottom w:val="none" w:sz="0" w:space="0" w:color="auto"/>
        <w:right w:val="none" w:sz="0" w:space="0" w:color="auto"/>
      </w:divBdr>
    </w:div>
    <w:div w:id="1430467448">
      <w:bodyDiv w:val="1"/>
      <w:marLeft w:val="0"/>
      <w:marRight w:val="0"/>
      <w:marTop w:val="0"/>
      <w:marBottom w:val="0"/>
      <w:divBdr>
        <w:top w:val="none" w:sz="0" w:space="0" w:color="auto"/>
        <w:left w:val="none" w:sz="0" w:space="0" w:color="auto"/>
        <w:bottom w:val="none" w:sz="0" w:space="0" w:color="auto"/>
        <w:right w:val="none" w:sz="0" w:space="0" w:color="auto"/>
      </w:divBdr>
    </w:div>
    <w:div w:id="1503470744">
      <w:bodyDiv w:val="1"/>
      <w:marLeft w:val="0"/>
      <w:marRight w:val="0"/>
      <w:marTop w:val="0"/>
      <w:marBottom w:val="0"/>
      <w:divBdr>
        <w:top w:val="none" w:sz="0" w:space="0" w:color="auto"/>
        <w:left w:val="none" w:sz="0" w:space="0" w:color="auto"/>
        <w:bottom w:val="none" w:sz="0" w:space="0" w:color="auto"/>
        <w:right w:val="none" w:sz="0" w:space="0" w:color="auto"/>
      </w:divBdr>
    </w:div>
    <w:div w:id="1556895582">
      <w:bodyDiv w:val="1"/>
      <w:marLeft w:val="0"/>
      <w:marRight w:val="0"/>
      <w:marTop w:val="0"/>
      <w:marBottom w:val="0"/>
      <w:divBdr>
        <w:top w:val="none" w:sz="0" w:space="0" w:color="auto"/>
        <w:left w:val="none" w:sz="0" w:space="0" w:color="auto"/>
        <w:bottom w:val="none" w:sz="0" w:space="0" w:color="auto"/>
        <w:right w:val="none" w:sz="0" w:space="0" w:color="auto"/>
      </w:divBdr>
    </w:div>
    <w:div w:id="1562247636">
      <w:bodyDiv w:val="1"/>
      <w:marLeft w:val="0"/>
      <w:marRight w:val="0"/>
      <w:marTop w:val="0"/>
      <w:marBottom w:val="0"/>
      <w:divBdr>
        <w:top w:val="none" w:sz="0" w:space="0" w:color="auto"/>
        <w:left w:val="none" w:sz="0" w:space="0" w:color="auto"/>
        <w:bottom w:val="none" w:sz="0" w:space="0" w:color="auto"/>
        <w:right w:val="none" w:sz="0" w:space="0" w:color="auto"/>
      </w:divBdr>
    </w:div>
    <w:div w:id="1681808957">
      <w:bodyDiv w:val="1"/>
      <w:marLeft w:val="0"/>
      <w:marRight w:val="0"/>
      <w:marTop w:val="0"/>
      <w:marBottom w:val="0"/>
      <w:divBdr>
        <w:top w:val="none" w:sz="0" w:space="0" w:color="auto"/>
        <w:left w:val="none" w:sz="0" w:space="0" w:color="auto"/>
        <w:bottom w:val="none" w:sz="0" w:space="0" w:color="auto"/>
        <w:right w:val="none" w:sz="0" w:space="0" w:color="auto"/>
      </w:divBdr>
    </w:div>
    <w:div w:id="1698578156">
      <w:bodyDiv w:val="1"/>
      <w:marLeft w:val="0"/>
      <w:marRight w:val="0"/>
      <w:marTop w:val="0"/>
      <w:marBottom w:val="0"/>
      <w:divBdr>
        <w:top w:val="none" w:sz="0" w:space="0" w:color="auto"/>
        <w:left w:val="none" w:sz="0" w:space="0" w:color="auto"/>
        <w:bottom w:val="none" w:sz="0" w:space="0" w:color="auto"/>
        <w:right w:val="none" w:sz="0" w:space="0" w:color="auto"/>
      </w:divBdr>
    </w:div>
    <w:div w:id="1851219288">
      <w:bodyDiv w:val="1"/>
      <w:marLeft w:val="0"/>
      <w:marRight w:val="0"/>
      <w:marTop w:val="0"/>
      <w:marBottom w:val="0"/>
      <w:divBdr>
        <w:top w:val="none" w:sz="0" w:space="0" w:color="auto"/>
        <w:left w:val="none" w:sz="0" w:space="0" w:color="auto"/>
        <w:bottom w:val="none" w:sz="0" w:space="0" w:color="auto"/>
        <w:right w:val="none" w:sz="0" w:space="0" w:color="auto"/>
      </w:divBdr>
    </w:div>
    <w:div w:id="1853564359">
      <w:bodyDiv w:val="1"/>
      <w:marLeft w:val="0"/>
      <w:marRight w:val="0"/>
      <w:marTop w:val="0"/>
      <w:marBottom w:val="0"/>
      <w:divBdr>
        <w:top w:val="none" w:sz="0" w:space="0" w:color="auto"/>
        <w:left w:val="none" w:sz="0" w:space="0" w:color="auto"/>
        <w:bottom w:val="none" w:sz="0" w:space="0" w:color="auto"/>
        <w:right w:val="none" w:sz="0" w:space="0" w:color="auto"/>
      </w:divBdr>
    </w:div>
    <w:div w:id="1857964245">
      <w:bodyDiv w:val="1"/>
      <w:marLeft w:val="0"/>
      <w:marRight w:val="0"/>
      <w:marTop w:val="0"/>
      <w:marBottom w:val="0"/>
      <w:divBdr>
        <w:top w:val="none" w:sz="0" w:space="0" w:color="auto"/>
        <w:left w:val="none" w:sz="0" w:space="0" w:color="auto"/>
        <w:bottom w:val="none" w:sz="0" w:space="0" w:color="auto"/>
        <w:right w:val="none" w:sz="0" w:space="0" w:color="auto"/>
      </w:divBdr>
    </w:div>
    <w:div w:id="1946574416">
      <w:bodyDiv w:val="1"/>
      <w:marLeft w:val="0"/>
      <w:marRight w:val="0"/>
      <w:marTop w:val="0"/>
      <w:marBottom w:val="0"/>
      <w:divBdr>
        <w:top w:val="none" w:sz="0" w:space="0" w:color="auto"/>
        <w:left w:val="none" w:sz="0" w:space="0" w:color="auto"/>
        <w:bottom w:val="none" w:sz="0" w:space="0" w:color="auto"/>
        <w:right w:val="none" w:sz="0" w:space="0" w:color="auto"/>
      </w:divBdr>
    </w:div>
    <w:div w:id="2044744286">
      <w:bodyDiv w:val="1"/>
      <w:marLeft w:val="0"/>
      <w:marRight w:val="0"/>
      <w:marTop w:val="0"/>
      <w:marBottom w:val="0"/>
      <w:divBdr>
        <w:top w:val="none" w:sz="0" w:space="0" w:color="auto"/>
        <w:left w:val="none" w:sz="0" w:space="0" w:color="auto"/>
        <w:bottom w:val="none" w:sz="0" w:space="0" w:color="auto"/>
        <w:right w:val="none" w:sz="0" w:space="0" w:color="auto"/>
      </w:divBdr>
    </w:div>
    <w:div w:id="2047755262">
      <w:bodyDiv w:val="1"/>
      <w:marLeft w:val="0"/>
      <w:marRight w:val="0"/>
      <w:marTop w:val="0"/>
      <w:marBottom w:val="0"/>
      <w:divBdr>
        <w:top w:val="none" w:sz="0" w:space="0" w:color="auto"/>
        <w:left w:val="none" w:sz="0" w:space="0" w:color="auto"/>
        <w:bottom w:val="none" w:sz="0" w:space="0" w:color="auto"/>
        <w:right w:val="none" w:sz="0" w:space="0" w:color="auto"/>
      </w:divBdr>
    </w:div>
    <w:div w:id="2094424862">
      <w:bodyDiv w:val="1"/>
      <w:marLeft w:val="0"/>
      <w:marRight w:val="0"/>
      <w:marTop w:val="0"/>
      <w:marBottom w:val="0"/>
      <w:divBdr>
        <w:top w:val="none" w:sz="0" w:space="0" w:color="auto"/>
        <w:left w:val="none" w:sz="0" w:space="0" w:color="auto"/>
        <w:bottom w:val="none" w:sz="0" w:space="0" w:color="auto"/>
        <w:right w:val="none" w:sz="0" w:space="0" w:color="auto"/>
      </w:divBdr>
    </w:div>
    <w:div w:id="2101676981">
      <w:bodyDiv w:val="1"/>
      <w:marLeft w:val="0"/>
      <w:marRight w:val="0"/>
      <w:marTop w:val="0"/>
      <w:marBottom w:val="0"/>
      <w:divBdr>
        <w:top w:val="none" w:sz="0" w:space="0" w:color="auto"/>
        <w:left w:val="none" w:sz="0" w:space="0" w:color="auto"/>
        <w:bottom w:val="none" w:sz="0" w:space="0" w:color="auto"/>
        <w:right w:val="none" w:sz="0" w:space="0" w:color="auto"/>
      </w:divBdr>
    </w:div>
    <w:div w:id="210228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health/sites/health/files/programme/docs/wp2015_en.pdf" TargetMode="External"/><Relationship Id="rId2" Type="http://schemas.openxmlformats.org/officeDocument/2006/relationships/hyperlink" Target="https://eur-lex.europa.eu/legal-content/EN/TXT/PDF/?uri=CELEX:32014D0927&amp;from=EN" TargetMode="External"/><Relationship Id="rId1" Type="http://schemas.openxmlformats.org/officeDocument/2006/relationships/hyperlink" Target="https://ec.europa.eu/health/sites/health/files/programme/docs/wp2015_amendment_en.pdf" TargetMode="External"/><Relationship Id="rId4" Type="http://schemas.openxmlformats.org/officeDocument/2006/relationships/hyperlink" Target="https://ec.europa.eu/health/sites/health/files/programmes/docs/wp2015_en.pdf" TargetMode="External"/></Relationships>
</file>

<file path=word/_rels/header5.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721BE-018D-4EF9-BD95-6E05B38C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2589</Words>
  <Characters>14447</Characters>
  <Application>Microsoft Office Word</Application>
  <DocSecurity>0</DocSecurity>
  <Lines>294</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DIGIT/C6</cp:lastModifiedBy>
  <cp:revision>17</cp:revision>
  <cp:lastPrinted>2018-09-18T12:21:00Z</cp:lastPrinted>
  <dcterms:created xsi:type="dcterms:W3CDTF">2018-11-16T14:23:00Z</dcterms:created>
  <dcterms:modified xsi:type="dcterms:W3CDTF">2018-12-12T09:39:00Z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Created using">
    <vt:lpwstr>LW 6.0.1, Build 20180503</vt:lpwstr>
  </property>
</Properties>
</file>