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06B" w:rsidRDefault="005E3AF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823EF16-7E55-4069-9D47-76F59D797F1E" style="width:450pt;height:348pt">
            <v:imagedata r:id="rId8" o:title=""/>
          </v:shape>
        </w:pict>
      </w:r>
    </w:p>
    <w:bookmarkEnd w:id="0"/>
    <w:p w:rsidR="0058506B" w:rsidRDefault="0058506B">
      <w:pPr>
        <w:rPr>
          <w:noProof/>
        </w:rPr>
        <w:sectPr w:rsidR="0058506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58506B" w:rsidRDefault="005E3AFA">
      <w:pPr>
        <w:pStyle w:val="Typedudocument"/>
        <w:rPr>
          <w:noProof/>
        </w:rPr>
      </w:pPr>
      <w:r>
        <w:rPr>
          <w:noProof/>
        </w:rPr>
        <w:lastRenderedPageBreak/>
        <w:t>MEDDELANDE FRÅN KOMMISSIONEN MEDDELANDE FRÅN KOMMISSIONEN TILL EUROPAPARLAMENTET, EUROPEISKA RÅDET, RÅDET OCH EUROPEISKA CENTRALBANKEN</w:t>
      </w:r>
    </w:p>
    <w:p w:rsidR="0058506B" w:rsidRDefault="005E3AFA">
      <w:pPr>
        <w:pStyle w:val="Titreobjet"/>
        <w:rPr>
          <w:noProof/>
        </w:rPr>
      </w:pPr>
      <w:r>
        <w:rPr>
          <w:noProof/>
        </w:rPr>
        <w:t xml:space="preserve">Tredje </w:t>
      </w:r>
      <w:r>
        <w:rPr>
          <w:noProof/>
        </w:rPr>
        <w:t>lägesrapporten om minskning av nödlidande lån och ytterligare riskminskning i bankunionen</w:t>
      </w:r>
    </w:p>
    <w:p w:rsidR="0058506B" w:rsidRDefault="0058506B">
      <w:pPr>
        <w:jc w:val="center"/>
        <w:rPr>
          <w:noProof/>
        </w:rPr>
      </w:pPr>
    </w:p>
    <w:p w:rsidR="0058506B" w:rsidRDefault="005E3AFA">
      <w:pPr>
        <w:pStyle w:val="Heading1"/>
        <w:numPr>
          <w:ilvl w:val="0"/>
          <w:numId w:val="0"/>
        </w:numPr>
        <w:spacing w:before="360"/>
        <w:rPr>
          <w:rFonts w:ascii="Times New Roman" w:hAnsi="Times New Roman"/>
          <w:noProof/>
          <w:szCs w:val="24"/>
        </w:rPr>
      </w:pPr>
      <w:r>
        <w:rPr>
          <w:noProof/>
        </w:rPr>
        <w:t>Inledning</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I den rådande ekonomiska och finansiella situationen bör Europeiska unionen ta vara på tillfället att förstärka Ekonomiska och monetära unionen. I linje me</w:t>
      </w:r>
      <w:r>
        <w:rPr>
          <w:rFonts w:ascii="Times New Roman" w:hAnsi="Times New Roman"/>
          <w:noProof/>
          <w:sz w:val="24"/>
        </w:rPr>
        <w:t>d kommissionens färdplan av den 6 december 2017 om en fördjupning av Ekonomiska och monetära unionen</w:t>
      </w:r>
      <w:r>
        <w:rPr>
          <w:rFonts w:ascii="Times New Roman" w:hAnsi="Times New Roman"/>
          <w:noProof/>
          <w:sz w:val="24"/>
          <w:vertAlign w:val="superscript"/>
        </w:rPr>
        <w:footnoteReference w:id="2"/>
      </w:r>
      <w:r>
        <w:rPr>
          <w:rFonts w:ascii="Times New Roman" w:hAnsi="Times New Roman"/>
          <w:noProof/>
          <w:sz w:val="24"/>
        </w:rPr>
        <w:t>, och i överensstämmelse med ledaragendan</w:t>
      </w:r>
      <w:r>
        <w:rPr>
          <w:rFonts w:ascii="Times New Roman" w:hAnsi="Times New Roman"/>
          <w:noProof/>
          <w:sz w:val="24"/>
          <w:vertAlign w:val="superscript"/>
        </w:rPr>
        <w:footnoteReference w:id="3"/>
      </w:r>
      <w:r>
        <w:rPr>
          <w:rFonts w:ascii="Times New Roman" w:hAnsi="Times New Roman"/>
          <w:noProof/>
          <w:sz w:val="24"/>
        </w:rPr>
        <w:t>, är fullbordandet av bankunionen fortfarande ett av unionens viktigaste politiska mål. Fullbordandet av bankunio</w:t>
      </w:r>
      <w:r>
        <w:rPr>
          <w:rFonts w:ascii="Times New Roman" w:hAnsi="Times New Roman"/>
          <w:noProof/>
          <w:sz w:val="24"/>
        </w:rPr>
        <w:t>nen kommer att ytterligare förstärka förtroendet för banksektorn och för Ekonomiska och monetära unionen i allmänhet. Detta kommer att öka Ekonomiska och monetära unionens motståndskraft mot ekonomiska störningar genom att underlätta privat riskdelning öve</w:t>
      </w:r>
      <w:r>
        <w:rPr>
          <w:rFonts w:ascii="Times New Roman" w:hAnsi="Times New Roman"/>
          <w:noProof/>
          <w:sz w:val="24"/>
        </w:rPr>
        <w:t>r gränserna.</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Detta meddelande är ett bidrag till Europeiska rådet och det inkluderande eurotoppmöte med 27 EU-länder som ska anordnas i december. Vid mötet kommer deltagarna att diskutera framstegen med förstärkningen av Europeiska stabilitetsmekanismen oc</w:t>
      </w:r>
      <w:r>
        <w:rPr>
          <w:rFonts w:ascii="Times New Roman" w:hAnsi="Times New Roman"/>
          <w:noProof/>
          <w:sz w:val="24"/>
        </w:rPr>
        <w:t>h fullbordandet av bankunionen, däribland ytterligare steg mot ett europeiskt insättningsgarantisystem, i enlighet med uttalandet från det inkluderande eurotoppmötet i juni. Dessa framsteg bör ske parallellt med framstegen inom riskminskning.</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Som kommissio</w:t>
      </w:r>
      <w:r>
        <w:rPr>
          <w:rFonts w:ascii="Times New Roman" w:hAnsi="Times New Roman"/>
          <w:noProof/>
          <w:sz w:val="24"/>
        </w:rPr>
        <w:t>nen betonade i sitt meddelande av den 11 oktober 2017</w:t>
      </w:r>
      <w:r>
        <w:rPr>
          <w:rFonts w:ascii="Times New Roman" w:hAnsi="Times New Roman"/>
          <w:noProof/>
          <w:sz w:val="24"/>
          <w:vertAlign w:val="superscript"/>
        </w:rPr>
        <w:footnoteReference w:id="4"/>
      </w:r>
      <w:r>
        <w:rPr>
          <w:rFonts w:ascii="Times New Roman" w:hAnsi="Times New Roman"/>
          <w:noProof/>
          <w:sz w:val="24"/>
        </w:rPr>
        <w:t xml:space="preserve"> bör fullbordandet av bankunionen uppnås genom en kombination av riskminskning och riskdelning på grundval av rådets färdplan av juni 2016</w:t>
      </w:r>
      <w:r>
        <w:rPr>
          <w:rFonts w:ascii="Times New Roman" w:hAnsi="Times New Roman"/>
          <w:noProof/>
          <w:sz w:val="24"/>
          <w:vertAlign w:val="superscript"/>
        </w:rPr>
        <w:footnoteReference w:id="5"/>
      </w:r>
      <w:r>
        <w:rPr>
          <w:rFonts w:ascii="Times New Roman" w:hAnsi="Times New Roman"/>
          <w:noProof/>
          <w:sz w:val="24"/>
        </w:rPr>
        <w:t>. Riskminskning och riskdelning kompletterar och förstärker til</w:t>
      </w:r>
      <w:r>
        <w:rPr>
          <w:rFonts w:ascii="Times New Roman" w:hAnsi="Times New Roman"/>
          <w:noProof/>
          <w:sz w:val="24"/>
        </w:rPr>
        <w:t>l varandra. Framstegen inom de olika områdena, däribland överenskommelsen om säkerhetsmekanismen för den gemensamma resolutionsfonden och ett europeiskt insättningsgarantisystem, bör därför ske samtidigt.</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En av de viktigaste förutsättningarna för att riske</w:t>
      </w:r>
      <w:r>
        <w:rPr>
          <w:rFonts w:ascii="Times New Roman" w:hAnsi="Times New Roman"/>
          <w:noProof/>
          <w:sz w:val="24"/>
        </w:rPr>
        <w:t>rna inom den europeiska banksektorn ska minska är en fortsatt nedgång när det gäller volymerna av nödlidande lån. Finanskrisen och efterföljande recessioner ledde till att det blev allt vanligare att låntagare inte kunde betala tillbaka sina lån eftersom f</w:t>
      </w:r>
      <w:r>
        <w:rPr>
          <w:rFonts w:ascii="Times New Roman" w:hAnsi="Times New Roman"/>
          <w:noProof/>
          <w:sz w:val="24"/>
        </w:rPr>
        <w:t xml:space="preserve">ler personer och företag drabbades av återkommande </w:t>
      </w:r>
      <w:r>
        <w:rPr>
          <w:rFonts w:ascii="Times New Roman" w:hAnsi="Times New Roman"/>
          <w:noProof/>
          <w:sz w:val="24"/>
        </w:rPr>
        <w:lastRenderedPageBreak/>
        <w:t xml:space="preserve">betalningssvårigheter och till och med konkurs. Detta var särskilt fallet i medlemsstater med långa eller djupa recessioner. På grund av detta ökade andelen nödlidande lån i många banker, och höga andelar </w:t>
      </w:r>
      <w:r>
        <w:rPr>
          <w:rFonts w:ascii="Times New Roman" w:hAnsi="Times New Roman"/>
          <w:noProof/>
          <w:sz w:val="24"/>
        </w:rPr>
        <w:t>nödlidande lån är fortfarande ett stort problem, i synnerhet för vissa av medlemsstaterna. Stora volymer av nödlidande lån kan försämra bankernas resultat. För det första genererar nödlidande lån lägre intäkter för en bank än icke nödlidande lån. De minska</w:t>
      </w:r>
      <w:r>
        <w:rPr>
          <w:rFonts w:ascii="Times New Roman" w:hAnsi="Times New Roman"/>
          <w:noProof/>
          <w:sz w:val="24"/>
        </w:rPr>
        <w:t>r därmed bankens lönsamhet och kan orsaka förluster som minskar bankens kapital. För det andra tar nödlidande lån upp betydande mängder av bankernas resurser, både finansiella resurser och personal. Detta minskar bankens förmåga att bevilja lån, bl.a. till</w:t>
      </w:r>
      <w:r>
        <w:rPr>
          <w:rFonts w:ascii="Times New Roman" w:hAnsi="Times New Roman"/>
          <w:noProof/>
          <w:sz w:val="24"/>
        </w:rPr>
        <w:t xml:space="preserve"> små och medelstora företag. Denna negativa effekt på kredittillgången minskar i sin tur även företagens kapacitet att investera, och leder därmed till påtagliga konsekvenser för den reala ekonomin.</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För att minska den stora volymen av nödlidande lån enades</w:t>
      </w:r>
      <w:r>
        <w:rPr>
          <w:rFonts w:ascii="Times New Roman" w:hAnsi="Times New Roman"/>
          <w:noProof/>
          <w:sz w:val="24"/>
        </w:rPr>
        <w:t xml:space="preserve"> unionen om omfattande åtgärder, vilka beskrivs i den handlingsplan för hantering av nödlidande lån i Europa</w:t>
      </w:r>
      <w:r>
        <w:rPr>
          <w:rFonts w:ascii="Times New Roman" w:hAnsi="Times New Roman"/>
          <w:noProof/>
          <w:sz w:val="24"/>
          <w:vertAlign w:val="superscript"/>
        </w:rPr>
        <w:footnoteReference w:id="6"/>
      </w:r>
      <w:r>
        <w:rPr>
          <w:rFonts w:ascii="Times New Roman" w:hAnsi="Times New Roman"/>
          <w:noProof/>
          <w:sz w:val="24"/>
        </w:rPr>
        <w:t xml:space="preserve"> som för närvarande håller på att genomföras. Som svar på detta behov och för att gå ännu längre än rådets färdplan för 2016 lade kommissionen fram</w:t>
      </w:r>
      <w:r>
        <w:rPr>
          <w:rFonts w:ascii="Times New Roman" w:hAnsi="Times New Roman"/>
          <w:noProof/>
          <w:sz w:val="24"/>
        </w:rPr>
        <w:t xml:space="preserve"> ett specifikt och övergripande åtgärdspaket i mars 2018 för att minska de nödlidande lånen ytterligare. Rådet enades även om att ta upp frågan om nödlidande lån med jämna mellanrum och att utvärdera framstegen på grundval av en översyn utförd av kommissio</w:t>
      </w:r>
      <w:r>
        <w:rPr>
          <w:rFonts w:ascii="Times New Roman" w:hAnsi="Times New Roman"/>
          <w:noProof/>
          <w:sz w:val="24"/>
        </w:rPr>
        <w:t>nen. Detta meddelande är kommissionens tredje lägesrapport som svar på rådets förväntningar. Rapporten är ett komplement till lägesrapporten om kapitalmarknadsunionen, som också antagits i dag.</w:t>
      </w:r>
    </w:p>
    <w:p w:rsidR="0058506B" w:rsidRDefault="005E3AFA">
      <w:pPr>
        <w:pStyle w:val="Heading1"/>
        <w:spacing w:before="360" w:after="240"/>
        <w:ind w:left="714" w:hanging="357"/>
        <w:rPr>
          <w:noProof/>
        </w:rPr>
      </w:pPr>
      <w:r>
        <w:rPr>
          <w:noProof/>
        </w:rPr>
        <w:t>ett vidare perspektiv: riskminskning i unionen</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 xml:space="preserve">Under det </w:t>
      </w:r>
      <w:r>
        <w:rPr>
          <w:rFonts w:ascii="Times New Roman" w:hAnsi="Times New Roman"/>
          <w:noProof/>
          <w:sz w:val="24"/>
        </w:rPr>
        <w:t>senaste årtiondet har unionen och medlemsstaterna arbetat hårt för att minska riskerna inom banksektorn</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De åtgärder som har vidtagits sedan finanskrisen har stärkt bankernas solvens, bruttosoliditet och likviditetsställning på ett betydande och praktiskt</w:t>
      </w:r>
      <w:r>
        <w:rPr>
          <w:rFonts w:ascii="Times New Roman" w:hAnsi="Times New Roman"/>
          <w:noProof/>
          <w:sz w:val="24"/>
        </w:rPr>
        <w:t xml:space="preserve"> sätt. De har avsevärt förbättrat styrningen inom och tillsynen av banksektorn och bankernas möjlighet till resolution. Den genomsnittliga primärkapitalrelationen</w:t>
      </w:r>
      <w:r>
        <w:rPr>
          <w:rStyle w:val="FootnoteReference"/>
          <w:rFonts w:ascii="Times New Roman" w:hAnsi="Times New Roman"/>
          <w:noProof/>
          <w:sz w:val="24"/>
        </w:rPr>
        <w:footnoteReference w:id="8"/>
      </w:r>
      <w:r>
        <w:rPr>
          <w:rFonts w:ascii="Times New Roman" w:hAnsi="Times New Roman"/>
          <w:noProof/>
          <w:sz w:val="24"/>
        </w:rPr>
        <w:t xml:space="preserve"> för de banker i euroområdet som övervakas direkt genom den gemensamma tillsynsmekanismen har</w:t>
      </w:r>
      <w:r>
        <w:rPr>
          <w:rFonts w:ascii="Times New Roman" w:hAnsi="Times New Roman"/>
          <w:noProof/>
          <w:sz w:val="24"/>
        </w:rPr>
        <w:t xml:space="preserve"> stigit från 14,18 % andra kvartalet 2017 till 14,67 % andra kvartalet 2018. Denna förstärkning av kapitalställningen avspeglas även i högre bruttosoliditetsgrader. Den genomsnittliga bruttosoliditetsgraden</w:t>
      </w:r>
      <w:r>
        <w:rPr>
          <w:rFonts w:ascii="Times New Roman" w:hAnsi="Times New Roman"/>
          <w:noProof/>
          <w:sz w:val="24"/>
          <w:vertAlign w:val="superscript"/>
        </w:rPr>
        <w:footnoteReference w:id="9"/>
      </w:r>
      <w:r>
        <w:rPr>
          <w:rFonts w:ascii="Times New Roman" w:hAnsi="Times New Roman"/>
          <w:noProof/>
          <w:sz w:val="24"/>
        </w:rPr>
        <w:t xml:space="preserve"> ökade ytterligare från 5,08 % andra kvartalet 20</w:t>
      </w:r>
      <w:r>
        <w:rPr>
          <w:rFonts w:ascii="Times New Roman" w:hAnsi="Times New Roman"/>
          <w:noProof/>
          <w:sz w:val="24"/>
        </w:rPr>
        <w:t>17 till 5,14 % andra kvartalet 2018. Bankerna i euroområdet bibehöll även sin motståndskraft mot likviditetsstörningar i och med att likviditetstäckningsgraden förblev stabil på 140,92 % andra kvartalet 2018, jämfört med 142,79 % andra kvartalet 2017. Allt</w:t>
      </w:r>
      <w:r>
        <w:rPr>
          <w:rFonts w:ascii="Times New Roman" w:hAnsi="Times New Roman"/>
          <w:noProof/>
          <w:sz w:val="24"/>
        </w:rPr>
        <w:t xml:space="preserve"> detta vittnar om de beslutsamma åtgärder som vidtagits för att minska risken i hela euroområdet. Som en följd av detta har riskerna hanterats på ett mer effektivt och likvärdigt sätt. Det senaste stresstestet visar vidare att bankernas ansträngningar att </w:t>
      </w:r>
      <w:r>
        <w:rPr>
          <w:rFonts w:ascii="Times New Roman" w:hAnsi="Times New Roman"/>
          <w:noProof/>
          <w:sz w:val="24"/>
        </w:rPr>
        <w:t>bygga upp sin kapitalbas under senare år har stärkt deras motståndskraft och förmåga att stå emot störningar, vilket betonar det europeiska banksystemets goda hälsotillstånd.</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Som beskrevs i 2017 års meddelande om bankunionen</w:t>
      </w:r>
      <w:r>
        <w:rPr>
          <w:rStyle w:val="FootnoteReference"/>
          <w:rFonts w:ascii="Times New Roman" w:hAnsi="Times New Roman"/>
          <w:noProof/>
          <w:sz w:val="24"/>
        </w:rPr>
        <w:footnoteReference w:id="10"/>
      </w:r>
      <w:r>
        <w:rPr>
          <w:rFonts w:ascii="Times New Roman" w:hAnsi="Times New Roman"/>
          <w:noProof/>
          <w:sz w:val="24"/>
        </w:rPr>
        <w:t xml:space="preserve">, och som bekräftades av den </w:t>
      </w:r>
      <w:r>
        <w:rPr>
          <w:rFonts w:ascii="Times New Roman" w:hAnsi="Times New Roman"/>
          <w:noProof/>
          <w:sz w:val="24"/>
        </w:rPr>
        <w:t>andra lägesrapporten om minskningen av nödlidande lån</w:t>
      </w:r>
      <w:r>
        <w:rPr>
          <w:rStyle w:val="FootnoteReference"/>
          <w:rFonts w:ascii="Times New Roman" w:hAnsi="Times New Roman"/>
          <w:noProof/>
          <w:sz w:val="24"/>
        </w:rPr>
        <w:footnoteReference w:id="11"/>
      </w:r>
      <w:r>
        <w:rPr>
          <w:rFonts w:ascii="Times New Roman" w:hAnsi="Times New Roman"/>
          <w:noProof/>
          <w:sz w:val="24"/>
        </w:rPr>
        <w:t>, har kommissionen vidtagit ytterligare omfattande och kompletterande åtgärder för att minska riskerna och förstärka den europeiska banksektorns motståndskraft. I november 2016 föreslog kommissionen til</w:t>
      </w:r>
      <w:r>
        <w:rPr>
          <w:rFonts w:ascii="Times New Roman" w:hAnsi="Times New Roman"/>
          <w:noProof/>
          <w:sz w:val="24"/>
        </w:rPr>
        <w:t>l exempel det så kallade riskminskningspaketet, ett omfattande lagstiftningspaket för att se över direktivet om återhämtning och resolution av banker, förordningen om den gemensamma resolutionsmekanismen, det fjärde kapitalkravsdirektivet och kapitalkravsf</w:t>
      </w:r>
      <w:r>
        <w:rPr>
          <w:rFonts w:ascii="Times New Roman" w:hAnsi="Times New Roman"/>
          <w:noProof/>
          <w:sz w:val="24"/>
        </w:rPr>
        <w:t>örordningen. Syftet med detta var att ytterligare minska de återstående riskerna inom banksektorn</w:t>
      </w:r>
      <w:r>
        <w:rPr>
          <w:rFonts w:ascii="Times New Roman" w:hAnsi="Times New Roman"/>
          <w:noProof/>
          <w:sz w:val="24"/>
          <w:vertAlign w:val="superscript"/>
        </w:rPr>
        <w:footnoteReference w:id="12"/>
      </w:r>
      <w:r>
        <w:rPr>
          <w:rFonts w:ascii="Times New Roman" w:hAnsi="Times New Roman"/>
          <w:noProof/>
          <w:sz w:val="24"/>
        </w:rPr>
        <w:t xml:space="preserve">. Kommissionen välkomnar de betydande framstegen i trepartsdiskussionerna mellan Europaparlamentet, rådet och kommissionen angående detta paket, som bör bana </w:t>
      </w:r>
      <w:r>
        <w:rPr>
          <w:rFonts w:ascii="Times New Roman" w:hAnsi="Times New Roman"/>
          <w:noProof/>
          <w:sz w:val="24"/>
        </w:rPr>
        <w:t>väg för en överenskommelse före slutet av året. Under 2016 antog kommissionen även ett förslag om ett direktiv om ramar för förebyggande omstrukturering, en andra chans och åtgärder för att göra förfarandena för omstrukturering, insolvens och skuldavskrivn</w:t>
      </w:r>
      <w:r>
        <w:rPr>
          <w:rFonts w:ascii="Times New Roman" w:hAnsi="Times New Roman"/>
          <w:noProof/>
          <w:sz w:val="24"/>
        </w:rPr>
        <w:t>ing effektivare</w:t>
      </w:r>
      <w:r>
        <w:rPr>
          <w:rFonts w:ascii="Times New Roman" w:hAnsi="Times New Roman"/>
          <w:noProof/>
          <w:sz w:val="24"/>
          <w:vertAlign w:val="superscript"/>
        </w:rPr>
        <w:footnoteReference w:id="13"/>
      </w:r>
      <w:r>
        <w:rPr>
          <w:rFonts w:ascii="Times New Roman" w:hAnsi="Times New Roman"/>
          <w:noProof/>
          <w:sz w:val="24"/>
        </w:rPr>
        <w:t>. Effektiva omstrukturerings- och insolvensbestämmelser är verkligen avgörande för att förhindra och minska nödlidande lån.</w:t>
      </w:r>
    </w:p>
    <w:p w:rsidR="0058506B" w:rsidRDefault="005E3AFA">
      <w:pPr>
        <w:pStyle w:val="Heading1"/>
        <w:numPr>
          <w:ilvl w:val="0"/>
          <w:numId w:val="0"/>
        </w:numPr>
        <w:spacing w:before="120" w:after="60"/>
        <w:ind w:left="1021" w:hanging="1021"/>
        <w:rPr>
          <w:rFonts w:ascii="Times New Roman" w:hAnsi="Times New Roman"/>
          <w:bCs w:val="0"/>
          <w:smallCaps w:val="0"/>
          <w:noProof/>
          <w:sz w:val="20"/>
          <w:szCs w:val="20"/>
        </w:rPr>
      </w:pPr>
      <w:r>
        <w:rPr>
          <w:rFonts w:ascii="Times New Roman" w:hAnsi="Times New Roman"/>
          <w:smallCaps w:val="0"/>
          <w:noProof/>
          <w:sz w:val="20"/>
        </w:rPr>
        <w:br w:type="column"/>
      </w:r>
      <w:bookmarkStart w:id="1" w:name="_GoBack"/>
      <w:bookmarkEnd w:id="1"/>
      <w:r>
        <w:rPr>
          <w:rFonts w:ascii="Times New Roman" w:hAnsi="Times New Roman"/>
          <w:smallCaps w:val="0"/>
          <w:noProof/>
          <w:sz w:val="20"/>
        </w:rPr>
        <w:t>Tabell 1: Resultat på vägen mot bankunionen</w:t>
      </w:r>
    </w:p>
    <w:tbl>
      <w:tblPr>
        <w:tblStyle w:val="TableGrid1"/>
        <w:tblW w:w="8218" w:type="dxa"/>
        <w:jc w:val="center"/>
        <w:tblLayout w:type="fixed"/>
        <w:tblLook w:val="04A0" w:firstRow="1" w:lastRow="0" w:firstColumn="1" w:lastColumn="0" w:noHBand="0" w:noVBand="1"/>
      </w:tblPr>
      <w:tblGrid>
        <w:gridCol w:w="566"/>
        <w:gridCol w:w="3867"/>
        <w:gridCol w:w="1851"/>
        <w:gridCol w:w="1925"/>
        <w:gridCol w:w="9"/>
      </w:tblGrid>
      <w:tr w:rsidR="0058506B">
        <w:trPr>
          <w:gridAfter w:val="1"/>
          <w:wAfter w:w="9" w:type="dxa"/>
          <w:trHeight w:hRule="exact" w:val="1464"/>
          <w:jc w:val="center"/>
        </w:trPr>
        <w:tc>
          <w:tcPr>
            <w:tcW w:w="566" w:type="dxa"/>
            <w:tcBorders>
              <w:right w:val="nil"/>
            </w:tcBorders>
            <w:vAlign w:val="center"/>
          </w:tcPr>
          <w:p w:rsidR="0058506B" w:rsidRDefault="005E3AFA">
            <w:pPr>
              <w:ind w:left="360"/>
              <w:jc w:val="center"/>
              <w:rPr>
                <w:rFonts w:ascii="Times New Roman" w:eastAsia="Helvetica Neue" w:hAnsi="Times New Roman"/>
                <w:b/>
                <w:noProof/>
              </w:rPr>
            </w:pPr>
            <w:r>
              <w:rPr>
                <w:rFonts w:ascii="Times New Roman" w:hAnsi="Times New Roman"/>
                <w:noProof/>
                <w:snapToGrid w:val="0"/>
                <w:w w:val="0"/>
                <w:sz w:val="0"/>
                <w:u w:color="000000"/>
                <w:bdr w:val="none" w:sz="0" w:space="0" w:color="000000"/>
                <w:shd w:val="clear" w:color="000000" w:fill="000000"/>
              </w:rPr>
              <w:t xml:space="preserve"> </w:t>
            </w:r>
          </w:p>
        </w:tc>
        <w:tc>
          <w:tcPr>
            <w:tcW w:w="3867" w:type="dxa"/>
            <w:tcBorders>
              <w:left w:val="nil"/>
            </w:tcBorders>
            <w:vAlign w:val="center"/>
          </w:tcPr>
          <w:p w:rsidR="0058506B" w:rsidRDefault="005E3AFA">
            <w:pPr>
              <w:jc w:val="center"/>
              <w:rPr>
                <w:rFonts w:ascii="Times New Roman" w:eastAsia="Helvetica Neue" w:hAnsi="Times New Roman"/>
                <w:b/>
                <w:noProof/>
                <w:sz w:val="28"/>
                <w:szCs w:val="28"/>
              </w:rPr>
            </w:pPr>
            <w:r>
              <w:rPr>
                <w:rFonts w:ascii="Times New Roman" w:hAnsi="Times New Roman"/>
                <w:b/>
                <w:noProof/>
                <w:sz w:val="28"/>
              </w:rPr>
              <w:t>BESKRIVNING AV POLITIKEN</w:t>
            </w:r>
          </w:p>
        </w:tc>
        <w:tc>
          <w:tcPr>
            <w:tcW w:w="1851" w:type="dxa"/>
            <w:vAlign w:val="center"/>
          </w:tcPr>
          <w:p w:rsidR="0058506B" w:rsidRDefault="005E3AFA">
            <w:pPr>
              <w:tabs>
                <w:tab w:val="left" w:pos="720"/>
              </w:tabs>
              <w:jc w:val="center"/>
              <w:rPr>
                <w:rFonts w:ascii="Times New Roman" w:eastAsia="Helvetica Neue" w:hAnsi="Times New Roman"/>
                <w:noProof/>
              </w:rPr>
            </w:pPr>
            <w:r>
              <w:rPr>
                <w:rFonts w:ascii="Times New Roman" w:eastAsia="Arial Unicode MS" w:hAnsi="Times New Roman"/>
                <w:noProof/>
                <w:szCs w:val="24"/>
                <w:bdr w:val="nil"/>
              </w:rPr>
              <w:object w:dxaOrig="3225" w:dyaOrig="1920">
                <v:shape id="_x0000_i1026" type="#_x0000_t75" style="width:74pt;height:44pt" o:ole="">
                  <v:imagedata r:id="rId15" o:title=""/>
                </v:shape>
                <o:OLEObject Type="Embed" ProgID="PBrush" ShapeID="_x0000_i1026" DrawAspect="Content" ObjectID="_1606225337" r:id="rId16"/>
              </w:object>
            </w:r>
          </w:p>
          <w:p w:rsidR="0058506B" w:rsidRDefault="005E3AFA">
            <w:pPr>
              <w:tabs>
                <w:tab w:val="left" w:pos="720"/>
              </w:tabs>
              <w:jc w:val="center"/>
              <w:rPr>
                <w:rFonts w:ascii="Times New Roman" w:eastAsia="Helvetica Neue" w:hAnsi="Times New Roman"/>
                <w:noProof/>
                <w:sz w:val="20"/>
                <w:szCs w:val="20"/>
              </w:rPr>
            </w:pPr>
            <w:r>
              <w:rPr>
                <w:rFonts w:ascii="Times New Roman" w:hAnsi="Times New Roman"/>
                <w:noProof/>
                <w:sz w:val="20"/>
              </w:rPr>
              <w:t xml:space="preserve">EUROPA- </w:t>
            </w:r>
          </w:p>
          <w:p w:rsidR="0058506B" w:rsidRDefault="005E3AFA">
            <w:pPr>
              <w:tabs>
                <w:tab w:val="left" w:pos="720"/>
              </w:tabs>
              <w:jc w:val="center"/>
              <w:rPr>
                <w:rFonts w:ascii="Times New Roman" w:eastAsia="Helvetica Neue" w:hAnsi="Times New Roman"/>
                <w:b/>
                <w:noProof/>
                <w:sz w:val="20"/>
                <w:szCs w:val="20"/>
              </w:rPr>
            </w:pPr>
            <w:r>
              <w:rPr>
                <w:rFonts w:ascii="Times New Roman" w:hAnsi="Times New Roman"/>
                <w:noProof/>
                <w:sz w:val="20"/>
              </w:rPr>
              <w:t>PARLAMENTET</w:t>
            </w:r>
          </w:p>
        </w:tc>
        <w:tc>
          <w:tcPr>
            <w:tcW w:w="1925" w:type="dxa"/>
            <w:vAlign w:val="center"/>
          </w:tcPr>
          <w:p w:rsidR="0058506B" w:rsidRDefault="005E3AFA">
            <w:pPr>
              <w:jc w:val="center"/>
              <w:rPr>
                <w:rFonts w:ascii="Times New Roman" w:eastAsia="Helvetica Neue" w:hAnsi="Times New Roman"/>
                <w:noProof/>
              </w:rPr>
            </w:pPr>
            <w:r>
              <w:rPr>
                <w:rFonts w:ascii="Times New Roman" w:eastAsia="Arial Unicode MS" w:hAnsi="Times New Roman"/>
                <w:noProof/>
                <w:szCs w:val="24"/>
                <w:bdr w:val="nil"/>
              </w:rPr>
              <w:object w:dxaOrig="2805" w:dyaOrig="2490">
                <v:shape id="_x0000_i1027" type="#_x0000_t75" style="width:47pt;height:42pt" o:ole="">
                  <v:imagedata r:id="rId17" o:title=""/>
                </v:shape>
                <o:OLEObject Type="Embed" ProgID="PBrush" ShapeID="_x0000_i1027" DrawAspect="Content" ObjectID="_1606225338" r:id="rId18"/>
              </w:object>
            </w:r>
          </w:p>
          <w:p w:rsidR="0058506B" w:rsidRDefault="005E3AFA">
            <w:pPr>
              <w:jc w:val="center"/>
              <w:rPr>
                <w:rFonts w:ascii="Times New Roman" w:eastAsia="Helvetica Neue" w:hAnsi="Times New Roman"/>
                <w:noProof/>
                <w:sz w:val="20"/>
                <w:szCs w:val="20"/>
              </w:rPr>
            </w:pPr>
            <w:r>
              <w:rPr>
                <w:rFonts w:ascii="Times New Roman" w:hAnsi="Times New Roman"/>
                <w:noProof/>
                <w:sz w:val="20"/>
              </w:rPr>
              <w:t>MINISTERRÅDET</w:t>
            </w:r>
          </w:p>
        </w:tc>
      </w:tr>
      <w:tr w:rsidR="0058506B">
        <w:trPr>
          <w:trHeight w:hRule="exact" w:val="570"/>
          <w:jc w:val="center"/>
        </w:trPr>
        <w:tc>
          <w:tcPr>
            <w:tcW w:w="566" w:type="dxa"/>
            <w:vAlign w:val="center"/>
          </w:tcPr>
          <w:p w:rsidR="0058506B" w:rsidRDefault="0058506B">
            <w:pPr>
              <w:numPr>
                <w:ilvl w:val="0"/>
                <w:numId w:val="28"/>
              </w:numPr>
              <w:ind w:left="0" w:firstLine="0"/>
              <w:contextualSpacing/>
              <w:jc w:val="center"/>
              <w:rPr>
                <w:rFonts w:ascii="Times New Roman" w:eastAsia="Helvetica Neue" w:hAnsi="Times New Roman"/>
                <w:b/>
                <w:noProof/>
              </w:rPr>
            </w:pPr>
          </w:p>
        </w:tc>
        <w:tc>
          <w:tcPr>
            <w:tcW w:w="3867" w:type="dxa"/>
            <w:shd w:val="clear" w:color="auto" w:fill="DBE5F1"/>
            <w:vAlign w:val="center"/>
          </w:tcPr>
          <w:p w:rsidR="0058506B" w:rsidRDefault="005E3AFA">
            <w:pPr>
              <w:rPr>
                <w:rFonts w:ascii="Times New Roman" w:eastAsia="Helvetica Neue" w:hAnsi="Times New Roman"/>
                <w:b/>
                <w:noProof/>
              </w:rPr>
            </w:pPr>
            <w:r>
              <w:rPr>
                <w:rFonts w:ascii="Times New Roman" w:hAnsi="Times New Roman"/>
                <w:b/>
                <w:noProof/>
              </w:rPr>
              <w:t>Europeiskt insättningsgarantisystem</w:t>
            </w:r>
          </w:p>
        </w:tc>
        <w:tc>
          <w:tcPr>
            <w:tcW w:w="1851" w:type="dxa"/>
            <w:vAlign w:val="center"/>
          </w:tcPr>
          <w:p w:rsidR="0058506B" w:rsidRDefault="005E3AFA">
            <w:pPr>
              <w:jc w:val="center"/>
              <w:rPr>
                <w:rFonts w:ascii="Times New Roman" w:eastAsia="Helvetica Neue" w:hAnsi="Times New Roman"/>
                <w:noProof/>
              </w:rPr>
            </w:pPr>
            <w:r>
              <w:rPr>
                <w:rFonts w:ascii="Helvetica Neue" w:eastAsia="Helvetica Neue" w:hAnsi="Helvetica Neue"/>
                <w:b/>
                <w:noProof/>
                <w:sz w:val="20"/>
                <w:szCs w:val="20"/>
                <w:lang w:val="fr-BE" w:eastAsia="fr-BE" w:bidi="ar-SA"/>
              </w:rPr>
              <w:drawing>
                <wp:inline distT="0" distB="0" distL="0" distR="0">
                  <wp:extent cx="209550" cy="2095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1934" w:type="dxa"/>
            <w:gridSpan w:val="2"/>
            <w:vAlign w:val="center"/>
          </w:tcPr>
          <w:p w:rsidR="0058506B" w:rsidRDefault="005E3AFA">
            <w:pPr>
              <w:jc w:val="center"/>
              <w:rPr>
                <w:rFonts w:ascii="Times New Roman" w:eastAsia="Helvetica Neue" w:hAnsi="Times New Roman"/>
                <w:noProof/>
              </w:rPr>
            </w:pPr>
            <w:r>
              <w:rPr>
                <w:rFonts w:ascii="Helvetica Neue" w:eastAsia="Helvetica Neue" w:hAnsi="Helvetica Neue"/>
                <w:b/>
                <w:noProof/>
                <w:sz w:val="20"/>
                <w:szCs w:val="20"/>
                <w:lang w:val="fr-BE" w:eastAsia="fr-BE" w:bidi="ar-SA"/>
              </w:rPr>
              <w:drawing>
                <wp:inline distT="0" distB="0" distL="0" distR="0">
                  <wp:extent cx="209550" cy="2095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r w:rsidR="0058506B">
        <w:trPr>
          <w:trHeight w:hRule="exact" w:val="584"/>
          <w:jc w:val="center"/>
        </w:trPr>
        <w:tc>
          <w:tcPr>
            <w:tcW w:w="566" w:type="dxa"/>
            <w:vAlign w:val="center"/>
          </w:tcPr>
          <w:p w:rsidR="0058506B" w:rsidRDefault="0058506B">
            <w:pPr>
              <w:numPr>
                <w:ilvl w:val="0"/>
                <w:numId w:val="28"/>
              </w:numPr>
              <w:ind w:left="0" w:firstLine="0"/>
              <w:contextualSpacing/>
              <w:jc w:val="center"/>
              <w:rPr>
                <w:rFonts w:ascii="Times New Roman" w:eastAsia="Helvetica Neue" w:hAnsi="Times New Roman"/>
                <w:b/>
                <w:noProof/>
              </w:rPr>
            </w:pPr>
          </w:p>
        </w:tc>
        <w:tc>
          <w:tcPr>
            <w:tcW w:w="3867" w:type="dxa"/>
            <w:shd w:val="clear" w:color="auto" w:fill="DBE5F1"/>
            <w:vAlign w:val="center"/>
          </w:tcPr>
          <w:p w:rsidR="0058506B" w:rsidRDefault="005E3AFA">
            <w:pPr>
              <w:rPr>
                <w:rFonts w:ascii="Times New Roman" w:eastAsia="Helvetica Neue" w:hAnsi="Times New Roman"/>
                <w:b/>
                <w:noProof/>
              </w:rPr>
            </w:pPr>
            <w:r>
              <w:rPr>
                <w:rFonts w:ascii="Times New Roman" w:hAnsi="Times New Roman"/>
                <w:b/>
                <w:noProof/>
              </w:rPr>
              <w:t>Kapitalkravsreform</w:t>
            </w:r>
          </w:p>
        </w:tc>
        <w:tc>
          <w:tcPr>
            <w:tcW w:w="1851" w:type="dxa"/>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934" w:type="dxa"/>
            <w:gridSpan w:val="2"/>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58506B">
        <w:trPr>
          <w:trHeight w:hRule="exact" w:val="879"/>
          <w:jc w:val="center"/>
        </w:trPr>
        <w:tc>
          <w:tcPr>
            <w:tcW w:w="566" w:type="dxa"/>
            <w:vAlign w:val="center"/>
          </w:tcPr>
          <w:p w:rsidR="0058506B" w:rsidRDefault="0058506B">
            <w:pPr>
              <w:numPr>
                <w:ilvl w:val="0"/>
                <w:numId w:val="28"/>
              </w:numPr>
              <w:ind w:left="0" w:firstLine="0"/>
              <w:contextualSpacing/>
              <w:jc w:val="center"/>
              <w:rPr>
                <w:rFonts w:ascii="Times New Roman" w:eastAsia="Helvetica Neue" w:hAnsi="Times New Roman"/>
                <w:b/>
                <w:noProof/>
              </w:rPr>
            </w:pPr>
          </w:p>
        </w:tc>
        <w:tc>
          <w:tcPr>
            <w:tcW w:w="3867" w:type="dxa"/>
            <w:shd w:val="clear" w:color="auto" w:fill="DBE5F1"/>
            <w:vAlign w:val="center"/>
          </w:tcPr>
          <w:p w:rsidR="0058506B" w:rsidRDefault="005E3AFA">
            <w:pPr>
              <w:rPr>
                <w:rFonts w:ascii="Times New Roman" w:eastAsia="Helvetica Neue" w:hAnsi="Times New Roman"/>
                <w:b/>
                <w:noProof/>
              </w:rPr>
            </w:pPr>
            <w:r>
              <w:rPr>
                <w:rFonts w:ascii="Times New Roman" w:hAnsi="Times New Roman"/>
                <w:b/>
                <w:noProof/>
              </w:rPr>
              <w:t>Förlustabsorberings- och rekapitaliseringskapacitet – (förordning och direktiv)</w:t>
            </w:r>
          </w:p>
        </w:tc>
        <w:tc>
          <w:tcPr>
            <w:tcW w:w="1851" w:type="dxa"/>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934" w:type="dxa"/>
            <w:gridSpan w:val="2"/>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58506B">
        <w:trPr>
          <w:trHeight w:hRule="exact" w:val="561"/>
          <w:jc w:val="center"/>
        </w:trPr>
        <w:tc>
          <w:tcPr>
            <w:tcW w:w="566" w:type="dxa"/>
            <w:vAlign w:val="center"/>
          </w:tcPr>
          <w:p w:rsidR="0058506B" w:rsidRDefault="0058506B">
            <w:pPr>
              <w:numPr>
                <w:ilvl w:val="0"/>
                <w:numId w:val="28"/>
              </w:numPr>
              <w:ind w:left="0" w:firstLine="0"/>
              <w:contextualSpacing/>
              <w:jc w:val="center"/>
              <w:rPr>
                <w:rFonts w:ascii="Times New Roman" w:eastAsia="Helvetica Neue" w:hAnsi="Times New Roman"/>
                <w:b/>
                <w:noProof/>
              </w:rPr>
            </w:pPr>
          </w:p>
        </w:tc>
        <w:tc>
          <w:tcPr>
            <w:tcW w:w="3867" w:type="dxa"/>
            <w:shd w:val="clear" w:color="auto" w:fill="DBE5F1"/>
            <w:vAlign w:val="center"/>
          </w:tcPr>
          <w:p w:rsidR="0058506B" w:rsidRDefault="005E3AFA">
            <w:pPr>
              <w:rPr>
                <w:rFonts w:ascii="Times New Roman" w:eastAsia="Helvetica Neue" w:hAnsi="Times New Roman"/>
                <w:b/>
                <w:noProof/>
              </w:rPr>
            </w:pPr>
            <w:r>
              <w:rPr>
                <w:rFonts w:ascii="Times New Roman" w:hAnsi="Times New Roman"/>
                <w:b/>
                <w:noProof/>
              </w:rPr>
              <w:t>Gemensam finansiell säkerhetsmekanism</w:t>
            </w:r>
          </w:p>
        </w:tc>
        <w:tc>
          <w:tcPr>
            <w:tcW w:w="1851" w:type="dxa"/>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934" w:type="dxa"/>
            <w:gridSpan w:val="2"/>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58506B">
        <w:trPr>
          <w:trHeight w:hRule="exact" w:val="1151"/>
          <w:jc w:val="center"/>
        </w:trPr>
        <w:tc>
          <w:tcPr>
            <w:tcW w:w="566" w:type="dxa"/>
            <w:vAlign w:val="center"/>
          </w:tcPr>
          <w:p w:rsidR="0058506B" w:rsidRDefault="0058506B">
            <w:pPr>
              <w:numPr>
                <w:ilvl w:val="0"/>
                <w:numId w:val="28"/>
              </w:numPr>
              <w:ind w:left="0" w:firstLine="0"/>
              <w:contextualSpacing/>
              <w:jc w:val="center"/>
              <w:rPr>
                <w:rFonts w:ascii="Times New Roman" w:eastAsia="Helvetica Neue" w:hAnsi="Times New Roman"/>
                <w:b/>
                <w:noProof/>
              </w:rPr>
            </w:pPr>
          </w:p>
        </w:tc>
        <w:tc>
          <w:tcPr>
            <w:tcW w:w="3867" w:type="dxa"/>
            <w:shd w:val="clear" w:color="auto" w:fill="DBE5F1"/>
            <w:vAlign w:val="center"/>
          </w:tcPr>
          <w:p w:rsidR="0058506B" w:rsidRDefault="005E3AFA">
            <w:pPr>
              <w:rPr>
                <w:rFonts w:ascii="Times New Roman" w:eastAsia="Helvetica Neue" w:hAnsi="Times New Roman"/>
                <w:b/>
                <w:noProof/>
              </w:rPr>
            </w:pPr>
            <w:r>
              <w:rPr>
                <w:rFonts w:ascii="Times New Roman" w:hAnsi="Times New Roman"/>
                <w:b/>
                <w:noProof/>
              </w:rPr>
              <w:t>Ytterligare utveckling av</w:t>
            </w:r>
            <w:r>
              <w:rPr>
                <w:rFonts w:ascii="Times New Roman" w:hAnsi="Times New Roman"/>
                <w:b/>
                <w:noProof/>
              </w:rPr>
              <w:t xml:space="preserve"> sekundärmarknader för nödlidande lån, inklusive effektivare återvinning av värde</w:t>
            </w:r>
          </w:p>
        </w:tc>
        <w:tc>
          <w:tcPr>
            <w:tcW w:w="1851" w:type="dxa"/>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934" w:type="dxa"/>
            <w:gridSpan w:val="2"/>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58506B">
        <w:trPr>
          <w:trHeight w:hRule="exact" w:val="570"/>
          <w:jc w:val="center"/>
        </w:trPr>
        <w:tc>
          <w:tcPr>
            <w:tcW w:w="566" w:type="dxa"/>
            <w:vAlign w:val="center"/>
          </w:tcPr>
          <w:p w:rsidR="0058506B" w:rsidRDefault="0058506B">
            <w:pPr>
              <w:numPr>
                <w:ilvl w:val="0"/>
                <w:numId w:val="28"/>
              </w:numPr>
              <w:ind w:left="0" w:firstLine="0"/>
              <w:contextualSpacing/>
              <w:jc w:val="center"/>
              <w:rPr>
                <w:rFonts w:ascii="Times New Roman" w:eastAsia="Helvetica Neue" w:hAnsi="Times New Roman"/>
                <w:b/>
                <w:noProof/>
              </w:rPr>
            </w:pPr>
          </w:p>
        </w:tc>
        <w:tc>
          <w:tcPr>
            <w:tcW w:w="3867" w:type="dxa"/>
            <w:shd w:val="clear" w:color="auto" w:fill="DBE5F1"/>
            <w:vAlign w:val="center"/>
          </w:tcPr>
          <w:p w:rsidR="0058506B" w:rsidRDefault="005E3AFA">
            <w:pPr>
              <w:rPr>
                <w:rFonts w:ascii="Times New Roman" w:eastAsia="Helvetica Neue" w:hAnsi="Times New Roman"/>
                <w:b/>
                <w:noProof/>
              </w:rPr>
            </w:pPr>
            <w:r>
              <w:rPr>
                <w:rFonts w:ascii="Times New Roman" w:hAnsi="Times New Roman"/>
                <w:b/>
                <w:noProof/>
              </w:rPr>
              <w:t>Minsta förlusttäckning för nödlidande exponering</w:t>
            </w:r>
          </w:p>
        </w:tc>
        <w:tc>
          <w:tcPr>
            <w:tcW w:w="1851" w:type="dxa"/>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1934" w:type="dxa"/>
            <w:gridSpan w:val="2"/>
            <w:vAlign w:val="center"/>
          </w:tcPr>
          <w:p w:rsidR="0058506B" w:rsidRDefault="005E3AFA">
            <w:pPr>
              <w:jc w:val="center"/>
              <w:rPr>
                <w:rFonts w:ascii="Times New Roman" w:eastAsia="Helvetica Neue" w:hAnsi="Times New Roman"/>
                <w:b/>
                <w:noProof/>
                <w:sz w:val="20"/>
                <w:szCs w:val="20"/>
              </w:rPr>
            </w:pPr>
            <w:r>
              <w:rPr>
                <w:rFonts w:ascii="Helvetica Neue" w:eastAsia="Helvetica Neue" w:hAnsi="Helvetica Neue"/>
                <w:b/>
                <w:noProof/>
                <w:sz w:val="20"/>
                <w:szCs w:val="20"/>
                <w:lang w:val="fr-BE" w:eastAsia="fr-BE" w:bidi="ar-SA"/>
              </w:rPr>
              <w:drawing>
                <wp:inline distT="0" distB="0" distL="0" distR="0">
                  <wp:extent cx="200025" cy="2095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bl>
    <w:p w:rsidR="0058506B" w:rsidRDefault="005E3AFA">
      <w:pPr>
        <w:pBdr>
          <w:top w:val="nil"/>
          <w:left w:val="nil"/>
          <w:bottom w:val="nil"/>
          <w:right w:val="nil"/>
          <w:between w:val="nil"/>
          <w:bar w:val="nil"/>
        </w:pBdr>
        <w:ind w:left="709" w:hanging="357"/>
        <w:rPr>
          <w:rFonts w:ascii="Times New Roman" w:eastAsia="Arial Unicode MS" w:hAnsi="Times New Roman"/>
          <w:b/>
          <w:noProof/>
          <w:sz w:val="20"/>
          <w:szCs w:val="20"/>
          <w:bdr w:val="nil"/>
        </w:rPr>
      </w:pPr>
      <w:r>
        <w:rPr>
          <w:rFonts w:ascii="Times New Roman" w:eastAsia="Arial Unicode MS" w:hAnsi="Times New Roman"/>
          <w:noProof/>
          <w:sz w:val="24"/>
          <w:szCs w:val="24"/>
          <w:bdr w:val="nil"/>
          <w:lang w:val="fr-BE" w:eastAsia="fr-BE" w:bidi="ar-SA"/>
        </w:rPr>
        <w:drawing>
          <wp:inline distT="0" distB="0" distL="0" distR="0">
            <wp:extent cx="2095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hAnsi="Times New Roman"/>
          <w:b/>
          <w:noProof/>
          <w:sz w:val="20"/>
          <w:bdr w:val="nil"/>
        </w:rPr>
        <w:t>KAN ANTAS OM ALLA EU-INSTITUTIONER VISAR STARK POLITISK VILJA</w:t>
      </w:r>
    </w:p>
    <w:p w:rsidR="0058506B" w:rsidRDefault="005E3AFA">
      <w:pPr>
        <w:pBdr>
          <w:top w:val="nil"/>
          <w:left w:val="nil"/>
          <w:bottom w:val="nil"/>
          <w:right w:val="nil"/>
          <w:between w:val="nil"/>
          <w:bar w:val="nil"/>
        </w:pBdr>
        <w:ind w:left="357"/>
        <w:rPr>
          <w:rFonts w:ascii="Times New Roman" w:eastAsia="Arial Unicode MS" w:hAnsi="Times New Roman"/>
          <w:b/>
          <w:noProof/>
          <w:sz w:val="20"/>
          <w:szCs w:val="20"/>
          <w:bdr w:val="nil"/>
        </w:rPr>
      </w:pPr>
      <w:r>
        <w:rPr>
          <w:rFonts w:ascii="Times New Roman" w:eastAsia="Arial Unicode MS" w:hAnsi="Times New Roman"/>
          <w:noProof/>
          <w:sz w:val="24"/>
          <w:szCs w:val="24"/>
          <w:bdr w:val="nil"/>
          <w:lang w:val="fr-BE" w:eastAsia="fr-BE" w:bidi="ar-SA"/>
        </w:rPr>
        <w:drawing>
          <wp:inline distT="0" distB="0" distL="0" distR="0">
            <wp:extent cx="200025" cy="209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hAnsi="Times New Roman"/>
          <w:b/>
          <w:noProof/>
          <w:sz w:val="20"/>
          <w:bdr w:val="nil"/>
        </w:rPr>
        <w:t>KAN ANTAS SNABBT GENOM NORMALA FÖRFARANDEN</w:t>
      </w:r>
    </w:p>
    <w:p w:rsidR="0058506B" w:rsidRDefault="0058506B">
      <w:pPr>
        <w:spacing w:after="240"/>
        <w:jc w:val="both"/>
        <w:rPr>
          <w:rFonts w:ascii="Times New Roman" w:eastAsia="Times New Roman" w:hAnsi="Times New Roman"/>
          <w:noProof/>
          <w:sz w:val="24"/>
          <w:szCs w:val="24"/>
        </w:rPr>
      </w:pPr>
    </w:p>
    <w:p w:rsidR="0058506B" w:rsidRDefault="005E3AFA">
      <w:pPr>
        <w:pStyle w:val="Heading1"/>
        <w:spacing w:before="360" w:after="240"/>
        <w:ind w:left="714" w:hanging="357"/>
        <w:rPr>
          <w:noProof/>
        </w:rPr>
      </w:pPr>
      <w:r>
        <w:rPr>
          <w:noProof/>
        </w:rPr>
        <w:t xml:space="preserve">Den </w:t>
      </w:r>
      <w:r>
        <w:rPr>
          <w:noProof/>
        </w:rPr>
        <w:t>senaste utvecklingen av nödlidande lån</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Andelen nödlidande lån fortsatte att minska under det första halvåret 2018. Denna utveckling följer och bekräftar den övergripande förbättringstrenden under senare år. De senaste siffrorna visar att den totala andelen</w:t>
      </w:r>
      <w:r>
        <w:rPr>
          <w:rFonts w:ascii="Times New Roman" w:hAnsi="Times New Roman"/>
          <w:noProof/>
          <w:sz w:val="24"/>
        </w:rPr>
        <w:t xml:space="preserve"> nödlidande lån för alla banker inom EU minskade ytterligare till 3,4 % (andra kvartalet 2018), en nedgång med 1,2 procentenhet jämfört med samma period året innan (se figur 1). Andelen nödlidande lån hos betydande institut</w:t>
      </w:r>
      <w:r>
        <w:rPr>
          <w:rStyle w:val="FootnoteReference"/>
          <w:rFonts w:ascii="Times New Roman" w:hAnsi="Times New Roman"/>
          <w:noProof/>
          <w:sz w:val="24"/>
        </w:rPr>
        <w:footnoteReference w:id="14"/>
      </w:r>
      <w:r>
        <w:rPr>
          <w:rFonts w:ascii="Times New Roman" w:hAnsi="Times New Roman"/>
          <w:noProof/>
          <w:sz w:val="24"/>
        </w:rPr>
        <w:t xml:space="preserve"> minskade också under samma tids</w:t>
      </w:r>
      <w:r>
        <w:rPr>
          <w:rFonts w:ascii="Times New Roman" w:hAnsi="Times New Roman"/>
          <w:noProof/>
          <w:sz w:val="24"/>
        </w:rPr>
        <w:t>period med nästan 1 procentenhet till 4,4</w:t>
      </w:r>
      <w:r>
        <w:rPr>
          <w:noProof/>
        </w:rPr>
        <w:t> </w:t>
      </w:r>
      <w:r>
        <w:rPr>
          <w:rFonts w:ascii="Times New Roman" w:hAnsi="Times New Roman"/>
          <w:noProof/>
          <w:sz w:val="24"/>
        </w:rPr>
        <w:t xml:space="preserve">%. Den nedåtgående trenden för andelen nödlidande lån har därmed varit fortsatt obruten sedan fjärde kvartalet 2014. Ytterligare uppgifter avseende den långsiktiga trenden gav vid handen att andelen nödlidande lån </w:t>
      </w:r>
      <w:r>
        <w:rPr>
          <w:rFonts w:ascii="Times New Roman" w:hAnsi="Times New Roman"/>
          <w:noProof/>
          <w:sz w:val="24"/>
        </w:rPr>
        <w:t>närmar sig nivåerna före krisen (se figur 2). Reserveringskvoten</w:t>
      </w:r>
      <w:r>
        <w:rPr>
          <w:rStyle w:val="FootnoteReference"/>
          <w:rFonts w:ascii="Times New Roman" w:hAnsi="Times New Roman"/>
          <w:noProof/>
          <w:sz w:val="24"/>
        </w:rPr>
        <w:footnoteReference w:id="15"/>
      </w:r>
      <w:r>
        <w:rPr>
          <w:rFonts w:ascii="Times New Roman" w:hAnsi="Times New Roman"/>
          <w:noProof/>
          <w:sz w:val="24"/>
        </w:rPr>
        <w:t xml:space="preserve"> har också förbättrats ytterligare och uppgår nu till 59 % (andra kvartalet 2018).</w:t>
      </w:r>
    </w:p>
    <w:p w:rsidR="0058506B" w:rsidRDefault="005E3AFA">
      <w:pPr>
        <w:keepNext/>
        <w:jc w:val="both"/>
        <w:rPr>
          <w:rFonts w:ascii="Times New Roman" w:hAnsi="Times New Roman"/>
          <w:b/>
          <w:noProof/>
          <w:sz w:val="20"/>
        </w:rPr>
      </w:pPr>
      <w:r>
        <w:rPr>
          <w:rFonts w:ascii="Times New Roman" w:hAnsi="Times New Roman"/>
          <w:b/>
          <w:noProof/>
          <w:sz w:val="20"/>
        </w:rPr>
        <w:t>Figurerna 1 och 2: Andelen nödlidande lån i EU</w:t>
      </w:r>
    </w:p>
    <w:p w:rsidR="0058506B" w:rsidRDefault="005E3AFA">
      <w:pPr>
        <w:spacing w:after="240"/>
        <w:jc w:val="both"/>
        <w:rPr>
          <w:rFonts w:ascii="Times New Roman" w:eastAsia="Times New Roman" w:hAnsi="Times New Roman"/>
          <w:noProof/>
          <w:sz w:val="24"/>
          <w:szCs w:val="24"/>
        </w:rPr>
      </w:pPr>
      <w:r>
        <w:rPr>
          <w:noProof/>
          <w:lang w:val="fr-BE" w:eastAsia="fr-BE" w:bidi="ar-SA"/>
        </w:rPr>
        <w:drawing>
          <wp:inline distT="0" distB="0" distL="0" distR="0">
            <wp:extent cx="5652770" cy="2584192"/>
            <wp:effectExtent l="0" t="0" r="508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52770" cy="2584192"/>
                    </a:xfrm>
                    <a:prstGeom prst="rect">
                      <a:avLst/>
                    </a:prstGeom>
                  </pic:spPr>
                </pic:pic>
              </a:graphicData>
            </a:graphic>
          </wp:inline>
        </w:drawing>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Andelen nödlidande lån har minskat i nästan alla medlemssta</w:t>
      </w:r>
      <w:r>
        <w:rPr>
          <w:rFonts w:ascii="Times New Roman" w:hAnsi="Times New Roman"/>
          <w:noProof/>
          <w:sz w:val="24"/>
        </w:rPr>
        <w:t>ter. Situationen varierar emellertid fortfarande avsevärt mellan medlemsstaterna (se tabell 2). I slutet av andra kvartalet 2018 var andelen nödlidande lån mindre än 3 % i tolv av medlemsstaterna, samtidigt som tre medlemsstater hade en andel på över 10 %.</w:t>
      </w:r>
      <w:r>
        <w:rPr>
          <w:rFonts w:ascii="Times New Roman" w:hAnsi="Times New Roman"/>
          <w:noProof/>
          <w:sz w:val="24"/>
        </w:rPr>
        <w:t xml:space="preserve"> De flesta av medlemsstaterna med relativt hög andel nödlidande lån visar å andra sidan uppmuntrande och långvariga framsteg i de flesta fall, tack vare en kombination av politiska åtgärder och ekonomisk tillväxt.</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 xml:space="preserve">Denna minskning av volymen av och andelen </w:t>
      </w:r>
      <w:r>
        <w:rPr>
          <w:rFonts w:ascii="Times New Roman" w:hAnsi="Times New Roman"/>
          <w:noProof/>
          <w:sz w:val="24"/>
        </w:rPr>
        <w:t>nödlidande lån underlättats av beslutsamma åtgärder från bankernas ledning och beslutsfattare, särskilt i medlemsstater med relativt hög andel nödlidande lån. I flera av medlemsstaterna märks en trend mot att ytterligare förbättra förfarandena för riskhant</w:t>
      </w:r>
      <w:r>
        <w:rPr>
          <w:rFonts w:ascii="Times New Roman" w:hAnsi="Times New Roman"/>
          <w:noProof/>
          <w:sz w:val="24"/>
        </w:rPr>
        <w:t>ering (särskilt i sårbara banker) och att stärka avsättningen för nödlidande lån för att förbättra bankernas kapitalställning. I Spanien har exempelvis flera banker påskyndat saneringen av sina balansräkningar efter resolutionen av Banco Popular 2017. I Cy</w:t>
      </w:r>
      <w:r>
        <w:rPr>
          <w:rFonts w:ascii="Times New Roman" w:hAnsi="Times New Roman"/>
          <w:noProof/>
          <w:sz w:val="24"/>
        </w:rPr>
        <w:t>pern har de nödlidande lånen minskat fortlöpande sedan slutet av 2015, och de förväntas minska ännu snabbare under andra halvåret i år när en stor portfölj av nödlidande lån avlägsnas från banksystemet i samband med en betydande försäljning av nödlidande l</w:t>
      </w:r>
      <w:r>
        <w:rPr>
          <w:rFonts w:ascii="Times New Roman" w:hAnsi="Times New Roman"/>
          <w:noProof/>
          <w:sz w:val="24"/>
        </w:rPr>
        <w:t>ån. Den fortsatta användningen av värdepapperiseringsprogram ger också drivkraft åt minskningen av nödlidande lån. Det värdepapperiseringsprogram som infördes i Italien under 2016 med stöd av statliga garantier (</w:t>
      </w:r>
      <w:r>
        <w:rPr>
          <w:rFonts w:ascii="Times New Roman" w:hAnsi="Times New Roman"/>
          <w:i/>
          <w:noProof/>
          <w:sz w:val="24"/>
        </w:rPr>
        <w:t>GACS, Garanzia Cartolarizzazione Sofferenze</w:t>
      </w:r>
      <w:r>
        <w:rPr>
          <w:rFonts w:ascii="Times New Roman" w:hAnsi="Times New Roman"/>
          <w:noProof/>
          <w:sz w:val="24"/>
        </w:rPr>
        <w:t>)</w:t>
      </w:r>
      <w:r>
        <w:rPr>
          <w:rFonts w:ascii="Times New Roman" w:hAnsi="Times New Roman"/>
          <w:noProof/>
          <w:sz w:val="24"/>
        </w:rPr>
        <w:t xml:space="preserve"> utökades med ytterligare sex månader i september 2018. Flera andra initiativ för att stärka marknadens infrastruktur ger också stöd åt hanteringen av nödlidande lån. I Portugal är till exempel initiativ för att främja samordningen mellan borgenärer (i syf</w:t>
      </w:r>
      <w:r>
        <w:rPr>
          <w:rFonts w:ascii="Times New Roman" w:hAnsi="Times New Roman"/>
          <w:noProof/>
          <w:sz w:val="24"/>
        </w:rPr>
        <w:t>te att påskynda omstruktureringen av krediter eller försäljningen av nödlidande lån) ett välkommet tillskott i den politiska strategin.</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I allmänhet har den miljö där bankerna kan lösa sina nödlidande lån förbättrats avsevärt sedan krisen. Som en följd av d</w:t>
      </w:r>
      <w:r>
        <w:rPr>
          <w:rFonts w:ascii="Times New Roman" w:hAnsi="Times New Roman"/>
          <w:noProof/>
          <w:sz w:val="24"/>
        </w:rPr>
        <w:t>etta har bankerna kunnat bygga vidare på den återställda stabiliteten i det finansiella systemet, delvis med hjälp av ett bättre och tydligare regelverk. Denna stabilitet har gjort det möjligt för bankerna att förbättra sin interna kapacitet att hantera oc</w:t>
      </w:r>
      <w:r>
        <w:rPr>
          <w:rFonts w:ascii="Times New Roman" w:hAnsi="Times New Roman"/>
          <w:noProof/>
          <w:sz w:val="24"/>
        </w:rPr>
        <w:t>h lösa nödlidande lån. I många fall har bankerna vidareutvecklat dessa verksamheter till särskilda fristående enheter. Utöver denna kapacitet har bankerna även dragit fördel av en utökad tillgång till externa utlåningstjänster, vilket har gjort det lättare</w:t>
      </w:r>
      <w:r>
        <w:rPr>
          <w:rFonts w:ascii="Times New Roman" w:hAnsi="Times New Roman"/>
          <w:noProof/>
          <w:sz w:val="24"/>
        </w:rPr>
        <w:t xml:space="preserve"> att lägga ut verksamheten med att avveckla nödlidande lån. Marknaden för förvaltning av nödlidande lån har uppenbart vuxit och har utvecklats i hela Europa.</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I linje med förbättringarna av lagstiftningen efter krisen har banker och andra marknadsaktörer sk</w:t>
      </w:r>
      <w:r>
        <w:rPr>
          <w:rFonts w:ascii="Times New Roman" w:hAnsi="Times New Roman"/>
          <w:noProof/>
          <w:sz w:val="24"/>
        </w:rPr>
        <w:t>affat sig betydande kunskaper och erfarenheter när det gäller att lösa nödlidande lån. Den stadiga tillväxten i försäljningen och värdepapperiseringen av nödlidande lån har bidragit till denna viktiga utveckling mot en mer mogen miljö för avveckling av nöd</w:t>
      </w:r>
      <w:r>
        <w:rPr>
          <w:rFonts w:ascii="Times New Roman" w:hAnsi="Times New Roman"/>
          <w:noProof/>
          <w:sz w:val="24"/>
        </w:rPr>
        <w:t>lidande lån. För att uppnå en verkligt hållbar lösning för de återstående problemen med nödlidande lån i Europa måste dock ytterligare ansträngningar göras för att utarbeta innovativa och samordnade strategier. Sådana strategier håller redan på att växa fr</w:t>
      </w:r>
      <w:r>
        <w:rPr>
          <w:rFonts w:ascii="Times New Roman" w:hAnsi="Times New Roman"/>
          <w:noProof/>
          <w:sz w:val="24"/>
        </w:rPr>
        <w:t>am på marknaden, efterhand som omfattande partnerskap tar form mellan olika marknadsaktörer, till exempel mellan banker och specialiserade tredjepartsföretag. Detta ger aktörerna allt större möjligheter att dela kunskap och information med varandra.  På de</w:t>
      </w:r>
      <w:r>
        <w:rPr>
          <w:rFonts w:ascii="Times New Roman" w:hAnsi="Times New Roman"/>
          <w:noProof/>
          <w:sz w:val="24"/>
        </w:rPr>
        <w:t>tta sätt kan banker och andra marknadsaktörer ta ytterligare steg när det gäller digitalisering och utveckling av plattformar (t.ex. samordning mellan borgenärer eller databaser). Denna utveckling kan minska kostnaderna för hanteringen av nödlidande lån oc</w:t>
      </w:r>
      <w:r>
        <w:rPr>
          <w:rFonts w:ascii="Times New Roman" w:hAnsi="Times New Roman"/>
          <w:noProof/>
          <w:sz w:val="24"/>
        </w:rPr>
        <w:t xml:space="preserve">h göra det lättare att överföra nödlidande lån från banker till företag som har bättre förutsättningar att bära den relevanta operativa och finansiella bördan. En fortsatt specialisering bland marknadsaktörerna kommer att leda till förbättrad effektivitet </w:t>
      </w:r>
      <w:r>
        <w:rPr>
          <w:rFonts w:ascii="Times New Roman" w:hAnsi="Times New Roman"/>
          <w:noProof/>
          <w:sz w:val="24"/>
        </w:rPr>
        <w:t>när det gäller hantering och avveckling av nödlidande lån från olika tillgångsklasser.</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 xml:space="preserve">Dessa förbättringar är avgörande för att de nuvarande volymerna av nödlidande lån ska kunna hanteras effektivt. Än så länge har insatserna varit starkt koncentrerade på </w:t>
      </w:r>
      <w:r>
        <w:rPr>
          <w:rFonts w:ascii="Times New Roman" w:hAnsi="Times New Roman"/>
          <w:noProof/>
          <w:sz w:val="24"/>
        </w:rPr>
        <w:t>nödlidande lån som garanteras genom säkerheter och, i mindre utsträckning, på nödlidande privatlån utan säkerhet. En stor del av den återstående exponeringen består av nödlidande lån till bolag och små och medelstora företag, särskilt i medlemsstater där n</w:t>
      </w:r>
      <w:r>
        <w:rPr>
          <w:rFonts w:ascii="Times New Roman" w:hAnsi="Times New Roman"/>
          <w:noProof/>
          <w:sz w:val="24"/>
        </w:rPr>
        <w:t>ödlidande lån har varit följden av en ekonomisk recession snarare än en kris på fastighetsmarknaden. Generellt sett är nödlidande lån till bolag och små och medelstora företag mer heterogena, och de kan ofta vara svårare att hantera.</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Hanteringen av nödlida</w:t>
      </w:r>
      <w:r>
        <w:rPr>
          <w:rFonts w:ascii="Times New Roman" w:hAnsi="Times New Roman"/>
          <w:noProof/>
          <w:sz w:val="24"/>
        </w:rPr>
        <w:t>nde lån kan anses befinna sig vid en brytpunkt. Den har efterhand mognat från en krisverksamhet till en mer strukturerad och funktionell strategi. De kommersiella, tekniska och rättsliga framstegen håller på att falla på plats, men måste även i fortsättnin</w:t>
      </w:r>
      <w:r>
        <w:rPr>
          <w:rFonts w:ascii="Times New Roman" w:hAnsi="Times New Roman"/>
          <w:noProof/>
          <w:sz w:val="24"/>
        </w:rPr>
        <w:t>gen stödjas av målinriktade politiska beslut, både på nationell och europeisk nivå. Framstegen kan då fungera som språngbrädor så att systemet kan utvecklas till en hållbar konstruktion som kan användas för att på ett effektivt sätt lösa de befintliga voly</w:t>
      </w:r>
      <w:r>
        <w:rPr>
          <w:rFonts w:ascii="Times New Roman" w:hAnsi="Times New Roman"/>
          <w:noProof/>
          <w:sz w:val="24"/>
        </w:rPr>
        <w:t>merna av nödlidande lån och förhindra att de ackumuleras i framtiden.</w:t>
      </w:r>
    </w:p>
    <w:p w:rsidR="0058506B" w:rsidRDefault="005E3AFA">
      <w:pPr>
        <w:pStyle w:val="Heading1"/>
        <w:numPr>
          <w:ilvl w:val="0"/>
          <w:numId w:val="0"/>
        </w:numPr>
        <w:spacing w:before="120" w:after="60"/>
        <w:ind w:left="1021" w:hanging="1021"/>
        <w:rPr>
          <w:noProof/>
          <w:sz w:val="20"/>
          <w:szCs w:val="20"/>
        </w:rPr>
      </w:pPr>
      <w:r>
        <w:rPr>
          <w:rFonts w:ascii="Times New Roman" w:hAnsi="Times New Roman"/>
          <w:smallCaps w:val="0"/>
          <w:noProof/>
          <w:sz w:val="20"/>
        </w:rPr>
        <w:t xml:space="preserve">Tabell 2: Nödlidande lån och avsättningar per medlemsstat </w:t>
      </w:r>
      <w:r>
        <w:rPr>
          <w:rFonts w:ascii="Times New Roman" w:hAnsi="Times New Roman"/>
          <w:smallCaps w:val="0"/>
          <w:noProof/>
          <w:sz w:val="20"/>
          <w:vertAlign w:val="superscript"/>
        </w:rPr>
        <w:footnoteReference w:id="16"/>
      </w:r>
    </w:p>
    <w:p w:rsidR="0058506B" w:rsidRDefault="005E3AFA">
      <w:pPr>
        <w:keepNext/>
        <w:rPr>
          <w:rFonts w:ascii="Times New Roman" w:eastAsia="Times New Roman" w:hAnsi="Times New Roman"/>
          <w:i/>
          <w:noProof/>
          <w:sz w:val="18"/>
          <w:szCs w:val="24"/>
        </w:rPr>
      </w:pPr>
      <w:r>
        <w:rPr>
          <w:rFonts w:ascii="Times New Roman" w:hAnsi="Times New Roman"/>
          <w:i/>
          <w:noProof/>
          <w:sz w:val="18"/>
        </w:rPr>
        <w:t xml:space="preserve"> </w:t>
      </w:r>
      <w:r>
        <w:rPr>
          <w:noProof/>
          <w:lang w:val="fr-BE" w:eastAsia="fr-BE" w:bidi="ar-SA"/>
        </w:rPr>
        <w:drawing>
          <wp:inline distT="0" distB="0" distL="0" distR="0">
            <wp:extent cx="4701396" cy="5934974"/>
            <wp:effectExtent l="0" t="0" r="444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01440" cy="5935030"/>
                    </a:xfrm>
                    <a:prstGeom prst="rect">
                      <a:avLst/>
                    </a:prstGeom>
                    <a:noFill/>
                    <a:ln>
                      <a:noFill/>
                    </a:ln>
                  </pic:spPr>
                </pic:pic>
              </a:graphicData>
            </a:graphic>
          </wp:inline>
        </w:drawing>
      </w:r>
    </w:p>
    <w:p w:rsidR="0058506B" w:rsidRDefault="005E3AFA">
      <w:pPr>
        <w:spacing w:before="60" w:after="300"/>
        <w:rPr>
          <w:rFonts w:ascii="Times New Roman" w:eastAsia="Times New Roman" w:hAnsi="Times New Roman"/>
          <w:noProof/>
          <w:sz w:val="18"/>
          <w:szCs w:val="24"/>
        </w:rPr>
      </w:pPr>
      <w:r>
        <w:rPr>
          <w:rFonts w:ascii="Times New Roman" w:hAnsi="Times New Roman"/>
          <w:noProof/>
          <w:sz w:val="18"/>
        </w:rPr>
        <w:t>Källa:</w:t>
      </w:r>
      <w:r>
        <w:rPr>
          <w:rFonts w:ascii="Times New Roman" w:hAnsi="Times New Roman"/>
          <w:i/>
          <w:noProof/>
          <w:sz w:val="18"/>
        </w:rPr>
        <w:t xml:space="preserve"> </w:t>
      </w:r>
      <w:r>
        <w:rPr>
          <w:rFonts w:ascii="Times New Roman" w:hAnsi="Times New Roman"/>
          <w:noProof/>
          <w:sz w:val="18"/>
        </w:rPr>
        <w:t>Europeiska centralbanken, konsoliderade bankuppgifter. Beräkningar av kommissionens avdelningar (GD FISMA).</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 xml:space="preserve">Trots </w:t>
      </w:r>
      <w:r>
        <w:rPr>
          <w:rFonts w:ascii="Times New Roman" w:hAnsi="Times New Roman"/>
          <w:noProof/>
          <w:sz w:val="24"/>
        </w:rPr>
        <w:t>dessa uppmuntrande framsteg utgör nödlidande lån fortfarande en risk för den ekonomiska tillväxten och den finansiella stabiliteten. Den totala volymen av nödlidande lån i hela unionen uppgår fortfarande till 820 miljarder euro.</w:t>
      </w:r>
      <w:r>
        <w:rPr>
          <w:rFonts w:ascii="Times New Roman" w:hAnsi="Times New Roman"/>
          <w:noProof/>
          <w:sz w:val="24"/>
          <w:vertAlign w:val="superscript"/>
        </w:rPr>
        <w:footnoteReference w:id="17"/>
      </w:r>
      <w:r>
        <w:rPr>
          <w:rFonts w:ascii="Times New Roman" w:hAnsi="Times New Roman"/>
          <w:noProof/>
          <w:sz w:val="24"/>
        </w:rPr>
        <w:t xml:space="preserve"> Det finns fortfarande stru</w:t>
      </w:r>
      <w:r>
        <w:rPr>
          <w:rFonts w:ascii="Times New Roman" w:hAnsi="Times New Roman"/>
          <w:noProof/>
          <w:sz w:val="24"/>
        </w:rPr>
        <w:t>kturella hinder som försvårar en snabbare minskning av mängden nödlidande lån. Bland annat utgör förfarandena för omstrukturering av skulder, insolvens och skuldindrivning fortfarande betydande hinder i vissa fall, eftersom de är alltför långsamma och oför</w:t>
      </w:r>
      <w:r>
        <w:rPr>
          <w:rFonts w:ascii="Times New Roman" w:hAnsi="Times New Roman"/>
          <w:noProof/>
          <w:sz w:val="24"/>
        </w:rPr>
        <w:t xml:space="preserve">utsägbara. Aktiviteten på andrahandsmarknaderna för nödlidande lån växer i vissa av medlemsstaterna med stöd av relevanta politiska åtgärder (som förklaras ovan), även om detta ännu inte är tillräckligt för att bidra i väsentlig grad till ansträngningarna </w:t>
      </w:r>
      <w:r>
        <w:rPr>
          <w:rFonts w:ascii="Times New Roman" w:hAnsi="Times New Roman"/>
          <w:noProof/>
          <w:sz w:val="24"/>
        </w:rPr>
        <w:t>att minska de nödlidande lånen på ett strukturerat sätt. Utvecklingen av andrahandsmarknaden är ändå uppmuntrande, eftersom den har gjort att drivkraften har bibehållits i flera medlemsstater där bankerna har kunnat sälja stora portföljer. Investerarnas in</w:t>
      </w:r>
      <w:r>
        <w:rPr>
          <w:rFonts w:ascii="Times New Roman" w:hAnsi="Times New Roman"/>
          <w:noProof/>
          <w:sz w:val="24"/>
        </w:rPr>
        <w:t>tresse är på uppgång, och volymen av transaktioner med nödlidande lån växer.</w:t>
      </w:r>
    </w:p>
    <w:p w:rsidR="0058506B" w:rsidRDefault="005E3AFA">
      <w:pPr>
        <w:pStyle w:val="Heading1"/>
        <w:spacing w:before="360" w:after="240"/>
        <w:ind w:left="714" w:hanging="357"/>
        <w:rPr>
          <w:noProof/>
        </w:rPr>
      </w:pPr>
      <w:r>
        <w:rPr>
          <w:noProof/>
        </w:rPr>
        <w:t xml:space="preserve">Framsteg i genomförandet av rådets handlingsplan </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 xml:space="preserve">Rådet enades i sin handlingsplan om att lyfta frågan om nödlidande lån med jämna mellanrum för att skapa en överblick över deras </w:t>
      </w:r>
      <w:r>
        <w:rPr>
          <w:rFonts w:ascii="Times New Roman" w:hAnsi="Times New Roman"/>
          <w:noProof/>
          <w:sz w:val="24"/>
        </w:rPr>
        <w:t>utveckling i unionen och göra en bedömning av framstegen i genomförandet av handlingsplanen på grundval av kommissionens inventeringar. I detta avsnitt presenteras de detaljerade inventeringarna för de olika delarna av handlingsplanen</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Av tabell 3 framgår</w:t>
      </w:r>
      <w:r>
        <w:rPr>
          <w:rFonts w:ascii="Times New Roman" w:hAnsi="Times New Roman"/>
          <w:noProof/>
          <w:sz w:val="24"/>
        </w:rPr>
        <w:t xml:space="preserve"> att viktiga steg har tagits mot ett fullständigt genomförande av handlingsplanen.</w:t>
      </w:r>
    </w:p>
    <w:p w:rsidR="0058506B" w:rsidRDefault="005E3AFA">
      <w:pPr>
        <w:pStyle w:val="Heading1"/>
        <w:numPr>
          <w:ilvl w:val="0"/>
          <w:numId w:val="0"/>
        </w:numPr>
        <w:spacing w:before="120" w:after="60"/>
        <w:ind w:left="1021" w:hanging="1021"/>
        <w:rPr>
          <w:rFonts w:ascii="Times New Roman" w:hAnsi="Times New Roman"/>
          <w:bCs w:val="0"/>
          <w:smallCaps w:val="0"/>
          <w:noProof/>
          <w:sz w:val="20"/>
          <w:szCs w:val="20"/>
        </w:rPr>
      </w:pPr>
      <w:r>
        <w:rPr>
          <w:rFonts w:ascii="Times New Roman" w:hAnsi="Times New Roman"/>
          <w:smallCaps w:val="0"/>
          <w:noProof/>
          <w:sz w:val="20"/>
        </w:rPr>
        <w:t>Tabell 3: Framsteg i genomförandet av handlingsplanen</w:t>
      </w:r>
    </w:p>
    <w:p w:rsidR="0058506B" w:rsidRDefault="005E3AFA">
      <w:pPr>
        <w:keepNext/>
        <w:rPr>
          <w:noProof/>
        </w:rPr>
      </w:pPr>
      <w:r>
        <w:rPr>
          <w:noProof/>
          <w:lang w:val="fr-BE" w:eastAsia="fr-BE" w:bidi="ar-SA"/>
        </w:rPr>
        <w:drawing>
          <wp:inline distT="0" distB="0" distL="0" distR="0">
            <wp:extent cx="5652770" cy="3247666"/>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52770" cy="3247666"/>
                    </a:xfrm>
                    <a:prstGeom prst="rect">
                      <a:avLst/>
                    </a:prstGeom>
                    <a:noFill/>
                    <a:ln>
                      <a:noFill/>
                    </a:ln>
                  </pic:spPr>
                </pic:pic>
              </a:graphicData>
            </a:graphic>
          </wp:inline>
        </w:drawing>
      </w:r>
    </w:p>
    <w:p w:rsidR="0058506B" w:rsidRDefault="005E3AFA">
      <w:pPr>
        <w:spacing w:before="60" w:after="240"/>
        <w:jc w:val="center"/>
        <w:rPr>
          <w:rFonts w:ascii="Times New Roman" w:eastAsia="Times New Roman" w:hAnsi="Times New Roman"/>
          <w:noProof/>
          <w:sz w:val="24"/>
          <w:szCs w:val="24"/>
        </w:rPr>
      </w:pPr>
      <w:r>
        <w:rPr>
          <w:noProof/>
          <w:lang w:val="fr-BE" w:eastAsia="fr-BE" w:bidi="ar-SA"/>
        </w:rPr>
        <w:drawing>
          <wp:inline distT="0" distB="0" distL="0" distR="0">
            <wp:extent cx="1595887" cy="759125"/>
            <wp:effectExtent l="0" t="0" r="444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6152" cy="759251"/>
                    </a:xfrm>
                    <a:prstGeom prst="rect">
                      <a:avLst/>
                    </a:prstGeom>
                    <a:noFill/>
                    <a:ln>
                      <a:noFill/>
                    </a:ln>
                  </pic:spPr>
                </pic:pic>
              </a:graphicData>
            </a:graphic>
          </wp:inline>
        </w:drawing>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2" w:name="_Toc502758108"/>
      <w:bookmarkStart w:id="3" w:name="_Toc503264160"/>
      <w:bookmarkStart w:id="4" w:name="_Toc503429924"/>
      <w:r>
        <w:rPr>
          <w:rFonts w:ascii="Times New Roman" w:hAnsi="Times New Roman"/>
          <w:b/>
          <w:i/>
          <w:noProof/>
          <w:sz w:val="24"/>
        </w:rPr>
        <w:t>Tolkning av befintliga tillsynsbefogenheter i EU-lagstiftningen när det gäller avsättning för nödlidande lån</w:t>
      </w:r>
      <w:bookmarkEnd w:id="2"/>
      <w:bookmarkEnd w:id="3"/>
      <w:bookmarkEnd w:id="4"/>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Kommissionen presenterade den begärda tolkningen i den granskningsrapport om den gemensamma tillsynsmekanismen som offentliggjordes den 11 oktober 2017. Det klargjordes att unionslagstiftningen, i synnerhet artikel 16.2 d i förordningen om den gemensamma t</w:t>
      </w:r>
      <w:r>
        <w:rPr>
          <w:rFonts w:ascii="Times New Roman" w:hAnsi="Times New Roman"/>
          <w:noProof/>
          <w:sz w:val="24"/>
        </w:rPr>
        <w:t>illsynsmekanismen</w:t>
      </w:r>
      <w:r>
        <w:rPr>
          <w:rFonts w:ascii="Times New Roman" w:hAnsi="Times New Roman"/>
          <w:noProof/>
          <w:sz w:val="24"/>
          <w:vertAlign w:val="superscript"/>
        </w:rPr>
        <w:footnoteReference w:id="19"/>
      </w:r>
      <w:r>
        <w:rPr>
          <w:rFonts w:ascii="Times New Roman" w:hAnsi="Times New Roman"/>
          <w:noProof/>
          <w:sz w:val="24"/>
        </w:rPr>
        <w:t xml:space="preserve"> och artikel 104.1 d i det fjärde kapitalkravsdirektivet</w:t>
      </w:r>
      <w:r>
        <w:rPr>
          <w:rFonts w:ascii="Times New Roman" w:hAnsi="Times New Roman"/>
          <w:noProof/>
          <w:sz w:val="24"/>
          <w:vertAlign w:val="superscript"/>
        </w:rPr>
        <w:footnoteReference w:id="20"/>
      </w:r>
      <w:r>
        <w:rPr>
          <w:rFonts w:ascii="Times New Roman" w:hAnsi="Times New Roman"/>
          <w:noProof/>
          <w:sz w:val="24"/>
        </w:rPr>
        <w:t>, ger tillsynsmyndigheterna befogenhet att påverka en banks avsättningsstrategi för nödlidande lån inom gränserna för de tillämpliga redovisningsreglerna. De får även göra nödvändig</w:t>
      </w:r>
      <w:r>
        <w:rPr>
          <w:rFonts w:ascii="Times New Roman" w:hAnsi="Times New Roman"/>
          <w:noProof/>
          <w:sz w:val="24"/>
        </w:rPr>
        <w:t>a justeringar av eget kapital (avdrag och liknande behandlingar) från fall till fall.</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5" w:name="_Toc502758109"/>
      <w:bookmarkStart w:id="6" w:name="_Toc503264161"/>
      <w:bookmarkStart w:id="7" w:name="_Toc503429925"/>
      <w:r>
        <w:rPr>
          <w:rFonts w:ascii="Times New Roman" w:hAnsi="Times New Roman"/>
          <w:b/>
          <w:i/>
          <w:noProof/>
          <w:sz w:val="24"/>
        </w:rPr>
        <w:t>Hantera potentiellt otillräckliga avsättningar genom automatiska och tidsbundna avsättningar</w:t>
      </w:r>
      <w:bookmarkEnd w:id="5"/>
      <w:bookmarkEnd w:id="6"/>
      <w:bookmarkEnd w:id="7"/>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 xml:space="preserve">Som en del av det paket med förslag om nödlidande lån som lades fram i mars </w:t>
      </w:r>
      <w:r>
        <w:rPr>
          <w:rFonts w:ascii="Times New Roman" w:hAnsi="Times New Roman"/>
          <w:noProof/>
          <w:sz w:val="24"/>
        </w:rPr>
        <w:t>2018 föreslog kommissionen en förordning om ändring av kapitalkravsförordningen, inklusive ett införande av gemensamma miniminivåer för nyligen beviljade lån som blir nödlidande. Om en bank inte uppfyller gällande miniminivå görs avdrag från bankens egen k</w:t>
      </w:r>
      <w:r>
        <w:rPr>
          <w:rFonts w:ascii="Times New Roman" w:hAnsi="Times New Roman"/>
          <w:noProof/>
          <w:sz w:val="24"/>
        </w:rPr>
        <w:t>apitalbas. Förslaget diskuteras för närvarande i rådet och Europaparlamentet. Rådet har enats om sin förhandlingsposition, och kommissionen uppmanar parlamentet att göra detsamma så att en slutgiltig överenskommelse kan nås före utgången av innevarande val</w:t>
      </w:r>
      <w:r>
        <w:rPr>
          <w:rFonts w:ascii="Times New Roman" w:hAnsi="Times New Roman"/>
          <w:noProof/>
          <w:sz w:val="24"/>
        </w:rPr>
        <w:t>period.</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8" w:name="_Toc502758110"/>
      <w:bookmarkStart w:id="9" w:name="_Toc503264162"/>
      <w:bookmarkStart w:id="10" w:name="_Toc503429926"/>
      <w:r>
        <w:rPr>
          <w:rFonts w:ascii="Times New Roman" w:hAnsi="Times New Roman"/>
          <w:b/>
          <w:i/>
          <w:noProof/>
          <w:sz w:val="24"/>
        </w:rPr>
        <w:t>Utvidga riktlinjerna för den gemensamma tillsynsmekanismen för nödlidande lån till små banker (som inte omfattas av direkt tillsyn)</w:t>
      </w:r>
      <w:bookmarkEnd w:id="8"/>
      <w:bookmarkEnd w:id="9"/>
      <w:bookmarkEnd w:id="10"/>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Europeiska centralbanken har, i sin tillsynsfunktion, haft ett nära samarbete med Europeiska bankmyndigheten för att</w:t>
      </w:r>
      <w:r>
        <w:rPr>
          <w:rFonts w:ascii="Times New Roman" w:hAnsi="Times New Roman"/>
          <w:noProof/>
          <w:sz w:val="24"/>
        </w:rPr>
        <w:t xml:space="preserve"> slutföra de nyligen offentliggjorda riktlinjerna för hantering av nödlidande exponeringar (se punkt 4 nedan). Dessa riktlinjer bör tillämpas av alla kreditinstitut i unionen. Mindre systemviktiga institut bör också tillämpa riktlinjerna proportionellt i s</w:t>
      </w:r>
      <w:r>
        <w:rPr>
          <w:rFonts w:ascii="Times New Roman" w:hAnsi="Times New Roman"/>
          <w:noProof/>
          <w:sz w:val="24"/>
        </w:rPr>
        <w:t>amarbete med de nationella behöriga myndigheterna.</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11" w:name="_Toc503429927"/>
      <w:bookmarkStart w:id="12" w:name="_Toc502758111"/>
      <w:bookmarkStart w:id="13" w:name="_Toc503264163"/>
      <w:r>
        <w:rPr>
          <w:rFonts w:ascii="Times New Roman" w:hAnsi="Times New Roman"/>
          <w:b/>
          <w:i/>
          <w:noProof/>
          <w:sz w:val="24"/>
        </w:rPr>
        <w:t>Anta unionsomfattande riktlinjer</w:t>
      </w:r>
      <w:bookmarkEnd w:id="11"/>
      <w:r>
        <w:rPr>
          <w:rFonts w:ascii="Times New Roman" w:hAnsi="Times New Roman"/>
          <w:b/>
          <w:i/>
          <w:noProof/>
          <w:sz w:val="24"/>
        </w:rPr>
        <w:t xml:space="preserve"> </w:t>
      </w:r>
      <w:bookmarkEnd w:id="12"/>
      <w:bookmarkEnd w:id="13"/>
      <w:r>
        <w:rPr>
          <w:rFonts w:ascii="Times New Roman" w:hAnsi="Times New Roman"/>
          <w:b/>
          <w:i/>
          <w:noProof/>
          <w:sz w:val="24"/>
        </w:rPr>
        <w:t>för nödlidande exponeringar</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Europeiska bankmyndigheten offentliggjorde riktlinjer för hanteringen av nödlidande exponeringar och exponeringar med anstånd i oktober 2018 för</w:t>
      </w:r>
      <w:r>
        <w:rPr>
          <w:rFonts w:ascii="Times New Roman" w:hAnsi="Times New Roman"/>
          <w:noProof/>
          <w:sz w:val="24"/>
        </w:rPr>
        <w:t xml:space="preserve"> banker och tillsynsmyndigheter. Riktlinjerna syftar till en effektiv och ändamålsenlig hantering och en hållbar minskning av de nödlidande lånen i bankernas balansräkningar. Grundtanken med dessa riktlinjer är att bankerna förväntas utarbeta strategier fö</w:t>
      </w:r>
      <w:r>
        <w:rPr>
          <w:rFonts w:ascii="Times New Roman" w:hAnsi="Times New Roman"/>
          <w:noProof/>
          <w:sz w:val="24"/>
        </w:rPr>
        <w:t>r nödlidande exponeringar i kombination med lämpliga styrnings- och arbetsrutiner. Dessa strategier och rutiner omfattas av en tillsynsbedömning i enlighet med översyns- och utvärderingsprocessen. Riktlinjerna bör tillämpas från och med den 30 juni 2019.</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14" w:name="_Toc502758112"/>
      <w:bookmarkStart w:id="15" w:name="_Toc503264164"/>
      <w:bookmarkStart w:id="16" w:name="_Toc503429928"/>
      <w:r>
        <w:rPr>
          <w:rFonts w:ascii="Times New Roman" w:hAnsi="Times New Roman"/>
          <w:b/>
          <w:i/>
          <w:noProof/>
          <w:sz w:val="24"/>
        </w:rPr>
        <w:t>N</w:t>
      </w:r>
      <w:r>
        <w:rPr>
          <w:rFonts w:ascii="Times New Roman" w:hAnsi="Times New Roman"/>
          <w:b/>
          <w:i/>
          <w:noProof/>
          <w:sz w:val="24"/>
        </w:rPr>
        <w:t>ya riktlinjer om bankers låneutgivning, övervakning och interna styrning</w:t>
      </w:r>
      <w:bookmarkEnd w:id="14"/>
      <w:bookmarkEnd w:id="15"/>
      <w:bookmarkEnd w:id="16"/>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Europeiska bankmyndigheten har utarbetat utkast till riktlinjer för utgivning och övervakning av lån. Utkastet till riktlinjer planeras omfatta bankernas interna styrning av kreditris</w:t>
      </w:r>
      <w:r>
        <w:rPr>
          <w:rFonts w:ascii="Times New Roman" w:hAnsi="Times New Roman"/>
          <w:noProof/>
          <w:sz w:val="24"/>
        </w:rPr>
        <w:t>ker, bedömning av låntagarnas kreditvärdighet</w:t>
      </w:r>
      <w:r>
        <w:rPr>
          <w:rStyle w:val="FootnoteReference"/>
          <w:rFonts w:ascii="Times New Roman" w:hAnsi="Times New Roman"/>
          <w:noProof/>
          <w:sz w:val="24"/>
        </w:rPr>
        <w:footnoteReference w:id="21"/>
      </w:r>
      <w:r>
        <w:rPr>
          <w:rFonts w:ascii="Times New Roman" w:hAnsi="Times New Roman"/>
          <w:noProof/>
          <w:sz w:val="24"/>
        </w:rPr>
        <w:t>, värdering av säkerhet, samt bankernas övervakning av kreditrisker för olika tillgångsklasser och motparter. Med tanke på ämnets omfattning och dess koppling till regelverket för konsumentskydd, t.ex. bedömnin</w:t>
      </w:r>
      <w:r>
        <w:rPr>
          <w:rFonts w:ascii="Times New Roman" w:hAnsi="Times New Roman"/>
          <w:noProof/>
          <w:sz w:val="24"/>
        </w:rPr>
        <w:t>gen av låntagarnas kreditvärdighet, kan det ta lång tid att utarbeta övergripande riktlinjer. En eventuell samverkan med berörda parter inom området för konsumentskydd kan försena utarbetandet av utkastet till riktlinjerna. Europeiska bankmyndigheten plane</w:t>
      </w:r>
      <w:r>
        <w:rPr>
          <w:rFonts w:ascii="Times New Roman" w:hAnsi="Times New Roman"/>
          <w:noProof/>
          <w:sz w:val="24"/>
        </w:rPr>
        <w:t>rar att diskutera utkastet till samrådsdokument om riktlinjerna för utgivning och övervakning av lån under mötet med myndighetens tillsynsstyrelse i början av 2019 och att offentliggöra samrådsdokumentet senare samma år.</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17" w:name="_Toc502758113"/>
      <w:bookmarkStart w:id="18" w:name="_Toc503264165"/>
      <w:bookmarkStart w:id="19" w:name="_Toc503429929"/>
      <w:r>
        <w:rPr>
          <w:rFonts w:ascii="Times New Roman" w:hAnsi="Times New Roman"/>
          <w:b/>
          <w:i/>
          <w:noProof/>
          <w:sz w:val="24"/>
        </w:rPr>
        <w:t>Utarbeta tillvägagångssätt för makr</w:t>
      </w:r>
      <w:r>
        <w:rPr>
          <w:rFonts w:ascii="Times New Roman" w:hAnsi="Times New Roman"/>
          <w:b/>
          <w:i/>
          <w:noProof/>
          <w:sz w:val="24"/>
        </w:rPr>
        <w:t>otillsyn för att ta itu med ackumuleringen av framtida nödlidande lån</w:t>
      </w:r>
      <w:bookmarkEnd w:id="17"/>
      <w:bookmarkEnd w:id="18"/>
      <w:bookmarkEnd w:id="19"/>
    </w:p>
    <w:p w:rsidR="0058506B" w:rsidRDefault="005E3AFA">
      <w:pPr>
        <w:spacing w:after="240"/>
        <w:jc w:val="both"/>
        <w:rPr>
          <w:rFonts w:ascii="Times New Roman" w:eastAsia="Times New Roman" w:hAnsi="Times New Roman"/>
          <w:bCs/>
          <w:noProof/>
          <w:sz w:val="24"/>
          <w:szCs w:val="24"/>
        </w:rPr>
      </w:pPr>
      <w:r>
        <w:rPr>
          <w:rFonts w:ascii="Times New Roman" w:hAnsi="Times New Roman"/>
          <w:noProof/>
          <w:sz w:val="24"/>
        </w:rPr>
        <w:t>Europeiska systemrisknämnden kommer före utgången av 2018 att slutföra en rapport om makrotillsyn för att förhindra uppkomsten av systemövergripande problem med nödlidande lån. Rapporten</w:t>
      </w:r>
      <w:r>
        <w:rPr>
          <w:rFonts w:ascii="Times New Roman" w:hAnsi="Times New Roman"/>
          <w:noProof/>
          <w:sz w:val="24"/>
        </w:rPr>
        <w:t xml:space="preserve"> tar även vederbörlig hänsyn till de procykliska effekterna av åtgärder med inriktning på volymerna av nödlidande lån och de möjliga effekterna på den finansiella stabiliteten. Under tiden offentliggjorde nämndens rådgivande vetenskapliga kommitté sitt ege</w:t>
      </w:r>
      <w:r>
        <w:rPr>
          <w:rFonts w:ascii="Times New Roman" w:hAnsi="Times New Roman"/>
          <w:noProof/>
          <w:sz w:val="24"/>
        </w:rPr>
        <w:t>t bidrag i ämnet i september 2018. En av de viktiga aspekter som har undersökts är den optimala hastigheten och utformningen av avvecklingen av nödlidande lån ur ett systemövergripande perspektiv.</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20" w:name="_Toc502758114"/>
      <w:bookmarkStart w:id="21" w:name="_Toc503264166"/>
      <w:bookmarkStart w:id="22" w:name="_Toc503429930"/>
      <w:r>
        <w:rPr>
          <w:rFonts w:ascii="Times New Roman" w:hAnsi="Times New Roman"/>
          <w:b/>
          <w:i/>
          <w:noProof/>
          <w:sz w:val="24"/>
        </w:rPr>
        <w:t>Stärkta krav för offentliggörande av uppgifter om tillgångs</w:t>
      </w:r>
      <w:r>
        <w:rPr>
          <w:rFonts w:ascii="Times New Roman" w:hAnsi="Times New Roman"/>
          <w:b/>
          <w:i/>
          <w:noProof/>
          <w:sz w:val="24"/>
        </w:rPr>
        <w:t>kvalitet och nödlidande lån för alla banker</w:t>
      </w:r>
      <w:bookmarkEnd w:id="20"/>
      <w:bookmarkEnd w:id="21"/>
      <w:bookmarkEnd w:id="22"/>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Europeiska bankmyndigheten har tagit fram riktlinjer för offentliggörande av uppgifter om nödlidande exponeringar och exponeringar med anstånd. Dessa riktlinjer syftar till att fastställa ett gemensamt innehåll o</w:t>
      </w:r>
      <w:r>
        <w:rPr>
          <w:rFonts w:ascii="Times New Roman" w:hAnsi="Times New Roman"/>
          <w:noProof/>
          <w:sz w:val="24"/>
        </w:rPr>
        <w:t>ch ett enhetligt format för offentliggörande av uppgifter om nödlidande exponeringar, exponeringar med anstånd och utmätta tillgångar som bankerna bör offentliggöra</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De syftar till att anpassa de olika aspekterna av offentliggörandet för alla institut i u</w:t>
      </w:r>
      <w:r>
        <w:rPr>
          <w:rFonts w:ascii="Times New Roman" w:hAnsi="Times New Roman"/>
          <w:noProof/>
          <w:sz w:val="24"/>
        </w:rPr>
        <w:t xml:space="preserve">nionen med de som för närvarande rekommenderas i den gemensamma tillsynsmekanismens riktlinjer för bankerna. Europeiska bankmyndigheten har genomfört ett offentligt samråd, och de slutliga riktlinjerna förväntas offentliggöras under fjärde kvartalet 2018. </w:t>
      </w:r>
      <w:r>
        <w:rPr>
          <w:rFonts w:ascii="Times New Roman" w:hAnsi="Times New Roman"/>
          <w:noProof/>
          <w:sz w:val="24"/>
        </w:rPr>
        <w:t>De bör tillämpas från och med den 31 december 2019.</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23" w:name="_Toc502758115"/>
      <w:bookmarkStart w:id="24" w:name="_Toc503264167"/>
      <w:bookmarkStart w:id="25" w:name="_Toc503429931"/>
      <w:r>
        <w:rPr>
          <w:rFonts w:ascii="Times New Roman" w:hAnsi="Times New Roman"/>
          <w:b/>
          <w:i/>
          <w:noProof/>
          <w:sz w:val="24"/>
        </w:rPr>
        <w:t>Förbättra de elektroniska lånedata som banker ska lämna för sina kreditexponeringar utanför handelslagret</w:t>
      </w:r>
      <w:bookmarkEnd w:id="23"/>
      <w:bookmarkEnd w:id="24"/>
      <w:bookmarkEnd w:id="25"/>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För att förstärka infrastrukturen med enhetliga och standardiserade uppgifter om nödlidande lån ut</w:t>
      </w:r>
      <w:r>
        <w:rPr>
          <w:rFonts w:ascii="Times New Roman" w:hAnsi="Times New Roman"/>
          <w:noProof/>
          <w:sz w:val="24"/>
        </w:rPr>
        <w:t>färdade Europeiska bankmyndigheten mallar för övervakning av elektroniska lånedata i december 2017. Mallarna ingår inte i tillsynsrapporteringen, men banker och investerare uppmuntras att använda dessa standardiserade mallar för nödlidande lån vid affärstr</w:t>
      </w:r>
      <w:r>
        <w:rPr>
          <w:rFonts w:ascii="Times New Roman" w:hAnsi="Times New Roman"/>
          <w:noProof/>
          <w:sz w:val="24"/>
        </w:rPr>
        <w:t>ansaktioner</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I mallarna ingår uppgifter om lånen, vilka motparter som deltar i lånetransaktionerna och vilka säkerheter som har ställts. När mallarna hade utfärdats genomfördes ytterligare tester med aktuella uppgifter under första halvåret 2018. Institut</w:t>
      </w:r>
      <w:r>
        <w:rPr>
          <w:rFonts w:ascii="Times New Roman" w:hAnsi="Times New Roman"/>
          <w:noProof/>
          <w:sz w:val="24"/>
        </w:rPr>
        <w:t>ens användning av mallarna och Europeiska bankmyndighetens kontakter med de berörda parterna medförde ytterligare återkoppling, och myndigheten offentliggjorde en reviderad version i september 2018. Myndighetens samverkan med branschen bekräftade att olika</w:t>
      </w:r>
      <w:r>
        <w:rPr>
          <w:rFonts w:ascii="Times New Roman" w:hAnsi="Times New Roman"/>
          <w:noProof/>
          <w:sz w:val="24"/>
        </w:rPr>
        <w:t xml:space="preserve"> marknadsaktörer för närvarande använder mallarna för sina transaktioner.</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r>
        <w:rPr>
          <w:rFonts w:ascii="Times New Roman" w:hAnsi="Times New Roman"/>
          <w:b/>
          <w:i/>
          <w:noProof/>
          <w:sz w:val="24"/>
        </w:rPr>
        <w:t>Förstärka infrastrukturen för uppgifter om nödlidande lån och utvärdera möjligheten att införa transaktionsplattformar för nödlidande lån</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 xml:space="preserve">En unionsövergripande transaktionsplattform </w:t>
      </w:r>
      <w:r>
        <w:rPr>
          <w:rFonts w:ascii="Times New Roman" w:hAnsi="Times New Roman"/>
          <w:noProof/>
          <w:sz w:val="24"/>
        </w:rPr>
        <w:t>för nödlidande lån skulle kunna fungera som en elektronisk marknadsplats där innehavare av nödlidande lån – banker och andra borgenärer – och intresserade investerare kan handla och utbyta information. En sådan plattform hade kunnat användas för att hanter</w:t>
      </w:r>
      <w:r>
        <w:rPr>
          <w:rFonts w:ascii="Times New Roman" w:hAnsi="Times New Roman"/>
          <w:noProof/>
          <w:sz w:val="24"/>
        </w:rPr>
        <w:t xml:space="preserve">a flera av de källor till marknadsstörningar som för närvarande förekommer på andrahandsmarknaden för nödlidande lån, däribland asymmetrisk information mellan säljare och köpare och höga transaktionskostnader. Den skulle även kunna hjälpa bankerna att öka </w:t>
      </w:r>
      <w:r>
        <w:rPr>
          <w:rFonts w:ascii="Times New Roman" w:hAnsi="Times New Roman"/>
          <w:noProof/>
          <w:sz w:val="24"/>
        </w:rPr>
        <w:t>sin försäljning och uppnå högre försäljningspriser än vad som är möjligt i nuläget. Investerarna skulle få bättre tillgång till marknaderna för nödlidande lån, och bankerna hade kunnat göra sig av med sina nödlidande lån och snabbare sanera sina balansräkn</w:t>
      </w:r>
      <w:r>
        <w:rPr>
          <w:rFonts w:ascii="Times New Roman" w:hAnsi="Times New Roman"/>
          <w:noProof/>
          <w:sz w:val="24"/>
        </w:rPr>
        <w:t>ingar. En sådan plattform skulle underlätta hanteringen av de nuvarande volymerna av nödlidande lån och fungera som en permanent kanal för en effektiv avveckling av nödlidande lån efterhand som de uppstår. I detta avseende hade det varit en viktig, och sam</w:t>
      </w:r>
      <w:r>
        <w:rPr>
          <w:rFonts w:ascii="Times New Roman" w:hAnsi="Times New Roman"/>
          <w:noProof/>
          <w:sz w:val="24"/>
        </w:rPr>
        <w:t>tidigt billig, infrastrukturinvestering för att förhindra uppkomsten av stora volymer av nödlidande lån i framtiden. Plattformen hade därför varit en viktig förutsättning för en hållbar lösning av problemet med nödlidande lån i Europa.</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Rådet uppmanade Euro</w:t>
      </w:r>
      <w:r>
        <w:rPr>
          <w:rFonts w:ascii="Times New Roman" w:hAnsi="Times New Roman"/>
          <w:noProof/>
          <w:sz w:val="24"/>
        </w:rPr>
        <w:t>peiska centralbanken, Europeiska bankmyndigheten och kommissionen att undersöka möjligheten att inrätta en plattform för transaktioner med nödlidande lån för att stimulera utvecklingen av andrahandsmarknader. Detta meddelande åtföljs därför av ett arbetsdo</w:t>
      </w:r>
      <w:r>
        <w:rPr>
          <w:rFonts w:ascii="Times New Roman" w:hAnsi="Times New Roman"/>
          <w:noProof/>
          <w:sz w:val="24"/>
        </w:rPr>
        <w:t>kument från kommissionens avdelningar om ett möjligt inrättande av en sådan transaktionsplattform. Utkastet till arbetsdokumentet har utarbetats gemensamt av kommissionen, Europeiska centralbanken och Europeiska bankmyndigheten. I dokumentet beskrivs kommi</w:t>
      </w:r>
      <w:r>
        <w:rPr>
          <w:rFonts w:ascii="Times New Roman" w:hAnsi="Times New Roman"/>
          <w:noProof/>
          <w:sz w:val="24"/>
        </w:rPr>
        <w:t>ssionsavdelningarnas syn på hur ett sådant verktyg skulle kunna fungera i praktiken.</w:t>
      </w:r>
    </w:p>
    <w:p w:rsidR="0058506B" w:rsidRDefault="005E3AFA">
      <w:pPr>
        <w:spacing w:after="240"/>
        <w:jc w:val="both"/>
        <w:rPr>
          <w:rFonts w:ascii="Times New Roman" w:eastAsia="Times New Roman" w:hAnsi="Times New Roman"/>
          <w:iCs/>
          <w:noProof/>
          <w:sz w:val="24"/>
          <w:szCs w:val="24"/>
        </w:rPr>
      </w:pPr>
      <w:r>
        <w:rPr>
          <w:rFonts w:ascii="Times New Roman" w:hAnsi="Times New Roman"/>
          <w:noProof/>
          <w:sz w:val="24"/>
        </w:rPr>
        <w:t xml:space="preserve">Kommissionen har i dag även bjudit in aktörer inom branschen till ett rundabordssamtal för att sätta igång arbetet med unionsövergripande plattformar för nödlidande lån. </w:t>
      </w:r>
      <w:r>
        <w:rPr>
          <w:rFonts w:ascii="Times New Roman" w:hAnsi="Times New Roman"/>
          <w:noProof/>
          <w:sz w:val="24"/>
        </w:rPr>
        <w:t>Senast under våren 2019 kommer kommissionen att be aktörerna att enas om de konkreta formerna för utarbetande och utfärdande av branschstandarder för plattformar för nödlidande lån i Europa. Tillsammans med Europeiska centralbanken och Europeiska bankmyndi</w:t>
      </w:r>
      <w:r>
        <w:rPr>
          <w:rFonts w:ascii="Times New Roman" w:hAnsi="Times New Roman"/>
          <w:noProof/>
          <w:sz w:val="24"/>
        </w:rPr>
        <w:t>gheten kommer kommissionen även i fortsättningen att spela en viktig roll för att underlätta för alla relevanta aktörer att ta de nödvändiga stegen mot unionsövergripande plattformar för nödlidande lån.</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26" w:name="_Toc502758117"/>
      <w:bookmarkStart w:id="27" w:name="_Toc503264169"/>
      <w:bookmarkStart w:id="28" w:name="_Toc503429933"/>
      <w:r>
        <w:rPr>
          <w:rFonts w:ascii="Times New Roman" w:hAnsi="Times New Roman"/>
          <w:b/>
          <w:i/>
          <w:noProof/>
          <w:sz w:val="24"/>
        </w:rPr>
        <w:t>Utveckla en plan för nationella kapitalförvaltningsbo</w:t>
      </w:r>
      <w:r>
        <w:rPr>
          <w:rFonts w:ascii="Times New Roman" w:hAnsi="Times New Roman"/>
          <w:b/>
          <w:i/>
          <w:noProof/>
          <w:sz w:val="24"/>
        </w:rPr>
        <w:t xml:space="preserve">lag </w:t>
      </w:r>
      <w:bookmarkEnd w:id="26"/>
      <w:bookmarkEnd w:id="27"/>
      <w:bookmarkEnd w:id="28"/>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Som en del av paketet för nödlidande lån offentliggjorde kommissionens avdelningar i mars 2018 en teknisk plan för inrättande av nationella kapitalförvaltningsbolag. Detta skedde i nära samarbete med Europeiska centralbanken, Europeiska bankmyndighete</w:t>
      </w:r>
      <w:r>
        <w:rPr>
          <w:rFonts w:ascii="Times New Roman" w:hAnsi="Times New Roman"/>
          <w:noProof/>
          <w:sz w:val="24"/>
        </w:rPr>
        <w:t>n och den gemensamma resolutionsnämnden. I den icke-bindande planen ges vägledning till de medlemsstater som vill omstrukturera sina banker genom att inrätta nationella kapitalförvaltningsbolag (eller andra åtgärder som rör nödlidande lån), i full överenss</w:t>
      </w:r>
      <w:r>
        <w:rPr>
          <w:rFonts w:ascii="Times New Roman" w:hAnsi="Times New Roman"/>
          <w:noProof/>
          <w:sz w:val="24"/>
        </w:rPr>
        <w:t>tämmelse med EU:s regler för bankverksamhet och statligt stöd.</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29" w:name="_Toc502758118"/>
      <w:bookmarkStart w:id="30" w:name="_Toc503264170"/>
      <w:bookmarkStart w:id="31" w:name="_Toc503429934"/>
      <w:r>
        <w:rPr>
          <w:rFonts w:ascii="Times New Roman" w:hAnsi="Times New Roman"/>
          <w:b/>
          <w:i/>
          <w:noProof/>
          <w:sz w:val="24"/>
        </w:rPr>
        <w:t>Utveckla andrahandsmarknaderna för nödlidande lån</w:t>
      </w:r>
      <w:bookmarkEnd w:id="29"/>
      <w:bookmarkEnd w:id="30"/>
      <w:bookmarkEnd w:id="31"/>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I sitt paket för nödlidande lån föreslog kommissionen i mars 2018 dessutom ett direktiv om kreditförvaltare, kreditköpare och återvinning av sä</w:t>
      </w:r>
      <w:r>
        <w:rPr>
          <w:rFonts w:ascii="Times New Roman" w:hAnsi="Times New Roman"/>
          <w:noProof/>
          <w:sz w:val="24"/>
        </w:rPr>
        <w:t>kerheter. Ett av målen med förslaget är att främja utvecklingen av andrahandsmarknader för nödlidande lån genom att harmonisera kraven och skapa en inre marknad för kreditförvaltning och överföring av banklån till tredje parter inom hela unionen. Förslaget</w:t>
      </w:r>
      <w:r>
        <w:rPr>
          <w:rFonts w:ascii="Times New Roman" w:hAnsi="Times New Roman"/>
          <w:noProof/>
          <w:sz w:val="24"/>
        </w:rPr>
        <w:t xml:space="preserve"> diskuteras för närvarande i parlamentet och rådet. Kommissionen uppmanar parterna att slutföra dessa förhandlingar före utgången av innevarande valperiod.</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32" w:name="_Toc502758119"/>
      <w:bookmarkStart w:id="33" w:name="_Toc503264171"/>
      <w:bookmarkStart w:id="34" w:name="_Toc503429935"/>
      <w:r>
        <w:rPr>
          <w:rFonts w:ascii="Times New Roman" w:hAnsi="Times New Roman"/>
          <w:b/>
          <w:i/>
          <w:noProof/>
          <w:sz w:val="24"/>
        </w:rPr>
        <w:t>Referensundersökning av effektiviteten i de nationella systemen för låneindrivning (inbegripet insol</w:t>
      </w:r>
      <w:r>
        <w:rPr>
          <w:rFonts w:ascii="Times New Roman" w:hAnsi="Times New Roman"/>
          <w:b/>
          <w:i/>
          <w:noProof/>
          <w:sz w:val="24"/>
        </w:rPr>
        <w:t>vens) ur en långivande banks perspektiv</w:t>
      </w:r>
      <w:bookmarkEnd w:id="32"/>
      <w:bookmarkEnd w:id="33"/>
      <w:bookmarkEnd w:id="34"/>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Förvaltningen av nödlidande lån skulle gynnas av effektivare och mer förutsägbara regler för låneindrivning och insolvens. Kommissionens avdelningar genomför därför en referensundersökning av de nationella systemen f</w:t>
      </w:r>
      <w:r>
        <w:rPr>
          <w:rFonts w:ascii="Times New Roman" w:hAnsi="Times New Roman"/>
          <w:noProof/>
          <w:sz w:val="24"/>
        </w:rPr>
        <w:t>ör låneindrivning, både när det gäller enskilda verkställighetsförfaranden och kollektiva verkställighets- eller insolvensförfaranden. Målet är att skapa en tillförlitlig bild av de förseningar och återvinningsgrader som bankerna måste hantera när låntagar</w:t>
      </w:r>
      <w:r>
        <w:rPr>
          <w:rFonts w:ascii="Times New Roman" w:hAnsi="Times New Roman"/>
          <w:noProof/>
          <w:sz w:val="24"/>
        </w:rPr>
        <w:t>en inte kan betala tillbaka. Dessa resultat påverkas starkt av den rättsliga kapaciteten i de olika medlemsstaterna. Framstegen med referensundersökningen presenterades för och diskuterades med medlemsstaterna vid mötena den 21 februari och den 20 juni 201</w:t>
      </w:r>
      <w:r>
        <w:rPr>
          <w:rFonts w:ascii="Times New Roman" w:hAnsi="Times New Roman"/>
          <w:noProof/>
          <w:sz w:val="24"/>
        </w:rPr>
        <w:t>8. Vid dessa möten behandlades även den bristande tillgången på användbara uppgifter.</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35" w:name="_Toc502758120"/>
      <w:bookmarkStart w:id="36" w:name="_Toc503264172"/>
      <w:bookmarkStart w:id="37" w:name="_Toc503429936"/>
      <w:r>
        <w:rPr>
          <w:rFonts w:ascii="Times New Roman" w:hAnsi="Times New Roman"/>
          <w:b/>
          <w:i/>
          <w:noProof/>
          <w:sz w:val="24"/>
        </w:rPr>
        <w:t>Utveckla inriktningen på insolvensfrågor i den europeiska planeringsterminen</w:t>
      </w:r>
      <w:bookmarkEnd w:id="35"/>
      <w:bookmarkEnd w:id="36"/>
      <w:bookmarkEnd w:id="37"/>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Frågor som rör de nationella ramarna för bolagsinsolvens har länge diskuterats inom ramen för</w:t>
      </w:r>
      <w:r>
        <w:rPr>
          <w:rFonts w:ascii="Times New Roman" w:hAnsi="Times New Roman"/>
          <w:noProof/>
          <w:sz w:val="24"/>
        </w:rPr>
        <w:t xml:space="preserve"> den europeiska planeringsterminen. De har analyserats i flera olika landsrapporter, och flera landsspecifika rekommendationer har antagits i detta ämne. Sedan 2013 har landsspecifika rekommendationer i insolvensfrågor framförts under olika år till tolv me</w:t>
      </w:r>
      <w:r>
        <w:rPr>
          <w:rFonts w:ascii="Times New Roman" w:hAnsi="Times New Roman"/>
          <w:noProof/>
          <w:sz w:val="24"/>
        </w:rPr>
        <w:t>dlemsstater: Bulgarien, Kroatien, Cypern, Ungern, Italien, Lettland, Malta, Portugal, Rumänien, Slovakien, Slovenien och Spanien. Under 2018 antogs landsspecifika rekommendationer i insolvensfrågor för sex medlemsstater: Bulgarien, Cypern, Italien, Lettlan</w:t>
      </w:r>
      <w:r>
        <w:rPr>
          <w:rFonts w:ascii="Times New Roman" w:hAnsi="Times New Roman"/>
          <w:noProof/>
          <w:sz w:val="24"/>
        </w:rPr>
        <w:t>d, Portugal och Slovenien. Under den nuvarande europeiska planeringsterminen kommer insolvensfrågor även att analyseras i landsrapporterna för 2019. I maj 2019 kommer kommissionen att utfärda sina rekommendationer till rådet när det gäller landsspecifika r</w:t>
      </w:r>
      <w:r>
        <w:rPr>
          <w:rFonts w:ascii="Times New Roman" w:hAnsi="Times New Roman"/>
          <w:noProof/>
          <w:sz w:val="24"/>
        </w:rPr>
        <w:t>ekommendationer.</w:t>
      </w:r>
    </w:p>
    <w:p w:rsidR="0058506B" w:rsidRDefault="005E3AFA">
      <w:pPr>
        <w:keepNext/>
        <w:numPr>
          <w:ilvl w:val="0"/>
          <w:numId w:val="17"/>
        </w:numPr>
        <w:spacing w:after="120"/>
        <w:ind w:left="357" w:hanging="357"/>
        <w:jc w:val="both"/>
        <w:rPr>
          <w:rFonts w:ascii="Times New Roman" w:eastAsia="Times New Roman" w:hAnsi="Times New Roman"/>
          <w:b/>
          <w:bCs/>
          <w:i/>
          <w:noProof/>
          <w:sz w:val="24"/>
          <w:szCs w:val="24"/>
        </w:rPr>
      </w:pPr>
      <w:bookmarkStart w:id="38" w:name="_Toc502758122"/>
      <w:bookmarkStart w:id="39" w:name="_Toc503264174"/>
      <w:bookmarkStart w:id="40" w:name="_Toc503429938"/>
      <w:r>
        <w:rPr>
          <w:rFonts w:ascii="Times New Roman" w:hAnsi="Times New Roman"/>
          <w:b/>
          <w:i/>
          <w:noProof/>
          <w:sz w:val="24"/>
        </w:rPr>
        <w:t>Utöka analysen av möjligheten att stärka skyddet för borgenärer med säkerhetsrätt</w:t>
      </w:r>
      <w:bookmarkEnd w:id="38"/>
      <w:bookmarkEnd w:id="39"/>
      <w:bookmarkEnd w:id="40"/>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 xml:space="preserve">Som en del av sitt paket för nödlidande lån föreslog kommissionen i mars även ett direktiv om kreditförvaltare, kreditköpare och återvinning av säkerheter. </w:t>
      </w:r>
      <w:r>
        <w:rPr>
          <w:rFonts w:ascii="Times New Roman" w:hAnsi="Times New Roman"/>
          <w:noProof/>
          <w:sz w:val="24"/>
        </w:rPr>
        <w:t>Ett av målen med förslaget är att påskynda den utomrättsliga säkerhetsverkställigheten om borgenären och låntagaren kommer överens om detta (dock inte för konsumentlån). Förslaget diskuteras för närvarande i Europaparlamentet och rådet. Kommissionen uppman</w:t>
      </w:r>
      <w:r>
        <w:rPr>
          <w:rFonts w:ascii="Times New Roman" w:hAnsi="Times New Roman"/>
          <w:noProof/>
          <w:sz w:val="24"/>
        </w:rPr>
        <w:t>ar parterna att slutföra dessa förhandlingar före utgången av innevarande valperiod.</w:t>
      </w:r>
    </w:p>
    <w:p w:rsidR="0058506B" w:rsidRDefault="005E3AFA">
      <w:pPr>
        <w:pStyle w:val="Heading1"/>
        <w:spacing w:before="360" w:after="240"/>
        <w:ind w:left="714" w:hanging="357"/>
        <w:rPr>
          <w:noProof/>
        </w:rPr>
      </w:pPr>
      <w:r>
        <w:rPr>
          <w:noProof/>
        </w:rPr>
        <w:t>Slutsatser</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Som framgår av denna lägesrapport fortsätter riskminskningen i EU:s banksektor i jämn takt och med betydande framsteg. Lägesrapporten är därför ett viktigt bidr</w:t>
      </w:r>
      <w:r>
        <w:rPr>
          <w:rFonts w:ascii="Times New Roman" w:hAnsi="Times New Roman"/>
          <w:noProof/>
          <w:sz w:val="24"/>
        </w:rPr>
        <w:t>ag till Europeiska rådet och det inkluderande eurotoppmöte med 27 EU-länder som ska anordnas i december. Vid mötet kommer deltagarna att diskutera förstärkningen av Europeiska stabilitetsmekanismen och fullbordandet av bankunionen, däribland ytterligare st</w:t>
      </w:r>
      <w:r>
        <w:rPr>
          <w:rFonts w:ascii="Times New Roman" w:hAnsi="Times New Roman"/>
          <w:noProof/>
          <w:sz w:val="24"/>
        </w:rPr>
        <w:t>eg mot ett europeiskt insättningsgarantisystem. Det är nu angeläget att framsteg görs i dessa frågor och de bör åtföljas av framsteg inom riskminskning.</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Som tydligt framgår av denna lägesrapport fortsätter de nödlidande lånen att minska i unionen. Denna st</w:t>
      </w:r>
      <w:r>
        <w:rPr>
          <w:rFonts w:ascii="Times New Roman" w:hAnsi="Times New Roman"/>
          <w:noProof/>
          <w:sz w:val="24"/>
        </w:rPr>
        <w:t>abila nedåtgående trend är mycket uppmuntrande, men höga andelar av nödlidande lån är fortfarande en utmaning, åtminstone för vissa av medlemsstaterna.</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Den handlingsplan som beslutades av rådet i juli 2017 utgjorde ett viktigt steg för att hantera denna ut</w:t>
      </w:r>
      <w:r>
        <w:rPr>
          <w:rFonts w:ascii="Times New Roman" w:hAnsi="Times New Roman"/>
          <w:noProof/>
          <w:sz w:val="24"/>
        </w:rPr>
        <w:t>maning. Avsevärda framsteg har gjorts i genomförandet av handlingsplanen. För att kunna hantera nödlidande lån på ett så effektivt sätt som möjligt bör handlingsplanen emellertid genomföras fullt ut av alla aktörer. Detta är av avgörande betydelse för hant</w:t>
      </w:r>
      <w:r>
        <w:rPr>
          <w:rFonts w:ascii="Times New Roman" w:hAnsi="Times New Roman"/>
          <w:noProof/>
          <w:sz w:val="24"/>
        </w:rPr>
        <w:t>eringen av nödlidande lån, både när det gäller att minska de befintliga volymerna till hållbara nivåer och att förhindra en framtida ackumulering.</w:t>
      </w:r>
    </w:p>
    <w:p w:rsidR="0058506B" w:rsidRDefault="005E3AFA">
      <w:pPr>
        <w:spacing w:after="240"/>
        <w:jc w:val="both"/>
        <w:rPr>
          <w:rFonts w:ascii="Times New Roman" w:eastAsia="Times New Roman" w:hAnsi="Times New Roman"/>
          <w:noProof/>
          <w:sz w:val="24"/>
          <w:szCs w:val="24"/>
        </w:rPr>
      </w:pPr>
      <w:r>
        <w:rPr>
          <w:rFonts w:ascii="Times New Roman" w:hAnsi="Times New Roman"/>
          <w:noProof/>
          <w:sz w:val="24"/>
        </w:rPr>
        <w:t>Kommissionen uppmanar parlamentet och rådet att snabbt enas om riskminskningspaketet och alla delar av det om</w:t>
      </w:r>
      <w:r>
        <w:rPr>
          <w:rFonts w:ascii="Times New Roman" w:hAnsi="Times New Roman"/>
          <w:noProof/>
          <w:sz w:val="24"/>
        </w:rPr>
        <w:t>fattande paket med rättsliga åtgärder som föreslogs i mars 2018 för att hantera frågan med nödlidande lån. Tillsammans med de betydande framsteg som gjorts i minskningen av nödlidande lån, i samarbete med Europeiska bankmyndigheten, Europeiska centralbanke</w:t>
      </w:r>
      <w:r>
        <w:rPr>
          <w:rFonts w:ascii="Times New Roman" w:hAnsi="Times New Roman"/>
          <w:noProof/>
          <w:sz w:val="24"/>
        </w:rPr>
        <w:t>n och Europeiska systemrisknämnden, är detta paket absolut nödvändigt för att stödja de pågående gemensamma ansträngningarna för att minska de kvarvarande riskerna i den europeiska banksektorn, och i synnerhet bana väg för fullbordandet av bankunionen.</w:t>
      </w:r>
    </w:p>
    <w:sectPr w:rsidR="0058506B">
      <w:headerReference w:type="even" r:id="rId25"/>
      <w:headerReference w:type="default" r:id="rId26"/>
      <w:footerReference w:type="even" r:id="rId27"/>
      <w:footerReference w:type="default" r:id="rId28"/>
      <w:headerReference w:type="first" r:id="rId29"/>
      <w:footerReference w:type="first" r:id="rId30"/>
      <w:pgSz w:w="11906" w:h="16838"/>
      <w:pgMar w:top="1588" w:right="1416" w:bottom="1588" w:left="1588" w:header="709" w:footer="70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37873" w16cid:durableId="1F8F2AE6"/>
  <w16cid:commentId w16cid:paraId="7600927D" w16cid:durableId="1F8F2AE7"/>
  <w16cid:commentId w16cid:paraId="0F00C6E4" w16cid:durableId="1F8F2AE8"/>
  <w16cid:commentId w16cid:paraId="2BDAC783" w16cid:durableId="1F8F2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06B" w:rsidRDefault="005E3AFA">
      <w:r>
        <w:separator/>
      </w:r>
    </w:p>
  </w:endnote>
  <w:endnote w:type="continuationSeparator" w:id="0">
    <w:p w:rsidR="0058506B" w:rsidRDefault="005E3AFA">
      <w:r>
        <w:continuationSeparator/>
      </w:r>
    </w:p>
  </w:endnote>
  <w:endnote w:type="continuationNotice" w:id="1">
    <w:p w:rsidR="0058506B" w:rsidRDefault="00585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E3AFA">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159098"/>
      <w:docPartObj>
        <w:docPartGallery w:val="Page Numbers (Bottom of Page)"/>
        <w:docPartUnique/>
      </w:docPartObj>
    </w:sdtPr>
    <w:sdtEndPr>
      <w:rPr>
        <w:rFonts w:ascii="Times New Roman" w:hAnsi="Times New Roman"/>
        <w:noProof/>
      </w:rPr>
    </w:sdtEndPr>
    <w:sdtContent>
      <w:p w:rsidR="0058506B" w:rsidRDefault="005E3AFA">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12</w:t>
        </w:r>
        <w:r>
          <w:rPr>
            <w:rFonts w:ascii="Times New Roman" w:hAnsi="Times New Roman"/>
            <w:noProof/>
          </w:rPr>
          <w:fldChar w:fldCharType="end"/>
        </w:r>
      </w:p>
    </w:sdtContent>
  </w:sdt>
  <w:p w:rsidR="0058506B" w:rsidRDefault="005850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06B" w:rsidRDefault="005E3AFA">
      <w:r>
        <w:separator/>
      </w:r>
    </w:p>
  </w:footnote>
  <w:footnote w:type="continuationSeparator" w:id="0">
    <w:p w:rsidR="0058506B" w:rsidRDefault="005E3AFA">
      <w:r>
        <w:continuationSeparator/>
      </w:r>
    </w:p>
  </w:footnote>
  <w:footnote w:type="continuationNotice" w:id="1">
    <w:p w:rsidR="0058506B" w:rsidRDefault="0058506B"/>
  </w:footnote>
  <w:footnote w:id="2">
    <w:p w:rsidR="0058506B" w:rsidRDefault="005E3AFA">
      <w:pPr>
        <w:pStyle w:val="FootnoteText"/>
        <w:spacing w:before="0" w:after="240"/>
        <w:ind w:left="284" w:hanging="284"/>
        <w:jc w:val="both"/>
        <w:rPr>
          <w:sz w:val="20"/>
          <w:lang w:val="pt-PT"/>
        </w:rPr>
      </w:pPr>
      <w:r>
        <w:rPr>
          <w:rStyle w:val="FootnoteReference"/>
          <w:sz w:val="20"/>
        </w:rPr>
        <w:footnoteRef/>
      </w:r>
      <w:r>
        <w:rPr>
          <w:sz w:val="20"/>
          <w:lang w:val="pt-PT"/>
        </w:rPr>
        <w:t xml:space="preserve"> </w:t>
      </w:r>
      <w:r>
        <w:rPr>
          <w:lang w:val="pt-PT"/>
        </w:rPr>
        <w:tab/>
      </w:r>
      <w:r>
        <w:rPr>
          <w:sz w:val="20"/>
          <w:lang w:val="pt-PT"/>
        </w:rPr>
        <w:t>COM(2017) 821.</w:t>
      </w:r>
    </w:p>
  </w:footnote>
  <w:footnote w:id="3">
    <w:p w:rsidR="0058506B" w:rsidRDefault="005E3AFA">
      <w:pPr>
        <w:pStyle w:val="FootnoteText"/>
        <w:spacing w:before="0" w:after="240"/>
        <w:ind w:left="284" w:hanging="284"/>
        <w:jc w:val="both"/>
        <w:rPr>
          <w:sz w:val="20"/>
          <w:lang w:val="pt-PT"/>
        </w:rPr>
      </w:pPr>
      <w:r>
        <w:rPr>
          <w:rStyle w:val="FootnoteReference"/>
          <w:sz w:val="20"/>
        </w:rPr>
        <w:footnoteRef/>
      </w:r>
      <w:r>
        <w:rPr>
          <w:sz w:val="20"/>
          <w:lang w:val="pt-PT"/>
        </w:rPr>
        <w:t xml:space="preserve"> </w:t>
      </w:r>
      <w:r>
        <w:rPr>
          <w:lang w:val="pt-PT"/>
        </w:rPr>
        <w:tab/>
      </w:r>
      <w:hyperlink r:id="rId1">
        <w:r>
          <w:rPr>
            <w:rStyle w:val="Hyperlink"/>
            <w:sz w:val="20"/>
            <w:lang w:val="pt-PT"/>
          </w:rPr>
          <w:t>http://www.consilium.europa.eu/media/21594/leaders-agenda.pdf</w:t>
        </w:r>
      </w:hyperlink>
      <w:r>
        <w:rPr>
          <w:lang w:val="pt-PT"/>
        </w:rPr>
        <w:t>.</w:t>
      </w:r>
    </w:p>
  </w:footnote>
  <w:footnote w:id="4">
    <w:p w:rsidR="0058506B" w:rsidRDefault="005E3AFA">
      <w:pPr>
        <w:pStyle w:val="FootnoteText"/>
        <w:spacing w:before="0" w:after="240"/>
        <w:ind w:left="284" w:hanging="284"/>
        <w:jc w:val="both"/>
        <w:rPr>
          <w:sz w:val="20"/>
          <w:lang w:val="pt-PT"/>
        </w:rPr>
      </w:pPr>
      <w:r>
        <w:rPr>
          <w:rStyle w:val="FootnoteReference"/>
          <w:sz w:val="20"/>
        </w:rPr>
        <w:footnoteRef/>
      </w:r>
      <w:r>
        <w:rPr>
          <w:sz w:val="20"/>
          <w:lang w:val="pt-PT"/>
        </w:rPr>
        <w:t xml:space="preserve"> </w:t>
      </w:r>
      <w:r>
        <w:rPr>
          <w:lang w:val="pt-PT"/>
        </w:rPr>
        <w:tab/>
      </w:r>
      <w:hyperlink r:id="rId2">
        <w:r>
          <w:rPr>
            <w:rStyle w:val="Hyperlink"/>
            <w:sz w:val="20"/>
            <w:lang w:val="pt-PT"/>
          </w:rPr>
          <w:t>https://ec.europa.eu/info/publications/171011-communication-banking-union_sv</w:t>
        </w:r>
      </w:hyperlink>
      <w:r>
        <w:rPr>
          <w:lang w:val="pt-PT"/>
        </w:rPr>
        <w:t>.</w:t>
      </w:r>
    </w:p>
  </w:footnote>
  <w:footnote w:id="5">
    <w:p w:rsidR="0058506B" w:rsidRDefault="005E3AFA">
      <w:pPr>
        <w:pStyle w:val="FootnoteText"/>
        <w:spacing w:before="0" w:after="240"/>
        <w:ind w:left="284" w:hanging="284"/>
        <w:jc w:val="both"/>
        <w:rPr>
          <w:sz w:val="20"/>
          <w:lang w:val="pt-PT"/>
        </w:rPr>
      </w:pPr>
      <w:r>
        <w:rPr>
          <w:rStyle w:val="FootnoteReference"/>
          <w:sz w:val="20"/>
        </w:rPr>
        <w:footnoteRef/>
      </w:r>
      <w:r>
        <w:rPr>
          <w:sz w:val="20"/>
          <w:lang w:val="pt-PT"/>
        </w:rPr>
        <w:t xml:space="preserve"> </w:t>
      </w:r>
      <w:r>
        <w:rPr>
          <w:lang w:val="pt-PT"/>
        </w:rPr>
        <w:tab/>
      </w:r>
      <w:hyperlink r:id="rId3">
        <w:r>
          <w:rPr>
            <w:rStyle w:val="Hyperlink"/>
            <w:sz w:val="20"/>
            <w:lang w:val="pt-PT"/>
          </w:rPr>
          <w:t>http://www.consilium.europa.eu/sv/press/press-releases/2016/06/17/conclusions-on-banking-union/</w:t>
        </w:r>
      </w:hyperlink>
      <w:r>
        <w:rPr>
          <w:lang w:val="pt-PT"/>
        </w:rPr>
        <w:t>.</w:t>
      </w:r>
    </w:p>
  </w:footnote>
  <w:footnote w:id="6">
    <w:p w:rsidR="0058506B" w:rsidRDefault="005E3AFA">
      <w:pPr>
        <w:pStyle w:val="FootnoteText"/>
        <w:spacing w:before="0" w:after="240"/>
        <w:ind w:left="284" w:hanging="284"/>
        <w:jc w:val="both"/>
        <w:rPr>
          <w:sz w:val="20"/>
          <w:lang w:val="pt-PT"/>
        </w:rPr>
      </w:pPr>
      <w:r>
        <w:rPr>
          <w:rStyle w:val="FootnoteReference"/>
          <w:sz w:val="20"/>
        </w:rPr>
        <w:footnoteRef/>
      </w:r>
      <w:r>
        <w:rPr>
          <w:sz w:val="20"/>
          <w:lang w:val="pt-PT"/>
        </w:rPr>
        <w:t xml:space="preserve"> </w:t>
      </w:r>
      <w:r>
        <w:rPr>
          <w:lang w:val="pt-PT"/>
        </w:rPr>
        <w:tab/>
      </w:r>
      <w:hyperlink r:id="rId4">
        <w:r>
          <w:rPr>
            <w:rStyle w:val="Hyperlink"/>
            <w:sz w:val="20"/>
            <w:lang w:val="pt-PT"/>
          </w:rPr>
          <w:t>https://www.consilium.europa.eu/sv/press/press-releases/2017/07/11/conclusions-non-performing-loans/</w:t>
        </w:r>
      </w:hyperlink>
      <w:r>
        <w:rPr>
          <w:lang w:val="pt-PT"/>
        </w:rPr>
        <w:t>.</w:t>
      </w:r>
    </w:p>
  </w:footnote>
  <w:footnote w:id="7">
    <w:p w:rsidR="0058506B" w:rsidRDefault="005E3AFA">
      <w:pPr>
        <w:pStyle w:val="FootnoteText"/>
        <w:spacing w:before="0" w:after="240"/>
        <w:ind w:left="284" w:hanging="284"/>
        <w:rPr>
          <w:sz w:val="20"/>
          <w:lang w:val="pt-PT"/>
        </w:rPr>
      </w:pPr>
      <w:r>
        <w:rPr>
          <w:rStyle w:val="FootnoteReference"/>
          <w:sz w:val="20"/>
        </w:rPr>
        <w:footnoteRef/>
      </w:r>
      <w:r>
        <w:rPr>
          <w:sz w:val="20"/>
          <w:lang w:val="pt-PT"/>
        </w:rPr>
        <w:t xml:space="preserve"> </w:t>
      </w:r>
      <w:r>
        <w:rPr>
          <w:lang w:val="pt-PT"/>
        </w:rPr>
        <w:tab/>
      </w:r>
      <w:r>
        <w:rPr>
          <w:sz w:val="20"/>
          <w:lang w:val="pt-PT"/>
        </w:rPr>
        <w:t xml:space="preserve">Se även: </w:t>
      </w:r>
      <w:r>
        <w:rPr>
          <w:i/>
          <w:sz w:val="20"/>
          <w:lang w:val="pt-PT"/>
        </w:rPr>
        <w:t>Monitoring report on risk reduction indicators</w:t>
      </w:r>
      <w:r>
        <w:rPr>
          <w:sz w:val="20"/>
          <w:lang w:val="pt-PT"/>
        </w:rPr>
        <w:t xml:space="preserve"> </w:t>
      </w:r>
      <w:hyperlink r:id="rId5">
        <w:r>
          <w:rPr>
            <w:rStyle w:val="Hyperlink"/>
            <w:sz w:val="20"/>
            <w:lang w:val="pt-PT"/>
          </w:rPr>
          <w:t>https://www.consilium.europa.eu/media/37029/joint-risk-reduction-monitoring-report-to-eg_november-2018.pdf</w:t>
        </w:r>
      </w:hyperlink>
      <w:r>
        <w:rPr>
          <w:sz w:val="20"/>
          <w:lang w:val="pt-PT"/>
        </w:rPr>
        <w:t xml:space="preserve">. </w:t>
      </w:r>
    </w:p>
  </w:footnote>
  <w:footnote w:id="8">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 xml:space="preserve">Med </w:t>
      </w:r>
      <w:r>
        <w:rPr>
          <w:i/>
          <w:sz w:val="20"/>
        </w:rPr>
        <w:t>primärkapitalrelation</w:t>
      </w:r>
      <w:r>
        <w:rPr>
          <w:sz w:val="20"/>
        </w:rPr>
        <w:t xml:space="preserve"> avses förh</w:t>
      </w:r>
      <w:r>
        <w:rPr>
          <w:sz w:val="20"/>
        </w:rPr>
        <w:t>ållandet mellan en banks kärnprimärkapital – dvs. eget kapital och redovisade reserver – och dess totala riskvägda tillgångar.</w:t>
      </w:r>
    </w:p>
  </w:footnote>
  <w:footnote w:id="9">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Dvs. den helt infasade bruttosoliditetsgraden (primärkapitalet delat med bankens totala tillgångar), som beräknas på ett strik</w:t>
      </w:r>
      <w:r>
        <w:rPr>
          <w:sz w:val="20"/>
        </w:rPr>
        <w:t>tare sätt och läggs fram före 2019, då övergångsfasen upphör. Effekterna av de mindre stränga kraven under övergångsfasen beaktas inte.</w:t>
      </w:r>
    </w:p>
  </w:footnote>
  <w:footnote w:id="10">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COM(2017) 592 av den 11 oktober 2017.</w:t>
      </w:r>
    </w:p>
  </w:footnote>
  <w:footnote w:id="11">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COM(2018) 133 av den 14 mars 2018.</w:t>
      </w:r>
    </w:p>
  </w:footnote>
  <w:footnote w:id="12">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hyperlink r:id="rId6">
        <w:r>
          <w:rPr>
            <w:rStyle w:val="Hyperlink"/>
            <w:sz w:val="20"/>
          </w:rPr>
          <w:t>http://europa.eu/rapid/press-release_IP-16-3731_sv.htm</w:t>
        </w:r>
      </w:hyperlink>
      <w:r>
        <w:t>.</w:t>
      </w:r>
    </w:p>
  </w:footnote>
  <w:footnote w:id="13">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COM/2016/0723 – 2016/0359 (COD).</w:t>
      </w:r>
    </w:p>
  </w:footnote>
  <w:footnote w:id="14">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Dvs. kreditinstitut som övervakas direkt av Europeiska centralbanken i dess tillsynsfunkt</w:t>
      </w:r>
      <w:r>
        <w:rPr>
          <w:sz w:val="20"/>
        </w:rPr>
        <w:t>ion.</w:t>
      </w:r>
    </w:p>
  </w:footnote>
  <w:footnote w:id="15">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 xml:space="preserve">Denna andel visar </w:t>
      </w:r>
      <w:r>
        <w:rPr>
          <w:rStyle w:val="ilfuvd"/>
          <w:sz w:val="20"/>
        </w:rPr>
        <w:t>omfattningen av de medel en bank har lagt åt sidan för att täcka låneförluster.</w:t>
      </w:r>
    </w:p>
    <w:p w:rsidR="0058506B" w:rsidRDefault="005E3AFA">
      <w:pPr>
        <w:pStyle w:val="FootnoteText"/>
        <w:spacing w:before="0" w:after="240"/>
        <w:ind w:left="284" w:firstLine="0"/>
        <w:jc w:val="both"/>
        <w:rPr>
          <w:sz w:val="20"/>
        </w:rPr>
      </w:pPr>
      <w:r>
        <w:rPr>
          <w:sz w:val="20"/>
        </w:rPr>
        <w:t>Källa: Europeiska centralbanken. Då det saknas uppgifter om avsättning för lån beräknades andelen avsatta medel för EU genom att man beaktade värdemin</w:t>
      </w:r>
      <w:r>
        <w:rPr>
          <w:sz w:val="20"/>
        </w:rPr>
        <w:t>skningar och nödlidande lån för alla skuldinstrument (lån och skuldförbindelser).</w:t>
      </w:r>
    </w:p>
  </w:footnote>
  <w:footnote w:id="16">
    <w:p w:rsidR="0058506B" w:rsidRDefault="005E3AFA">
      <w:pPr>
        <w:pStyle w:val="FootnoteText"/>
        <w:spacing w:before="0" w:after="240"/>
        <w:ind w:left="284" w:hanging="284"/>
        <w:jc w:val="both"/>
        <w:rPr>
          <w:rFonts w:cs="Arial"/>
          <w:sz w:val="20"/>
        </w:rPr>
      </w:pPr>
      <w:r>
        <w:rPr>
          <w:rStyle w:val="FootnoteReference"/>
          <w:sz w:val="20"/>
        </w:rPr>
        <w:footnoteRef/>
      </w:r>
      <w:r>
        <w:rPr>
          <w:sz w:val="20"/>
        </w:rPr>
        <w:t xml:space="preserve"> </w:t>
      </w:r>
      <w:r>
        <w:tab/>
      </w:r>
      <w:r>
        <w:rPr>
          <w:i/>
          <w:sz w:val="20"/>
        </w:rPr>
        <w:t xml:space="preserve">Anm.: </w:t>
      </w:r>
      <w:r>
        <w:rPr>
          <w:sz w:val="20"/>
        </w:rPr>
        <w:t xml:space="preserve">Siffrorna motsvarar inhemska kreditinstitut och utlandskontrollerade dotterföretag och filialer. </w:t>
      </w:r>
    </w:p>
    <w:p w:rsidR="0058506B" w:rsidRDefault="005E3AFA">
      <w:pPr>
        <w:pStyle w:val="FootnoteText"/>
        <w:spacing w:before="0" w:after="240"/>
        <w:ind w:left="284" w:hanging="142"/>
        <w:jc w:val="both"/>
        <w:rPr>
          <w:rFonts w:cs="Arial"/>
          <w:sz w:val="20"/>
          <w:highlight w:val="yellow"/>
        </w:rPr>
      </w:pPr>
      <w:r>
        <w:rPr>
          <w:sz w:val="20"/>
        </w:rPr>
        <w:t>* Sektorspecifika uppgifter för EU, för Malta (andra kvartalet 2018</w:t>
      </w:r>
      <w:r>
        <w:rPr>
          <w:sz w:val="20"/>
        </w:rPr>
        <w:t>) och för Spanien (andra kvartalet 2017) finns inte tillgängliga. Sektorspecifika uppgifter (dvs. sammanlagda exponeringar mot hushåll och icke-finansiella företag) för Bulgarien, Tyskland och Ungern finns endast tillgängliga i form av redovisat värde.</w:t>
      </w:r>
    </w:p>
    <w:p w:rsidR="0058506B" w:rsidRDefault="005E3AFA">
      <w:pPr>
        <w:pStyle w:val="FootnoteText"/>
        <w:spacing w:before="0" w:after="240"/>
        <w:ind w:left="284" w:hanging="227"/>
        <w:jc w:val="both"/>
        <w:rPr>
          <w:rFonts w:cs="Arial"/>
          <w:sz w:val="20"/>
        </w:rPr>
      </w:pPr>
      <w:r>
        <w:rPr>
          <w:sz w:val="20"/>
        </w:rPr>
        <w:t xml:space="preserve">** </w:t>
      </w:r>
      <w:r>
        <w:rPr>
          <w:sz w:val="20"/>
        </w:rPr>
        <w:t>Uppgifter om avsättningar för lån saknas för Bulgarien, Tyskland, Spanien (med undantag av andra kvartalet 2018), Ungern och EU. I dessa fall baseras siffrorna på värdeminskningar för alla skuldinstrument (dvs. lån och räntebärande värdepapper).</w:t>
      </w:r>
    </w:p>
  </w:footnote>
  <w:footnote w:id="17">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 xml:space="preserve">Källa: </w:t>
      </w:r>
      <w:r>
        <w:rPr>
          <w:sz w:val="20"/>
        </w:rPr>
        <w:t>Europeiska centralbanken</w:t>
      </w:r>
    </w:p>
  </w:footnote>
  <w:footnote w:id="18">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Detta baseras delvis på bidrag från Europeiska centralbanken, Europeiska systemrisknämnden och Europeiska bankmyndigheten.</w:t>
      </w:r>
    </w:p>
  </w:footnote>
  <w:footnote w:id="19">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Rådets förordning (EU) nr 1024/2013 (förordningen om den gemensamma tillsynsmekanismen).</w:t>
      </w:r>
    </w:p>
  </w:footnote>
  <w:footnote w:id="20">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Direktiv 2</w:t>
      </w:r>
      <w:r>
        <w:rPr>
          <w:sz w:val="20"/>
        </w:rPr>
        <w:t>013/36/EU (fjärde kapitalkravsdirektivet).</w:t>
      </w:r>
    </w:p>
  </w:footnote>
  <w:footnote w:id="21">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Europeiska bankmyndigheten kommer att behöva ta hänsyn till kommissionens pågående utvärdering av direktivet om konsumentkrediter för att undvika motsättningar när det gäller direktivets bestämmelse om bedömnin</w:t>
      </w:r>
      <w:r>
        <w:rPr>
          <w:sz w:val="20"/>
        </w:rPr>
        <w:t>gen av låntagarnas kreditvärdighet. Utvärderingen av direktivet om konsumentkrediter har tillkännagivits i kommissionens arbetsprogram för 2019 (se bilaga II till COM(2018) 800 final).</w:t>
      </w:r>
    </w:p>
  </w:footnote>
  <w:footnote w:id="22">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 xml:space="preserve">Genom dessa riktlinjer breddas tillämpningsområdet för Europeiska </w:t>
      </w:r>
      <w:r>
        <w:rPr>
          <w:sz w:val="20"/>
        </w:rPr>
        <w:t>bankmyndighetens riktlinjer om krav för offentliggörande enligt del 8 i kapitalkravsförordningen (EBA GL2016 11), som offentliggjordes i december 2016.</w:t>
      </w:r>
    </w:p>
  </w:footnote>
  <w:footnote w:id="23">
    <w:p w:rsidR="0058506B" w:rsidRDefault="005E3AFA">
      <w:pPr>
        <w:pStyle w:val="FootnoteText"/>
        <w:spacing w:before="0" w:after="240"/>
        <w:ind w:left="284" w:hanging="284"/>
        <w:jc w:val="both"/>
        <w:rPr>
          <w:sz w:val="20"/>
        </w:rPr>
      </w:pPr>
      <w:r>
        <w:rPr>
          <w:rStyle w:val="FootnoteReference"/>
          <w:sz w:val="20"/>
        </w:rPr>
        <w:footnoteRef/>
      </w:r>
      <w:r>
        <w:rPr>
          <w:sz w:val="20"/>
        </w:rPr>
        <w:t xml:space="preserve"> </w:t>
      </w:r>
      <w:r>
        <w:tab/>
      </w:r>
      <w:r>
        <w:rPr>
          <w:sz w:val="20"/>
        </w:rPr>
        <w:t>Europeiska bankmyndighetens mallar för transaktioner med nödlidande lån är specifika för varje tillgå</w:t>
      </w:r>
      <w:r>
        <w:rPr>
          <w:sz w:val="20"/>
        </w:rPr>
        <w:t>ngsklass och möjliggör rapportering lån för lån på den mest detaljerade nivån. De omfattar fler än 450 datapunkter som är relevanta för värderingen och bedömningen av tillbörlig aktsamhet vid transaktioner med nödlidande lån.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B" w:rsidRDefault="00585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267B"/>
    <w:multiLevelType w:val="hybridMultilevel"/>
    <w:tmpl w:val="066CD0B2"/>
    <w:lvl w:ilvl="0" w:tplc="0809000F">
      <w:start w:val="1"/>
      <w:numFmt w:val="decimal"/>
      <w:lvlText w:val="%1."/>
      <w:lvlJc w:val="left"/>
      <w:pPr>
        <w:ind w:left="744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CD0"/>
    <w:multiLevelType w:val="hybridMultilevel"/>
    <w:tmpl w:val="4C48C3DC"/>
    <w:lvl w:ilvl="0" w:tplc="D80016DC">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 w15:restartNumberingAfterBreak="0">
    <w:nsid w:val="1A101BF9"/>
    <w:multiLevelType w:val="hybridMultilevel"/>
    <w:tmpl w:val="7430C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94B73"/>
    <w:multiLevelType w:val="hybridMultilevel"/>
    <w:tmpl w:val="7EA4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B0C25"/>
    <w:multiLevelType w:val="hybridMultilevel"/>
    <w:tmpl w:val="47643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5056C8"/>
    <w:multiLevelType w:val="multilevel"/>
    <w:tmpl w:val="175430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994394"/>
    <w:multiLevelType w:val="hybridMultilevel"/>
    <w:tmpl w:val="8E8E6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6F32FA"/>
    <w:multiLevelType w:val="hybridMultilevel"/>
    <w:tmpl w:val="BC2A4F7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8" w15:restartNumberingAfterBreak="0">
    <w:nsid w:val="38DA32FE"/>
    <w:multiLevelType w:val="hybridMultilevel"/>
    <w:tmpl w:val="052CD4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E45CAB"/>
    <w:multiLevelType w:val="hybridMultilevel"/>
    <w:tmpl w:val="AC2A6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63A4C"/>
    <w:multiLevelType w:val="hybridMultilevel"/>
    <w:tmpl w:val="1890CB2A"/>
    <w:lvl w:ilvl="0" w:tplc="08090001">
      <w:start w:val="1"/>
      <w:numFmt w:val="bullet"/>
      <w:lvlText w:val=""/>
      <w:lvlJc w:val="left"/>
      <w:pPr>
        <w:ind w:left="1287" w:hanging="360"/>
      </w:pPr>
      <w:rPr>
        <w:rFonts w:ascii="Symbol" w:hAnsi="Symbol" w:hint="default"/>
      </w:rPr>
    </w:lvl>
    <w:lvl w:ilvl="1" w:tplc="9FCCEAE8">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1F84CD0"/>
    <w:multiLevelType w:val="hybridMultilevel"/>
    <w:tmpl w:val="5C9E9754"/>
    <w:lvl w:ilvl="0" w:tplc="08090001">
      <w:start w:val="1"/>
      <w:numFmt w:val="bullet"/>
      <w:lvlText w:val=""/>
      <w:lvlJc w:val="left"/>
      <w:pPr>
        <w:ind w:left="720" w:hanging="360"/>
      </w:pPr>
      <w:rPr>
        <w:rFonts w:ascii="Symbol" w:hAnsi="Symbol" w:hint="default"/>
      </w:rPr>
    </w:lvl>
    <w:lvl w:ilvl="1" w:tplc="133A08F2">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873B3"/>
    <w:multiLevelType w:val="hybridMultilevel"/>
    <w:tmpl w:val="BDDAC3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F622887"/>
    <w:multiLevelType w:val="multilevel"/>
    <w:tmpl w:val="5FF6BB10"/>
    <w:lvl w:ilvl="0">
      <w:start w:val="1"/>
      <w:numFmt w:val="decimal"/>
      <w:pStyle w:val="Heading1"/>
      <w:lvlText w:val="%1."/>
      <w:lvlJc w:val="left"/>
      <w:pPr>
        <w:ind w:left="502" w:hanging="360"/>
      </w:pPr>
    </w:lvl>
    <w:lvl w:ilvl="1">
      <w:start w:val="1"/>
      <w:numFmt w:val="decimal"/>
      <w:pStyle w:val="Heading2"/>
      <w:isLgl/>
      <w:lvlText w:val="%1.%2."/>
      <w:lvlJc w:val="left"/>
      <w:pPr>
        <w:ind w:left="862" w:hanging="720"/>
      </w:pPr>
      <w:rPr>
        <w:rFonts w:eastAsia="Times New Roman" w:hint="default"/>
      </w:rPr>
    </w:lvl>
    <w:lvl w:ilvl="2">
      <w:start w:val="1"/>
      <w:numFmt w:val="decimal"/>
      <w:isLgl/>
      <w:lvlText w:val="%1.%2.%3."/>
      <w:lvlJc w:val="left"/>
      <w:pPr>
        <w:ind w:left="862" w:hanging="720"/>
      </w:pPr>
      <w:rPr>
        <w:rFonts w:eastAsia="Times New Roman" w:hint="default"/>
      </w:rPr>
    </w:lvl>
    <w:lvl w:ilvl="3">
      <w:start w:val="1"/>
      <w:numFmt w:val="decimal"/>
      <w:isLgl/>
      <w:lvlText w:val="%1.%2.%3.%4."/>
      <w:lvlJc w:val="left"/>
      <w:pPr>
        <w:ind w:left="1222" w:hanging="1080"/>
      </w:pPr>
      <w:rPr>
        <w:rFonts w:eastAsia="Times New Roman" w:hint="default"/>
      </w:rPr>
    </w:lvl>
    <w:lvl w:ilvl="4">
      <w:start w:val="1"/>
      <w:numFmt w:val="decimal"/>
      <w:isLgl/>
      <w:lvlText w:val="%1.%2.%3.%4.%5."/>
      <w:lvlJc w:val="left"/>
      <w:pPr>
        <w:ind w:left="1222" w:hanging="1080"/>
      </w:pPr>
      <w:rPr>
        <w:rFonts w:eastAsia="Times New Roman" w:hint="default"/>
      </w:rPr>
    </w:lvl>
    <w:lvl w:ilvl="5">
      <w:start w:val="1"/>
      <w:numFmt w:val="decimal"/>
      <w:isLgl/>
      <w:lvlText w:val="%1.%2.%3.%4.%5.%6."/>
      <w:lvlJc w:val="left"/>
      <w:pPr>
        <w:ind w:left="1582" w:hanging="1440"/>
      </w:pPr>
      <w:rPr>
        <w:rFonts w:eastAsia="Times New Roman" w:hint="default"/>
      </w:rPr>
    </w:lvl>
    <w:lvl w:ilvl="6">
      <w:start w:val="1"/>
      <w:numFmt w:val="decimal"/>
      <w:isLgl/>
      <w:lvlText w:val="%1.%2.%3.%4.%5.%6.%7."/>
      <w:lvlJc w:val="left"/>
      <w:pPr>
        <w:ind w:left="1582" w:hanging="1440"/>
      </w:pPr>
      <w:rPr>
        <w:rFonts w:eastAsia="Times New Roman" w:hint="default"/>
      </w:rPr>
    </w:lvl>
    <w:lvl w:ilvl="7">
      <w:start w:val="1"/>
      <w:numFmt w:val="decimal"/>
      <w:isLgl/>
      <w:lvlText w:val="%1.%2.%3.%4.%5.%6.%7.%8."/>
      <w:lvlJc w:val="left"/>
      <w:pPr>
        <w:ind w:left="1942" w:hanging="1800"/>
      </w:pPr>
      <w:rPr>
        <w:rFonts w:eastAsia="Times New Roman" w:hint="default"/>
      </w:rPr>
    </w:lvl>
    <w:lvl w:ilvl="8">
      <w:start w:val="1"/>
      <w:numFmt w:val="decimal"/>
      <w:isLgl/>
      <w:lvlText w:val="%1.%2.%3.%4.%5.%6.%7.%8.%9."/>
      <w:lvlJc w:val="left"/>
      <w:pPr>
        <w:ind w:left="1942" w:hanging="1800"/>
      </w:pPr>
      <w:rPr>
        <w:rFonts w:eastAsia="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5"/>
  </w:num>
  <w:num w:numId="5">
    <w:abstractNumId w:val="8"/>
  </w:num>
  <w:num w:numId="6">
    <w:abstractNumId w:val="11"/>
  </w:num>
  <w:num w:numId="7">
    <w:abstractNumId w:val="10"/>
  </w:num>
  <w:num w:numId="8">
    <w:abstractNumId w:val="12"/>
  </w:num>
  <w:num w:numId="9">
    <w:abstractNumId w:val="3"/>
  </w:num>
  <w:num w:numId="10">
    <w:abstractNumId w:val="13"/>
  </w:num>
  <w:num w:numId="11">
    <w:abstractNumId w:val="13"/>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6"/>
  </w:num>
  <w:num w:numId="20">
    <w:abstractNumId w:val="13"/>
  </w:num>
  <w:num w:numId="21">
    <w:abstractNumId w:val="13"/>
  </w:num>
  <w:num w:numId="22">
    <w:abstractNumId w:val="13"/>
  </w:num>
  <w:num w:numId="23">
    <w:abstractNumId w:val="13"/>
  </w:num>
  <w:num w:numId="24">
    <w:abstractNumId w:val="9"/>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hideSpellingErrors/>
  <w:hideGrammaticalErrors/>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CORRIGENDUM" w:val="&lt;UNUSED&gt;"/>
    <w:docVar w:name="LW_COVERPAGE_EXISTS" w:val="True"/>
    <w:docVar w:name="LW_COVERPAGE_GUID" w:val="B823EF16-7E55-4069-9D47-76F59D797F1E"/>
    <w:docVar w:name="LW_COVERPAGE_TYPE" w:val="1"/>
    <w:docVar w:name="LW_CROSSREFERENCE" w:val="{SWD(2018) 472 final}"/>
    <w:docVar w:name="LW_DocType" w:val="NORMAL"/>
    <w:docVar w:name="LW_EMISSION" w:val="28.11.2018"/>
    <w:docVar w:name="LW_EMISSION_ISODATE" w:val="2018-11-28"/>
    <w:docVar w:name="LW_EMISSION_LOCATION" w:val="BRX"/>
    <w:docVar w:name="LW_EMISSION_PREFIX" w:val="Bryssel den "/>
    <w:docVar w:name="LW_EMISSION_SUFFIX" w:val=" "/>
    <w:docVar w:name="LW_ID_DOCTYPE_NONLW" w:val="CP-009"/>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7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Tredje lägesrapporten om minskning av nödlidande lån och ytterligare riskminskning i bankunionen"/>
    <w:docVar w:name="LW_TYPE.DOC.CP" w:val="MEDDELANDE FRÅN KOMMISSIONEN"/>
    <w:docVar w:name="LW_TYPE.DOC.CP.USERTEXT" w:val="MEDDELANDE FRÅN KOMMISSIONEN TILL EUROPAPARLAMENTET, EUROPEISKA RÅDET, RÅDET OCH EUROPEISKA CENTRALBANKEN"/>
  </w:docVars>
  <w:rsids>
    <w:rsidRoot w:val="0058506B"/>
    <w:rsid w:val="0058506B"/>
    <w:rsid w:val="005E3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3"/>
      </w:numPr>
      <w:spacing w:before="480" w:after="180"/>
      <w:outlineLvl w:val="0"/>
    </w:pPr>
    <w:rPr>
      <w:rFonts w:ascii="Times New Roman Bold" w:eastAsia="Times New Roman" w:hAnsi="Times New Roman Bold"/>
      <w:b/>
      <w:bCs/>
      <w:smallCaps/>
      <w:sz w:val="28"/>
      <w:szCs w:val="28"/>
    </w:rPr>
  </w:style>
  <w:style w:type="paragraph" w:styleId="Heading2">
    <w:name w:val="heading 2"/>
    <w:basedOn w:val="Normal"/>
    <w:next w:val="Normal"/>
    <w:link w:val="Heading2Char"/>
    <w:uiPriority w:val="9"/>
    <w:unhideWhenUsed/>
    <w:qFormat/>
    <w:pPr>
      <w:keepNext/>
      <w:keepLines/>
      <w:numPr>
        <w:ilvl w:val="1"/>
        <w:numId w:val="3"/>
      </w:numPr>
      <w:spacing w:before="300" w:after="160"/>
      <w:ind w:left="567" w:hanging="567"/>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Bold" w:eastAsiaTheme="majorEastAsia" w:hAnsi="Times New Roman Bold"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8"/>
      <w:szCs w:val="28"/>
      <w:lang w:eastAsia="sv-S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i/>
      <w:sz w:val="24"/>
      <w:lang w:eastAsia="sv-SE"/>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eastAsia="sv-SE"/>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sv-SE"/>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link w:val="16Point"/>
    <w:uiPriority w:val="99"/>
    <w:unhideWhenUsed/>
    <w:qFormat/>
    <w:rPr>
      <w:vertAlign w:val="superscript"/>
    </w:rPr>
  </w:style>
  <w:style w:type="character" w:styleId="Hyperlink">
    <w:name w:val="Hyperlink"/>
    <w:uiPriority w:val="99"/>
    <w:unhideWhenUsed/>
    <w:rPr>
      <w:color w:val="0563C1"/>
      <w:u w:val="single"/>
    </w:rPr>
  </w:style>
  <w:style w:type="paragraph" w:customStyle="1" w:styleId="16Point">
    <w:name w:val="16 Point"/>
    <w:aliases w:val="Superscript 6 Point,Odwołanie przypisu,Ref,de nota al pie,footnote ref,2001+ Fußnotenzeichen, Exposant 3 Point"/>
    <w:basedOn w:val="Normal"/>
    <w:link w:val="FootnoteReference"/>
    <w:uiPriority w:val="99"/>
    <w:pPr>
      <w:keepNext/>
      <w:keepLines/>
      <w:spacing w:before="240" w:after="160" w:line="240" w:lineRule="exact"/>
      <w:jc w:val="both"/>
      <w:outlineLvl w:val="3"/>
    </w:pPr>
    <w:rPr>
      <w:rFonts w:asciiTheme="minorHAnsi" w:eastAsiaTheme="minorHAnsi" w:hAnsiTheme="minorHAnsi" w:cstheme="minorBidi"/>
      <w:vertAlign w:val="superscrip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eastAsia="sv-S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pageBreakBefore/>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Heading1Char"/>
    <w:link w:val="FooterCoverPage"/>
    <w:rPr>
      <w:rFonts w:ascii="Times New Roman" w:eastAsia="Calibri" w:hAnsi="Times New Roman" w:cs="Times New Roman"/>
      <w:b w:val="0"/>
      <w:bCs w:val="0"/>
      <w:smallCaps w:val="0"/>
      <w:sz w:val="24"/>
      <w:szCs w:val="28"/>
      <w:lang w:eastAsia="sv-SE"/>
    </w:rPr>
  </w:style>
  <w:style w:type="paragraph" w:customStyle="1" w:styleId="FooterSensitivity">
    <w:name w:val="Footer Sensitivity"/>
    <w:basedOn w:val="Normal"/>
    <w:link w:val="FooterSensitivityChar"/>
    <w:pPr>
      <w:pageBreakBefore/>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Pr>
      <w:rFonts w:ascii="Times New Roman" w:eastAsia="Calibri" w:hAnsi="Times New Roman" w:cs="Times New Roman"/>
      <w:b/>
      <w:bCs w:val="0"/>
      <w:smallCaps w:val="0"/>
      <w:sz w:val="32"/>
      <w:szCs w:val="28"/>
      <w:lang w:eastAsia="sv-SE"/>
    </w:rPr>
  </w:style>
  <w:style w:type="paragraph" w:customStyle="1" w:styleId="HeaderCoverPage">
    <w:name w:val="Header Cover Page"/>
    <w:basedOn w:val="Normal"/>
    <w:link w:val="HeaderCoverPageChar"/>
    <w:pPr>
      <w:pageBreakBefore/>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Heading1Char"/>
    <w:link w:val="HeaderCoverPage"/>
    <w:rPr>
      <w:rFonts w:ascii="Times New Roman" w:eastAsia="Calibri" w:hAnsi="Times New Roman" w:cs="Times New Roman"/>
      <w:b w:val="0"/>
      <w:bCs w:val="0"/>
      <w:smallCaps w:val="0"/>
      <w:sz w:val="24"/>
      <w:szCs w:val="28"/>
      <w:lang w:eastAsia="sv-SE"/>
    </w:rPr>
  </w:style>
  <w:style w:type="paragraph" w:customStyle="1" w:styleId="HeaderSensitivity">
    <w:name w:val="Header Sensitivity"/>
    <w:basedOn w:val="Normal"/>
    <w:link w:val="HeaderSensitivityChar"/>
    <w:pPr>
      <w:pageBreakBefore/>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Pr>
      <w:rFonts w:ascii="Times New Roman" w:eastAsia="Calibri" w:hAnsi="Times New Roman" w:cs="Times New Roman"/>
      <w:b/>
      <w:bCs w:val="0"/>
      <w:smallCaps w:val="0"/>
      <w:sz w:val="32"/>
      <w:szCs w:val="28"/>
      <w:lang w:eastAsia="sv-S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sv-SE"/>
    </w:rPr>
  </w:style>
  <w:style w:type="paragraph" w:customStyle="1" w:styleId="Typedudocument">
    <w:name w:val="Type du document"/>
    <w:basedOn w:val="Normal"/>
    <w:next w:val="Normal"/>
    <w:pPr>
      <w:spacing w:before="360"/>
      <w:jc w:val="center"/>
    </w:pPr>
    <w:rPr>
      <w:rFonts w:ascii="Times New Roman" w:eastAsiaTheme="minorHAnsi" w:hAnsi="Times New Roman"/>
      <w:b/>
      <w:sz w:val="24"/>
    </w:rPr>
  </w:style>
  <w:style w:type="paragraph" w:customStyle="1" w:styleId="Titreobjet">
    <w:name w:val="Titre objet"/>
    <w:basedOn w:val="Normal"/>
    <w:next w:val="Normal"/>
    <w:pPr>
      <w:spacing w:before="360" w:after="360"/>
      <w:jc w:val="center"/>
    </w:pPr>
    <w:rPr>
      <w:rFonts w:ascii="Times New Roman" w:eastAsiaTheme="minorHAnsi" w:hAnsi="Times New Roman"/>
      <w:b/>
      <w:sz w:val="24"/>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sv-SE"/>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SubtleReference">
    <w:name w:val="Subtle Reference"/>
    <w:basedOn w:val="DefaultParagraphFont"/>
    <w:uiPriority w:val="31"/>
    <w:qFormat/>
    <w:rPr>
      <w:smallCaps/>
      <w:color w:val="5A5A5A" w:themeColor="text1" w:themeTint="A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lfuvd">
    <w:name w:val="ilfuvd"/>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4446">
      <w:bodyDiv w:val="1"/>
      <w:marLeft w:val="0"/>
      <w:marRight w:val="0"/>
      <w:marTop w:val="0"/>
      <w:marBottom w:val="0"/>
      <w:divBdr>
        <w:top w:val="none" w:sz="0" w:space="0" w:color="auto"/>
        <w:left w:val="none" w:sz="0" w:space="0" w:color="auto"/>
        <w:bottom w:val="none" w:sz="0" w:space="0" w:color="auto"/>
        <w:right w:val="none" w:sz="0" w:space="0" w:color="auto"/>
      </w:divBdr>
    </w:div>
    <w:div w:id="364644512">
      <w:bodyDiv w:val="1"/>
      <w:marLeft w:val="0"/>
      <w:marRight w:val="0"/>
      <w:marTop w:val="0"/>
      <w:marBottom w:val="0"/>
      <w:divBdr>
        <w:top w:val="none" w:sz="0" w:space="0" w:color="auto"/>
        <w:left w:val="none" w:sz="0" w:space="0" w:color="auto"/>
        <w:bottom w:val="none" w:sz="0" w:space="0" w:color="auto"/>
        <w:right w:val="none" w:sz="0" w:space="0" w:color="auto"/>
      </w:divBdr>
    </w:div>
    <w:div w:id="464086752">
      <w:bodyDiv w:val="1"/>
      <w:marLeft w:val="0"/>
      <w:marRight w:val="0"/>
      <w:marTop w:val="0"/>
      <w:marBottom w:val="0"/>
      <w:divBdr>
        <w:top w:val="none" w:sz="0" w:space="0" w:color="auto"/>
        <w:left w:val="none" w:sz="0" w:space="0" w:color="auto"/>
        <w:bottom w:val="none" w:sz="0" w:space="0" w:color="auto"/>
        <w:right w:val="none" w:sz="0" w:space="0" w:color="auto"/>
      </w:divBdr>
    </w:div>
    <w:div w:id="929238256">
      <w:bodyDiv w:val="1"/>
      <w:marLeft w:val="0"/>
      <w:marRight w:val="0"/>
      <w:marTop w:val="0"/>
      <w:marBottom w:val="0"/>
      <w:divBdr>
        <w:top w:val="none" w:sz="0" w:space="0" w:color="auto"/>
        <w:left w:val="none" w:sz="0" w:space="0" w:color="auto"/>
        <w:bottom w:val="none" w:sz="0" w:space="0" w:color="auto"/>
        <w:right w:val="none" w:sz="0" w:space="0" w:color="auto"/>
      </w:divBdr>
    </w:div>
    <w:div w:id="1003162112">
      <w:bodyDiv w:val="1"/>
      <w:marLeft w:val="0"/>
      <w:marRight w:val="0"/>
      <w:marTop w:val="0"/>
      <w:marBottom w:val="0"/>
      <w:divBdr>
        <w:top w:val="none" w:sz="0" w:space="0" w:color="auto"/>
        <w:left w:val="none" w:sz="0" w:space="0" w:color="auto"/>
        <w:bottom w:val="none" w:sz="0" w:space="0" w:color="auto"/>
        <w:right w:val="none" w:sz="0" w:space="0" w:color="auto"/>
      </w:divBdr>
    </w:div>
    <w:div w:id="1031877813">
      <w:bodyDiv w:val="1"/>
      <w:marLeft w:val="0"/>
      <w:marRight w:val="0"/>
      <w:marTop w:val="0"/>
      <w:marBottom w:val="0"/>
      <w:divBdr>
        <w:top w:val="none" w:sz="0" w:space="0" w:color="auto"/>
        <w:left w:val="none" w:sz="0" w:space="0" w:color="auto"/>
        <w:bottom w:val="none" w:sz="0" w:space="0" w:color="auto"/>
        <w:right w:val="none" w:sz="0" w:space="0" w:color="auto"/>
      </w:divBdr>
    </w:div>
    <w:div w:id="1133713286">
      <w:bodyDiv w:val="1"/>
      <w:marLeft w:val="0"/>
      <w:marRight w:val="0"/>
      <w:marTop w:val="0"/>
      <w:marBottom w:val="0"/>
      <w:divBdr>
        <w:top w:val="none" w:sz="0" w:space="0" w:color="auto"/>
        <w:left w:val="none" w:sz="0" w:space="0" w:color="auto"/>
        <w:bottom w:val="none" w:sz="0" w:space="0" w:color="auto"/>
        <w:right w:val="none" w:sz="0" w:space="0" w:color="auto"/>
      </w:divBdr>
    </w:div>
    <w:div w:id="1192845247">
      <w:bodyDiv w:val="1"/>
      <w:marLeft w:val="0"/>
      <w:marRight w:val="0"/>
      <w:marTop w:val="0"/>
      <w:marBottom w:val="0"/>
      <w:divBdr>
        <w:top w:val="none" w:sz="0" w:space="0" w:color="auto"/>
        <w:left w:val="none" w:sz="0" w:space="0" w:color="auto"/>
        <w:bottom w:val="none" w:sz="0" w:space="0" w:color="auto"/>
        <w:right w:val="none" w:sz="0" w:space="0" w:color="auto"/>
      </w:divBdr>
    </w:div>
    <w:div w:id="1289967192">
      <w:bodyDiv w:val="1"/>
      <w:marLeft w:val="0"/>
      <w:marRight w:val="0"/>
      <w:marTop w:val="0"/>
      <w:marBottom w:val="0"/>
      <w:divBdr>
        <w:top w:val="none" w:sz="0" w:space="0" w:color="auto"/>
        <w:left w:val="none" w:sz="0" w:space="0" w:color="auto"/>
        <w:bottom w:val="none" w:sz="0" w:space="0" w:color="auto"/>
        <w:right w:val="none" w:sz="0" w:space="0" w:color="auto"/>
      </w:divBdr>
    </w:div>
    <w:div w:id="1398015266">
      <w:bodyDiv w:val="1"/>
      <w:marLeft w:val="0"/>
      <w:marRight w:val="0"/>
      <w:marTop w:val="0"/>
      <w:marBottom w:val="0"/>
      <w:divBdr>
        <w:top w:val="none" w:sz="0" w:space="0" w:color="auto"/>
        <w:left w:val="none" w:sz="0" w:space="0" w:color="auto"/>
        <w:bottom w:val="none" w:sz="0" w:space="0" w:color="auto"/>
        <w:right w:val="none" w:sz="0" w:space="0" w:color="auto"/>
      </w:divBdr>
    </w:div>
    <w:div w:id="17268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5.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emf"/><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sv/press/press-releases/2016/06/17/conclusions-on-banking-union/" TargetMode="External"/><Relationship Id="rId2" Type="http://schemas.openxmlformats.org/officeDocument/2006/relationships/hyperlink" Target="https://ec.europa.eu/info/publications/171011-communication-banking-union_sv" TargetMode="External"/><Relationship Id="rId1" Type="http://schemas.openxmlformats.org/officeDocument/2006/relationships/hyperlink" Target="http://www.consilium.europa.eu/media/21594/leaders-agenda.pdf" TargetMode="External"/><Relationship Id="rId6" Type="http://schemas.openxmlformats.org/officeDocument/2006/relationships/hyperlink" Target="http://europa.eu/rapid/press-release_IP-16-3731_sv.htm" TargetMode="External"/><Relationship Id="rId5" Type="http://schemas.openxmlformats.org/officeDocument/2006/relationships/hyperlink" Target="https://www.consilium.europa.eu/media/37029/joint-risk-reduction-monitoring-report-to-eg_november-2018.pdf" TargetMode="External"/><Relationship Id="rId4" Type="http://schemas.openxmlformats.org/officeDocument/2006/relationships/hyperlink" Target="https://www.consilium.europa.eu/sv/press/press-releases/2017/07/11/conclusions-non-performing-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7ECA-7801-4E7D-BC5B-FB434491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3848</Words>
  <Characters>26479</Characters>
  <Application>Microsoft Office Word</Application>
  <DocSecurity>0</DocSecurity>
  <Lines>441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2018-11-27T10:26:00Z</dcterms:created>
  <dcterms:modified xsi:type="dcterms:W3CDTF">2018-12-13T15:55:00Z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DocStatus">
    <vt:lpwstr>Red</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ies>
</file>