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C732D26-57E8-4BA9-9B79-9DB472DBE7C8"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noProof/>
        </w:rPr>
        <w:lastRenderedPageBreak/>
        <w:t>Bevezetés</w:t>
      </w:r>
    </w:p>
    <w:p>
      <w:pPr>
        <w:pStyle w:val="Heading2"/>
        <w:jc w:val="both"/>
        <w:rPr>
          <w:noProof/>
        </w:rPr>
      </w:pPr>
      <w:r>
        <w:rPr>
          <w:noProof/>
        </w:rPr>
        <w:t>Háttér-információk</w:t>
      </w:r>
    </w:p>
    <w:p>
      <w:pPr>
        <w:jc w:val="both"/>
        <w:rPr>
          <w:rFonts w:ascii="Times New Roman" w:hAnsi="Times New Roman" w:cs="Times New Roman"/>
          <w:noProof/>
          <w:sz w:val="24"/>
          <w:szCs w:val="24"/>
        </w:rPr>
      </w:pPr>
      <w:r>
        <w:rPr>
          <w:rFonts w:ascii="Times New Roman" w:hAnsi="Times New Roman"/>
          <w:noProof/>
          <w:sz w:val="24"/>
        </w:rPr>
        <w:t>A büntetőeljárás során a tájékoztatáshoz való jogról szóló 2012/13/EU irányelv</w:t>
      </w:r>
      <w:r>
        <w:rPr>
          <w:rStyle w:val="FootnoteReference"/>
          <w:rFonts w:ascii="Times New Roman" w:hAnsi="Times New Roman"/>
          <w:noProof/>
          <w:sz w:val="24"/>
        </w:rPr>
        <w:footnoteReference w:id="1"/>
      </w:r>
      <w:r>
        <w:rPr>
          <w:rFonts w:ascii="Times New Roman" w:hAnsi="Times New Roman"/>
          <w:noProof/>
          <w:sz w:val="24"/>
        </w:rPr>
        <w:t xml:space="preserve"> (a továbbiakban: az irányelv) a második olyan eszköz, amelynek elfogadására a büntetőeljárásokban a gyanúsítottak vagy vádlottak eljárási jogainak megerősítését célzó ütemterv</w:t>
      </w:r>
      <w:r>
        <w:rPr>
          <w:rStyle w:val="FootnoteReference"/>
          <w:rFonts w:ascii="Times New Roman" w:hAnsi="Times New Roman"/>
          <w:noProof/>
          <w:sz w:val="24"/>
        </w:rPr>
        <w:footnoteReference w:id="2"/>
      </w:r>
      <w:r>
        <w:rPr>
          <w:rFonts w:ascii="Times New Roman" w:hAnsi="Times New Roman"/>
          <w:noProof/>
          <w:sz w:val="24"/>
        </w:rPr>
        <w:t xml:space="preserve"> alapján került sor. 2009. december 11-én az Európai Tanács üdvözölte az ütemtervet, és azt „A polgárokat szolgáló és védő, nyitott és biztonságos Európa” alcímet viselő stockholmi program részévé tette</w:t>
      </w:r>
      <w:r>
        <w:rPr>
          <w:rStyle w:val="FootnoteReference"/>
          <w:rFonts w:ascii="Times New Roman" w:hAnsi="Times New Roman"/>
          <w:noProof/>
          <w:sz w:val="24"/>
        </w:rPr>
        <w:footnoteReference w:id="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Az ütemtervnek megfelelően elfogadott első intézkedés a büntetőeljárás során igénybe vehető tolmácsoláshoz és fordításhoz való jogról szóló irányelv</w:t>
      </w:r>
      <w:r>
        <w:rPr>
          <w:rStyle w:val="FootnoteReference"/>
          <w:rFonts w:ascii="Times New Roman" w:hAnsi="Times New Roman"/>
          <w:noProof/>
          <w:sz w:val="24"/>
        </w:rPr>
        <w:footnoteReference w:id="4"/>
      </w:r>
      <w:r>
        <w:rPr>
          <w:rFonts w:ascii="Times New Roman" w:hAnsi="Times New Roman"/>
          <w:noProof/>
          <w:sz w:val="24"/>
        </w:rPr>
        <w:t xml:space="preserve"> volt. Az első két irányelv elfogadását követően további intézkedésekre került sor az eljárási jogokkal kapcsolatban. Az EU azóta négy másik irányelvet fogadott el az ügyvédi segítség igénybevételéhez és a szabadságelvonás ideje alatt a harmadik felekkel való kommunikációhoz való jogról</w:t>
      </w:r>
      <w:r>
        <w:rPr>
          <w:rStyle w:val="FootnoteReference"/>
          <w:rFonts w:ascii="Times New Roman" w:hAnsi="Times New Roman"/>
          <w:noProof/>
          <w:sz w:val="24"/>
        </w:rPr>
        <w:footnoteReference w:id="5"/>
      </w:r>
      <w:r>
        <w:rPr>
          <w:rFonts w:ascii="Times New Roman" w:hAnsi="Times New Roman"/>
          <w:noProof/>
          <w:sz w:val="24"/>
        </w:rPr>
        <w:t>; az ártatlanság vélelme egyes vonatkozásainak és a tárgyaláson való jelenlét jogának megerősítéséről</w:t>
      </w:r>
      <w:r>
        <w:rPr>
          <w:rStyle w:val="FootnoteReference"/>
          <w:rFonts w:ascii="Times New Roman" w:hAnsi="Times New Roman"/>
          <w:noProof/>
          <w:sz w:val="24"/>
        </w:rPr>
        <w:footnoteReference w:id="6"/>
      </w:r>
      <w:r>
        <w:rPr>
          <w:rFonts w:ascii="Times New Roman" w:hAnsi="Times New Roman"/>
          <w:noProof/>
          <w:sz w:val="24"/>
        </w:rPr>
        <w:t>; a gyermekek részére nyújtandó eljárási biztosítékokról</w:t>
      </w:r>
      <w:r>
        <w:rPr>
          <w:rStyle w:val="FootnoteReference"/>
          <w:rFonts w:ascii="Times New Roman" w:hAnsi="Times New Roman"/>
          <w:noProof/>
          <w:sz w:val="24"/>
        </w:rPr>
        <w:footnoteReference w:id="7"/>
      </w:r>
      <w:r>
        <w:rPr>
          <w:rFonts w:ascii="Times New Roman" w:hAnsi="Times New Roman"/>
          <w:noProof/>
          <w:sz w:val="24"/>
        </w:rPr>
        <w:t xml:space="preserve"> és a költségmentességről</w:t>
      </w:r>
      <w:r>
        <w:rPr>
          <w:rStyle w:val="FootnoteReference"/>
          <w:rFonts w:ascii="Times New Roman" w:hAnsi="Times New Roman"/>
          <w:noProof/>
          <w:sz w:val="24"/>
        </w:rPr>
        <w:footnoteReference w:id="8"/>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E hat irányelv célja, hogy a szabadságon, a biztonságon és a jog érvényesülésén alapuló uniós térség sarokköve, a kölcsönös elismerés elve hatékonyabb alkalmazásának lehetővé tételével hozzájáruljon a kölcsönös bizalom növelésének általános célkitűzéséhez. Ezt a valamennyi büntetőeljárásban alkalmazandó, eljárási jogokra vonatkozó közös minimumszabályok meghatározásával, valamint az Európai Unió Alapjogi Chartájának</w:t>
      </w:r>
      <w:r>
        <w:rPr>
          <w:rStyle w:val="FootnoteReference"/>
          <w:rFonts w:ascii="Times New Roman" w:hAnsi="Times New Roman"/>
          <w:noProof/>
          <w:sz w:val="24"/>
        </w:rPr>
        <w:footnoteReference w:id="9"/>
      </w:r>
      <w:r>
        <w:rPr>
          <w:rFonts w:ascii="Times New Roman" w:hAnsi="Times New Roman"/>
          <w:noProof/>
          <w:sz w:val="24"/>
        </w:rPr>
        <w:t xml:space="preserve"> 47. cikkében és az emberi jogok európai egyezményének (a továbbiakban: EJEE) 6. cikkében foglalt tisztességes eljáráshoz való jog következetesebb végrehajtásának biztosításával éri el.</w:t>
      </w:r>
    </w:p>
    <w:p>
      <w:pPr>
        <w:pStyle w:val="Heading2"/>
        <w:jc w:val="both"/>
        <w:rPr>
          <w:noProof/>
        </w:rPr>
      </w:pPr>
      <w:r>
        <w:rPr>
          <w:noProof/>
        </w:rPr>
        <w:t>Az irányelv célja és fő elemei</w:t>
      </w:r>
    </w:p>
    <w:p>
      <w:pPr>
        <w:jc w:val="both"/>
        <w:rPr>
          <w:rFonts w:ascii="Times New Roman" w:hAnsi="Times New Roman" w:cs="Times New Roman"/>
          <w:noProof/>
          <w:sz w:val="24"/>
          <w:szCs w:val="24"/>
        </w:rPr>
      </w:pPr>
      <w:r>
        <w:rPr>
          <w:rFonts w:ascii="Times New Roman" w:hAnsi="Times New Roman"/>
          <w:noProof/>
          <w:sz w:val="24"/>
        </w:rPr>
        <w:t>A 2012/13/EU irányelv célja, hogy segítse a büntetőeljárás során a gyanúsítottak és vádlottak tájékoztatáshoz való joga gyakorlati alkalmazásának biztosítását.</w:t>
      </w:r>
    </w:p>
    <w:p>
      <w:pPr>
        <w:jc w:val="both"/>
        <w:rPr>
          <w:rFonts w:ascii="Times New Roman" w:hAnsi="Times New Roman" w:cs="Times New Roman"/>
          <w:noProof/>
          <w:sz w:val="24"/>
          <w:szCs w:val="24"/>
        </w:rPr>
      </w:pPr>
      <w:r>
        <w:rPr>
          <w:rFonts w:ascii="Times New Roman" w:hAnsi="Times New Roman"/>
          <w:noProof/>
          <w:sz w:val="24"/>
        </w:rPr>
        <w:t>A büntetőeljárások (és az európai elfogatóparancshoz kapcsolódó eljárások) során a tájékoztatáshoz való jogra vonatkozó közös minimumszabályok kialakításával az irányelv célja, hogy növelje a tagállamok egymás büntetőjogi rendszerébe vetett bizalmát. Ennek érdekében például az Európai Unió Alapjogi Chartájának</w:t>
      </w:r>
      <w:r>
        <w:rPr>
          <w:rStyle w:val="FootnoteReference"/>
          <w:rFonts w:ascii="Times New Roman" w:hAnsi="Times New Roman"/>
          <w:noProof/>
          <w:sz w:val="24"/>
        </w:rPr>
        <w:footnoteReference w:id="10"/>
      </w:r>
      <w:r>
        <w:rPr>
          <w:rFonts w:ascii="Times New Roman" w:hAnsi="Times New Roman"/>
          <w:noProof/>
          <w:sz w:val="24"/>
        </w:rPr>
        <w:t xml:space="preserve"> 47. és 48. cikkében meghatározott jogokra alapoz, és azok előmozdítását célozza.</w:t>
      </w:r>
    </w:p>
    <w:p>
      <w:pPr>
        <w:jc w:val="both"/>
        <w:rPr>
          <w:rFonts w:ascii="Times New Roman" w:hAnsi="Times New Roman" w:cs="Times New Roman"/>
          <w:noProof/>
          <w:sz w:val="24"/>
          <w:szCs w:val="24"/>
        </w:rPr>
      </w:pPr>
      <w:r>
        <w:rPr>
          <w:rFonts w:ascii="Times New Roman" w:hAnsi="Times New Roman"/>
          <w:noProof/>
          <w:sz w:val="24"/>
        </w:rPr>
        <w:t>Az irányelv az EU-n belüli valamennyi gyanúsítottra és vádlottra vonatkozó minimumszabályokat határoz meg a jogállásuktól, állampolgárságuktól vagy nemzetiségüktől függetlenül. Célja, hogy segítsen megelőzni a bírói tévedéseket és csökkenteni a fellebbezések számát.</w:t>
      </w:r>
    </w:p>
    <w:p>
      <w:pPr>
        <w:jc w:val="both"/>
        <w:rPr>
          <w:rFonts w:ascii="Times New Roman" w:hAnsi="Times New Roman" w:cs="Times New Roman"/>
          <w:noProof/>
          <w:sz w:val="24"/>
          <w:szCs w:val="24"/>
        </w:rPr>
      </w:pPr>
      <w:r>
        <w:rPr>
          <w:rFonts w:ascii="Times New Roman" w:hAnsi="Times New Roman"/>
          <w:noProof/>
          <w:sz w:val="24"/>
        </w:rPr>
        <w:t>Az irányelv megállapítja a büntetőeljárások és az európai elfogatóparancshoz kapcsolódó eljárások során alkalmazandó, tájékoztatáshoz való jogot. Ez a jog attól a pillanattól megilleti a személyeket, hogy az illetékes hatóságok tájékoztatják őket arról, hogy bűncselekmény elkövetésével vádolják vagy gyanúsítják őket, és egészen az eljárások lezárásáig fennáll.</w:t>
      </w:r>
    </w:p>
    <w:p>
      <w:pPr>
        <w:jc w:val="both"/>
        <w:rPr>
          <w:rFonts w:ascii="Times New Roman" w:hAnsi="Times New Roman" w:cs="Times New Roman"/>
          <w:noProof/>
          <w:sz w:val="24"/>
          <w:szCs w:val="24"/>
        </w:rPr>
      </w:pPr>
      <w:r>
        <w:rPr>
          <w:rFonts w:ascii="Times New Roman" w:hAnsi="Times New Roman"/>
          <w:noProof/>
          <w:sz w:val="24"/>
        </w:rPr>
        <w:t>Az irányelv előírja az eljárási jogokra vonatkozó szóbeli (3. cikk) vagy írásbeli tájékoztatáshoz való jogot, ha a személyt megfosztották a szabadságától (4. cikk), vagy európai elfogatóparancs hatálya alá tartozik (5. cikk), a váddal kapcsolatos tájékoztatáshoz való jogot (6. cikk) és az ügy anyagaiba való betekintés jogát (7. cikk).</w:t>
      </w:r>
    </w:p>
    <w:p>
      <w:pPr>
        <w:pStyle w:val="Heading2"/>
        <w:jc w:val="both"/>
        <w:rPr>
          <w:noProof/>
        </w:rPr>
      </w:pPr>
      <w:r>
        <w:rPr>
          <w:noProof/>
        </w:rPr>
        <w:t>E végrehajtási jelentés terjedelme</w:t>
      </w:r>
    </w:p>
    <w:p>
      <w:pPr>
        <w:jc w:val="both"/>
        <w:rPr>
          <w:rFonts w:ascii="Times New Roman" w:hAnsi="Times New Roman" w:cs="Times New Roman"/>
          <w:noProof/>
          <w:sz w:val="24"/>
          <w:szCs w:val="24"/>
        </w:rPr>
      </w:pPr>
      <w:r>
        <w:rPr>
          <w:rFonts w:ascii="Times New Roman" w:hAnsi="Times New Roman"/>
          <w:noProof/>
          <w:sz w:val="24"/>
        </w:rPr>
        <w:t>Az irányelv végrehajtásának értékelésére az irányelv 12. cikkével összhangban került sor, amely arra kötelezi a Bizottságot, hogy jelentést nyújtson be az Európai Parlamentnek és a Tanácsnak, amelyben értékeli, hogy a tagállamok milyen mértékben tették meg a szükséges intézkedéseket annak érdekében, hogy az irányelvnek megfeleljenek.</w:t>
      </w:r>
    </w:p>
    <w:p>
      <w:pPr>
        <w:jc w:val="both"/>
        <w:rPr>
          <w:rFonts w:ascii="Times New Roman" w:hAnsi="Times New Roman" w:cs="Times New Roman"/>
          <w:noProof/>
          <w:sz w:val="24"/>
          <w:szCs w:val="24"/>
        </w:rPr>
      </w:pPr>
      <w:r>
        <w:rPr>
          <w:rFonts w:ascii="Times New Roman" w:hAnsi="Times New Roman"/>
          <w:noProof/>
          <w:sz w:val="24"/>
        </w:rPr>
        <w:t>Az e jelentésben szereplő leírás és elemzés elsősorban a tagállamok által rendelkezésre bocsátott információkon alapul. Ezek a Jogérvényesülés program tevékenységi támogatásainak</w:t>
      </w:r>
      <w:r>
        <w:rPr>
          <w:rStyle w:val="FootnoteReference"/>
          <w:rFonts w:ascii="Times New Roman" w:hAnsi="Times New Roman"/>
          <w:noProof/>
          <w:sz w:val="24"/>
        </w:rPr>
        <w:footnoteReference w:id="11"/>
      </w:r>
      <w:r>
        <w:rPr>
          <w:rFonts w:ascii="Times New Roman" w:hAnsi="Times New Roman"/>
          <w:noProof/>
          <w:sz w:val="24"/>
        </w:rPr>
        <w:t xml:space="preserve"> felhasználásával az Európai Unió Alapjogi Ügynöksége</w:t>
      </w:r>
      <w:r>
        <w:rPr>
          <w:rStyle w:val="FootnoteReference"/>
          <w:rFonts w:ascii="Times New Roman" w:hAnsi="Times New Roman"/>
          <w:noProof/>
          <w:sz w:val="24"/>
        </w:rPr>
        <w:footnoteReference w:id="12"/>
      </w:r>
      <w:r>
        <w:rPr>
          <w:rFonts w:ascii="Times New Roman" w:hAnsi="Times New Roman"/>
          <w:noProof/>
          <w:sz w:val="24"/>
        </w:rPr>
        <w:t xml:space="preserve"> vagy külső érdekelt felek által készített, nyilvánosan elérhető, az eljárási jogokról szóló irányelvek végrehajtását értékelő tanulmányaival egészülnek ki.</w:t>
      </w:r>
    </w:p>
    <w:p>
      <w:pPr>
        <w:jc w:val="both"/>
        <w:rPr>
          <w:rFonts w:ascii="Times New Roman" w:hAnsi="Times New Roman" w:cs="Times New Roman"/>
          <w:noProof/>
          <w:sz w:val="24"/>
          <w:szCs w:val="24"/>
        </w:rPr>
      </w:pPr>
      <w:r>
        <w:rPr>
          <w:rFonts w:ascii="Times New Roman" w:hAnsi="Times New Roman"/>
          <w:noProof/>
          <w:sz w:val="24"/>
        </w:rPr>
        <w:t>A jelentés a tagállamok által az irányelv végrehajtása érdekében eddig megtett intézkedésekre fókuszál. A jelentés azt vizsgálja, hogy a tagállamok végrehajtották-e az irányelvet a megadott határidőn belül, és hogy a nemzeti jogszabályok megfelelnek-e az irányelvben foglalt célkitűzéseknek és követelményeknek.</w:t>
      </w:r>
    </w:p>
    <w:p>
      <w:pPr>
        <w:pStyle w:val="Heading1"/>
        <w:jc w:val="both"/>
        <w:rPr>
          <w:smallCaps/>
          <w:noProof/>
        </w:rPr>
      </w:pPr>
      <w:r>
        <w:rPr>
          <w:noProof/>
        </w:rPr>
        <w:t>Általános értékelés</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A 11. cikk szerint a tagállamoknak 2014. június 2-ig kellett átültetniük az irányelvet a nemzeti jogba. Az átültetési időszak határidejének lejáratakor hét tagállam nem tájékoztatta a Bizottságot a szükséges intézkedésekről: Ciprus, a Cseh Köztársaság, Luxemburg, Málta, Szlovénia, Szlovákia és Spanyolország. A Bizottság ezért 2014 júliusában úgy határozott, hogy az Európai Unió működéséről szóló szerződés 258. cikkével összhangban kötelezettségszegési eljárást indít e hét tagállam ellen az átültetési intézkedéseikre vonatkozó tájékoztatás elmulasztásáért.</w:t>
      </w:r>
    </w:p>
    <w:p>
      <w:pPr>
        <w:jc w:val="both"/>
        <w:rPr>
          <w:rFonts w:ascii="Times New Roman" w:hAnsi="Times New Roman" w:cs="Times New Roman"/>
          <w:noProof/>
          <w:sz w:val="24"/>
          <w:szCs w:val="24"/>
        </w:rPr>
      </w:pPr>
      <w:r>
        <w:rPr>
          <w:rFonts w:ascii="Times New Roman" w:hAnsi="Times New Roman"/>
          <w:noProof/>
          <w:sz w:val="24"/>
        </w:rPr>
        <w:t>A Bizottság fő célja annak biztosítása, hogy valamennyi tagállam átültesse az irányelv követelményeit a nemzeti jogszabályaiba, hogy az irányelvben szereplő jogok az Európai Unió teljes területén védettek legyenek. Az irányelv átültetése előfeltétele annak, hogy megfelelően meg lehessen vizsgálni, hogy a tagállamok milyen mértékben tették meg az irányelvnek való megfelelés érdekében szükséges intézkedéseket. A Bizottság a tagállamok tájékoztatását követően haladéktalanul elkezdte felmérni, hogy a nemzeti intézkedések megfelelnek-e az irányelvnek. Luxemburg például csak 2017 márciusában ültette át az irányelvet, míg Románia a kezdetben részleges tájékoztatását 2016. július 12-én és 2017. október 6-án egészítette ki az átültetési intézkedésekkel. Az átültetéssel kapcsolatos késedelmek a teljes értékelési eljárás elhalasztásához vezettek. A tájékoztatás elmulasztásáért indított utolsó kötelezettségszegési eljárás lezárására csak 2018 januárjában került sor. E körülmények fennállása mellett – és figyelembe véve az irányelv által kötelezett 27 tagállam által közölt valamennyi intézkedés értékelésének összetettségét, különös tekintettel a különböző nemzeti jogrendszerekre – a Bizottság nem volt abban a helyzetben, hogy e jelentést korábban benyújthatta volna.</w:t>
      </w:r>
    </w:p>
    <w:p>
      <w:pPr>
        <w:jc w:val="both"/>
        <w:rPr>
          <w:rFonts w:ascii="Times New Roman" w:hAnsi="Times New Roman" w:cs="Times New Roman"/>
          <w:noProof/>
          <w:sz w:val="24"/>
          <w:szCs w:val="24"/>
        </w:rPr>
      </w:pPr>
      <w:r>
        <w:rPr>
          <w:rFonts w:ascii="Times New Roman" w:hAnsi="Times New Roman"/>
          <w:noProof/>
          <w:sz w:val="24"/>
        </w:rPr>
        <w:t>Bár az irányelv hatása a minimumszabályok meghatározására korlátozódik, és ennek következtében lehetőséget biztosít arra, hogy a nemzeti büntetőeljárási jogszabályok eltérjenek, egyértelmű kötelezettségeket ró a tagállamokra.</w:t>
      </w:r>
    </w:p>
    <w:p>
      <w:pPr>
        <w:jc w:val="both"/>
        <w:rPr>
          <w:rFonts w:ascii="Times New Roman" w:hAnsi="Times New Roman" w:cs="Times New Roman"/>
          <w:noProof/>
          <w:sz w:val="24"/>
          <w:szCs w:val="24"/>
        </w:rPr>
      </w:pPr>
      <w:r>
        <w:rPr>
          <w:rFonts w:ascii="Times New Roman" w:hAnsi="Times New Roman"/>
          <w:noProof/>
          <w:sz w:val="24"/>
        </w:rPr>
        <w:t>Az értékelés bizonyos megfelelési problémákra mutatott rá számos tagállamban, különös tekintettel a büntetőeljárások és európai elfogatóparancshoz kapcsolódó eljárások keretében rendelkezésre bocsátandó, a jogokról szóló írásbeli tájékoztatóra, a váddal kapcsolatos tájékoztatáshoz való jogra és az ügy anyagaiba való betekintés jogára. Orvosolásuk hiányában ezek az eltérések negatívan hathatnak az irányelv által biztosított jogok tényleges érvényesülésére. A Bizottság minden szükséges intézkedést meg fog tenni annak érdekében, hogy az Európai Unió teljes területén biztosítsa az irányelvnek való megfelelést, beleértve szükség esetén az Európai Unió működéséről szóló szerződés 258. cikke szerinti kötelezettségszegési eljárások indítását.</w:t>
      </w:r>
    </w:p>
    <w:p>
      <w:pPr>
        <w:jc w:val="both"/>
        <w:rPr>
          <w:rFonts w:ascii="Times New Roman" w:hAnsi="Times New Roman" w:cs="Times New Roman"/>
          <w:noProof/>
          <w:sz w:val="24"/>
          <w:szCs w:val="24"/>
        </w:rPr>
      </w:pPr>
      <w:r>
        <w:rPr>
          <w:rFonts w:ascii="Times New Roman" w:hAnsi="Times New Roman"/>
          <w:noProof/>
          <w:sz w:val="24"/>
        </w:rPr>
        <w:t>A (22.) jegyzőkönyv 1. és 2. cikke értelmében Dánia nem vett részt ennek az irányelvnek az elfogadásában, az rá nézve nem kötelező és nem alkalmazandó. Dánia ezért nem szerepel az alábbi értékelésben.</w:t>
      </w:r>
    </w:p>
    <w:p>
      <w:pPr>
        <w:jc w:val="both"/>
        <w:rPr>
          <w:rFonts w:ascii="Times New Roman" w:hAnsi="Times New Roman" w:cs="Times New Roman"/>
          <w:noProof/>
          <w:sz w:val="24"/>
          <w:szCs w:val="24"/>
        </w:rPr>
      </w:pPr>
      <w:r>
        <w:rPr>
          <w:rFonts w:ascii="Times New Roman" w:hAnsi="Times New Roman"/>
          <w:noProof/>
          <w:sz w:val="24"/>
        </w:rPr>
        <w:t>Az Egyesült Királyságnak és Írországnak a szabadságon, a biztonságon és a jog érvényesülésén alapuló térség tekintetében fennálló helyzetéről szóló (21.) jegyzőkönyv 3. cikkével összhangban az Egyesült Királyság és Írország bejelentették, hogy részt kívánnak venni ennek az irányelvnek az elfogadásában és alkalmazásában.</w:t>
      </w:r>
    </w:p>
    <w:p>
      <w:pPr>
        <w:pStyle w:val="Heading1"/>
        <w:jc w:val="both"/>
        <w:rPr>
          <w:smallCaps/>
          <w:noProof/>
        </w:rPr>
      </w:pPr>
      <w:r>
        <w:rPr>
          <w:noProof/>
        </w:rPr>
        <w:t>Az értékelés kiemelt pontjai</w:t>
      </w:r>
    </w:p>
    <w:p>
      <w:pPr>
        <w:jc w:val="both"/>
        <w:rPr>
          <w:noProof/>
        </w:rPr>
      </w:pPr>
    </w:p>
    <w:p>
      <w:pPr>
        <w:pStyle w:val="Heading2"/>
        <w:jc w:val="both"/>
        <w:rPr>
          <w:noProof/>
        </w:rPr>
      </w:pPr>
      <w:r>
        <w:rPr>
          <w:noProof/>
        </w:rPr>
        <w:t>Tárgy (1. cikk)</w:t>
      </w:r>
    </w:p>
    <w:p>
      <w:pPr>
        <w:jc w:val="both"/>
        <w:rPr>
          <w:rFonts w:ascii="Times New Roman" w:hAnsi="Times New Roman" w:cs="Times New Roman"/>
          <w:noProof/>
          <w:sz w:val="24"/>
          <w:szCs w:val="24"/>
        </w:rPr>
      </w:pPr>
      <w:r>
        <w:rPr>
          <w:rFonts w:ascii="Times New Roman" w:hAnsi="Times New Roman"/>
          <w:noProof/>
          <w:sz w:val="24"/>
        </w:rPr>
        <w:t>Az irányelv 1. cikke meghatározza, hogy az irányelv a gyanúsítottaknak és a vádlottaknak, valamint az európai elfogatóparancs hatálya alá tartozó személyeknek a büntetőeljárás során az őket megillető jogokra és az ellenük szóló vádra vonatkozó tájékoztatáshoz való jogával kapcsolatos szabályokat állapítja meg.</w:t>
      </w:r>
    </w:p>
    <w:p>
      <w:pPr>
        <w:jc w:val="both"/>
        <w:rPr>
          <w:rFonts w:ascii="Times New Roman" w:hAnsi="Times New Roman" w:cs="Times New Roman"/>
          <w:noProof/>
          <w:sz w:val="24"/>
          <w:szCs w:val="24"/>
        </w:rPr>
      </w:pPr>
      <w:r>
        <w:rPr>
          <w:rFonts w:ascii="Times New Roman" w:hAnsi="Times New Roman"/>
          <w:noProof/>
          <w:sz w:val="24"/>
        </w:rPr>
        <w:t>A legtöbb tagállamban már létezett a tájékoztatáshoz való jogra vonatkozó jogszabály. Az átültetési folyamat ezért a korábban létező jogszabályok tagállamok általi módosítására vagy még pontosabb jogszabályok elfogadására irányult.</w:t>
      </w:r>
    </w:p>
    <w:p>
      <w:pPr>
        <w:pStyle w:val="Heading2"/>
        <w:jc w:val="both"/>
        <w:rPr>
          <w:noProof/>
        </w:rPr>
      </w:pPr>
      <w:r>
        <w:rPr>
          <w:noProof/>
        </w:rPr>
        <w:t>Hatály (2. cikk)</w:t>
      </w:r>
    </w:p>
    <w:p>
      <w:pPr>
        <w:jc w:val="both"/>
        <w:rPr>
          <w:rFonts w:ascii="Times New Roman" w:hAnsi="Times New Roman" w:cs="Times New Roman"/>
          <w:noProof/>
          <w:sz w:val="24"/>
          <w:szCs w:val="24"/>
        </w:rPr>
      </w:pPr>
      <w:r>
        <w:rPr>
          <w:rFonts w:ascii="Times New Roman" w:hAnsi="Times New Roman"/>
          <w:noProof/>
          <w:sz w:val="24"/>
        </w:rPr>
        <w:t>Az irányelv 2. cikke az irányelv hatályát határozza meg.</w:t>
      </w:r>
    </w:p>
    <w:p>
      <w:pPr>
        <w:pStyle w:val="Heading3"/>
        <w:rPr>
          <w:noProof/>
        </w:rPr>
      </w:pPr>
      <w:r>
        <w:rPr>
          <w:noProof/>
        </w:rPr>
        <w:t>Hatály – 2. cikk (1) bekezdés</w:t>
      </w:r>
    </w:p>
    <w:p>
      <w:pPr>
        <w:jc w:val="both"/>
        <w:rPr>
          <w:rFonts w:ascii="Times New Roman" w:hAnsi="Times New Roman" w:cs="Times New Roman"/>
          <w:noProof/>
          <w:sz w:val="24"/>
          <w:szCs w:val="24"/>
        </w:rPr>
      </w:pPr>
      <w:r>
        <w:rPr>
          <w:rFonts w:ascii="Times New Roman" w:hAnsi="Times New Roman"/>
          <w:noProof/>
          <w:sz w:val="24"/>
        </w:rPr>
        <w:t>Az irányelv 2. cikkének (1) bekezdése előírja, hogy a büntetőeljárások és az európai elfogatóparancshoz kapcsolódó eljárások során nyújtott tájékoztatáshoz való jogot attól az időponttól kezdve kell alkalmazni, amikor az illetékes hatóságok az érintett személy tudomására hozzák azt, hogy bűncselekmény elkövetésével gyanúsítják vagy vádolják, az eljárás befejezéséig, a végleges döntés meghozataláig.</w:t>
      </w:r>
    </w:p>
    <w:p>
      <w:pPr>
        <w:jc w:val="both"/>
        <w:rPr>
          <w:rFonts w:ascii="Times New Roman" w:hAnsi="Times New Roman" w:cs="Times New Roman"/>
          <w:noProof/>
          <w:sz w:val="24"/>
          <w:szCs w:val="24"/>
        </w:rPr>
      </w:pPr>
      <w:r>
        <w:rPr>
          <w:rFonts w:ascii="Times New Roman" w:hAnsi="Times New Roman"/>
          <w:noProof/>
          <w:sz w:val="24"/>
        </w:rPr>
        <w:t>Az irányelv (19) preambulumbekezdésével összhangban „[a]z illetékes hatóságoknak [...] haladéktalanul tájékoztatniuk kell a gyanúsítottat vagy a vádlottat [...], a tájékoztatást [...] legkésőbb a gyanúsított vagy a vádlott első hivatalos – rendőrség vagy más illetékes hatóság általi – kihallgatását megelőzően kell megtenni”.</w:t>
      </w:r>
    </w:p>
    <w:p>
      <w:pPr>
        <w:jc w:val="both"/>
        <w:rPr>
          <w:rFonts w:ascii="Times New Roman" w:hAnsi="Times New Roman" w:cs="Times New Roman"/>
          <w:noProof/>
          <w:sz w:val="24"/>
          <w:szCs w:val="24"/>
        </w:rPr>
      </w:pPr>
      <w:r>
        <w:rPr>
          <w:rFonts w:ascii="Times New Roman" w:hAnsi="Times New Roman"/>
          <w:noProof/>
          <w:sz w:val="24"/>
        </w:rPr>
        <w:t>A legtöbb tagállam nem határozza meg pontosan, mikor hozzák a gyanúsított vagy vádlott „tudomására”, hogy gyanúsítják vagy vádolják, valamint hogy a tájékoztatáshoz való jog a büntetőeljárás teljes ideje alatt alkalmazandó. A vonatkozó nemzeti jogi hátterek büntetőeljárásai különböző szakaszainak szisztematikus elemzése azonban rámutat arra, hogy a megfelelés számos tagállamban megállapítható.</w:t>
      </w:r>
    </w:p>
    <w:p>
      <w:pPr>
        <w:jc w:val="both"/>
        <w:rPr>
          <w:rFonts w:ascii="Times New Roman" w:hAnsi="Times New Roman" w:cs="Times New Roman"/>
          <w:noProof/>
          <w:sz w:val="24"/>
          <w:szCs w:val="24"/>
        </w:rPr>
      </w:pPr>
      <w:r>
        <w:rPr>
          <w:rFonts w:ascii="Times New Roman" w:hAnsi="Times New Roman"/>
          <w:noProof/>
          <w:sz w:val="24"/>
        </w:rPr>
        <w:t>Mindazonáltal problémák merültek fel három tagállam</w:t>
      </w:r>
      <w:r>
        <w:rPr>
          <w:rStyle w:val="FootnoteReference"/>
          <w:rFonts w:ascii="Times New Roman" w:hAnsi="Times New Roman"/>
          <w:noProof/>
          <w:sz w:val="24"/>
        </w:rPr>
        <w:footnoteReference w:id="13"/>
      </w:r>
      <w:r>
        <w:rPr>
          <w:rFonts w:ascii="Times New Roman" w:hAnsi="Times New Roman"/>
          <w:noProof/>
          <w:sz w:val="24"/>
        </w:rPr>
        <w:t xml:space="preserve"> tekintetében, amelyek csak akkor teszik kötelezővé a jogokra vonatkozó tájékoztatás biztosítását, amikor az adott személyt már megfosztották a szabadságától. Azon személyek esetében, akiket nem fosztottak meg a szabadságuktól, nem alkalmazandók ezek a biztosítékok.</w:t>
      </w:r>
    </w:p>
    <w:p>
      <w:pPr>
        <w:jc w:val="both"/>
        <w:rPr>
          <w:rFonts w:ascii="Times New Roman" w:hAnsi="Times New Roman" w:cs="Times New Roman"/>
          <w:noProof/>
          <w:sz w:val="24"/>
          <w:szCs w:val="24"/>
        </w:rPr>
      </w:pPr>
      <w:r>
        <w:rPr>
          <w:rFonts w:ascii="Times New Roman" w:hAnsi="Times New Roman"/>
          <w:noProof/>
          <w:sz w:val="24"/>
        </w:rPr>
        <w:t>A személyi hatály tekintetében egyes tagállamok jogszabályaiban ellentmondások merültek fel a „gyanúsított” és a „vádlott” kifejezésekkel kapcsolatban. A tagállamok jelentős többsége megkülönbözteti a két kifejezést, amikor a büntetőeljárás hatálya alá vont személyekre hivatkozik. Két tagállam azonban csak a „vádlott személy” kifejezést alkalmazza a jogrendszerében, a „gyanúsított” fogalmát nem. Valaki akkor minősül vádlottnak, ha bűncselekmény elkövetésével vádolják.</w:t>
      </w:r>
    </w:p>
    <w:p>
      <w:pPr>
        <w:pStyle w:val="Heading3"/>
        <w:jc w:val="both"/>
        <w:rPr>
          <w:noProof/>
        </w:rPr>
      </w:pPr>
      <w:r>
        <w:rPr>
          <w:noProof/>
        </w:rPr>
        <w:t>Kisebb súlyú cselekmények – 2. cikk (2) bekezdés</w:t>
      </w:r>
    </w:p>
    <w:p>
      <w:pPr>
        <w:jc w:val="both"/>
        <w:rPr>
          <w:rFonts w:ascii="Times New Roman" w:hAnsi="Times New Roman" w:cs="Times New Roman"/>
          <w:noProof/>
          <w:sz w:val="24"/>
          <w:szCs w:val="24"/>
        </w:rPr>
      </w:pPr>
      <w:r>
        <w:rPr>
          <w:rFonts w:ascii="Times New Roman" w:hAnsi="Times New Roman"/>
          <w:noProof/>
          <w:sz w:val="24"/>
        </w:rPr>
        <w:t>Az irányelv 2. cikkének (2) bekezdése biztosítja, hogy amennyiben valamely tagállam joga szerint a kisebb súlyú cselekményekre vonatkozó szankciókat a büntetőügyekben hatáskörrel rendelkező bíróságtól eltérő hatóság szabja ki, és az ilyen szankció kiszabásával szemben az ilyen bírósághoz jogorvoslati kérelemmel lehet fordulni, a tájékoztatáshoz való jogot a jogorvoslati eljárásra kell alkalmazni.</w:t>
      </w:r>
    </w:p>
    <w:p>
      <w:pPr>
        <w:jc w:val="both"/>
        <w:rPr>
          <w:rFonts w:ascii="Times New Roman" w:hAnsi="Times New Roman" w:cs="Times New Roman"/>
          <w:noProof/>
          <w:sz w:val="24"/>
          <w:szCs w:val="24"/>
          <w:u w:val="single"/>
        </w:rPr>
      </w:pPr>
      <w:r>
        <w:rPr>
          <w:rFonts w:ascii="Times New Roman" w:hAnsi="Times New Roman"/>
          <w:noProof/>
          <w:sz w:val="24"/>
        </w:rPr>
        <w:t>Ez a rendelkezés azon tagállam esetében releváns, ahol a nem büntetőjogi jellegű ügyekben hatáskörrel rendelkező közigazgatási hatóságok, rendőrség vagy bíróságok felelősek a kisebb súlyú cselekmények kezeléséért. A többi tagállam esetében ez a rendelkezés nem alkalmazandó, mivel a kisebb súlyú cselekményekre vonatkozó szankciókat a büntetőügyekben hatáskörrel rendelkező bíróságok szabják ki.</w:t>
      </w:r>
    </w:p>
    <w:p>
      <w:pPr>
        <w:pStyle w:val="Heading2"/>
        <w:jc w:val="both"/>
        <w:rPr>
          <w:noProof/>
        </w:rPr>
      </w:pPr>
      <w:r>
        <w:rPr>
          <w:noProof/>
        </w:rPr>
        <w:t>A jogokra vonatkozó tájékoztatáshoz való jog (3. cikk)</w:t>
      </w:r>
    </w:p>
    <w:p>
      <w:pPr>
        <w:jc w:val="both"/>
        <w:rPr>
          <w:rFonts w:ascii="Times New Roman" w:hAnsi="Times New Roman" w:cs="Times New Roman"/>
          <w:noProof/>
          <w:sz w:val="24"/>
          <w:szCs w:val="24"/>
        </w:rPr>
      </w:pPr>
      <w:r>
        <w:rPr>
          <w:rFonts w:ascii="Times New Roman" w:hAnsi="Times New Roman"/>
          <w:noProof/>
          <w:sz w:val="24"/>
        </w:rPr>
        <w:t>Az irányelv 3. cikke előírja, hogy a gyanúsítottaknak és a vádlottaknak legalább az e cikkben meghatározott eljárási jogokról haladéktalanul tájékoztatást kell kapniuk. A tájékoztatást szóban vagy írásban, egyszerű és közérthető nyelven kell nyújtani, figyelembe véve a kiszolgáltatott gyanúsítottak és kiszolgáltatott vádlottak speciális igényeit.</w:t>
      </w:r>
    </w:p>
    <w:p>
      <w:pPr>
        <w:pStyle w:val="Heading3"/>
        <w:jc w:val="both"/>
        <w:rPr>
          <w:noProof/>
        </w:rPr>
      </w:pPr>
      <w:r>
        <w:rPr>
          <w:noProof/>
        </w:rPr>
        <w:t>Az eljárási jogokról való tájékoztatás – 3. cikk (1) bekezdés</w:t>
      </w:r>
    </w:p>
    <w:p>
      <w:pPr>
        <w:jc w:val="both"/>
        <w:rPr>
          <w:rFonts w:ascii="Times New Roman" w:hAnsi="Times New Roman" w:cs="Times New Roman"/>
          <w:noProof/>
          <w:sz w:val="24"/>
          <w:szCs w:val="24"/>
        </w:rPr>
      </w:pPr>
      <w:r>
        <w:rPr>
          <w:rFonts w:ascii="Times New Roman" w:hAnsi="Times New Roman"/>
          <w:noProof/>
          <w:sz w:val="24"/>
        </w:rPr>
        <w:t>A 3. cikk (1) bekezdésével összhangban és az irányelv (19) preambulumbekezdését figyelembe véve a tájékoztatást haladéktalanul a gyanúsítottak és vádlottak rendelkezésére kell bocsátani.</w:t>
      </w:r>
    </w:p>
    <w:p>
      <w:pPr>
        <w:jc w:val="both"/>
        <w:rPr>
          <w:rFonts w:ascii="Times New Roman" w:hAnsi="Times New Roman" w:cs="Times New Roman"/>
          <w:noProof/>
          <w:sz w:val="24"/>
          <w:szCs w:val="24"/>
        </w:rPr>
      </w:pPr>
      <w:r>
        <w:rPr>
          <w:rFonts w:ascii="Times New Roman" w:hAnsi="Times New Roman"/>
          <w:noProof/>
          <w:sz w:val="24"/>
        </w:rPr>
        <w:t xml:space="preserve">E rendelkezést a legtöbb tagállam megfelelően átültette. Bár számos tagállam nem utal kifejezetten a tájékoztatás „haladéktalan” rendelkezésre bocsátásának követelményére, ez megállapítható abból a tényből, hogy a gyanúsítottak vagy a vádlottak a jogaikra vonatkozó tájékoztatást legkésőbb az első meghallgatásuk előtt megkapják. Három tagállamban azonban a jogokra vonatkozó tájékoztatást csak akkor biztosítják, amikor az adott személyt már megfosztották a szabadságától </w:t>
      </w:r>
      <w:r>
        <w:rPr>
          <w:rFonts w:ascii="Times New Roman" w:hAnsi="Times New Roman"/>
          <w:i/>
          <w:noProof/>
          <w:sz w:val="24"/>
        </w:rPr>
        <w:t>(lásd a 3.2.1. szakaszt)</w:t>
      </w:r>
      <w:r>
        <w:rPr>
          <w:rFonts w:ascii="Times New Roman" w:hAnsi="Times New Roman"/>
          <w:noProof/>
          <w:sz w:val="24"/>
        </w:rPr>
        <w:t>.</w:t>
      </w:r>
    </w:p>
    <w:p>
      <w:pPr>
        <w:pStyle w:val="Heading4"/>
        <w:jc w:val="both"/>
        <w:rPr>
          <w:noProof/>
        </w:rPr>
      </w:pPr>
      <w:r>
        <w:rPr>
          <w:noProof/>
        </w:rPr>
        <w:t xml:space="preserve"> Az ügyvéd igénybevételének jogáról való tájékoztatás – 3. cikk (1) bekezdés a) pont</w:t>
      </w:r>
    </w:p>
    <w:p>
      <w:pPr>
        <w:jc w:val="both"/>
        <w:rPr>
          <w:rFonts w:ascii="Times New Roman" w:hAnsi="Times New Roman" w:cs="Times New Roman"/>
          <w:noProof/>
          <w:sz w:val="24"/>
          <w:szCs w:val="24"/>
        </w:rPr>
      </w:pPr>
      <w:r>
        <w:rPr>
          <w:rFonts w:ascii="Times New Roman" w:hAnsi="Times New Roman"/>
          <w:noProof/>
          <w:sz w:val="24"/>
        </w:rPr>
        <w:t>A 3. cikk (1) bekezdésének a) pontját majdnem az összes tagállam pontosan átültette. Három tagállam azonban vagy nem ültette át a rendelkezést, vagy nem ültette át a szabálysértési eljárások során. Három tagállamban nem nyújtanak tájékoztatást olyan gyanúsítottak vagy vádlottak részére, akiket megfosztottak a szabadságuktól.</w:t>
      </w:r>
    </w:p>
    <w:p>
      <w:pPr>
        <w:pStyle w:val="Heading4"/>
        <w:jc w:val="both"/>
        <w:rPr>
          <w:noProof/>
        </w:rPr>
      </w:pPr>
      <w:r>
        <w:rPr>
          <w:noProof/>
        </w:rPr>
        <w:t>A térítésmentes jogi tanácsadásra való bármely jogosultságra és igénybevételének feltételeire vonatkozó tájékoztatás – 3. cikk (1) bekezdés b) pont</w:t>
      </w:r>
    </w:p>
    <w:p>
      <w:pPr>
        <w:jc w:val="both"/>
        <w:rPr>
          <w:rFonts w:ascii="Times New Roman" w:hAnsi="Times New Roman" w:cs="Times New Roman"/>
          <w:noProof/>
          <w:sz w:val="24"/>
          <w:szCs w:val="24"/>
        </w:rPr>
      </w:pPr>
      <w:r>
        <w:rPr>
          <w:rFonts w:ascii="Times New Roman" w:hAnsi="Times New Roman"/>
          <w:noProof/>
          <w:sz w:val="24"/>
        </w:rPr>
        <w:t>Huszonöt tagállamban érvényben vannak olyan szabályok, amelyek a gyanúsítottak és a vádlottak ingyenes jogi tanácsadáshoz való jogára vonatkozó tájékoztatást írják elő, azonban kettőben nincsenek ilyen rendelkezések. Egyes tagállamokban ellentmondásokra derült fény, mivel a nemzeti jogszabályok nem határozzák meg egyértelműen, hogy az ingyenes jogi tanácsadás igénybevételéhez szükséges feltételekről szóló tájékoztatást a gyanúsított vagy a vádlott rendelkezésére kell bocsátani. Az egyik tagállamban az ingyenes jogi tanácsadáshoz való jogról szóló tanácsadás nem biztosított a szabálysértési eljárások esetén. Végezetül három tagállamban a vonatkozó tájékoztatást csak olyan személyek részére biztosítják, akiket megfosztottak a szabadságuktól.</w:t>
      </w:r>
    </w:p>
    <w:p>
      <w:pPr>
        <w:pStyle w:val="Heading4"/>
        <w:jc w:val="both"/>
        <w:rPr>
          <w:noProof/>
        </w:rPr>
      </w:pPr>
      <w:r>
        <w:rPr>
          <w:noProof/>
        </w:rPr>
        <w:t>A vádra vonatkozó tájékoztatáshoz való jogról szóló tájékoztatás – 3. cikk (1) bekezdés c) pont</w:t>
      </w:r>
    </w:p>
    <w:p>
      <w:pPr>
        <w:jc w:val="both"/>
        <w:rPr>
          <w:rFonts w:ascii="Times New Roman" w:hAnsi="Times New Roman" w:cs="Times New Roman"/>
          <w:noProof/>
          <w:sz w:val="24"/>
          <w:szCs w:val="24"/>
        </w:rPr>
      </w:pPr>
      <w:r>
        <w:rPr>
          <w:rFonts w:ascii="Times New Roman" w:hAnsi="Times New Roman"/>
          <w:noProof/>
          <w:sz w:val="24"/>
        </w:rPr>
        <w:t>Majdnem az összes tagállam átültette ezt a rendelkezést. Három tagállamban ezt a tájékoztatást csak akkor nyújtják, ha az adott személyt megfosztották a szabadságától.</w:t>
      </w:r>
    </w:p>
    <w:p>
      <w:pPr>
        <w:pStyle w:val="Heading4"/>
        <w:jc w:val="both"/>
        <w:rPr>
          <w:noProof/>
        </w:rPr>
      </w:pPr>
      <w:r>
        <w:rPr>
          <w:noProof/>
        </w:rPr>
        <w:t>A tolmácsoláshoz és fordításhoz való jogról szóló tájékoztatás – 3. cikk (1) bekezdés d) pont</w:t>
      </w:r>
    </w:p>
    <w:p>
      <w:pPr>
        <w:jc w:val="both"/>
        <w:rPr>
          <w:rFonts w:ascii="Times New Roman" w:hAnsi="Times New Roman" w:cs="Times New Roman"/>
          <w:noProof/>
          <w:sz w:val="24"/>
          <w:szCs w:val="24"/>
        </w:rPr>
      </w:pPr>
      <w:r>
        <w:rPr>
          <w:rFonts w:ascii="Times New Roman" w:hAnsi="Times New Roman"/>
          <w:noProof/>
          <w:sz w:val="24"/>
        </w:rPr>
        <w:t>A tagállamok nagy többsége megfelelt ennek a rendelkezésnek. Néhány olyan tagállamban azonban megfeleléssel kapcsolatos problémák merültek fel, ahol a tolmácsolásról és fordításról szóló tájékoztatáshoz való jog nincs egyértelműen szabályozva. Két tagállamban a nemzeti jogszabályok nem rendelkeznek a fordításhoz és az arra vonatkozó tájékoztatáshoz való jogról.</w:t>
      </w:r>
    </w:p>
    <w:p>
      <w:pPr>
        <w:pStyle w:val="Heading4"/>
        <w:jc w:val="both"/>
        <w:rPr>
          <w:noProof/>
        </w:rPr>
      </w:pPr>
      <w:r>
        <w:rPr>
          <w:noProof/>
        </w:rPr>
        <w:t>A hallgatáshoz való jogról szóló tájékoztatás – 3. cikk (1) bekezdés e) pont</w:t>
      </w:r>
    </w:p>
    <w:p>
      <w:pPr>
        <w:jc w:val="both"/>
        <w:rPr>
          <w:rFonts w:ascii="Times New Roman" w:hAnsi="Times New Roman" w:cs="Times New Roman"/>
          <w:noProof/>
          <w:sz w:val="24"/>
          <w:szCs w:val="24"/>
        </w:rPr>
      </w:pPr>
      <w:r>
        <w:rPr>
          <w:rFonts w:ascii="Times New Roman" w:hAnsi="Times New Roman"/>
          <w:noProof/>
          <w:sz w:val="24"/>
        </w:rPr>
        <w:t>Egy kivételével valamennyi tagállam megfelelően ültette át ezt a rendelkezést. Számos tagállam részletesebb módon ültette át ezt a rendelkezést, például kiegészítette azzal, hogy a hallgatáshoz való jog magában foglalja a váddal kapcsolatos észrevételekhez való jogot; a nyilatkozattételhez való jogot vagy a kérdések megválaszolásához való jogot, valamint ezek megtagadását.</w:t>
      </w:r>
    </w:p>
    <w:p>
      <w:pPr>
        <w:pStyle w:val="Heading3"/>
        <w:jc w:val="both"/>
        <w:rPr>
          <w:noProof/>
        </w:rPr>
      </w:pPr>
      <w:r>
        <w:rPr>
          <w:noProof/>
        </w:rPr>
        <w:t>Az „egyszerű és közérthető nyelven” történő tájékoztatás, valamint a kiszolgáltatott személyek speciális igényeinek figyelembe vétele – 3. cikk (2) bekezdés</w:t>
      </w:r>
    </w:p>
    <w:p>
      <w:pPr>
        <w:jc w:val="both"/>
        <w:rPr>
          <w:rFonts w:ascii="Times New Roman" w:hAnsi="Times New Roman" w:cs="Times New Roman"/>
          <w:noProof/>
          <w:sz w:val="24"/>
          <w:szCs w:val="24"/>
        </w:rPr>
      </w:pPr>
      <w:r>
        <w:rPr>
          <w:rFonts w:ascii="Times New Roman" w:hAnsi="Times New Roman"/>
          <w:noProof/>
          <w:sz w:val="24"/>
        </w:rPr>
        <w:t>A tagállamok többsége átültette a nemzeti jogába ezt a rendelkezést, a megközelítések azonban eltérőek. Egyes tagállamok általánosan utalnak a kiszolgáltatott személyekre, anélkül, hogy megemlítenék a pontos kategóriákat vagy meghatároznák a kiszolgáltatottság fogalmát</w:t>
      </w:r>
      <w:r>
        <w:rPr>
          <w:rStyle w:val="FootnoteReference"/>
          <w:rFonts w:ascii="Times New Roman" w:hAnsi="Times New Roman"/>
          <w:noProof/>
          <w:sz w:val="24"/>
        </w:rPr>
        <w:footnoteReference w:id="14"/>
      </w:r>
      <w:r>
        <w:rPr>
          <w:rFonts w:ascii="Times New Roman" w:hAnsi="Times New Roman"/>
          <w:noProof/>
          <w:sz w:val="24"/>
        </w:rPr>
        <w:t>. Számos más tagállam megemlíti a kiszolgáltatott személyek pontos kategóriáit, például az alábbiak szerint:</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hallássérült és beszédhibás személyek,</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látássérült személyek,</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szellemi fogyatékossággal élő személyek,</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tanulási nehézségekkel küzdő személyek,</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mentális betegséggel küzdő személyek,</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75 év feletti személyek,</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a várandós nők,</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kiskorú gyermekeket nevelő egyedülálló szülők, valamint</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azon személyek, akik kínzás, nemi erőszak vagy a pszichikai, fizikai, illetve szexuális erőszak valamely más súlyos formájának áldozatai voltak.</w:t>
      </w:r>
    </w:p>
    <w:p>
      <w:pPr>
        <w:jc w:val="both"/>
        <w:rPr>
          <w:rFonts w:ascii="Times New Roman" w:hAnsi="Times New Roman" w:cs="Times New Roman"/>
          <w:noProof/>
          <w:sz w:val="24"/>
          <w:szCs w:val="24"/>
        </w:rPr>
      </w:pPr>
      <w:r>
        <w:rPr>
          <w:rFonts w:ascii="Times New Roman" w:hAnsi="Times New Roman"/>
          <w:noProof/>
          <w:sz w:val="24"/>
        </w:rPr>
        <w:t>Egyes tagállamok azonban nem biztosítanak speciális bánásmódot a kiszolgáltatott személyek számára, ami nem teljesen áll összhangban az irányelvvel. Az egyik tagállamban a kiszolgáltatott személyek igényeit csak akkor kell figyelembe venni, ha az adott személyt őrizetbe veszik. Néhány joghatóságban nincs egyértelműen szabályozva, ki és mikor élvez védelmet.</w:t>
      </w:r>
    </w:p>
    <w:p>
      <w:pPr>
        <w:jc w:val="both"/>
        <w:rPr>
          <w:rFonts w:ascii="Times New Roman" w:hAnsi="Times New Roman" w:cs="Times New Roman"/>
          <w:noProof/>
          <w:sz w:val="24"/>
          <w:szCs w:val="24"/>
        </w:rPr>
      </w:pPr>
      <w:r>
        <w:rPr>
          <w:rFonts w:ascii="Times New Roman" w:hAnsi="Times New Roman"/>
          <w:noProof/>
          <w:sz w:val="24"/>
        </w:rPr>
        <w:t>Tizenegy tagállam kifejezetten átültette a nemzeti jogába a jogokra vonatkozó, „egyszerű és közérthető nyelven” nyújtandó tájékoztatásra irányuló kötelezettséget. Tizennégy tagállam azonban nem felel meg annak a követelménynek, amely szerint a személyek számára érthető nyelven kell tájékoztatást nyújtani, vagy nem jelenti ki, hogy a tájékoztatást „egyszerű és közérthető nyelven” kell nyújtani.</w:t>
      </w:r>
    </w:p>
    <w:p>
      <w:pPr>
        <w:pStyle w:val="Heading2"/>
        <w:jc w:val="both"/>
        <w:rPr>
          <w:noProof/>
        </w:rPr>
      </w:pPr>
      <w:r>
        <w:rPr>
          <w:noProof/>
        </w:rPr>
        <w:t>A jogokról szóló írásbeli tájékoztató az őrizetbe vételkor (4. cikk)</w:t>
      </w:r>
    </w:p>
    <w:p>
      <w:pPr>
        <w:jc w:val="both"/>
        <w:rPr>
          <w:rFonts w:ascii="Times New Roman" w:hAnsi="Times New Roman" w:cs="Times New Roman"/>
          <w:noProof/>
          <w:sz w:val="24"/>
          <w:szCs w:val="24"/>
        </w:rPr>
      </w:pPr>
      <w:r>
        <w:rPr>
          <w:rFonts w:ascii="Times New Roman" w:hAnsi="Times New Roman"/>
          <w:noProof/>
          <w:sz w:val="24"/>
        </w:rPr>
        <w:t>Az irányelv 4. cikke arra kötelezi a tagállamokat, hogy a szabadságuktól megfosztott személyek haladéktalanul kézhez kapják az irányelvben felsorolt további kifejezett jogokra vonatkozó tájékoztatást tartalmazó, jogokról szóló írásbeli tájékoztatót. Az irányelv melléklete tartalmazza a mintatájékoztatókat (I) az őrizetbe vett vagy fogva tartott gyanúsítottak és vádlottak, valamint (II) az európai elfogatóparancs alapján őrizetbe vettek részére.</w:t>
      </w:r>
    </w:p>
    <w:p>
      <w:pPr>
        <w:pStyle w:val="Heading3"/>
        <w:jc w:val="both"/>
        <w:rPr>
          <w:noProof/>
        </w:rPr>
      </w:pPr>
      <w:r>
        <w:rPr>
          <w:noProof/>
        </w:rPr>
        <w:t>A jogokról szóló írásbeli tájékoztató biztosítása – 4. cikk (1) bekezdés</w:t>
      </w:r>
    </w:p>
    <w:p>
      <w:pPr>
        <w:jc w:val="both"/>
        <w:rPr>
          <w:rFonts w:ascii="Times New Roman" w:hAnsi="Times New Roman" w:cs="Times New Roman"/>
          <w:noProof/>
          <w:sz w:val="24"/>
          <w:szCs w:val="24"/>
        </w:rPr>
      </w:pPr>
      <w:r>
        <w:rPr>
          <w:rFonts w:ascii="Times New Roman" w:hAnsi="Times New Roman"/>
          <w:noProof/>
          <w:sz w:val="24"/>
        </w:rPr>
        <w:t>Az irányelv 4. cikkének (1) bekezdése szerint a tagállamoknak biztosítaniuk kell, hogy az őrizetbe vett vagy fogva tartott gyanúsítottak és vádlottak haladéktalanul kézhez kapják a jogokról szóló írásbeli tájékoztatót. Lehetőséget kell nekik adni a jogokról szóló írásbeli tájékoztató elolvasására, és meg kell nekik engedni, hogy azt a szabadságelvonásuk ideje alatt a birtokukban tarthassák.</w:t>
      </w:r>
    </w:p>
    <w:p>
      <w:pPr>
        <w:jc w:val="both"/>
        <w:rPr>
          <w:rFonts w:ascii="Times New Roman" w:hAnsi="Times New Roman" w:cs="Times New Roman"/>
          <w:noProof/>
          <w:sz w:val="24"/>
          <w:szCs w:val="24"/>
        </w:rPr>
      </w:pPr>
      <w:r>
        <w:rPr>
          <w:rFonts w:ascii="Times New Roman" w:hAnsi="Times New Roman"/>
          <w:noProof/>
          <w:sz w:val="24"/>
        </w:rPr>
        <w:t>Majdnem az összes tagállam rendelkezik a jogokról szóló írásbeli tájékoztatót előíró nemzeti szabályokkal. Míg egyes tagállamok kifejezetten a jogokról szóló írásbeli tájékoztatóra hivatkoznak, mások eltérő terminológiát alkalmaznak, például a „nyilatkozat”, az „írásos tájékoztató, értesítés vagy közlemény” vagy a „tájékoztató kiadvány” kifejezéseket. Mindazonáltal az eltérő terminológia ellenére a vonatkozó nemzeti jogszabályokban hivatkozott valamennyi dokumentum betölti az irányelv szerinti, jogokról szóló írásbeli tájékoztató szerepét.</w:t>
      </w:r>
    </w:p>
    <w:p>
      <w:pPr>
        <w:jc w:val="both"/>
        <w:rPr>
          <w:rFonts w:ascii="Times New Roman" w:hAnsi="Times New Roman" w:cs="Times New Roman"/>
          <w:noProof/>
          <w:sz w:val="24"/>
          <w:szCs w:val="24"/>
        </w:rPr>
      </w:pPr>
      <w:r>
        <w:rPr>
          <w:rFonts w:ascii="Times New Roman" w:hAnsi="Times New Roman"/>
          <w:noProof/>
          <w:sz w:val="24"/>
        </w:rPr>
        <w:t>Az egyik tagállam joga nem írja elő önmagában a jogokról szóló írásbeli tájékoztatót. Annak ellenére, hogy hivatkozik a jogokról szóló írásbeli nyilatkozatra, annak célja nem kizárólag a tájékoztatás. A nyilatkozatot akkor kapja meg a személy, amikor hivatalosan vád alá helyezik, és megkapja a vádiratot, valamint az aláírandó kihallgatási jegyzőkönyvet. Ez a dokumentum megemlíti a vádolt személy egyes jogait, azonban nem felel az irányelvben előírt listának.</w:t>
      </w:r>
    </w:p>
    <w:p>
      <w:pPr>
        <w:jc w:val="both"/>
        <w:rPr>
          <w:rFonts w:ascii="Times New Roman" w:hAnsi="Times New Roman" w:cs="Times New Roman"/>
          <w:noProof/>
          <w:sz w:val="24"/>
          <w:szCs w:val="24"/>
        </w:rPr>
      </w:pPr>
      <w:r>
        <w:rPr>
          <w:rFonts w:ascii="Times New Roman" w:hAnsi="Times New Roman"/>
          <w:noProof/>
          <w:sz w:val="24"/>
        </w:rPr>
        <w:t>Egy másik tagállam szintén nem rendelkezik jogokról szóló egységes írásbeli tájékoztatóval. A bíróságok és a rendőrség különböző mintákat használnak, és nem világos, hogy a különböző minták mind tartalmazzák-e az irányelvben előírt jogokat. Nem biztosított továbbá, hogy az adott személy megtarthassa a tájékoztatót.</w:t>
      </w:r>
    </w:p>
    <w:p>
      <w:pPr>
        <w:jc w:val="both"/>
        <w:rPr>
          <w:rFonts w:ascii="Times New Roman" w:hAnsi="Times New Roman" w:cs="Times New Roman"/>
          <w:noProof/>
          <w:sz w:val="24"/>
          <w:szCs w:val="24"/>
        </w:rPr>
      </w:pPr>
      <w:r>
        <w:rPr>
          <w:rFonts w:ascii="Times New Roman" w:hAnsi="Times New Roman"/>
          <w:noProof/>
          <w:sz w:val="24"/>
        </w:rPr>
        <w:t>A legtöbb tagállam átültette a jogokról szóló írásbeli tájékoztató „haladéktalan” átültetésére vonatkozó követelményt, azonban ezt a nemzeti jogszabályaikban különböző módokon fogalmazták meg. Néhány tagállam nemzeti jogszabályai azonban nem írják elő, hogy a tájékoztatót mikor kell rendelkezésre bocsátani, vagy lehetővé teszik, hogy az adott hatóság kötelezettsége az eljárások típusától függően eltérő legyen.</w:t>
      </w:r>
    </w:p>
    <w:p>
      <w:pPr>
        <w:jc w:val="both"/>
        <w:rPr>
          <w:rFonts w:ascii="Times New Roman" w:hAnsi="Times New Roman" w:cs="Times New Roman"/>
          <w:noProof/>
          <w:sz w:val="24"/>
          <w:szCs w:val="24"/>
        </w:rPr>
      </w:pPr>
      <w:r>
        <w:rPr>
          <w:rFonts w:ascii="Times New Roman" w:hAnsi="Times New Roman"/>
          <w:noProof/>
          <w:sz w:val="24"/>
        </w:rPr>
        <w:t>Nem mindegyik tagállam ültette át kifejezetten azt a kötelezettséget, amely szerint biztosítani kell a gyanúsítottak és a vádlottak számára, hogy elolvassák és birtokukban tarthassák a jogokról szóló írásbeli tájékoztatót. Az egyik tagállam továbbá lehetővé teszi az írásbeli tájékoztatásra irányuló kötelezettségtől való eltérést (még későbbi szakaszban is) olyan esetekben, ahol az írásbeli tájékoztatás ésszerű módon nem adható meg, és a szóbeli tájékoztatás elegendőnek minősül.</w:t>
      </w:r>
    </w:p>
    <w:p>
      <w:pPr>
        <w:pStyle w:val="Heading3"/>
        <w:jc w:val="both"/>
        <w:rPr>
          <w:noProof/>
        </w:rPr>
      </w:pPr>
      <w:r>
        <w:rPr>
          <w:noProof/>
        </w:rPr>
        <w:t>A jogokról szóló írásbeli tájékoztató tartalma – 4. cikk (2) bekezdés</w:t>
      </w:r>
    </w:p>
    <w:p>
      <w:pPr>
        <w:jc w:val="both"/>
        <w:rPr>
          <w:rFonts w:ascii="Times New Roman" w:hAnsi="Times New Roman" w:cs="Times New Roman"/>
          <w:noProof/>
          <w:sz w:val="24"/>
          <w:szCs w:val="24"/>
        </w:rPr>
      </w:pPr>
      <w:r>
        <w:rPr>
          <w:rFonts w:ascii="Times New Roman" w:hAnsi="Times New Roman"/>
          <w:noProof/>
          <w:sz w:val="24"/>
        </w:rPr>
        <w:t>Az irányelv 4. cikkének (2) bekezdése meghatározza, hogy a jogokról szóló írásbeli tájékoztatónak az irányelv 3. cikkében meghatározott tájékoztatáson túlmenően a nemzeti jog szerint alkalmazandó mely jogokat kell tartalmaznia, nevezetesen az alábbiakat:</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az ügy anyagaiba való betekintés joga;</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a konzuli hatóságok és egy személy értesítéséhez való jog;</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sürgősségi orvosi ellátáshoz való jog; valamint</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a gyanúsítottak, illetve a vádlottak legfeljebb hány óráig vagy napig lehetnek megfosztva szabadságuktól, mielőtt igazságügyi hatóság elé állítják őket.</w:t>
      </w:r>
    </w:p>
    <w:p>
      <w:pPr>
        <w:pStyle w:val="Heading4"/>
        <w:jc w:val="both"/>
        <w:rPr>
          <w:noProof/>
        </w:rPr>
      </w:pPr>
      <w:r>
        <w:rPr>
          <w:noProof/>
        </w:rPr>
        <w:t>Az ügy anyagaiba való betekintés jogáról való tájékoztatás – 4. cikk (2) bekezdés a) pont</w:t>
      </w:r>
    </w:p>
    <w:p>
      <w:pPr>
        <w:jc w:val="both"/>
        <w:rPr>
          <w:rFonts w:ascii="Times New Roman" w:hAnsi="Times New Roman" w:cs="Times New Roman"/>
          <w:noProof/>
          <w:sz w:val="24"/>
          <w:szCs w:val="24"/>
        </w:rPr>
      </w:pPr>
      <w:r>
        <w:rPr>
          <w:rFonts w:ascii="Times New Roman" w:hAnsi="Times New Roman"/>
          <w:noProof/>
          <w:sz w:val="24"/>
        </w:rPr>
        <w:t>A tagállamok többsége megfelelően átültette ezt a rendelkezést. Egyes tagállamok általánosan utalnak az ügy anyagaiba való betekintés jogára, például az ügy aktájának megtekintéséhez vagy megvizsgálásához való jogra, a bizonyítékokba, a bírósági dokumentációba, a büntetőügy dokumentumaiba vagy a bűnügyi nyomozás során gyűjtött információkba való betekintés jogára.</w:t>
      </w:r>
    </w:p>
    <w:p>
      <w:pPr>
        <w:jc w:val="both"/>
        <w:rPr>
          <w:rFonts w:ascii="Times New Roman" w:hAnsi="Times New Roman" w:cs="Times New Roman"/>
          <w:noProof/>
          <w:sz w:val="24"/>
          <w:szCs w:val="24"/>
        </w:rPr>
      </w:pPr>
      <w:r>
        <w:rPr>
          <w:rFonts w:ascii="Times New Roman" w:hAnsi="Times New Roman"/>
          <w:noProof/>
          <w:sz w:val="24"/>
        </w:rPr>
        <w:t>Nyolc tagállamban azonban bizonyos problémák merültek fel. Az a tagállam, amely nem rendelkezik jogokról szóló írásbeli tájékoztatóval (</w:t>
      </w:r>
      <w:r>
        <w:rPr>
          <w:rFonts w:ascii="Times New Roman" w:hAnsi="Times New Roman"/>
          <w:i/>
          <w:noProof/>
          <w:sz w:val="24"/>
        </w:rPr>
        <w:t>lásd a 3.4.1. szakaszt</w:t>
      </w:r>
      <w:r>
        <w:rPr>
          <w:rFonts w:ascii="Times New Roman" w:hAnsi="Times New Roman"/>
          <w:noProof/>
          <w:sz w:val="24"/>
        </w:rPr>
        <w:t>), nem rendelkezik az ügy anyagaiba való betekintés jogára hivatkozó szabályokkal sem. Négy tagállam az ügy anyagaiba való betekintésre vonatkozó általános tájékoztatás helyett a letartóztatással és fogva tartással kapcsolatos alapvető dokumentumokba való betekintésről rendelkezik. Végezetül az egyik tagállamban nem egyértelmű, hogy bizonyos büntetőeljárás-típusok esetén az ügy anyagaiba való betekintés jogára vonatkozó tájékoztatás szerepel-e a jogokról szóló írásbeli tájékoztatóban.</w:t>
      </w:r>
    </w:p>
    <w:p>
      <w:pPr>
        <w:pStyle w:val="Heading4"/>
        <w:jc w:val="both"/>
        <w:rPr>
          <w:noProof/>
        </w:rPr>
      </w:pPr>
      <w:r>
        <w:rPr>
          <w:noProof/>
        </w:rPr>
        <w:t>A konzuli hatóságok és egy személy értesítéséhez való jogról szóló tájékoztatás – 4. cikk (2) bekezdés b) pont</w:t>
      </w:r>
    </w:p>
    <w:p>
      <w:pPr>
        <w:jc w:val="both"/>
        <w:rPr>
          <w:rFonts w:ascii="Times New Roman" w:hAnsi="Times New Roman" w:cs="Times New Roman"/>
          <w:noProof/>
          <w:sz w:val="24"/>
          <w:szCs w:val="24"/>
        </w:rPr>
      </w:pPr>
      <w:r>
        <w:rPr>
          <w:rFonts w:ascii="Times New Roman" w:hAnsi="Times New Roman"/>
          <w:noProof/>
          <w:sz w:val="24"/>
        </w:rPr>
        <w:t>Ezt a rendelkezést a tagállamok jelentős többsége megfelelően átültette. Néhány tagállamban felmerültek az irányelvnek való megfeleléssel kapcsolatos problémák, például a kizárólag a családtagokra korlátozott kapcsolattartás, vagy a hozzátartozókkal, oktatási intézményekkel vagy munkáltatókkal való kapcsolattartásra vonatkozó korlátozások miatt. Az egyik tagállamban a konzuli hatóságokkal való kapcsolatfelvétel joga nem szerepel a jogokról szóló írásbeli tájékoztatóban.</w:t>
      </w:r>
    </w:p>
    <w:p>
      <w:pPr>
        <w:pStyle w:val="Heading4"/>
        <w:jc w:val="both"/>
        <w:rPr>
          <w:noProof/>
        </w:rPr>
      </w:pPr>
      <w:r>
        <w:rPr>
          <w:noProof/>
        </w:rPr>
        <w:t>A sürgősségi orvosi ellátáshoz való jogról szóló tájékoztatás – 4. cikk (2) bekezdés c) pont</w:t>
      </w:r>
    </w:p>
    <w:p>
      <w:pPr>
        <w:jc w:val="both"/>
        <w:rPr>
          <w:rFonts w:ascii="Times New Roman" w:hAnsi="Times New Roman" w:cs="Times New Roman"/>
          <w:noProof/>
          <w:sz w:val="24"/>
          <w:szCs w:val="24"/>
        </w:rPr>
      </w:pPr>
      <w:r>
        <w:rPr>
          <w:rFonts w:ascii="Times New Roman" w:hAnsi="Times New Roman"/>
          <w:noProof/>
          <w:sz w:val="24"/>
        </w:rPr>
        <w:t>E rendelkezést (egy kivételével) szinte minden tagállam átültette. Az egyik tagállam előírja az orvosi ellátáshoz való jogot, azonban magában a jogokról szóló tájékoztatóban nem említi.</w:t>
      </w:r>
    </w:p>
    <w:p>
      <w:pPr>
        <w:pStyle w:val="Heading4"/>
        <w:jc w:val="both"/>
        <w:rPr>
          <w:noProof/>
        </w:rPr>
      </w:pPr>
      <w:r>
        <w:rPr>
          <w:noProof/>
        </w:rPr>
        <w:t>Az arra vonatkozó tájékoztatás, hogy a gyanúsítottak, illetve a vádlottak legfeljebb hány óráig vagy napig lehetnek megfosztva szabadságuktól, mielőtt igazságügyi hatóság elé állítják őket – 4. cikk (2) bekezdés d) pont</w:t>
      </w:r>
    </w:p>
    <w:p>
      <w:pPr>
        <w:jc w:val="both"/>
        <w:rPr>
          <w:rFonts w:ascii="Times New Roman" w:hAnsi="Times New Roman" w:cs="Times New Roman"/>
          <w:noProof/>
          <w:sz w:val="24"/>
          <w:szCs w:val="24"/>
        </w:rPr>
      </w:pPr>
      <w:r>
        <w:rPr>
          <w:rFonts w:ascii="Times New Roman" w:hAnsi="Times New Roman"/>
          <w:noProof/>
          <w:sz w:val="24"/>
        </w:rPr>
        <w:t>A tagállamok jelentős többsége megfelelően átültette ezt a rendelkezést. Az egyes tagállamok nemzeti jogszabályai azonban némileg eltérnek, mivel az irányelv nem határozza meg, hogy az adott személy legfeljebb mennyi ideig lehet megfosztva a szabadságától, mielőtt igazságügyi hatóság elé állítják őt.</w:t>
      </w:r>
    </w:p>
    <w:p>
      <w:pPr>
        <w:jc w:val="both"/>
        <w:rPr>
          <w:rFonts w:ascii="Times New Roman" w:hAnsi="Times New Roman" w:cs="Times New Roman"/>
          <w:noProof/>
          <w:sz w:val="24"/>
          <w:szCs w:val="24"/>
        </w:rPr>
      </w:pPr>
      <w:r>
        <w:rPr>
          <w:rFonts w:ascii="Times New Roman" w:hAnsi="Times New Roman"/>
          <w:noProof/>
          <w:sz w:val="24"/>
        </w:rPr>
        <w:t>A tájékoztatás hiánya miatt öt tagállamban merültek fel problémák a jogokról szóló nemzeti írásbeli tájékoztatóban szereplő határidőkkel kapcsolatban. Az egyik tagállamban a fogvatartottak számára nyújtandó, jogokról szóló írásbeli tájékoztató releváns információkat tartalmaz, míg a letartóztatott személyek számára nyújtandó, jogokról szóló írásbeli tájékoztató nem tartalmaz semmilyen hivatkozást a maximális időszakkal kapcsolatban.</w:t>
      </w:r>
    </w:p>
    <w:p>
      <w:pPr>
        <w:pStyle w:val="Heading3"/>
        <w:jc w:val="both"/>
        <w:rPr>
          <w:noProof/>
        </w:rPr>
      </w:pPr>
      <w:r>
        <w:rPr>
          <w:noProof/>
        </w:rPr>
        <w:t>Alapvető tájékoztatás az őrizetbe vétel vagy fogva tartás felülvizsgálatáról, továbbá ideiglenes szabadlábra helyezés kérelmezéséről – 4. cikk (3) bekezdés</w:t>
      </w:r>
    </w:p>
    <w:p>
      <w:pPr>
        <w:jc w:val="both"/>
        <w:rPr>
          <w:rFonts w:ascii="Times New Roman" w:hAnsi="Times New Roman" w:cs="Times New Roman"/>
          <w:noProof/>
          <w:sz w:val="24"/>
          <w:szCs w:val="24"/>
        </w:rPr>
      </w:pPr>
      <w:r>
        <w:rPr>
          <w:rFonts w:ascii="Times New Roman" w:hAnsi="Times New Roman"/>
          <w:noProof/>
          <w:sz w:val="24"/>
        </w:rPr>
        <w:t>Az irányelv 4. cikkének (3) bekezdésével összhangban a jogokról szóló írásbeli tájékoztatónak tájékoztatást kell nyújtania az őrizetbe vétel elleni panasztételnek, a fogva tartás felülvizsgálata kezdeményezésének, illetve ideiglenes szabadlábra helyezés kérelmezésének a nemzeti jog által biztosított lehetőségeiről.</w:t>
      </w:r>
    </w:p>
    <w:p>
      <w:pPr>
        <w:jc w:val="both"/>
        <w:rPr>
          <w:rFonts w:ascii="Times New Roman" w:hAnsi="Times New Roman" w:cs="Times New Roman"/>
          <w:noProof/>
          <w:sz w:val="24"/>
          <w:szCs w:val="24"/>
        </w:rPr>
      </w:pPr>
      <w:r>
        <w:rPr>
          <w:rFonts w:ascii="Times New Roman" w:hAnsi="Times New Roman"/>
          <w:noProof/>
          <w:sz w:val="24"/>
        </w:rPr>
        <w:t>A tagállamok többsége megfelelően átültette a rendelkezést. Öt tagállamban azonban a nemzeti jogszabályok nem biztosítják, hogy a jogokról szóló írásbeli tájékoztatók tartalmazzák az őrizetbe vétel elleni panasztétel, a fogva tartás felülvizsgálata kezdeményezésének, illetve az ideiglenes szabadlábra helyezés kérelmezésének lehetőségére vonatkozó információt. Egy tagállamban, amelyben nem létezik a jogokról szóló megfelelő írásbeli tájékoztató (</w:t>
      </w:r>
      <w:r>
        <w:rPr>
          <w:rFonts w:ascii="Times New Roman" w:hAnsi="Times New Roman"/>
          <w:i/>
          <w:noProof/>
          <w:sz w:val="24"/>
        </w:rPr>
        <w:t>lásd a 3.4.1. szakaszt</w:t>
      </w:r>
      <w:r>
        <w:rPr>
          <w:rFonts w:ascii="Times New Roman" w:hAnsi="Times New Roman"/>
          <w:noProof/>
          <w:sz w:val="24"/>
        </w:rPr>
        <w:t>), ezt az információt nem bocsátják a gyanúsított vagy a vádlott rendelkezésére.</w:t>
      </w:r>
    </w:p>
    <w:p>
      <w:pPr>
        <w:pStyle w:val="Heading3"/>
        <w:jc w:val="both"/>
        <w:rPr>
          <w:noProof/>
        </w:rPr>
      </w:pPr>
      <w:r>
        <w:rPr>
          <w:noProof/>
        </w:rPr>
        <w:t>A jogokról szóló írásbeli tájékoztató megfogalmazása – tájékoztató jellegű minta – 4. cikk (4) bekezdés</w:t>
      </w:r>
    </w:p>
    <w:p>
      <w:pPr>
        <w:jc w:val="both"/>
        <w:rPr>
          <w:rFonts w:ascii="Times New Roman" w:hAnsi="Times New Roman" w:cs="Times New Roman"/>
          <w:noProof/>
          <w:sz w:val="24"/>
          <w:szCs w:val="24"/>
        </w:rPr>
      </w:pPr>
      <w:r>
        <w:rPr>
          <w:rFonts w:ascii="Times New Roman" w:hAnsi="Times New Roman"/>
          <w:noProof/>
          <w:sz w:val="24"/>
        </w:rPr>
        <w:t>Az irányelv 4. cikkének (4) bekezdése kimondja, hogy a jogokról szóló írásbeli tájékoztatót egyszerű és közérthető nyelven kell megfogalmazni. A jogokról szóló írásbeli tájékoztató tájékoztató jellegű mintáját az I. melléklet tartalmazza.</w:t>
      </w:r>
    </w:p>
    <w:p>
      <w:pPr>
        <w:jc w:val="both"/>
        <w:rPr>
          <w:rFonts w:ascii="Times New Roman" w:hAnsi="Times New Roman" w:cs="Times New Roman"/>
          <w:noProof/>
          <w:sz w:val="24"/>
          <w:szCs w:val="24"/>
        </w:rPr>
      </w:pPr>
      <w:r>
        <w:rPr>
          <w:rFonts w:ascii="Times New Roman" w:hAnsi="Times New Roman"/>
          <w:noProof/>
          <w:sz w:val="24"/>
        </w:rPr>
        <w:t>A legtöbb tagállam rendelkezik arról, hogy a jogokról szóló írásbeli tájékoztatót egyszerű és közérthető nyelven kell megfogalmazni. Tizenkét tagállam kifejezetten előírja ezt a nemzeti jogszabályaiban, nyolc tagállamban pedig a jogokról szóló írásbeli tájékoztató mintájának tényleges tartalmából ez megállapítható.</w:t>
      </w:r>
    </w:p>
    <w:p>
      <w:pPr>
        <w:jc w:val="both"/>
        <w:rPr>
          <w:rFonts w:ascii="Times New Roman" w:hAnsi="Times New Roman" w:cs="Times New Roman"/>
          <w:noProof/>
          <w:sz w:val="24"/>
          <w:szCs w:val="24"/>
        </w:rPr>
      </w:pPr>
      <w:r>
        <w:rPr>
          <w:rFonts w:ascii="Times New Roman" w:hAnsi="Times New Roman"/>
          <w:noProof/>
          <w:sz w:val="24"/>
        </w:rPr>
        <w:t>Öt tagállam nemzeti jogszabályai azonban nem írják elő, hogy az írásbeli tájékoztatót egyszerű és közérthető nyelven kell rendelkezésre bocsátani, és a nemzeti minta hiánya miatt nem lehet megállapítani, hogy ennek a követelménynek eleget tesznek-e ezekben a tagállamokban. Egy tagállamban, amelyben nem létezik a jogokról szóló megfelelő írásbeli tájékoztató (</w:t>
      </w:r>
      <w:r>
        <w:rPr>
          <w:rFonts w:ascii="Times New Roman" w:hAnsi="Times New Roman"/>
          <w:i/>
          <w:noProof/>
          <w:sz w:val="24"/>
        </w:rPr>
        <w:t>lásd a 3.4.1. szakaszt</w:t>
      </w:r>
      <w:r>
        <w:rPr>
          <w:rFonts w:ascii="Times New Roman" w:hAnsi="Times New Roman"/>
          <w:noProof/>
          <w:sz w:val="24"/>
        </w:rPr>
        <w:t>), ezt a rendelkezést nem teljesítik.</w:t>
      </w:r>
    </w:p>
    <w:p>
      <w:pPr>
        <w:pStyle w:val="Heading3"/>
        <w:jc w:val="both"/>
        <w:rPr>
          <w:noProof/>
        </w:rPr>
      </w:pPr>
      <w:r>
        <w:rPr>
          <w:noProof/>
        </w:rPr>
        <w:t>A jogokról szóló írásbeli tájékoztató nyelve – 4. cikk (5) bekezdés</w:t>
      </w:r>
    </w:p>
    <w:p>
      <w:pPr>
        <w:jc w:val="both"/>
        <w:rPr>
          <w:rFonts w:ascii="Times New Roman" w:hAnsi="Times New Roman" w:cs="Times New Roman"/>
          <w:noProof/>
          <w:sz w:val="24"/>
          <w:szCs w:val="24"/>
        </w:rPr>
      </w:pPr>
      <w:r>
        <w:rPr>
          <w:rFonts w:ascii="Times New Roman" w:hAnsi="Times New Roman"/>
          <w:noProof/>
          <w:sz w:val="24"/>
        </w:rPr>
        <w:t>Az irányelv 4. cikkének (5) bekezdése kötelezi a tagállamokat annak biztosítására, hogy a gyanúsítottak és a vádlottak a jogokról szóló írásbeli tájékoztatót az általuk értett nyelven kapják meg. Ha a jogokról szóló írásbeli tájékoztató a megfelelő nyelven nem áll rendelkezésre, a gyanúsítottakat és a vádlottakat az általuk értett nyelven szóban tájékoztatják a jogaikról. Ezt követően részükre indokolatlan késedelem nélkül kell átadni az általuk értett nyelven készült jogokról szóló írásbeli tájékoztatót.</w:t>
      </w:r>
    </w:p>
    <w:p>
      <w:pPr>
        <w:jc w:val="both"/>
        <w:rPr>
          <w:rFonts w:ascii="Times New Roman" w:hAnsi="Times New Roman" w:cs="Times New Roman"/>
          <w:noProof/>
          <w:sz w:val="24"/>
          <w:szCs w:val="24"/>
        </w:rPr>
      </w:pPr>
      <w:r>
        <w:rPr>
          <w:rFonts w:ascii="Times New Roman" w:hAnsi="Times New Roman"/>
          <w:noProof/>
          <w:sz w:val="24"/>
        </w:rPr>
        <w:t>Tizenhárom tagállam megfelelően átültette a rendelkezést. Három tagállam nem ültette át a rendelkezést. Néhány tagállam nem ültette át teljes mértékben ezt a cikket, például mert nem írja elő, hogy a szóbeli tájékoztatást olyan nyelven kell nyújtani a gyanúsítottak és vádlottak részére, amelyet értenek, ha a jogokról szóló írásbeli tájékoztató nem elérhető a megfelelő nyelven, és hogy azt a jogokról szóló írásbeli tájékoztató lefordításának kell követnie. Egyes tagállamok továbbá nem teszik kötelezővé a jogokról szóló írásbeli tájékoztató „indokolatlan késedelem nélküli” lefordítását. Végezetül az egyik tagállamban a tájékoztatást csak akkor kell szóban nyújtani, ha az adott személy nem tud olvasni vagy írni, és nem akkor, ha a tájékoztató nem érhető el a megfelelő nyelven.</w:t>
      </w:r>
    </w:p>
    <w:p>
      <w:pPr>
        <w:pStyle w:val="Heading2"/>
        <w:jc w:val="both"/>
        <w:rPr>
          <w:noProof/>
        </w:rPr>
      </w:pPr>
      <w:r>
        <w:rPr>
          <w:noProof/>
        </w:rPr>
        <w:t>A jogokról szóló írásbeli tájékoztató az európai elfogatóparancshoz kapcsolódó eljárásokban (5. cikk)</w:t>
      </w:r>
    </w:p>
    <w:p>
      <w:pPr>
        <w:jc w:val="both"/>
        <w:rPr>
          <w:rFonts w:ascii="Times New Roman" w:hAnsi="Times New Roman" w:cs="Times New Roman"/>
          <w:noProof/>
          <w:sz w:val="24"/>
          <w:szCs w:val="24"/>
        </w:rPr>
      </w:pPr>
      <w:r>
        <w:rPr>
          <w:rFonts w:ascii="Times New Roman" w:hAnsi="Times New Roman"/>
          <w:noProof/>
          <w:sz w:val="24"/>
        </w:rPr>
        <w:t>Az irányelv 5. cikkével összhangban biztosítani kell az európai elfogatóparancs végrehajtása céljából őrizetbe vett személyek számára, hogy kézhez kapják a jogokról szóló megfelelő írásbeli tájékoztatót, amely tartalmazza a 2002/584/IB kerethatározatot</w:t>
      </w:r>
      <w:r>
        <w:rPr>
          <w:rStyle w:val="FootnoteReference"/>
          <w:rFonts w:ascii="Times New Roman" w:hAnsi="Times New Roman"/>
          <w:noProof/>
          <w:sz w:val="24"/>
        </w:rPr>
        <w:footnoteReference w:id="15"/>
      </w:r>
      <w:r>
        <w:rPr>
          <w:rFonts w:ascii="Times New Roman" w:hAnsi="Times New Roman"/>
          <w:noProof/>
          <w:sz w:val="24"/>
        </w:rPr>
        <w:t xml:space="preserve"> az alkalmazó tagállamban végrehajtó jogszabály szerint őket megillető jogokat. Az (1) bekezdés előírja, hogy a tájékoztatást haladéktanul biztosítani kell, a (2) bekezdés pedig kijelenti, hogy a jogokról szóló írásbeli nyilatkozatot egyszerű és közérthető nyelven kell megfogalmazni, és a II. mellékletben található tájékoztatómintára hivatkozik.</w:t>
      </w:r>
    </w:p>
    <w:p>
      <w:pPr>
        <w:pStyle w:val="Heading3"/>
        <w:jc w:val="both"/>
        <w:rPr>
          <w:noProof/>
        </w:rPr>
      </w:pPr>
      <w:r>
        <w:rPr>
          <w:noProof/>
        </w:rPr>
        <w:t>A jogokról szóló írásbeli tájékoztató biztosítása az európai elfogatóparancshoz kapcsolódó eljárásokban – 5. cikk (1) bekezdés</w:t>
      </w:r>
    </w:p>
    <w:p>
      <w:pPr>
        <w:jc w:val="both"/>
        <w:rPr>
          <w:rFonts w:ascii="Times New Roman" w:hAnsi="Times New Roman" w:cs="Times New Roman"/>
          <w:noProof/>
          <w:sz w:val="24"/>
          <w:szCs w:val="24"/>
        </w:rPr>
      </w:pPr>
      <w:r>
        <w:rPr>
          <w:rFonts w:ascii="Times New Roman" w:hAnsi="Times New Roman"/>
          <w:noProof/>
          <w:sz w:val="24"/>
        </w:rPr>
        <w:t>A tagállamok többsége megfelelően átültette ezt a rendelkezést. Egyes tagállamok kifejezetten a jogokról szóló írásbeli tájékoztatóra hivatkoznak, mások eltérő terminológiát választottak, például a „nyilatkozat”, az „írásos tájékoztató, értesítés vagy közlemény” vagy a „tájékoztató kiadvány” kifejezéseket.</w:t>
      </w:r>
    </w:p>
    <w:p>
      <w:pPr>
        <w:jc w:val="both"/>
        <w:rPr>
          <w:rFonts w:ascii="Times New Roman" w:hAnsi="Times New Roman" w:cs="Times New Roman"/>
          <w:noProof/>
          <w:sz w:val="24"/>
          <w:szCs w:val="24"/>
        </w:rPr>
      </w:pPr>
      <w:r>
        <w:rPr>
          <w:rFonts w:ascii="Times New Roman" w:hAnsi="Times New Roman"/>
          <w:noProof/>
          <w:sz w:val="24"/>
        </w:rPr>
        <w:t>A „haladéktalan” (bizonyos esetekben „azonnali”, „indokolatlan késedelem nélküli”, az „őrizetbe vétel idején”, „a kézhezvétel idején”, „a lehető leghamarabb” vagy a „lehetőség szerint leghamarabb” biztosítandó) tájékoztatásra vonatkozó követelményt a legtöbb tagállam átültette. Néhány tagállam azonban nem felel meg ennek a követelménynek.</w:t>
      </w:r>
    </w:p>
    <w:p>
      <w:pPr>
        <w:jc w:val="both"/>
        <w:rPr>
          <w:rFonts w:ascii="Times New Roman" w:hAnsi="Times New Roman" w:cs="Times New Roman"/>
          <w:noProof/>
          <w:sz w:val="24"/>
          <w:szCs w:val="24"/>
        </w:rPr>
      </w:pPr>
      <w:r>
        <w:rPr>
          <w:rFonts w:ascii="Times New Roman" w:hAnsi="Times New Roman"/>
          <w:noProof/>
          <w:sz w:val="24"/>
        </w:rPr>
        <w:t>Számos tagállamban nincsenek külön rendelkezések, amelyek az európai elfogatóparancshoz kapcsolódó eljárások alá vont gyanúsítottak és vádlottak jogaira vonatkozó tájékoztatás biztosítására irányuló kötelezettséget szabályozzák. Az „áthidaló rendelkezés” azt jelenti, hogy a büntetőeljárásokban alkalmazandó szabályok az európai elfogatóparancshoz kapcsolódó eljárásokra is vonatkoznak. Ez problémát jelenthet, mivel az irányelv 4. cikke szerinti jogokról szóló írásbeli tájékoztató eltér az 5. cikk szerint előírt tájékoztatótól.</w:t>
      </w:r>
    </w:p>
    <w:p>
      <w:pPr>
        <w:jc w:val="both"/>
        <w:rPr>
          <w:rFonts w:ascii="Times New Roman" w:hAnsi="Times New Roman" w:cs="Times New Roman"/>
          <w:noProof/>
          <w:sz w:val="24"/>
          <w:szCs w:val="24"/>
        </w:rPr>
      </w:pPr>
      <w:r>
        <w:rPr>
          <w:rFonts w:ascii="Times New Roman" w:hAnsi="Times New Roman"/>
          <w:noProof/>
          <w:sz w:val="24"/>
        </w:rPr>
        <w:t>Végezetül az egyik tagállam</w:t>
      </w:r>
      <w:r>
        <w:rPr>
          <w:rStyle w:val="FootnoteReference"/>
          <w:rFonts w:ascii="Times New Roman" w:hAnsi="Times New Roman"/>
          <w:noProof/>
          <w:sz w:val="24"/>
        </w:rPr>
        <w:footnoteReference w:id="16"/>
      </w:r>
      <w:r>
        <w:rPr>
          <w:rFonts w:ascii="Times New Roman" w:hAnsi="Times New Roman"/>
          <w:noProof/>
          <w:sz w:val="24"/>
        </w:rPr>
        <w:t xml:space="preserve"> nem írja elő a jogokról szóló írásbeli tájékoztatót az európai elfogatóparancshoz kapcsolódó eljárások esetén. Két másik tagállamban nem világos, hogy a vonatkozó tájékoztatást írásban nyújtják-e.</w:t>
      </w:r>
    </w:p>
    <w:p>
      <w:pPr>
        <w:pStyle w:val="Heading3"/>
        <w:jc w:val="both"/>
        <w:rPr>
          <w:noProof/>
        </w:rPr>
      </w:pPr>
      <w:r>
        <w:rPr>
          <w:noProof/>
        </w:rPr>
        <w:t>A jogokról szóló írásbeli tájékoztató megfogalmazása – tájékoztató jellegű minta – 5. cikk (2) bekezdés</w:t>
      </w:r>
    </w:p>
    <w:p>
      <w:pPr>
        <w:jc w:val="both"/>
        <w:rPr>
          <w:rFonts w:ascii="Times New Roman" w:hAnsi="Times New Roman" w:cs="Times New Roman"/>
          <w:noProof/>
          <w:sz w:val="24"/>
          <w:szCs w:val="24"/>
        </w:rPr>
      </w:pPr>
      <w:r>
        <w:rPr>
          <w:rFonts w:ascii="Times New Roman" w:hAnsi="Times New Roman"/>
          <w:noProof/>
          <w:sz w:val="24"/>
        </w:rPr>
        <w:t>Az irányelv 5. cikkének (2) bekezdésével összhangban az európai elfogatóparancshoz kapcsolódó eljárásokban a jogokról szóló írásbeli tájékoztatót egyszerű és közérthető nyelven kell megfogalmazni. A jogokról szóló írásbeli tájékoztató tájékoztató jellegű mintáját az II. melléklet tartalmazza.</w:t>
      </w:r>
    </w:p>
    <w:p>
      <w:pPr>
        <w:jc w:val="both"/>
        <w:rPr>
          <w:rFonts w:ascii="Times New Roman" w:hAnsi="Times New Roman" w:cs="Times New Roman"/>
          <w:noProof/>
          <w:sz w:val="24"/>
          <w:szCs w:val="24"/>
        </w:rPr>
      </w:pPr>
      <w:r>
        <w:rPr>
          <w:rFonts w:ascii="Times New Roman" w:hAnsi="Times New Roman"/>
          <w:noProof/>
          <w:sz w:val="24"/>
        </w:rPr>
        <w:t>A legtöbb tagállam rendelkezik az egyszerű és közérthető nyelven megfogalmazott, jogokról szóló írásbeli tájékoztató meglétéről. Tizenegy tagállam kifejezetten előírja ezt a nemzeti jogszabályaiban, hat tagállamban pedig ez a jogokról szóló írásbeli tájékoztató mintájának tényleges tartalmából állapítható meg.</w:t>
      </w:r>
    </w:p>
    <w:p>
      <w:pPr>
        <w:jc w:val="both"/>
        <w:rPr>
          <w:rFonts w:ascii="Times New Roman" w:hAnsi="Times New Roman" w:cs="Times New Roman"/>
          <w:noProof/>
          <w:sz w:val="24"/>
          <w:szCs w:val="24"/>
        </w:rPr>
      </w:pPr>
      <w:r>
        <w:rPr>
          <w:rFonts w:ascii="Times New Roman" w:hAnsi="Times New Roman"/>
          <w:noProof/>
          <w:sz w:val="24"/>
        </w:rPr>
        <w:t>A fennmaradó tagállamokban azonban a nemzeti jogszabályok nem biztosítják, hogy az írásbeli tájékoztató egyszerű és közérthető nyelven legyen megfogalmazva. A nemzeti minta hiánya miatt nem állapítható meg, hogy a követelmény teljesül-e.</w:t>
      </w:r>
    </w:p>
    <w:p>
      <w:pPr>
        <w:pStyle w:val="Heading2"/>
        <w:jc w:val="both"/>
        <w:rPr>
          <w:noProof/>
        </w:rPr>
      </w:pPr>
      <w:r>
        <w:rPr>
          <w:noProof/>
        </w:rPr>
        <w:t>A váddal kapcsolatos tájékoztatáshoz való jog (6. cikk)</w:t>
      </w:r>
    </w:p>
    <w:p>
      <w:pPr>
        <w:jc w:val="both"/>
        <w:rPr>
          <w:rFonts w:ascii="Times New Roman" w:hAnsi="Times New Roman" w:cs="Times New Roman"/>
          <w:noProof/>
          <w:sz w:val="24"/>
          <w:szCs w:val="24"/>
        </w:rPr>
      </w:pPr>
      <w:r>
        <w:rPr>
          <w:rFonts w:ascii="Times New Roman" w:hAnsi="Times New Roman"/>
          <w:noProof/>
          <w:sz w:val="24"/>
        </w:rPr>
        <w:t>Az irányelv 6. cikke előírja, hogy a gyanúsítottak és a vádlottak tájékoztatást kapjanak a váddal és az arra vonatkozó változásokkal kapcsolatban.</w:t>
      </w:r>
    </w:p>
    <w:p>
      <w:pPr>
        <w:pStyle w:val="Heading3"/>
        <w:jc w:val="both"/>
        <w:rPr>
          <w:noProof/>
        </w:rPr>
      </w:pPr>
      <w:r>
        <w:rPr>
          <w:noProof/>
        </w:rPr>
        <w:t>A bűncselekményről való haladéktalan és részletes tájékoztatás – 6. cikk (1) bekezdés</w:t>
      </w:r>
    </w:p>
    <w:p>
      <w:pPr>
        <w:jc w:val="both"/>
        <w:rPr>
          <w:rFonts w:ascii="Times New Roman" w:hAnsi="Times New Roman" w:cs="Times New Roman"/>
          <w:noProof/>
          <w:sz w:val="24"/>
          <w:szCs w:val="24"/>
        </w:rPr>
      </w:pPr>
      <w:r>
        <w:rPr>
          <w:rFonts w:ascii="Times New Roman" w:hAnsi="Times New Roman"/>
          <w:noProof/>
          <w:sz w:val="24"/>
        </w:rPr>
        <w:t>Az irányelv 6. cikkének (1) bekezdése kötelezi a tagállamokat annak biztosítására, hogy a gyanúsítottak és a vádlottak a bűncselekményről, amelynek elkövetésével gyanúsítják vagy vádolják őket, tájékoztatást kapjanak. Ezt a tájékoztatást haladéktalanul meg kell adni, és olyan részletességgel, amely az eljárás tisztességességének megóvásához és a védelemhez való jog eredményes gyakorlásához szükséges.</w:t>
      </w:r>
    </w:p>
    <w:p>
      <w:pPr>
        <w:jc w:val="both"/>
        <w:rPr>
          <w:rFonts w:ascii="Times New Roman" w:hAnsi="Times New Roman" w:cs="Times New Roman"/>
          <w:noProof/>
          <w:sz w:val="24"/>
          <w:szCs w:val="24"/>
        </w:rPr>
      </w:pPr>
      <w:r>
        <w:rPr>
          <w:rFonts w:ascii="Times New Roman" w:hAnsi="Times New Roman"/>
          <w:noProof/>
          <w:sz w:val="24"/>
        </w:rPr>
        <w:t>Kettő kivételével valamennyi tagállam eleget tett a váddal kapcsolatos haladéktalan tájékoztatás biztosítására irányuló kötelezettségnek. Számos tagállam más kifejezést használ, például „a lehető leghamarabb”, „azonnal”, „indokolatlan késedelem nélkül” vagy sürgősen”, azonban általában legkésőbb az első kihallgatás előtt.</w:t>
      </w:r>
    </w:p>
    <w:p>
      <w:pPr>
        <w:jc w:val="both"/>
        <w:rPr>
          <w:rFonts w:ascii="Times New Roman" w:hAnsi="Times New Roman" w:cs="Times New Roman"/>
          <w:noProof/>
          <w:sz w:val="24"/>
          <w:szCs w:val="24"/>
        </w:rPr>
      </w:pPr>
      <w:r>
        <w:rPr>
          <w:rFonts w:ascii="Times New Roman" w:hAnsi="Times New Roman"/>
          <w:noProof/>
          <w:sz w:val="24"/>
        </w:rPr>
        <w:t>A nyújtott tájékoztató alkalmazási köre és tartalma a nemzeti jogszabályoktól függően eltérő. Egyes tagállamok a részletesebb szabályok bevezetése mellett döntöttek, és a gyanúsítottak és a vádlottak olyan tájékoztatást kapnak, amely túlmutat az irányelv követelményein.</w:t>
      </w:r>
    </w:p>
    <w:p>
      <w:pPr>
        <w:pStyle w:val="Heading3"/>
        <w:jc w:val="both"/>
        <w:rPr>
          <w:noProof/>
        </w:rPr>
      </w:pPr>
      <w:r>
        <w:rPr>
          <w:noProof/>
        </w:rPr>
        <w:t>Tájékoztatás az őrizetbe vétel vagy fogva tartás okairól és a bűncselekményről – 6. cikk (2) bekezdés</w:t>
      </w:r>
    </w:p>
    <w:p>
      <w:pPr>
        <w:jc w:val="both"/>
        <w:rPr>
          <w:rFonts w:ascii="Times New Roman" w:hAnsi="Times New Roman" w:cs="Times New Roman"/>
          <w:noProof/>
          <w:sz w:val="24"/>
          <w:szCs w:val="24"/>
        </w:rPr>
      </w:pPr>
      <w:r>
        <w:rPr>
          <w:rFonts w:ascii="Times New Roman" w:hAnsi="Times New Roman"/>
          <w:noProof/>
          <w:sz w:val="24"/>
        </w:rPr>
        <w:t>Az irányelv 6. cikkének (2) bekezdése értelmében tagállamok biztosítják, hogy az őrizetbe vett vagy fogva tartott gyanúsítottak és vádlottak tájékoztatást kapjanak az őrizetbe vételük vagy fogva tartásuk okairól, beleértve a bűncselekményt is, amelynek elkövetésével gyanúsítják vagy vádolják őket.</w:t>
      </w:r>
    </w:p>
    <w:p>
      <w:pPr>
        <w:jc w:val="both"/>
        <w:rPr>
          <w:rFonts w:ascii="Times New Roman" w:hAnsi="Times New Roman" w:cs="Times New Roman"/>
          <w:noProof/>
          <w:sz w:val="24"/>
          <w:szCs w:val="24"/>
        </w:rPr>
      </w:pPr>
      <w:r>
        <w:rPr>
          <w:rFonts w:ascii="Times New Roman" w:hAnsi="Times New Roman"/>
          <w:noProof/>
          <w:sz w:val="24"/>
        </w:rPr>
        <w:t>A legtöbb tagállam előírja, hogy a szabadságuktól megfosztott gyanúsítottakat vagy vádlottakat tájékoztatni kell az őrizetbe vételük vagy fogva tartásuk okairól. Két tagállamban</w:t>
      </w:r>
      <w:r>
        <w:rPr>
          <w:rStyle w:val="FootnoteReference"/>
          <w:rFonts w:ascii="Times New Roman" w:hAnsi="Times New Roman"/>
          <w:noProof/>
          <w:sz w:val="24"/>
        </w:rPr>
        <w:footnoteReference w:id="17"/>
      </w:r>
      <w:r>
        <w:rPr>
          <w:rFonts w:ascii="Times New Roman" w:hAnsi="Times New Roman"/>
          <w:noProof/>
          <w:sz w:val="24"/>
        </w:rPr>
        <w:t xml:space="preserve"> azonban ez a jog nem kifejezetten biztosított azok számára, akiket őrizetbe vettek, csak azok számára, akiket fogva tartanak. Az egyik tagállamban az őrizetbe vétel vagy fogva tartás okaira vonatkozó tájékoztatás kizárólag akkor biztosított, ha a személyt átadják a büntetés-végrehajtási intézményeknek. Végezetül egy másik tagállamban a nemzeti jogszabályok azt írják elő, hogy az őrizetbe vett vagy fogva tartott személyt tájékoztatni kell a tényekről, az azonban nincs meghatározva, hogy meg kell adni az őrizetbe vétel vagy fogva tartás okait.</w:t>
      </w:r>
    </w:p>
    <w:p>
      <w:pPr>
        <w:pStyle w:val="Heading3"/>
        <w:jc w:val="both"/>
        <w:rPr>
          <w:noProof/>
        </w:rPr>
      </w:pPr>
      <w:r>
        <w:rPr>
          <w:noProof/>
        </w:rPr>
        <w:t>A vádra vonatkozó információ: a bűncselekmény jellege és jogi minősítése, valamint a vádlott szerepének jellege – 6. cikk (3) bekezdés</w:t>
      </w:r>
    </w:p>
    <w:p>
      <w:pPr>
        <w:jc w:val="both"/>
        <w:rPr>
          <w:rFonts w:ascii="Times New Roman" w:hAnsi="Times New Roman" w:cs="Times New Roman"/>
          <w:noProof/>
          <w:sz w:val="24"/>
          <w:szCs w:val="24"/>
        </w:rPr>
      </w:pPr>
      <w:r>
        <w:rPr>
          <w:rFonts w:ascii="Times New Roman" w:hAnsi="Times New Roman"/>
          <w:noProof/>
          <w:sz w:val="24"/>
        </w:rPr>
        <w:t>Az irányelv 6. cikkének (3) bekezdése értelmében a tagállamoknak biztosítaniuk kell, hogy a vádra vonatkozóan részletes tájékoztatást nyújtsanak, többek között a bűncselekmény jellegéről és jogi minősítéséről, valamint a vádlott szerepének jellegéről. Ezt legkésőbb a vád tartalmának bírósághoz való benyújtásakor kell biztosítani.</w:t>
      </w:r>
    </w:p>
    <w:p>
      <w:pPr>
        <w:jc w:val="both"/>
        <w:rPr>
          <w:rFonts w:ascii="Times New Roman" w:hAnsi="Times New Roman" w:cs="Times New Roman"/>
          <w:noProof/>
          <w:sz w:val="24"/>
          <w:szCs w:val="24"/>
        </w:rPr>
      </w:pPr>
      <w:r>
        <w:rPr>
          <w:rFonts w:ascii="Times New Roman" w:hAnsi="Times New Roman"/>
          <w:noProof/>
          <w:sz w:val="24"/>
        </w:rPr>
        <w:t>A tagállamok többsége megfelelően átültette ezt a rendelkezést. A tagállamok között egyenlőtlenségek figyelhetők meg a váddal kapcsolatos tájékoztatás nyújtásának idejével kapcsolatban. Hat tagállamban a vád tartalmát az ügyészség először a bíróságnak küldi meg, és csak ezt követően a vádlottnak. Az egyik tagállamban lehetőség van arra, hogy a vádlottat csak a bírósághoz való benyújtást megelőző percekben értesítsék a vádakról. Két tagállamban nem egyértelmű, hogy a döntést legkésőbb a vád tartalmának bírósághoz való benyújtásakor küldik-e meg a vádlottnak. Végezetül az egyik tagállamban</w:t>
      </w:r>
      <w:r>
        <w:rPr>
          <w:rStyle w:val="FootnoteReference"/>
          <w:rFonts w:ascii="Times New Roman" w:hAnsi="Times New Roman"/>
          <w:noProof/>
          <w:sz w:val="24"/>
        </w:rPr>
        <w:footnoteReference w:id="18"/>
      </w:r>
      <w:r>
        <w:rPr>
          <w:rFonts w:ascii="Times New Roman" w:hAnsi="Times New Roman"/>
          <w:noProof/>
          <w:sz w:val="24"/>
        </w:rPr>
        <w:t xml:space="preserve"> a váddal kapcsolatos részletes tájékoztatást legkésőbb az ügy bíróság előtti érdemi meghallgatásakor nyújtják.</w:t>
      </w:r>
    </w:p>
    <w:p>
      <w:pPr>
        <w:jc w:val="both"/>
        <w:rPr>
          <w:rFonts w:ascii="Times New Roman" w:hAnsi="Times New Roman" w:cs="Times New Roman"/>
          <w:noProof/>
          <w:sz w:val="24"/>
          <w:szCs w:val="24"/>
        </w:rPr>
      </w:pPr>
      <w:r>
        <w:rPr>
          <w:rFonts w:ascii="Times New Roman" w:hAnsi="Times New Roman"/>
          <w:noProof/>
          <w:sz w:val="24"/>
        </w:rPr>
        <w:t>A „</w:t>
      </w:r>
      <w:r>
        <w:rPr>
          <w:rFonts w:ascii="Times New Roman" w:hAnsi="Times New Roman"/>
          <w:i/>
          <w:noProof/>
          <w:sz w:val="24"/>
        </w:rPr>
        <w:t>legkésőbb a vád tartalmának bírósághoz való benyújtásakor</w:t>
      </w:r>
      <w:r>
        <w:rPr>
          <w:rFonts w:ascii="Times New Roman" w:hAnsi="Times New Roman"/>
          <w:noProof/>
          <w:sz w:val="24"/>
        </w:rPr>
        <w:t>” kifejezés értelmezése a Bíróság előzetes döntéshozatalának tárgyát képezte</w:t>
      </w:r>
      <w:r>
        <w:rPr>
          <w:rStyle w:val="FootnoteReference"/>
          <w:rFonts w:ascii="Times New Roman" w:hAnsi="Times New Roman"/>
          <w:noProof/>
          <w:sz w:val="24"/>
        </w:rPr>
        <w:footnoteReference w:id="19"/>
      </w:r>
      <w:r>
        <w:rPr>
          <w:rFonts w:ascii="Times New Roman" w:hAnsi="Times New Roman"/>
          <w:noProof/>
          <w:sz w:val="24"/>
        </w:rPr>
        <w:t>. A Bíróság megállapította, hogy a „</w:t>
      </w:r>
      <w:r>
        <w:rPr>
          <w:rFonts w:ascii="Times New Roman" w:hAnsi="Times New Roman"/>
          <w:i/>
          <w:noProof/>
          <w:sz w:val="24"/>
        </w:rPr>
        <w:t>2012/13/EU irányelv 6. cikkének (3) bekezdését úgy kell értelmezni, mint amely nem zárja ki a védelem vádakról szóló részletes tájékoztatását az eljárás tárgyalási szakaszát megindító vádirat bírósághoz való benyújtását követően, azonban a vád bíróság általi érdemi vizsgálatának megkezdését és a bíróság előtt előadott érvelés meghallgatásának megkezdését megelőzően, valamint a meghallgatás megkezdését követően, azonban a tanácskozási szakasz előtt, ha az így közölt információ későbbi módosítások tárgya, feltéve, hogy a bíróság megtesz minden szükséges intézkedést a védelem jogainak és a tisztességes eljárás biztosítása érdekében</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Néhány tagállamban problémák merülnek fel a biztosított tájékoztatás tartalmával kapcsolatban. A nemzeti jogszabályok például nem írják elő, hogy a gyanúsított vagy vádolt személyt részletesen tájékoztatni kell a váddal kapcsolatban, nem említik a bűncselekmény jellegét és jogi besorolását, vagy nem határozzák meg a vádlott szerepének jellegét. Néhány nemzeti jogban általános bizonytalanságok figyelhetők meg a döntések tartalmával kapcsolatban megadott részletek szintje tekintetében.</w:t>
      </w:r>
    </w:p>
    <w:p>
      <w:pPr>
        <w:jc w:val="both"/>
        <w:rPr>
          <w:rFonts w:ascii="Times New Roman" w:hAnsi="Times New Roman" w:cs="Times New Roman"/>
          <w:noProof/>
          <w:sz w:val="24"/>
          <w:szCs w:val="24"/>
        </w:rPr>
      </w:pPr>
      <w:r>
        <w:rPr>
          <w:rFonts w:ascii="Times New Roman" w:hAnsi="Times New Roman"/>
          <w:noProof/>
          <w:sz w:val="24"/>
        </w:rPr>
        <w:t>Végezetül a tagállam területi joghatóságán belül állandó lakcímmel vagy tartózkodási hellyel nem rendelkező személyek tájékoztatásának módja a Bíróság előzetes döntéshozatalának tárgyát képezte</w:t>
      </w:r>
      <w:r>
        <w:rPr>
          <w:rStyle w:val="FootnoteReference"/>
          <w:rFonts w:ascii="Times New Roman" w:hAnsi="Times New Roman"/>
          <w:noProof/>
          <w:sz w:val="24"/>
        </w:rPr>
        <w:footnoteReference w:id="20"/>
      </w:r>
      <w:r>
        <w:rPr>
          <w:rFonts w:ascii="Times New Roman" w:hAnsi="Times New Roman"/>
          <w:noProof/>
          <w:sz w:val="24"/>
        </w:rPr>
        <w:t>.</w:t>
      </w:r>
    </w:p>
    <w:p>
      <w:pPr>
        <w:pStyle w:val="Heading3"/>
        <w:jc w:val="both"/>
        <w:rPr>
          <w:noProof/>
        </w:rPr>
      </w:pPr>
      <w:r>
        <w:rPr>
          <w:noProof/>
        </w:rPr>
        <w:t>A frissített tájékoztatás nyújtása – 6. cikk (4) bekezdés</w:t>
      </w:r>
    </w:p>
    <w:p>
      <w:pPr>
        <w:jc w:val="both"/>
        <w:rPr>
          <w:rFonts w:ascii="Times New Roman" w:hAnsi="Times New Roman" w:cs="Times New Roman"/>
          <w:noProof/>
          <w:sz w:val="24"/>
          <w:szCs w:val="24"/>
        </w:rPr>
      </w:pPr>
      <w:r>
        <w:rPr>
          <w:rFonts w:ascii="Times New Roman" w:hAnsi="Times New Roman"/>
          <w:noProof/>
          <w:sz w:val="24"/>
        </w:rPr>
        <w:t>Az irányelv 6. cikkének (4) bekezdése értelmében a gyanúsítottakat, illetve a vádlottakat haladéktalanul tájékoztatni kell az eljárás tisztességességének megóvásához szükségesen a váddal kapcsolatosan megadott információkban bekövetkezett bármely változásról.</w:t>
      </w:r>
    </w:p>
    <w:p>
      <w:pPr>
        <w:jc w:val="both"/>
        <w:rPr>
          <w:rFonts w:ascii="Times New Roman" w:hAnsi="Times New Roman" w:cs="Times New Roman"/>
          <w:noProof/>
          <w:sz w:val="24"/>
          <w:szCs w:val="24"/>
        </w:rPr>
      </w:pPr>
      <w:r>
        <w:rPr>
          <w:rFonts w:ascii="Times New Roman" w:hAnsi="Times New Roman"/>
          <w:noProof/>
          <w:sz w:val="24"/>
        </w:rPr>
        <w:t>A tagállamok többsége megfelelően átültette ezt a rendelkezést, azonban öt tagállam esetében nem figyelhetők meg végrehajtási intézkedések. Számos más tagállamban problémák merültek fel, mivel csak bizonyos változásokat kell közölni (például a jogi besorolással kapcsolatosakat), vagy mert a tájékoztatás ideje nincs meghatározva.</w:t>
      </w:r>
    </w:p>
    <w:p>
      <w:pPr>
        <w:pStyle w:val="Heading2"/>
        <w:jc w:val="both"/>
        <w:rPr>
          <w:noProof/>
        </w:rPr>
      </w:pPr>
      <w:r>
        <w:rPr>
          <w:noProof/>
        </w:rPr>
        <w:t>Az ügy anyagaiba való betekintés joga 87. cikk)</w:t>
      </w:r>
    </w:p>
    <w:p>
      <w:pPr>
        <w:jc w:val="both"/>
        <w:rPr>
          <w:rFonts w:ascii="Times New Roman" w:hAnsi="Times New Roman" w:cs="Times New Roman"/>
          <w:noProof/>
          <w:sz w:val="24"/>
          <w:szCs w:val="24"/>
        </w:rPr>
      </w:pPr>
      <w:r>
        <w:rPr>
          <w:rFonts w:ascii="Times New Roman" w:hAnsi="Times New Roman"/>
          <w:noProof/>
          <w:sz w:val="24"/>
        </w:rPr>
        <w:t>Az irányelv 7. cikke az ügy anyagaiba való betekintésre vonatkozó szabályokat határozza meg.</w:t>
      </w:r>
    </w:p>
    <w:p>
      <w:pPr>
        <w:pStyle w:val="Heading3"/>
        <w:jc w:val="both"/>
        <w:rPr>
          <w:noProof/>
        </w:rPr>
      </w:pPr>
      <w:r>
        <w:rPr>
          <w:noProof/>
        </w:rPr>
        <w:t>Az őrizetbe vétel vagy a fogva tartás ellen a nemzeti jog szerinti eredményes panasztételhez nélkülözhetetlen dokumentumokba való betekintés joga – 7. cikk (1) bekezdés</w:t>
      </w:r>
    </w:p>
    <w:p>
      <w:pPr>
        <w:jc w:val="both"/>
        <w:rPr>
          <w:rFonts w:ascii="Times New Roman" w:hAnsi="Times New Roman" w:cs="Times New Roman"/>
          <w:noProof/>
          <w:sz w:val="24"/>
          <w:szCs w:val="24"/>
        </w:rPr>
      </w:pPr>
      <w:r>
        <w:rPr>
          <w:rFonts w:ascii="Times New Roman" w:hAnsi="Times New Roman"/>
          <w:noProof/>
          <w:sz w:val="24"/>
        </w:rPr>
        <w:t>Az irányelv 7. cikkének (1) bekezdése értelmében amennyiben valakit a büntetőeljárás bármely szakaszában őrizetbe vesznek, illetve fogva tartanak, az adott üggyel kapcsolatos, az illetékes hatóságok birtokában lévő dokumentumokat, amelyek nélkülözhetetlenek az őrizetbe vétel ellen a nemzeti jog szerinti eredményes panasztételhez vagy a fogva tartás jogszerűsége felülvizsgálatának nemzeti jog szerinti eredményes kezdeményezéséhez, az őrizetbe vett személy vagy ügyvédje rendelkezésére kell bocsátani.</w:t>
      </w:r>
    </w:p>
    <w:p>
      <w:pPr>
        <w:jc w:val="both"/>
        <w:rPr>
          <w:rFonts w:ascii="Times New Roman" w:hAnsi="Times New Roman" w:cs="Times New Roman"/>
          <w:noProof/>
          <w:sz w:val="24"/>
          <w:szCs w:val="24"/>
        </w:rPr>
      </w:pPr>
      <w:r>
        <w:rPr>
          <w:rFonts w:ascii="Times New Roman" w:hAnsi="Times New Roman"/>
          <w:noProof/>
          <w:sz w:val="24"/>
        </w:rPr>
        <w:t>A nemzeti végrehajtási intézkedések értékelése rámutat arra, hogy a „nélkülözhetetlen dokumentumok”, valamint a betekintés általános hatályának értelmezése számos tagállamban eltér.</w:t>
      </w:r>
    </w:p>
    <w:p>
      <w:pPr>
        <w:jc w:val="both"/>
        <w:rPr>
          <w:rFonts w:ascii="Times New Roman" w:hAnsi="Times New Roman" w:cs="Times New Roman"/>
          <w:noProof/>
          <w:sz w:val="24"/>
          <w:szCs w:val="24"/>
        </w:rPr>
      </w:pPr>
      <w:r>
        <w:rPr>
          <w:rFonts w:ascii="Times New Roman" w:hAnsi="Times New Roman"/>
          <w:noProof/>
          <w:sz w:val="24"/>
        </w:rPr>
        <w:t>Csupán néhány tagállam határozza meg a „nélkülözhetetlen dokumentumok” kritériumát. Az egyik tagállam felsorolja a nélkülözhetetlen dokumentumokat; egy másik pedig kifejezetten meghatározza és megnevezi a nélkülözhetetlen dokumentumokat. Két másik joghatóság szintén meghatározza a definíciót, azonban az üggyel kapcsolatos döntés az őrizetbe vevő tiszt vagy a bíróság hatásköre marad. A fennmaradó tagállamok nem definiálják, mi minősül nélkülözhetetlen dokumentumnak.</w:t>
      </w:r>
    </w:p>
    <w:p>
      <w:pPr>
        <w:jc w:val="both"/>
        <w:rPr>
          <w:rFonts w:ascii="Times New Roman" w:hAnsi="Times New Roman" w:cs="Times New Roman"/>
          <w:noProof/>
          <w:sz w:val="24"/>
          <w:szCs w:val="24"/>
        </w:rPr>
      </w:pPr>
      <w:r>
        <w:rPr>
          <w:rFonts w:ascii="Times New Roman" w:hAnsi="Times New Roman"/>
          <w:noProof/>
          <w:sz w:val="24"/>
        </w:rPr>
        <w:t>Egyes tagállamok továbbá lehetővé teszik a nélkülözhetetlen dokumentumokba való betekintés megtagadását. Számos tagállamban az ügy anyagaiba való betekintésre vonatkozó korlátozások (</w:t>
      </w:r>
      <w:r>
        <w:rPr>
          <w:rFonts w:ascii="Times New Roman" w:hAnsi="Times New Roman"/>
          <w:i/>
          <w:noProof/>
          <w:sz w:val="24"/>
        </w:rPr>
        <w:t>lásd alább, a 7. cikk (2) bekezdésével kapcsolatban a 3.7.2. szakaszt és a 7. cikk (4) bekezdésével kapcsolatban a 3.7.4. szakaszt</w:t>
      </w:r>
      <w:r>
        <w:rPr>
          <w:rFonts w:ascii="Times New Roman" w:hAnsi="Times New Roman"/>
          <w:noProof/>
          <w:sz w:val="24"/>
        </w:rPr>
        <w:t>) kiterjednek azokra a dokumentumokra is, amelyek nélkülözhetetlenek az őrizetbe vétel vagy a fogva tartás jogszerűsége felülvizsgálatához. A nélkülözhetetlen dokumentumokba való betekintést a hatóságok megtagadhatják, ha a betekintés más személyek alapvető jogait vagy érdekeit sértheti, vagy ha más nyomozást súlyosan veszélyeztethet. Az Emberi Jogok Európai Bíróságának állandó ítélkezési gyakorlatával</w:t>
      </w:r>
      <w:r>
        <w:rPr>
          <w:rStyle w:val="FootnoteReference"/>
          <w:rFonts w:ascii="Times New Roman" w:hAnsi="Times New Roman"/>
          <w:noProof/>
          <w:sz w:val="24"/>
        </w:rPr>
        <w:footnoteReference w:id="21"/>
      </w:r>
      <w:r>
        <w:rPr>
          <w:rFonts w:ascii="Times New Roman" w:hAnsi="Times New Roman"/>
          <w:noProof/>
          <w:sz w:val="24"/>
        </w:rPr>
        <w:t xml:space="preserve"> összhangban nincs kizárva, hogy az ügy anyagainak egy részét titkosan lehessen kezelni annak érdekében, hogy a gyanúsítottak ne tudják manipulálni a bizonyítékokat, és ne tudják aláásni az igazságszolgáltatás menetét. A betekintés megtagadása azonban nem járhat a védelem jogainak jelentős korlátozásaival</w:t>
      </w:r>
      <w:r>
        <w:rPr>
          <w:rStyle w:val="FootnoteReference"/>
          <w:rFonts w:ascii="Times New Roman" w:hAnsi="Times New Roman"/>
          <w:noProof/>
          <w:sz w:val="24"/>
        </w:rPr>
        <w:footnoteReference w:id="22"/>
      </w:r>
      <w:r>
        <w:rPr>
          <w:rFonts w:ascii="Times New Roman" w:hAnsi="Times New Roman"/>
          <w:noProof/>
          <w:sz w:val="24"/>
        </w:rPr>
        <w:t>. Egyes ügyekben az „</w:t>
      </w:r>
      <w:r>
        <w:rPr>
          <w:rFonts w:ascii="Times New Roman" w:hAnsi="Times New Roman"/>
          <w:i/>
          <w:noProof/>
          <w:sz w:val="24"/>
        </w:rPr>
        <w:t>ellensúlyozó tényezők</w:t>
      </w:r>
      <w:r>
        <w:rPr>
          <w:rFonts w:ascii="Times New Roman" w:hAnsi="Times New Roman"/>
          <w:noProof/>
          <w:sz w:val="24"/>
        </w:rPr>
        <w:t>” meglétére lehet hivatkozni, ami biztosítja, hogy az adott személynek vagy az ügyvédjének lehetősége legyen a fogva tartás felülvizsgálatának eredményes kezdeményezéséhez</w:t>
      </w:r>
      <w:r>
        <w:rPr>
          <w:rStyle w:val="FootnoteReference"/>
          <w:rFonts w:ascii="Times New Roman" w:hAnsi="Times New Roman"/>
          <w:noProof/>
          <w:sz w:val="24"/>
        </w:rPr>
        <w:footnoteReference w:id="2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Az e rendelkezéssel kapcsolatban felmerülő egyéb ügyek elsősorban a nélkülözhetetlen dokumentumokba való betekintés idejével kapcsolatosak. Míg a 7. cikk (1) bekezdése a „büntetőeljárás bármely szakaszában” kifejezést használja, egyes tagállamokban a nélkülözhetetlen dokumentumokba való betekintést csak az első meghallgatások után vagy a tárgyalást megelőző szakasz lezárását követően biztosítják. Az egyik tagállamban nem minden nélkülözhetetlen dokumentumot bocsátanak a rendőrségi őrizetben lévő, letartóztatott személyek rendelkezésére.</w:t>
      </w:r>
    </w:p>
    <w:p>
      <w:pPr>
        <w:pStyle w:val="Heading3"/>
        <w:jc w:val="both"/>
        <w:rPr>
          <w:noProof/>
        </w:rPr>
      </w:pPr>
      <w:r>
        <w:rPr>
          <w:noProof/>
        </w:rPr>
        <w:t>A valamennyi anyagba való betekintés joga – 7. cikk (2) bekezdés</w:t>
      </w:r>
    </w:p>
    <w:p>
      <w:pPr>
        <w:jc w:val="both"/>
        <w:rPr>
          <w:rFonts w:ascii="Times New Roman" w:hAnsi="Times New Roman" w:cs="Times New Roman"/>
          <w:noProof/>
          <w:sz w:val="24"/>
          <w:szCs w:val="24"/>
        </w:rPr>
      </w:pPr>
      <w:r>
        <w:rPr>
          <w:rFonts w:ascii="Times New Roman" w:hAnsi="Times New Roman"/>
          <w:noProof/>
          <w:sz w:val="24"/>
        </w:rPr>
        <w:t>Az irányelv 7. cikkének (2) bekezdése arra kötelezi a tagállamokat, hogy biztosítsák, hogy a gyanúsított, illetve a vádlott vagy ügyvédje legalább az illetékes hatóságok birtokában lévő valamennyi anyagba betekinthessen az eljárás tisztességességének megóvása és a védelemre való felkészülés érdekében.</w:t>
      </w:r>
    </w:p>
    <w:p>
      <w:pPr>
        <w:jc w:val="both"/>
        <w:rPr>
          <w:rFonts w:ascii="Times New Roman" w:hAnsi="Times New Roman" w:cs="Times New Roman"/>
          <w:noProof/>
          <w:sz w:val="24"/>
          <w:szCs w:val="24"/>
        </w:rPr>
      </w:pPr>
      <w:r>
        <w:rPr>
          <w:rFonts w:ascii="Times New Roman" w:hAnsi="Times New Roman"/>
          <w:noProof/>
          <w:sz w:val="24"/>
        </w:rPr>
        <w:t>A tagállamok többsége teljes körűen átültette ezt a rendelkezést. Problémásak azonban azok az esetek, amelyekben az ügy aktájába való betekintés engedélyezett, azonban az ügy aktája nem tartalmazza valamennyi anyagot. Egyes esetekben az ügy aktáján kívül tárolt anyagok csak a tárgyalási szakaszban hozzáférhetők.</w:t>
      </w:r>
    </w:p>
    <w:p>
      <w:pPr>
        <w:jc w:val="both"/>
        <w:rPr>
          <w:rFonts w:ascii="Times New Roman" w:hAnsi="Times New Roman" w:cs="Times New Roman"/>
          <w:noProof/>
          <w:sz w:val="24"/>
          <w:szCs w:val="24"/>
        </w:rPr>
      </w:pPr>
      <w:r>
        <w:rPr>
          <w:rFonts w:ascii="Times New Roman" w:hAnsi="Times New Roman"/>
          <w:noProof/>
          <w:sz w:val="24"/>
        </w:rPr>
        <w:t>Ahogyan korábban említettük (</w:t>
      </w:r>
      <w:r>
        <w:rPr>
          <w:rFonts w:ascii="Times New Roman" w:hAnsi="Times New Roman"/>
          <w:i/>
          <w:noProof/>
          <w:sz w:val="24"/>
        </w:rPr>
        <w:t>lásd a 3.7.1. szakaszt</w:t>
      </w:r>
      <w:r>
        <w:rPr>
          <w:rFonts w:ascii="Times New Roman" w:hAnsi="Times New Roman"/>
          <w:noProof/>
          <w:sz w:val="24"/>
        </w:rPr>
        <w:t>), az egyik tagállamban csak az ügyvéd rendelkezik az ügy aktájához való teljes körű hozzáféréssel. Ha a gyanúsított vagy a vádolt személyt nem képviseli ügyvéd, nincs teljes körű hozzáférése az aktához, csak egyes dokumentumokhoz.</w:t>
      </w:r>
    </w:p>
    <w:p>
      <w:pPr>
        <w:jc w:val="both"/>
        <w:rPr>
          <w:rFonts w:ascii="Times New Roman" w:hAnsi="Times New Roman" w:cs="Times New Roman"/>
          <w:noProof/>
          <w:sz w:val="24"/>
          <w:szCs w:val="24"/>
        </w:rPr>
      </w:pPr>
      <w:r>
        <w:rPr>
          <w:rFonts w:ascii="Times New Roman" w:hAnsi="Times New Roman"/>
          <w:noProof/>
          <w:sz w:val="24"/>
        </w:rPr>
        <w:t>Végezetül problémák merülnek fel azzal kapcsolatban is, hogy egyes tagállamok az aktába való betekintés jogára vonatkozó általános eltéréseket alkalmaznak (</w:t>
      </w:r>
      <w:r>
        <w:rPr>
          <w:rFonts w:ascii="Times New Roman" w:hAnsi="Times New Roman"/>
          <w:i/>
          <w:noProof/>
          <w:sz w:val="24"/>
        </w:rPr>
        <w:t>lásd a 3.7.4. szakaszt</w:t>
      </w:r>
      <w:r>
        <w:rPr>
          <w:rFonts w:ascii="Times New Roman" w:hAnsi="Times New Roman"/>
          <w:noProof/>
          <w:sz w:val="24"/>
        </w:rPr>
        <w:t>).</w:t>
      </w:r>
    </w:p>
    <w:p>
      <w:pPr>
        <w:pStyle w:val="Heading3"/>
        <w:jc w:val="both"/>
        <w:rPr>
          <w:noProof/>
        </w:rPr>
      </w:pPr>
      <w:r>
        <w:rPr>
          <w:noProof/>
        </w:rPr>
        <w:t>Valamennyi anyagba való, kellő időben biztosított betekintés – 7. cikk (3) bekezdés</w:t>
      </w:r>
    </w:p>
    <w:p>
      <w:pPr>
        <w:jc w:val="both"/>
        <w:rPr>
          <w:rFonts w:ascii="Times New Roman" w:hAnsi="Times New Roman" w:cs="Times New Roman"/>
          <w:noProof/>
          <w:sz w:val="24"/>
          <w:szCs w:val="24"/>
        </w:rPr>
      </w:pPr>
      <w:r>
        <w:rPr>
          <w:rFonts w:ascii="Times New Roman" w:hAnsi="Times New Roman"/>
          <w:noProof/>
          <w:sz w:val="24"/>
        </w:rPr>
        <w:t>Az irányelv 7. cikkének (3) bekezdése szerint az (1) bekezdés sérelme nélkül, az anyagokba való betekintést a védelemhez való jog eredményes gyakorlásának lehetővé tételéhez kellő időben, de legkésőbb a vád tartalmának bírósághoz való, elbírálás céljából történő benyújtásakor biztosítani kell. Amennyiben további anyagok kerülnek az illetékes hatóságok birtokába, a betekintést a figyelembevételük lehetővé tételéhez kellő időben kell biztosítani.</w:t>
      </w:r>
    </w:p>
    <w:p>
      <w:pPr>
        <w:jc w:val="both"/>
        <w:rPr>
          <w:rFonts w:ascii="Times New Roman" w:hAnsi="Times New Roman" w:cs="Times New Roman"/>
          <w:noProof/>
          <w:sz w:val="24"/>
          <w:szCs w:val="24"/>
        </w:rPr>
      </w:pPr>
      <w:r>
        <w:rPr>
          <w:rFonts w:ascii="Times New Roman" w:hAnsi="Times New Roman"/>
          <w:noProof/>
          <w:sz w:val="24"/>
        </w:rPr>
        <w:t>A tagállamok nagy többsége megfelelően átültette a rendelkezést.</w:t>
      </w:r>
    </w:p>
    <w:p>
      <w:pPr>
        <w:jc w:val="both"/>
        <w:rPr>
          <w:rFonts w:ascii="Times New Roman" w:hAnsi="Times New Roman" w:cs="Times New Roman"/>
          <w:noProof/>
          <w:sz w:val="24"/>
          <w:szCs w:val="24"/>
        </w:rPr>
      </w:pPr>
      <w:r>
        <w:rPr>
          <w:rFonts w:ascii="Times New Roman" w:hAnsi="Times New Roman"/>
          <w:noProof/>
          <w:sz w:val="24"/>
        </w:rPr>
        <w:t>A nemzeti joghatóságokban azonban továbbra is számos ellentmondás fennáll. Az egyik tagállam nem határoz meg semmilyen határidőt az aktába való betekintésre, míg néhány másik tagállamban a betekintés csak a tárgyalást megelőző szakasz lezárását és a vádirat elfogadását vagy az arról szóló értesítést követően engedélyezett. E tekintetben a Bíróság a fent említett Kolev-ügyben</w:t>
      </w:r>
      <w:r>
        <w:rPr>
          <w:rStyle w:val="FootnoteReference"/>
          <w:rFonts w:ascii="Times New Roman" w:hAnsi="Times New Roman"/>
          <w:noProof/>
          <w:sz w:val="24"/>
        </w:rPr>
        <w:footnoteReference w:id="24"/>
      </w:r>
      <w:r>
        <w:rPr>
          <w:rFonts w:ascii="Times New Roman" w:hAnsi="Times New Roman"/>
          <w:noProof/>
          <w:sz w:val="24"/>
        </w:rPr>
        <w:t xml:space="preserve"> kijelentette, hogy „</w:t>
      </w:r>
      <w:r>
        <w:rPr>
          <w:rFonts w:ascii="Times New Roman" w:hAnsi="Times New Roman"/>
          <w:i/>
          <w:noProof/>
          <w:sz w:val="24"/>
        </w:rPr>
        <w:t>az irányelv 7. cikkének (3) bekezdését úgy kell értelmezni, mint amely szerint a nemzeti bíróság feladata meggyőződni arról, hogy a védelem valós lehetőséget kapott az ügy anyagaiba való betekintésre, és ez a betekintés bizonyos esetekben az eljárás tárgyalási szakaszát megindító vádirat bírósághoz való benyújtását követően, azonban a vád bíróság általi érdemi vizsgálatának megkezdését és a bíróság előtt előadott érvelés meghallgatásának megkezdését megelőzően, valamint a meghallgatás megkezdését követően, azonban a tanácskozási szakasz előtt lehetséges, ha új bizonyíték kerül az aktába az eljárás során, feltéve, hogy a bíróság megtesz minden szükséges intézkedést a védelem jogainak és a tisztességes eljárás biztosítása érdekében</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Végezetül egy másik tagállamban a tárgyalást megelőző szakasz során a betekintés csak akkor biztosított, ha „az adott ügy tényállása alapján az az igazságszolgáltatás érdekeit szolgálja". Végezetül két joghatóságban nincs egyértelmű rendelkezés az anyagokba való betekintéssel kapcsolatban, és kérdéses, hogy az aktába való tekintés mikor és milyen mértékben engedélyezett.</w:t>
      </w:r>
    </w:p>
    <w:p>
      <w:pPr>
        <w:pStyle w:val="Heading3"/>
        <w:jc w:val="both"/>
        <w:rPr>
          <w:noProof/>
        </w:rPr>
      </w:pPr>
      <w:r>
        <w:rPr>
          <w:noProof/>
        </w:rPr>
        <w:t>Az anyagokba való megtekintés jogától való eltérések bírósági határozat vagy bírósági felülvizsgálat alapján – 7. cikk (4) bekezdés</w:t>
      </w:r>
    </w:p>
    <w:p>
      <w:pPr>
        <w:jc w:val="both"/>
        <w:rPr>
          <w:rFonts w:ascii="Times New Roman" w:hAnsi="Times New Roman" w:cs="Times New Roman"/>
          <w:noProof/>
          <w:sz w:val="24"/>
          <w:szCs w:val="24"/>
        </w:rPr>
      </w:pPr>
      <w:r>
        <w:rPr>
          <w:rFonts w:ascii="Times New Roman" w:hAnsi="Times New Roman"/>
          <w:noProof/>
          <w:sz w:val="24"/>
        </w:rPr>
        <w:t>Az irányelv 7. cikkének (4) bekezdésével összhangban a 7. cikk (2) és (3) bekezdésétől eltérve egyes anyagokba megtagadható a betekintés, ha a betekintés egy másik személy életét vagy alapvető jogait súlyosan veszélyeztethetné, vagy ha a megtagadás valamely fontos közérdek megóvásához feltétlenül szükséges, például abban az esetben, ha a betekintés hátrányosan befolyásolhatna egy folyamatban lévő nyomozást, vagy súlyosan sérthetné a büntetőeljárás megindításának helye szerinti tagállam nemzetbiztonságát. A tagállamoknak biztosítaniuk kell, hogy a nemzeti jog szerinti eljárásoknak megfelelően az arra vonatkozó határozatot, hogy e bekezdéssel összhangban egyes anyagokba megtagadják a betekintést, igazságügyi hatóság hozza meg, vagy legalább bírósági felülvizsgálat tárgyát képezze. A 7. cikk (4) bekezdése szerinti eltérés alkalmazandó, feltéve, hogy az nem veszélyezteti a tisztességes eljáráshoz való jogot.</w:t>
      </w:r>
    </w:p>
    <w:p>
      <w:pPr>
        <w:jc w:val="both"/>
        <w:rPr>
          <w:rFonts w:ascii="Times New Roman" w:hAnsi="Times New Roman" w:cs="Times New Roman"/>
          <w:noProof/>
          <w:sz w:val="24"/>
          <w:szCs w:val="24"/>
        </w:rPr>
      </w:pPr>
      <w:r>
        <w:rPr>
          <w:rFonts w:ascii="Times New Roman" w:hAnsi="Times New Roman"/>
          <w:noProof/>
          <w:sz w:val="24"/>
        </w:rPr>
        <w:t>A nemzeti végrehajtási intézkedések értékelése rámutat arra, hogy a 7. cikk (4) bekezdése az egyik olyan rendelkezés, amely tekintetében a legnagyobb egyenlőtlenségek figyelhetők meg a tagállamok között. Míg tíz tagállam lehetővé teszi a betekintés megtagadását az irányelvben foglalt okok alapján, más tagállamokban kevésbé korlátozó megközelítést alkalmaznak.</w:t>
      </w:r>
    </w:p>
    <w:p>
      <w:pPr>
        <w:jc w:val="both"/>
        <w:rPr>
          <w:rFonts w:ascii="Times New Roman" w:hAnsi="Times New Roman" w:cs="Times New Roman"/>
          <w:noProof/>
          <w:sz w:val="24"/>
          <w:szCs w:val="24"/>
        </w:rPr>
      </w:pPr>
      <w:r>
        <w:rPr>
          <w:rFonts w:ascii="Times New Roman" w:hAnsi="Times New Roman"/>
          <w:noProof/>
          <w:sz w:val="24"/>
        </w:rPr>
        <w:t>Az aktába való betekintésnek egy másik személy életét vagy alapvető jogai súlyos veszélyeztetése alapján történő megtagadása tekintetében egyes tagállamok az „adott személy életét, egészségét, fizikai integritását vagy szabadságát fenyegető súlyos veszély” vagy „az érintettekre vonatkozó kockázat és a magánéletük súlyos megsértése” esetén írja elő a megtagadást. Más joghatóságokban azonban az érintettekre vonatkozó „kockázatnak” nem kell súlyosnak lennie. Egyes tagállamok előírják, hogy „ magánérdekekre vagy más személyek érdekeire” lehet hivatkozni.</w:t>
      </w:r>
    </w:p>
    <w:p>
      <w:pPr>
        <w:jc w:val="both"/>
        <w:rPr>
          <w:rFonts w:ascii="Times New Roman" w:hAnsi="Times New Roman" w:cs="Times New Roman"/>
          <w:noProof/>
          <w:sz w:val="24"/>
          <w:szCs w:val="24"/>
        </w:rPr>
      </w:pPr>
      <w:r>
        <w:rPr>
          <w:rFonts w:ascii="Times New Roman" w:hAnsi="Times New Roman"/>
          <w:noProof/>
          <w:sz w:val="24"/>
        </w:rPr>
        <w:t>Számos tagállamban a betekintés korlátozható az „áldozatokat, tanúkat, nyomozókat, szakértőket vagy az eljárásban érintett bármilyen más személyt fenyegető veszély vagy nyomás kockázata” miatt.</w:t>
      </w:r>
    </w:p>
    <w:p>
      <w:pPr>
        <w:jc w:val="both"/>
        <w:rPr>
          <w:rFonts w:ascii="Times New Roman" w:hAnsi="Times New Roman" w:cs="Times New Roman"/>
          <w:noProof/>
          <w:sz w:val="24"/>
          <w:szCs w:val="24"/>
        </w:rPr>
      </w:pPr>
      <w:r>
        <w:rPr>
          <w:rFonts w:ascii="Times New Roman" w:hAnsi="Times New Roman"/>
          <w:noProof/>
          <w:sz w:val="24"/>
        </w:rPr>
        <w:t>Az aktába való betekintés valamely fontos közérdek megóvása miatti megtagadása tekintetében csak néhány tagállam hivatkozik kifejezetten a „fontos” közérdek megóvásának szükségességére, általában inkább a „közérdek” vagy a „társadalom érdeke” kifejezések használatosak. Egyes tagállamokban a „nemzetbiztonság” a megtagadás oka lehet, míg az egyik tagállamban ez kiegészül a „védelmi” okokkal.</w:t>
      </w:r>
    </w:p>
    <w:p>
      <w:pPr>
        <w:jc w:val="both"/>
        <w:rPr>
          <w:rFonts w:ascii="Times New Roman" w:hAnsi="Times New Roman" w:cs="Times New Roman"/>
          <w:noProof/>
          <w:sz w:val="24"/>
          <w:szCs w:val="24"/>
        </w:rPr>
      </w:pPr>
      <w:r>
        <w:rPr>
          <w:rFonts w:ascii="Times New Roman" w:hAnsi="Times New Roman"/>
          <w:noProof/>
          <w:sz w:val="24"/>
        </w:rPr>
        <w:t>Számos tagállam akkor is megtagadja a betekintést, ha az veszélyeztethet egy folyamatban lévő nyomozást. A nemzeti jogszabályok magát a nyomozást fenyegető általános sérelmekre, veszélyekre vagy károkra hivatkoznak. Egyes joghatóságokban ezek az okok más nyomozásokra is vonatkozhatnak. Általánosabb kifejezéseket is használnak, például a „súlyos okok” kifejezést, az okok részletesebb ismertetése nélkül.</w:t>
      </w:r>
    </w:p>
    <w:p>
      <w:pPr>
        <w:jc w:val="both"/>
        <w:rPr>
          <w:rFonts w:ascii="Times New Roman" w:hAnsi="Times New Roman" w:cs="Times New Roman"/>
          <w:noProof/>
          <w:sz w:val="24"/>
          <w:szCs w:val="24"/>
        </w:rPr>
      </w:pPr>
      <w:r>
        <w:rPr>
          <w:rFonts w:ascii="Times New Roman" w:hAnsi="Times New Roman"/>
          <w:noProof/>
          <w:sz w:val="24"/>
        </w:rPr>
        <w:t>Végezetül az arra irányuló kötelezettséget, hogy a dokumentumokba való betekintés jogára vonatkozó döntést igazságügyi hatóságnak kell meghoznia vagy legalább bírósági felülvizsgálat tárgyát kell képeznie, majdnem az összes tagállam betartja. Néhány tagállam nem írja elő a bírósági felülvizsgálatot a rendőrségi nyomozás szakaszában. Ezekben az esetekben a jogorvoslatot az ügyész vagy a legfőbb ügyész vizsgálja felül.</w:t>
      </w:r>
    </w:p>
    <w:p>
      <w:pPr>
        <w:pStyle w:val="Heading3"/>
        <w:jc w:val="both"/>
        <w:rPr>
          <w:noProof/>
        </w:rPr>
      </w:pPr>
      <w:r>
        <w:rPr>
          <w:noProof/>
        </w:rPr>
        <w:t>A dokumentációba való térítésmentes betekintés – 7. cikk (5) bekezdés</w:t>
      </w:r>
    </w:p>
    <w:p>
      <w:pPr>
        <w:jc w:val="both"/>
        <w:rPr>
          <w:rFonts w:ascii="Times New Roman" w:hAnsi="Times New Roman" w:cs="Times New Roman"/>
          <w:noProof/>
          <w:sz w:val="24"/>
          <w:szCs w:val="24"/>
        </w:rPr>
      </w:pPr>
      <w:r>
        <w:rPr>
          <w:rFonts w:ascii="Times New Roman" w:hAnsi="Times New Roman"/>
          <w:noProof/>
          <w:sz w:val="24"/>
        </w:rPr>
        <w:t>Az irányelv 7. cikkének (5) bekezdése szerint az ügy anyagaiba való betekintést térítésmentesen kell biztosítani.</w:t>
      </w:r>
    </w:p>
    <w:p>
      <w:pPr>
        <w:jc w:val="both"/>
        <w:rPr>
          <w:rFonts w:ascii="Times New Roman" w:hAnsi="Times New Roman" w:cs="Times New Roman"/>
          <w:noProof/>
          <w:sz w:val="24"/>
          <w:szCs w:val="24"/>
        </w:rPr>
      </w:pPr>
      <w:r>
        <w:rPr>
          <w:rFonts w:ascii="Times New Roman" w:hAnsi="Times New Roman"/>
          <w:noProof/>
          <w:sz w:val="24"/>
        </w:rPr>
        <w:t>E rendelkezést a legtöbb tagállam megfelelően átültette. Néhány tagállam esetében azonban problémák merültek fel a megfeleléssel kapcsolatban, és gyakran az akták másolásának költségeire vonatkoznak.</w:t>
      </w:r>
    </w:p>
    <w:p>
      <w:pPr>
        <w:pStyle w:val="Heading2"/>
        <w:jc w:val="both"/>
        <w:rPr>
          <w:noProof/>
        </w:rPr>
      </w:pPr>
      <w:r>
        <w:rPr>
          <w:noProof/>
        </w:rPr>
        <w:t>Jegyzőkönyvezés és jogorvoslatok (8. cikk)</w:t>
      </w:r>
    </w:p>
    <w:p>
      <w:pPr>
        <w:jc w:val="both"/>
        <w:rPr>
          <w:rFonts w:ascii="Times New Roman" w:hAnsi="Times New Roman" w:cs="Times New Roman"/>
          <w:noProof/>
          <w:sz w:val="24"/>
          <w:szCs w:val="24"/>
        </w:rPr>
      </w:pPr>
      <w:r>
        <w:rPr>
          <w:rFonts w:ascii="Times New Roman" w:hAnsi="Times New Roman"/>
          <w:noProof/>
          <w:sz w:val="24"/>
        </w:rPr>
        <w:t>A 8. cikk arra kötelezi a tagállamokat, hogy biztosítsák a gyanúsítottak és a vádlottak számára nyújtott tájékoztatás jegyzőkönyvbe vételét. A cikk biztosítja továbbá, hogy jogorvoslattal lehessen élni az ezen irányelv szerinti tájékoztatás elmulasztása vagy megtagadása esetén.</w:t>
      </w:r>
    </w:p>
    <w:p>
      <w:pPr>
        <w:pStyle w:val="Heading3"/>
        <w:jc w:val="both"/>
        <w:rPr>
          <w:noProof/>
        </w:rPr>
      </w:pPr>
      <w:r>
        <w:rPr>
          <w:noProof/>
        </w:rPr>
        <w:t>Jegyzőkönyvbe vételi kötelezettség – 8. cikk (1) bekezdés</w:t>
      </w:r>
    </w:p>
    <w:p>
      <w:pPr>
        <w:jc w:val="both"/>
        <w:rPr>
          <w:rFonts w:ascii="Times New Roman" w:hAnsi="Times New Roman" w:cs="Times New Roman"/>
          <w:noProof/>
          <w:sz w:val="24"/>
          <w:szCs w:val="24"/>
        </w:rPr>
      </w:pPr>
      <w:r>
        <w:rPr>
          <w:rFonts w:ascii="Times New Roman" w:hAnsi="Times New Roman"/>
          <w:noProof/>
          <w:sz w:val="24"/>
        </w:rPr>
        <w:t>Az irányelv 8. cikkének (1) bekezdése arra kötelezi a tagállamokat, hogy a gyanúsítottak és a vádlottak számára a 3–6. cikknek megfelelően nyújtott tájékoztatást az érintett tagállam nemzeti jogában meghatározott jegyzőkönyvezési eljárással feljegyezzék.</w:t>
      </w:r>
    </w:p>
    <w:p>
      <w:pPr>
        <w:jc w:val="both"/>
        <w:rPr>
          <w:rFonts w:ascii="Times New Roman" w:hAnsi="Times New Roman" w:cs="Times New Roman"/>
          <w:noProof/>
          <w:sz w:val="24"/>
          <w:szCs w:val="24"/>
        </w:rPr>
      </w:pPr>
      <w:r>
        <w:rPr>
          <w:rFonts w:ascii="Times New Roman" w:hAnsi="Times New Roman"/>
          <w:noProof/>
          <w:sz w:val="24"/>
        </w:rPr>
        <w:t>A tagállamok többsége megfelelően átültette ezt a rendelkezést. A jegyzőkönyvbe vétel általában az irányelv 3. cikkében felsorolt jogokra vonatkozó tájékoztatás nyújtásának tényét, a büntetőeljárások és az európai elfogatóparancshoz kapcsolódó eljárások során a jogokról szóló írásbeli tájékoztató rendelkezésre bocsátását, valamint a vádakkal kapcsolatban biztosított információ tényét és hatályát foglalja magában. Egyes tagállamok általános rendelkezéseket írnak elő a jegyzőkönyvezési kötelezettséggel kapcsolatban, míg mások kifejezett feltételeket vagy általános és konkrétabb nemzeti rendelkezéseket határoznak meg.</w:t>
      </w:r>
    </w:p>
    <w:p>
      <w:pPr>
        <w:jc w:val="both"/>
        <w:rPr>
          <w:rFonts w:ascii="Times New Roman" w:hAnsi="Times New Roman" w:cs="Times New Roman"/>
          <w:noProof/>
          <w:sz w:val="24"/>
          <w:szCs w:val="24"/>
        </w:rPr>
      </w:pPr>
      <w:r>
        <w:rPr>
          <w:rFonts w:ascii="Times New Roman" w:hAnsi="Times New Roman"/>
          <w:noProof/>
          <w:sz w:val="24"/>
        </w:rPr>
        <w:t>Egyes tagállamokban a nemzeti rendelkezések nem specifikus jellege és a pontosság hiánya miatt megfeleléssel kapcsolatos problémák merültek fel. Bizonyos tagállamokban a büntetőeljárások egyes típusai vagy a büntetőeljárások egyes szakaszai esetében nincs jegyzőkönyvezési kötelezettség.</w:t>
      </w:r>
    </w:p>
    <w:p>
      <w:pPr>
        <w:pStyle w:val="Heading3"/>
        <w:jc w:val="both"/>
        <w:rPr>
          <w:noProof/>
        </w:rPr>
      </w:pPr>
      <w:r>
        <w:rPr>
          <w:noProof/>
        </w:rPr>
        <w:t>A tájékoztatás illetékes hatóságok általi elmulasztásával vagy megtagadásával szembeni jogorvoslati eljárás – 8. cikk (2) bekezdés</w:t>
      </w:r>
    </w:p>
    <w:p>
      <w:pPr>
        <w:jc w:val="both"/>
        <w:rPr>
          <w:rFonts w:ascii="Times New Roman" w:hAnsi="Times New Roman" w:cs="Times New Roman"/>
          <w:noProof/>
          <w:sz w:val="24"/>
          <w:szCs w:val="24"/>
        </w:rPr>
      </w:pPr>
      <w:r>
        <w:rPr>
          <w:rFonts w:ascii="Times New Roman" w:hAnsi="Times New Roman"/>
          <w:noProof/>
          <w:sz w:val="24"/>
        </w:rPr>
        <w:t>Az irányelv 8. cikkének (2) bekezdése előírja, hogy a gyanúsítottaknak és a vádlottaknak, illetve ügyvédjüknek biztosítani kell a lehetőséget arra, hogy a nemzeti jog eljárásaival összhangban jogorvoslattal élhessenek, ha az illetékes hatóságok elmulasztják vagy megtagadják az irányelv szerinti tájékoztatást.</w:t>
      </w:r>
    </w:p>
    <w:p>
      <w:pPr>
        <w:jc w:val="both"/>
        <w:rPr>
          <w:rFonts w:ascii="Times New Roman" w:hAnsi="Times New Roman" w:cs="Times New Roman"/>
          <w:noProof/>
          <w:sz w:val="24"/>
          <w:szCs w:val="24"/>
        </w:rPr>
      </w:pPr>
      <w:r>
        <w:rPr>
          <w:rFonts w:ascii="Times New Roman" w:hAnsi="Times New Roman"/>
          <w:noProof/>
          <w:sz w:val="24"/>
        </w:rPr>
        <w:t>E rendelkezést a legtöbb tagállam megfelelően átültette. A legtöbb tagállam a tájékoztatás illetékes hatóságok általi megtagadásával vagy elmulasztásával szembeni jogorvoslatra vonatkozó általános jogot ír elő. Ebbe beletartozik az irányelv szerinti jogokról szóló tájékoztatás nyújtásának megtagadása vagy elmulasztása is. Más tagállamok külön rendelkezéseket írnak elő az ilyen megtagadásokkal vagy mulasztásokkal szembeni jogorvoslatra vonatkozó jog tekintetében.</w:t>
      </w:r>
    </w:p>
    <w:p>
      <w:pPr>
        <w:jc w:val="both"/>
        <w:rPr>
          <w:rFonts w:ascii="Times New Roman" w:hAnsi="Times New Roman" w:cs="Times New Roman"/>
          <w:noProof/>
          <w:sz w:val="24"/>
          <w:szCs w:val="24"/>
        </w:rPr>
      </w:pPr>
      <w:r>
        <w:rPr>
          <w:rFonts w:ascii="Times New Roman" w:hAnsi="Times New Roman"/>
          <w:noProof/>
          <w:sz w:val="24"/>
        </w:rPr>
        <w:t>Néhány tagállam esetében azonban problémák merülnek fel. A tájékoztatás nyújtásának elmulasztásával szembeni jogorvoslathoz való jogot például nem iktatták törvénybe a nemzeti jogban, vagy a tájékoztatás illetékes hatóságok általi lehetséges elmulasztásával vagy megtagadásával szembeni jogorvoslathoz való jog csupán bizonyos jogokra vagy eljárástípusokra terjed ki, míg másokra nem.</w:t>
      </w:r>
    </w:p>
    <w:p>
      <w:pPr>
        <w:pStyle w:val="Heading2"/>
        <w:jc w:val="both"/>
        <w:rPr>
          <w:noProof/>
        </w:rPr>
      </w:pPr>
      <w:r>
        <w:rPr>
          <w:noProof/>
        </w:rPr>
        <w:t>Képzés (9. cikk)</w:t>
      </w:r>
    </w:p>
    <w:p>
      <w:pPr>
        <w:jc w:val="both"/>
        <w:rPr>
          <w:rFonts w:ascii="Times New Roman" w:hAnsi="Times New Roman" w:cs="Times New Roman"/>
          <w:noProof/>
          <w:sz w:val="24"/>
          <w:szCs w:val="24"/>
        </w:rPr>
      </w:pPr>
      <w:r>
        <w:rPr>
          <w:rFonts w:ascii="Times New Roman" w:hAnsi="Times New Roman"/>
          <w:noProof/>
          <w:sz w:val="24"/>
        </w:rPr>
        <w:t>Az irányelv 9. cikkének megfelelően a tagállamok kötelesek felkérni a büntetőeljárásokban részt vevő bírák, ügyészek, rendőri és igazságügyi személyzet képzéséért felelős személyeket, hogy az irányelv célkitűzéseire figyelemmel megfelelő képzést biztosítsanak.</w:t>
      </w:r>
    </w:p>
    <w:p>
      <w:pPr>
        <w:jc w:val="both"/>
        <w:rPr>
          <w:rFonts w:ascii="Times New Roman" w:hAnsi="Times New Roman" w:cs="Times New Roman"/>
          <w:noProof/>
          <w:sz w:val="24"/>
          <w:szCs w:val="24"/>
        </w:rPr>
      </w:pPr>
      <w:r>
        <w:rPr>
          <w:rFonts w:ascii="Times New Roman" w:hAnsi="Times New Roman"/>
          <w:noProof/>
          <w:sz w:val="24"/>
        </w:rPr>
        <w:t>Ezt a rendelkezést a tagállamok többsége összességében nem ültette át kifejezetten. A nemzeti jogi keretük azonban általában magában foglalja az igazságügyi személyzet számára képzéseket biztosító „puha” jogi intézkedéseket.</w:t>
      </w:r>
    </w:p>
    <w:p>
      <w:pPr>
        <w:pStyle w:val="Heading1"/>
        <w:jc w:val="both"/>
        <w:rPr>
          <w:smallCaps/>
          <w:noProof/>
        </w:rPr>
      </w:pPr>
      <w:r>
        <w:rPr>
          <w:noProof/>
        </w:rPr>
        <w:t>Következtetések</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Az irányelv bevezetésének célja a büntetőeljárások során a gyanúsítottak és vádlottak tájékoztatáshoz való jogának biztosítása volt. A közös európai minimumszabályok kialakításával az irányelv jelentős hatást gyakorol a gyanúsítottak és vádlottak tagállamokon belüli védelmére az Európai Unió Alapjogi Chartájának 47. és 48. cikkében, valamint az Emberi Jogok Európai Egyezményének 6. cikkében foglalt jogok és biztosítékok következetesebb alkalmazása révén. Ezáltal az irányelv a büntetőeljárásokban a gyanúsítottak vagy vádlottak eljárási jogainak megerősítését célzó ütemtervben foglaltaknak megfelelően hozzájárul a tagállamok közötti kölcsönös bizalom növeléséhez. Az irányelv összességében hozzáadott értéket teremt az EU számára a büntetőeljárásokban érintett polgárok védelmének növelésével, különösen egyes tagállamokban, ahol a tájékoztatáshoz való jog (beleértve az aktába való betekintés jogát) korábban nem létezett, vagy nem volt ennyire részletezve.</w:t>
      </w:r>
    </w:p>
    <w:p>
      <w:pPr>
        <w:jc w:val="both"/>
        <w:rPr>
          <w:rFonts w:ascii="Times New Roman" w:hAnsi="Times New Roman" w:cs="Times New Roman"/>
          <w:noProof/>
          <w:sz w:val="24"/>
          <w:szCs w:val="24"/>
        </w:rPr>
      </w:pPr>
      <w:r>
        <w:rPr>
          <w:rFonts w:ascii="Times New Roman" w:hAnsi="Times New Roman"/>
          <w:noProof/>
          <w:sz w:val="24"/>
        </w:rPr>
        <w:t>Az irányelv tagállamokra gyakorolt hatásának mértéke az érvényben lévő nemzeti büntetőjogi rendszerektől függően változó. Az értékelés rámutat arra, hogy egyes tagállamokban az irányelv fő rendelkezéseivel kapcsolatban továbbra is felmerülnek nehézségek. Ez különösen igaz a büntetőeljárások és európai elfogatóparancshoz kapcsolódó eljárások keretében rendelkezésre bocsátandó, jogokról szóló írásbeli tájékoztatóra, a váddal kapcsolatos tájékoztatáshoz való jogra és az ügy anyagaiba való betekintés jogára.</w:t>
      </w:r>
    </w:p>
    <w:p>
      <w:pPr>
        <w:jc w:val="both"/>
        <w:rPr>
          <w:rFonts w:ascii="Times New Roman" w:hAnsi="Times New Roman" w:cs="Times New Roman"/>
          <w:noProof/>
          <w:sz w:val="24"/>
          <w:szCs w:val="24"/>
        </w:rPr>
      </w:pPr>
      <w:r>
        <w:rPr>
          <w:rFonts w:ascii="Times New Roman" w:hAnsi="Times New Roman"/>
          <w:noProof/>
          <w:sz w:val="24"/>
        </w:rPr>
        <w:t>Az értékelés továbbá rámutatott, hogy jelenleg nincs szükség az irányelv felülvizsgálatára, azonban a gyakorlati alkalmazását tovább kell javítani. A Bizottság továbbra is vizsgálni fogja a tagállamok irányelvnek való megfelelését, és minden szükséges intézkedést megtesz a rendelkezéseknek való megfelelésnek az Európai Unió teljes területén belüli biztosítása érdekében.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426"/>
      </w:pPr>
      <w:r>
        <w:rPr>
          <w:rStyle w:val="FootnoteReference"/>
        </w:rPr>
        <w:footnoteRef/>
      </w:r>
      <w:r>
        <w:tab/>
      </w:r>
      <w:r>
        <w:rPr>
          <w:rFonts w:ascii="Times New Roman" w:hAnsi="Times New Roman"/>
        </w:rPr>
        <w:t>HL L 142., 2012.6.1., 1. o.</w:t>
      </w:r>
    </w:p>
  </w:footnote>
  <w:footnote w:id="2">
    <w:p>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A Tanács állásfoglalása (2009. november 30.) a büntetőeljárásokban a gyanúsítottak vagy vádlottak eljárási jogainak megerősítését célzó ütemtervről (HL C 295., 2009.12.4., 1. o.).</w:t>
      </w:r>
    </w:p>
  </w:footnote>
  <w:footnote w:id="3">
    <w:p>
      <w:pPr>
        <w:pStyle w:val="FootnoteText"/>
        <w:ind w:left="426" w:hanging="426"/>
        <w:jc w:val="both"/>
      </w:pPr>
      <w:r>
        <w:rPr>
          <w:rStyle w:val="FootnoteReference"/>
        </w:rPr>
        <w:footnoteRef/>
      </w:r>
      <w:r>
        <w:tab/>
      </w:r>
      <w:r>
        <w:rPr>
          <w:rFonts w:ascii="Times New Roman" w:hAnsi="Times New Roman"/>
        </w:rPr>
        <w:t>HL C 115., 2010.5.4., 1. o.</w:t>
      </w:r>
    </w:p>
  </w:footnote>
  <w:footnote w:id="4">
    <w:p>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HL L 280., 2010.10.26., 1. o.</w:t>
      </w:r>
    </w:p>
  </w:footnote>
  <w:footnote w:id="5">
    <w:p>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2013/48/EU irányelv a büntetőeljárás során és az európai elfogatóparancshoz kapcsolódó eljárásokban ügyvédi segítség igénybevételéhez való jogról, valamint valamely harmadik félnek a szabadságelvonáskor történő tájékoztatásához való jogról és a szabadságelvonás ideje alatt harmadik felekkel és a konzuli hatóságokkal való kommunikációhoz való jogról (HL 294., 2013.11.6., 1. o.).</w:t>
      </w:r>
    </w:p>
  </w:footnote>
  <w:footnote w:id="6">
    <w:p>
      <w:pPr>
        <w:pStyle w:val="FootnoteText"/>
        <w:ind w:left="426" w:hanging="426"/>
        <w:jc w:val="both"/>
      </w:pPr>
      <w:r>
        <w:rPr>
          <w:rStyle w:val="FootnoteReference"/>
        </w:rPr>
        <w:footnoteRef/>
      </w:r>
      <w:r>
        <w:tab/>
      </w:r>
      <w:r>
        <w:rPr>
          <w:rFonts w:ascii="Times New Roman" w:hAnsi="Times New Roman"/>
        </w:rPr>
        <w:t>Az (EU) 2016/343 irányelv a büntetőeljárás során az ártatlanság vélelme egyes vonatkozásainak és a tárgyaláson való jelenlét jogának megerősítéséről (HL L 65., 2016.3.11., 1. o.).</w:t>
      </w:r>
    </w:p>
  </w:footnote>
  <w:footnote w:id="7">
    <w:p>
      <w:pPr>
        <w:pStyle w:val="FootnoteText"/>
        <w:ind w:left="426" w:hanging="426"/>
        <w:jc w:val="both"/>
      </w:pPr>
      <w:r>
        <w:rPr>
          <w:rStyle w:val="FootnoteReference"/>
        </w:rPr>
        <w:footnoteRef/>
      </w:r>
      <w:r>
        <w:tab/>
      </w:r>
      <w:r>
        <w:rPr>
          <w:rFonts w:ascii="Times New Roman" w:hAnsi="Times New Roman"/>
        </w:rPr>
        <w:t>Az (EU) 2016/800 irányelv a büntetőeljárás során gyanúsított vagy vádlott gyermekek részére nyújtandó eljárási biztosítékokról (HL L 132., 2016.5.21., 1. o.).</w:t>
      </w:r>
    </w:p>
  </w:footnote>
  <w:footnote w:id="8">
    <w:p>
      <w:pPr>
        <w:pStyle w:val="FootnoteText"/>
        <w:ind w:left="426" w:hanging="426"/>
        <w:jc w:val="both"/>
        <w:rPr>
          <w:rFonts w:ascii="Times New Roman" w:hAnsi="Times New Roman" w:cs="Times New Roman"/>
        </w:rPr>
      </w:pPr>
      <w:r>
        <w:rPr>
          <w:rStyle w:val="FootnoteReference"/>
        </w:rPr>
        <w:footnoteRef/>
      </w:r>
      <w:r>
        <w:rPr>
          <w:rFonts w:ascii="Times New Roman" w:hAnsi="Times New Roman"/>
        </w:rPr>
        <w:tab/>
        <w:t>Az (EU) 2016/1919 irányelv a büntetőeljárások során a gyanúsítottak és a vádlottak, valamint az európai elfogatóparancshoz kapcsolódó eljárásokban a keresett személyek költségmentességéről (HL L 297., 2016.11.4., 1. o.).</w:t>
      </w:r>
    </w:p>
  </w:footnote>
  <w:footnote w:id="9">
    <w:p>
      <w:pPr>
        <w:pStyle w:val="FootnoteText"/>
        <w:ind w:left="426" w:hanging="426"/>
        <w:jc w:val="both"/>
      </w:pPr>
      <w:r>
        <w:rPr>
          <w:rStyle w:val="FootnoteReference"/>
        </w:rPr>
        <w:footnoteRef/>
      </w:r>
      <w:r>
        <w:tab/>
      </w:r>
      <w:r>
        <w:rPr>
          <w:rFonts w:ascii="Times New Roman" w:hAnsi="Times New Roman"/>
        </w:rPr>
        <w:t>HL C 326., 2012.10.26., 392. o.</w:t>
      </w:r>
    </w:p>
  </w:footnote>
  <w:footnote w:id="10">
    <w:p>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 xml:space="preserve">Lásd az Európai Unió Bíróságának a C-612/15. sz., </w:t>
      </w:r>
      <w:r>
        <w:rPr>
          <w:rFonts w:ascii="Times New Roman" w:hAnsi="Times New Roman"/>
          <w:i/>
        </w:rPr>
        <w:t>Kolev a.o.</w:t>
      </w:r>
      <w:r>
        <w:rPr>
          <w:rFonts w:ascii="Times New Roman" w:hAnsi="Times New Roman"/>
        </w:rPr>
        <w:t xml:space="preserve"> ügyben hozott 2018. június 5-i ítéletét; valamint az ezen irányelvvel kapcsolatban hozott egyéb releváns ítéleteket, amelyek a következők: az EUB C-216/14., </w:t>
      </w:r>
      <w:r>
        <w:rPr>
          <w:rFonts w:ascii="Times New Roman" w:hAnsi="Times New Roman"/>
          <w:i/>
        </w:rPr>
        <w:t>Covaci</w:t>
      </w:r>
      <w:r>
        <w:rPr>
          <w:rFonts w:ascii="Times New Roman" w:hAnsi="Times New Roman"/>
        </w:rPr>
        <w:t xml:space="preserve">–ügyben hozott 2015. október 15-i ítélete; az EUB C-124/16., C-188/16. és C-213/16. sz., </w:t>
      </w:r>
      <w:r>
        <w:rPr>
          <w:rFonts w:ascii="Times New Roman" w:hAnsi="Times New Roman"/>
          <w:i/>
        </w:rPr>
        <w:t>Tranca a.o.</w:t>
      </w:r>
      <w:r>
        <w:rPr>
          <w:rFonts w:ascii="Times New Roman" w:hAnsi="Times New Roman"/>
        </w:rPr>
        <w:t xml:space="preserve"> egyesített ügyekben hozott 2017. március 22-i ítélete.</w:t>
      </w:r>
    </w:p>
  </w:footnote>
  <w:footnote w:id="11">
    <w:p>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Lásd az Európai Ügyvédi Kamarák Tanácsa által készített, 2016-ban közzétett „</w:t>
      </w:r>
      <w:r>
        <w:rPr>
          <w:rFonts w:ascii="Times New Roman" w:hAnsi="Times New Roman"/>
          <w:i/>
        </w:rPr>
        <w:t>TRAINAC – A büntetőeljárások során a tolmácsoláshoz és fordításhoz, a tájékoztatáshoz, valamint az ügyvédi segítség igénybevételéhez való jogra vonatkozó értékelés, bevált gyakorlatok és ajánlások</w:t>
      </w:r>
      <w:r>
        <w:rPr>
          <w:rFonts w:ascii="Times New Roman" w:hAnsi="Times New Roman"/>
        </w:rPr>
        <w:t xml:space="preserve">” c. tanulmányt. Elérhető a következő címen: </w:t>
      </w:r>
      <w:hyperlink r:id="rId1">
        <w:r>
          <w:rPr>
            <w:rStyle w:val="Hyperlink"/>
            <w:rFonts w:ascii="Times New Roman" w:hAnsi="Times New Roman"/>
          </w:rPr>
          <w:t>http://europeanlawyersfoundation.eu/wp-content/uploads/TRAINAC-study.pdf</w:t>
        </w:r>
      </w:hyperlink>
      <w:r>
        <w:rPr>
          <w:rStyle w:val="Hyperlink"/>
          <w:rFonts w:ascii="Times New Roman" w:hAnsi="Times New Roman"/>
          <w:color w:val="auto"/>
        </w:rPr>
        <w:t>.</w:t>
      </w:r>
      <w:r>
        <w:rPr>
          <w:rStyle w:val="Hyperlink"/>
          <w:rFonts w:ascii="Times New Roman" w:hAnsi="Times New Roman"/>
          <w:color w:val="auto"/>
          <w:u w:val="none"/>
        </w:rPr>
        <w:t xml:space="preserve"> Lásd még az Ír Tanács a Polgári Szabadságjogokért által 2014-ben, illetve 2018-ban készített „Rendőri őrizetben” és „Rendőri őrizetben 2.” munkákat. Elérhető a következő címen: </w:t>
      </w:r>
      <w:hyperlink r:id="rId2">
        <w:r>
          <w:rPr>
            <w:rStyle w:val="Hyperlink"/>
            <w:rFonts w:ascii="Times New Roman" w:hAnsi="Times New Roman"/>
          </w:rPr>
          <w:t>https://intersentia.be/nl/pdf/viewer/download/id/9781780681863_0/</w:t>
        </w:r>
      </w:hyperlink>
      <w:r>
        <w:rPr>
          <w:rStyle w:val="Hyperlink"/>
          <w:rFonts w:ascii="Times New Roman" w:hAnsi="Times New Roman"/>
          <w:color w:val="auto"/>
          <w:u w:val="none"/>
        </w:rPr>
        <w:t xml:space="preserve"> .</w:t>
      </w:r>
    </w:p>
    <w:p>
      <w:pPr>
        <w:pStyle w:val="FootnoteText"/>
      </w:pPr>
    </w:p>
  </w:footnote>
  <w:footnote w:id="12">
    <w:p>
      <w:pPr>
        <w:pStyle w:val="FootnoteText"/>
        <w:ind w:left="426" w:hanging="426"/>
        <w:jc w:val="both"/>
      </w:pPr>
      <w:r>
        <w:rPr>
          <w:rStyle w:val="FootnoteReference"/>
        </w:rPr>
        <w:footnoteRef/>
      </w:r>
      <w:r>
        <w:tab/>
      </w:r>
      <w:r>
        <w:rPr>
          <w:rFonts w:ascii="Times New Roman" w:hAnsi="Times New Roman"/>
        </w:rPr>
        <w:t>Lásd az Európai Unió Alapjogi Ügynökségének (FRA) „</w:t>
      </w:r>
      <w:r>
        <w:rPr>
          <w:rFonts w:ascii="Times New Roman" w:hAnsi="Times New Roman"/>
          <w:i/>
        </w:rPr>
        <w:t>A gyanúsított és vádlott személyek jogai az EU-ban: fordítás, tolmácsolás és tájékoztatás</w:t>
      </w:r>
      <w:r>
        <w:rPr>
          <w:rFonts w:ascii="Times New Roman" w:hAnsi="Times New Roman"/>
        </w:rPr>
        <w:t xml:space="preserve">” c. 2016. novemberi tanulmányát. Elérhető a következő címen: </w:t>
      </w:r>
      <w:hyperlink r:id="rId3">
        <w:r>
          <w:rPr>
            <w:rStyle w:val="Hyperlink"/>
            <w:rFonts w:ascii="Times New Roman" w:hAnsi="Times New Roman"/>
          </w:rPr>
          <w:t>http://fra/europaeuenpublication/2016/rights-suspected-and-accused-persons-across-eu-translation-interpretation</w:t>
        </w:r>
      </w:hyperlink>
    </w:p>
  </w:footnote>
  <w:footnote w:id="13">
    <w:p>
      <w:pPr>
        <w:pStyle w:val="FootnoteText"/>
        <w:ind w:left="426" w:hanging="426"/>
        <w:jc w:val="both"/>
      </w:pPr>
      <w:r>
        <w:rPr>
          <w:rStyle w:val="FootnoteReference"/>
        </w:rPr>
        <w:footnoteRef/>
      </w:r>
      <w:r>
        <w:tab/>
      </w:r>
      <w:r>
        <w:rPr>
          <w:rFonts w:ascii="Times New Roman" w:hAnsi="Times New Roman"/>
        </w:rPr>
        <w:t>Az egyik tagállam a területének csak egy részét érintette.</w:t>
      </w:r>
    </w:p>
  </w:footnote>
  <w:footnote w:id="14">
    <w:p>
      <w:pPr>
        <w:pStyle w:val="FootnoteText"/>
        <w:ind w:left="426" w:hanging="426"/>
        <w:jc w:val="both"/>
      </w:pPr>
      <w:r>
        <w:rPr>
          <w:rStyle w:val="FootnoteReference"/>
        </w:rPr>
        <w:footnoteRef/>
      </w:r>
      <w:r>
        <w:tab/>
      </w:r>
      <w:r>
        <w:rPr>
          <w:rFonts w:ascii="Times New Roman" w:hAnsi="Times New Roman"/>
        </w:rPr>
        <w:t>A büntetőeljárás során gyanúsított vagy vádolt kiszolgáltatott személyekre vonatkozó eljárási biztosítékokról szóló, 2013. november 27-i bizottsági ajánlás definíciója szerint kiszolgáltatott személy „valamennyi olyan gyanúsított és vádlott, [...] aki életkora, szellemi vagy fizikai állapota miatt nem képes megérteni a büntetőeljárást, és hatékonyan részt venni abban".</w:t>
      </w:r>
    </w:p>
  </w:footnote>
  <w:footnote w:id="15">
    <w:p>
      <w:pPr>
        <w:pStyle w:val="FootnoteText"/>
        <w:ind w:left="426" w:hanging="426"/>
        <w:jc w:val="both"/>
      </w:pPr>
      <w:r>
        <w:rPr>
          <w:rStyle w:val="FootnoteReference"/>
        </w:rPr>
        <w:footnoteRef/>
      </w:r>
      <w:r>
        <w:tab/>
      </w:r>
      <w:r>
        <w:rPr>
          <w:rFonts w:ascii="Times New Roman" w:hAnsi="Times New Roman"/>
        </w:rPr>
        <w:t>HL L 190., 2002.7.18., 1. o.</w:t>
      </w:r>
    </w:p>
  </w:footnote>
  <w:footnote w:id="16">
    <w:p>
      <w:pPr>
        <w:pStyle w:val="FootnoteText"/>
        <w:ind w:left="426" w:hanging="426"/>
        <w:jc w:val="both"/>
      </w:pPr>
      <w:r>
        <w:rPr>
          <w:rStyle w:val="FootnoteReference"/>
        </w:rPr>
        <w:footnoteRef/>
      </w:r>
      <w:r>
        <w:tab/>
      </w:r>
      <w:r>
        <w:rPr>
          <w:rFonts w:ascii="Times New Roman" w:hAnsi="Times New Roman"/>
        </w:rPr>
        <w:t>A területe egy részén.</w:t>
      </w:r>
    </w:p>
  </w:footnote>
  <w:footnote w:id="17">
    <w:p>
      <w:pPr>
        <w:pStyle w:val="FootnoteText"/>
        <w:ind w:left="426" w:hanging="426"/>
        <w:jc w:val="both"/>
      </w:pPr>
      <w:r>
        <w:rPr>
          <w:rStyle w:val="FootnoteReference"/>
        </w:rPr>
        <w:footnoteRef/>
      </w:r>
      <w:r>
        <w:tab/>
      </w:r>
      <w:r>
        <w:rPr>
          <w:rFonts w:ascii="Times New Roman" w:hAnsi="Times New Roman"/>
        </w:rPr>
        <w:t>E tagállamok egyikében csak a terület egy része érintett.</w:t>
      </w:r>
    </w:p>
  </w:footnote>
  <w:footnote w:id="18">
    <w:p>
      <w:pPr>
        <w:pStyle w:val="FootnoteText"/>
        <w:ind w:left="426" w:hanging="426"/>
        <w:jc w:val="both"/>
      </w:pPr>
      <w:r>
        <w:rPr>
          <w:rStyle w:val="FootnoteReference"/>
        </w:rPr>
        <w:footnoteRef/>
      </w:r>
      <w:r>
        <w:tab/>
      </w:r>
      <w:r>
        <w:rPr>
          <w:rFonts w:ascii="Times New Roman" w:hAnsi="Times New Roman"/>
        </w:rPr>
        <w:t>A területe egy részén.</w:t>
      </w:r>
    </w:p>
  </w:footnote>
  <w:footnote w:id="19">
    <w:p>
      <w:pPr>
        <w:pStyle w:val="FootnoteText"/>
        <w:ind w:left="426" w:hanging="426"/>
        <w:jc w:val="both"/>
      </w:pPr>
      <w:r>
        <w:rPr>
          <w:rStyle w:val="FootnoteReference"/>
        </w:rPr>
        <w:footnoteRef/>
      </w:r>
      <w:r>
        <w:tab/>
      </w:r>
      <w:r>
        <w:rPr>
          <w:rFonts w:ascii="Times New Roman" w:hAnsi="Times New Roman"/>
        </w:rPr>
        <w:t xml:space="preserve">A Bíróság 2018. június 5-i ítélete, </w:t>
      </w:r>
      <w:r>
        <w:rPr>
          <w:rFonts w:ascii="Times New Roman" w:hAnsi="Times New Roman"/>
          <w:i/>
        </w:rPr>
        <w:t>Kolev a.o.</w:t>
      </w:r>
      <w:r>
        <w:rPr>
          <w:rFonts w:ascii="Times New Roman" w:hAnsi="Times New Roman"/>
        </w:rPr>
        <w:t>, C-612/15.</w:t>
      </w:r>
    </w:p>
  </w:footnote>
  <w:footnote w:id="20">
    <w:p>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 xml:space="preserve">A Bíróság 2015. október 15-i ítélete, </w:t>
      </w:r>
      <w:r>
        <w:rPr>
          <w:rFonts w:ascii="Times New Roman" w:hAnsi="Times New Roman"/>
          <w:i/>
        </w:rPr>
        <w:t>Covaci</w:t>
      </w:r>
      <w:r>
        <w:rPr>
          <w:rFonts w:ascii="Times New Roman" w:hAnsi="Times New Roman"/>
        </w:rPr>
        <w:t xml:space="preserve">, C-216/14; 2017. március 22-i ítélete, </w:t>
      </w:r>
      <w:r>
        <w:rPr>
          <w:rFonts w:ascii="Times New Roman" w:hAnsi="Times New Roman"/>
          <w:i/>
        </w:rPr>
        <w:t>Tranca a.o.</w:t>
      </w:r>
      <w:r>
        <w:rPr>
          <w:rFonts w:ascii="Times New Roman" w:hAnsi="Times New Roman"/>
        </w:rPr>
        <w:t xml:space="preserve"> C-124/16, C-188/16 és C-213/16 egyesített ügyek.</w:t>
      </w:r>
    </w:p>
    <w:p>
      <w:pPr>
        <w:pStyle w:val="FootnoteText"/>
      </w:pPr>
    </w:p>
  </w:footnote>
  <w:footnote w:id="21">
    <w:p>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 xml:space="preserve">Az Emberi Jogok Európai Bíróságának 2009. július 9-én a </w:t>
      </w:r>
      <w:r>
        <w:rPr>
          <w:rFonts w:ascii="Times New Roman" w:hAnsi="Times New Roman"/>
          <w:i/>
        </w:rPr>
        <w:t>Mooren kontra Németország</w:t>
      </w:r>
      <w:r>
        <w:rPr>
          <w:rFonts w:ascii="Times New Roman" w:hAnsi="Times New Roman"/>
        </w:rPr>
        <w:t xml:space="preserve"> 11364/03 ügyben hozott ítélete; 2003. január 9-én a </w:t>
      </w:r>
      <w:r>
        <w:rPr>
          <w:rFonts w:ascii="Times New Roman" w:hAnsi="Times New Roman"/>
          <w:i/>
        </w:rPr>
        <w:t>Shishkov kontra Bulgária</w:t>
      </w:r>
      <w:r>
        <w:rPr>
          <w:rFonts w:ascii="Times New Roman" w:hAnsi="Times New Roman"/>
        </w:rPr>
        <w:t xml:space="preserve"> 38822/97 ügyben hozott ítélete.</w:t>
      </w:r>
    </w:p>
  </w:footnote>
  <w:footnote w:id="22">
    <w:p>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w:t>
      </w:r>
      <w:r>
        <w:rPr>
          <w:rFonts w:ascii="Times New Roman" w:hAnsi="Times New Roman"/>
          <w:i/>
        </w:rPr>
        <w:t>Ennek értelmében a fogva tartás jogszerűségének értékeléséhez nélkülözhetetlen információt megfelelő módon elérhetővé kell tenni a gyanúsított ügyvédje számára</w:t>
      </w:r>
      <w:r>
        <w:rPr>
          <w:rFonts w:ascii="Times New Roman" w:hAnsi="Times New Roman"/>
        </w:rPr>
        <w:t xml:space="preserve">” – a </w:t>
      </w:r>
      <w:r>
        <w:rPr>
          <w:rFonts w:ascii="Times New Roman" w:hAnsi="Times New Roman"/>
          <w:i/>
        </w:rPr>
        <w:t>Shishkov kontra Bulgária</w:t>
      </w:r>
      <w:r>
        <w:rPr>
          <w:rFonts w:ascii="Times New Roman" w:hAnsi="Times New Roman"/>
        </w:rPr>
        <w:t xml:space="preserve"> 38822/97 ügyben hozott ítélet 77. pontja.</w:t>
      </w:r>
    </w:p>
  </w:footnote>
  <w:footnote w:id="23">
    <w:p>
      <w:pPr>
        <w:pStyle w:val="FootnoteText"/>
        <w:ind w:left="426" w:hanging="426"/>
        <w:jc w:val="both"/>
      </w:pPr>
      <w:r>
        <w:rPr>
          <w:rStyle w:val="FootnoteReference"/>
        </w:rPr>
        <w:footnoteRef/>
      </w:r>
      <w:r>
        <w:tab/>
      </w:r>
      <w:r>
        <w:rPr>
          <w:rFonts w:ascii="Times New Roman" w:hAnsi="Times New Roman"/>
        </w:rPr>
        <w:t xml:space="preserve">Az Emberi Jogok Európai Bíróságának 2014. február 20-án az </w:t>
      </w:r>
      <w:r>
        <w:rPr>
          <w:rFonts w:ascii="Times New Roman" w:hAnsi="Times New Roman"/>
          <w:i/>
        </w:rPr>
        <w:t>Ovsjannikov kontra Észtország</w:t>
      </w:r>
      <w:r>
        <w:rPr>
          <w:rFonts w:ascii="Times New Roman" w:hAnsi="Times New Roman"/>
        </w:rPr>
        <w:t xml:space="preserve"> 1346/12 ügyben hozott ítéletének 73. és 77. pontja; az Emberi Jogok Európai Bíróságának 2017. április 13-án a </w:t>
      </w:r>
      <w:r>
        <w:rPr>
          <w:rFonts w:ascii="Times New Roman" w:hAnsi="Times New Roman"/>
          <w:i/>
        </w:rPr>
        <w:t>Podeschi kontra San Marino</w:t>
      </w:r>
      <w:r>
        <w:rPr>
          <w:rFonts w:ascii="Times New Roman" w:hAnsi="Times New Roman"/>
        </w:rPr>
        <w:t xml:space="preserve"> 66357/14 ügyben hozott ítéletének 172–176. pontja.</w:t>
      </w:r>
    </w:p>
  </w:footnote>
  <w:footnote w:id="24">
    <w:p>
      <w:pPr>
        <w:pStyle w:val="FootnoteText"/>
        <w:ind w:left="426" w:hanging="426"/>
        <w:jc w:val="both"/>
      </w:pPr>
      <w:r>
        <w:rPr>
          <w:rStyle w:val="FootnoteReference"/>
        </w:rPr>
        <w:footnoteRef/>
      </w:r>
      <w:r>
        <w:tab/>
      </w:r>
      <w:r>
        <w:rPr>
          <w:rFonts w:ascii="Times New Roman" w:hAnsi="Times New Roman"/>
        </w:rPr>
        <w:t xml:space="preserve">A Bíróság 2018. június 5-i ítélete, </w:t>
      </w:r>
      <w:r>
        <w:rPr>
          <w:rFonts w:ascii="Times New Roman" w:hAnsi="Times New Roman"/>
          <w:i/>
        </w:rPr>
        <w:t>Kolev a.o.</w:t>
      </w:r>
      <w:r>
        <w:rPr>
          <w:rFonts w:ascii="Times New Roman" w:hAnsi="Times New Roman"/>
        </w:rPr>
        <w:t>, C-612/15.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378FA"/>
    <w:multiLevelType w:val="multilevel"/>
    <w:tmpl w:val="DC7C0D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C2C76AB"/>
    <w:multiLevelType w:val="hybridMultilevel"/>
    <w:tmpl w:val="EE6892C8"/>
    <w:lvl w:ilvl="0" w:tplc="040E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C732D26-57E8-4BA9-9B79-9DB472DBE7C8"/>
    <w:docVar w:name="LW_COVERPAGE_TYPE" w:val="1"/>
    <w:docVar w:name="LW_CROSSREFERENCE" w:val="&lt;UNUSED&gt;"/>
    <w:docVar w:name="LW_DocType" w:val="NORMAL"/>
    <w:docVar w:name="LW_EMISSION" w:val="2018.12.18."/>
    <w:docVar w:name="LW_EMISSION_ISODATE" w:val="2018-12-18"/>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8) 8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a büntet\u337?eljárás során a tájékoztatáshoz való jogról szóló, 2012. május 22-i 2012/13/EU európai parlamenti és tanácsi irányelv végrehajtásáról&lt;/FMT&gt;"/>
    <w:docVar w:name="LW_TYPE.DOC.CP" w:val="A BIZOTTSÁG JELENTÉSE AZ EURÓPAI PARLAMENTNEK ÉS A TANÁCSNAK"/>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ra/europaeuenpublication/2016/rights-suspected-and-accused-persons-across-eu-translation-interpretation" TargetMode="External"/><Relationship Id="rId2" Type="http://schemas.openxmlformats.org/officeDocument/2006/relationships/hyperlink" Target="https://intersentia.be/nl/pdf/viewer/download/id/9781780681863_0/" TargetMode="External"/><Relationship Id="rId1" Type="http://schemas.openxmlformats.org/officeDocument/2006/relationships/hyperlink" Target="http://europeanlawyersfoundation.eu/wp-content/uploads/TRAINAC-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2920-646B-4240-9FA0-8D6409C7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6425</Words>
  <Characters>44720</Characters>
  <Application>Microsoft Office Word</Application>
  <DocSecurity>0</DocSecurity>
  <Lines>677</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23</cp:revision>
  <dcterms:created xsi:type="dcterms:W3CDTF">2018-12-11T09:38:00Z</dcterms:created>
  <dcterms:modified xsi:type="dcterms:W3CDTF">2018-12-18T08:08:00Z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