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48" w:rsidRDefault="00D128D3" w:rsidP="00D128D3">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6441EE2-3334-41F7-B2DA-D8726EE00CAF" style="width:450.75pt;height:6in">
            <v:imagedata r:id="rId8" o:title=""/>
          </v:shape>
        </w:pict>
      </w:r>
    </w:p>
    <w:bookmarkEnd w:id="0"/>
    <w:p w:rsidR="00DA4948" w:rsidRDefault="00DA4948">
      <w:pPr>
        <w:sectPr w:rsidR="00DA4948" w:rsidSect="00D128D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A4948" w:rsidRDefault="0027454F">
      <w:pPr>
        <w:pStyle w:val="Annexetitre"/>
        <w:rPr>
          <w:u w:val="none"/>
        </w:rPr>
      </w:pPr>
      <w:bookmarkStart w:id="1" w:name="_GoBack"/>
      <w:bookmarkEnd w:id="1"/>
      <w:r>
        <w:rPr>
          <w:u w:val="none"/>
        </w:rPr>
        <w:lastRenderedPageBreak/>
        <w:t>LIITE</w:t>
      </w:r>
    </w:p>
    <w:p w:rsidR="00DA4948" w:rsidRDefault="00DA4948">
      <w:pPr>
        <w:autoSpaceDE w:val="0"/>
        <w:autoSpaceDN w:val="0"/>
        <w:adjustRightInd w:val="0"/>
        <w:spacing w:before="0" w:after="0"/>
        <w:rPr>
          <w:sz w:val="20"/>
          <w:szCs w:val="20"/>
        </w:rPr>
      </w:pPr>
    </w:p>
    <w:p w:rsidR="00DA4948" w:rsidRDefault="00DA4948">
      <w:pPr>
        <w:rPr>
          <w:b/>
          <w:szCs w:val="24"/>
        </w:rPr>
      </w:pPr>
    </w:p>
    <w:p w:rsidR="00DA4948" w:rsidRDefault="0027454F">
      <w:pPr>
        <w:ind w:left="851" w:hanging="851"/>
        <w:rPr>
          <w:b/>
          <w:szCs w:val="24"/>
          <w:u w:val="single"/>
        </w:rPr>
      </w:pPr>
      <w:r>
        <w:rPr>
          <w:b/>
          <w:u w:val="single"/>
        </w:rPr>
        <w:t>1 osa</w:t>
      </w:r>
      <w:r>
        <w:rPr>
          <w:b/>
          <w:u w:val="single"/>
        </w:rPr>
        <w:tab/>
        <w:t>Yhteenveto 1 ja 2 sentin eurokolikoita koskevasta sidosryhmien kuulemisesta</w:t>
      </w:r>
      <w:r>
        <w:rPr>
          <w:b/>
          <w:u w:val="single"/>
        </w:rPr>
        <w:br/>
        <w:t>marras-joulukuussa 2017</w:t>
      </w:r>
    </w:p>
    <w:p w:rsidR="00DA4948" w:rsidRDefault="00DA4948">
      <w:pPr>
        <w:rPr>
          <w:b/>
          <w:szCs w:val="24"/>
        </w:rPr>
      </w:pPr>
    </w:p>
    <w:p w:rsidR="00DA4948" w:rsidRDefault="0027454F">
      <w:pPr>
        <w:rPr>
          <w:b/>
          <w:szCs w:val="24"/>
        </w:rPr>
      </w:pPr>
      <w:r>
        <w:rPr>
          <w:b/>
        </w:rPr>
        <w:t>A.</w:t>
      </w:r>
      <w:r>
        <w:rPr>
          <w:b/>
        </w:rPr>
        <w:tab/>
        <w:t>Tausta</w:t>
      </w:r>
    </w:p>
    <w:p w:rsidR="00DA4948" w:rsidRDefault="0027454F">
      <w:pPr>
        <w:rPr>
          <w:szCs w:val="24"/>
        </w:rPr>
      </w:pPr>
      <w:r>
        <w:t>Komissio tiedotti 9. marraskuuta 2017 sähköpostitse EU:n eurokolikkosidosryhmille samana päivänä käynnistettävästä sähköisestä kyselytutkimuksesta, joka koski yhden ja kahden sentin kolikoiden kustannuksia ja käyttöä. Sidosryhmiä pyydettiin vastaamaan kyselyyn. Kyselytutkimuksen kysymykset oli räätälöity sen mukaan, mikä kunkin sidosryhmän rooli on yhden ja kahden sentin kolikoiden kierrossa.</w:t>
      </w:r>
    </w:p>
    <w:p w:rsidR="00DA4948" w:rsidRDefault="0027454F">
      <w:pPr>
        <w:rPr>
          <w:szCs w:val="24"/>
        </w:rPr>
      </w:pPr>
      <w:r>
        <w:t>Seuraavia sidosryhmiä pyydettiin vastaamaan kyselyyn:</w:t>
      </w:r>
    </w:p>
    <w:p w:rsidR="00DA4948" w:rsidRDefault="0027454F">
      <w:pPr>
        <w:pStyle w:val="ListParagraph"/>
        <w:numPr>
          <w:ilvl w:val="0"/>
          <w:numId w:val="46"/>
        </w:numPr>
        <w:spacing w:before="0" w:after="200" w:line="276" w:lineRule="auto"/>
        <w:rPr>
          <w:szCs w:val="24"/>
        </w:rPr>
      </w:pPr>
      <w:r>
        <w:t>euroalueen kansalliset viranomaiset eurokolikoiden laillisina liikkeeseenlaskijoina</w:t>
      </w:r>
    </w:p>
    <w:p w:rsidR="00DA4948" w:rsidRDefault="0027454F">
      <w:pPr>
        <w:pStyle w:val="ListParagraph"/>
        <w:numPr>
          <w:ilvl w:val="0"/>
          <w:numId w:val="46"/>
        </w:numPr>
        <w:spacing w:before="0" w:after="200" w:line="276" w:lineRule="auto"/>
        <w:rPr>
          <w:szCs w:val="24"/>
        </w:rPr>
      </w:pPr>
      <w:r>
        <w:t>euroalueen ulkopuoliset jäsenvaltiot (joita koskee poikkeus tai vapautus)</w:t>
      </w:r>
    </w:p>
    <w:p w:rsidR="00DA4948" w:rsidRDefault="0027454F">
      <w:pPr>
        <w:pStyle w:val="ListParagraph"/>
        <w:numPr>
          <w:ilvl w:val="0"/>
          <w:numId w:val="46"/>
        </w:numPr>
        <w:spacing w:before="0" w:after="200" w:line="276" w:lineRule="auto"/>
        <w:rPr>
          <w:szCs w:val="24"/>
        </w:rPr>
      </w:pPr>
      <w:r>
        <w:t>Euroopan keskuspankki</w:t>
      </w:r>
    </w:p>
    <w:p w:rsidR="00DA4948" w:rsidRDefault="0027454F">
      <w:pPr>
        <w:pStyle w:val="ListParagraph"/>
        <w:numPr>
          <w:ilvl w:val="0"/>
          <w:numId w:val="46"/>
        </w:numPr>
        <w:spacing w:before="0" w:after="200" w:line="276" w:lineRule="auto"/>
        <w:rPr>
          <w:szCs w:val="24"/>
        </w:rPr>
      </w:pPr>
      <w:r>
        <w:t>euroalueen kansalliset keskuspankit</w:t>
      </w:r>
    </w:p>
    <w:p w:rsidR="00DA4948" w:rsidRDefault="0027454F">
      <w:pPr>
        <w:pStyle w:val="ListParagraph"/>
        <w:numPr>
          <w:ilvl w:val="0"/>
          <w:numId w:val="46"/>
        </w:numPr>
        <w:spacing w:before="0" w:after="200" w:line="276" w:lineRule="auto"/>
        <w:rPr>
          <w:szCs w:val="24"/>
        </w:rPr>
      </w:pPr>
      <w:r>
        <w:t>eurokolikoita valmistavat eurooppalaiset rahapajat</w:t>
      </w:r>
    </w:p>
    <w:p w:rsidR="00DA4948" w:rsidRDefault="0027454F">
      <w:pPr>
        <w:pStyle w:val="ListParagraph"/>
        <w:numPr>
          <w:ilvl w:val="0"/>
          <w:numId w:val="46"/>
        </w:numPr>
        <w:spacing w:before="0" w:after="200" w:line="276" w:lineRule="auto"/>
        <w:rPr>
          <w:szCs w:val="24"/>
        </w:rPr>
      </w:pPr>
      <w:r>
        <w:t>kaikki asiaankuuluvat eurooppalaiset yhdistykset: kolme pankkiyhdistystä, yksi rahankäsittelijöiden yhdistys, kaksi vähittäiskauppiasyhdistystä ja kaksi kuluttajayhdistystä.</w:t>
      </w:r>
    </w:p>
    <w:p w:rsidR="00DA4948" w:rsidRDefault="0027454F">
      <w:pPr>
        <w:rPr>
          <w:szCs w:val="24"/>
        </w:rPr>
      </w:pPr>
      <w:r>
        <w:t>Vastausten määräaikaa pidennettiin kerran. Loppujen lopuksi sidosryhmillä oli 31. joulukuuta 2017 asti aikaa antaa vastauksensa.</w:t>
      </w:r>
    </w:p>
    <w:p w:rsidR="00DA4948" w:rsidRDefault="0027454F">
      <w:pPr>
        <w:rPr>
          <w:b/>
          <w:szCs w:val="24"/>
        </w:rPr>
      </w:pPr>
      <w:r>
        <w:rPr>
          <w:b/>
        </w:rPr>
        <w:t>B.</w:t>
      </w:r>
      <w:r>
        <w:rPr>
          <w:b/>
        </w:rPr>
        <w:tab/>
        <w:t>Vastausprosentti</w:t>
      </w:r>
    </w:p>
    <w:p w:rsidR="00DA4948" w:rsidRDefault="0027454F">
      <w:pPr>
        <w:rPr>
          <w:szCs w:val="24"/>
        </w:rPr>
      </w:pPr>
      <w:r>
        <w:t xml:space="preserve">Kyselyyn vastasivat lähes kaikki julkiset sidosryhmät. Kaikki yksityiset EU:n pankki- ja rahankäsittely-yhdistykset vastasivat. </w:t>
      </w:r>
    </w:p>
    <w:p w:rsidR="00DA4948" w:rsidRDefault="0027454F">
      <w:pPr>
        <w:rPr>
          <w:szCs w:val="24"/>
        </w:rPr>
      </w:pPr>
      <w:r>
        <w:t>EU:n tason vähittäiskauppias- tai kuluttajajärjestöiltä ei saatu yhtään kannanottoa. Kyselyyn vastasi kuitenkin 12 kansallista vähittäiskauppiasjärjestöä luultavasti siksi, että ne saivat tiedon vastaavalta eurooppalaiselta yhdistykseltä. EU:n kuluttajayhdistys ilmoitti, että sillä ei ole tietoja eikä näyttöä asioista, joihin kysymyksissä viitattiin.</w:t>
      </w:r>
    </w:p>
    <w:p w:rsidR="00DA4948" w:rsidRDefault="0027454F">
      <w:pPr>
        <w:rPr>
          <w:szCs w:val="24"/>
        </w:rPr>
      </w:pPr>
      <w:r>
        <w:t>Kaikki julkiset ja yksityiset sidosryhmät eivät vastanneet kaikkiin esitettyihin kysymyksiin.</w:t>
      </w:r>
    </w:p>
    <w:p w:rsidR="00DA4948" w:rsidRDefault="0027454F">
      <w:pPr>
        <w:rPr>
          <w:b/>
          <w:szCs w:val="24"/>
        </w:rPr>
      </w:pPr>
      <w:r>
        <w:rPr>
          <w:b/>
        </w:rPr>
        <w:t>C.</w:t>
      </w:r>
      <w:r>
        <w:rPr>
          <w:b/>
        </w:rPr>
        <w:tab/>
        <w:t>Yhteenvetoanalyysi sidosryhmien vastauksista</w:t>
      </w:r>
    </w:p>
    <w:p w:rsidR="00DA4948" w:rsidRDefault="0027454F">
      <w:pPr>
        <w:rPr>
          <w:b/>
          <w:i/>
          <w:szCs w:val="24"/>
        </w:rPr>
      </w:pPr>
      <w:r>
        <w:rPr>
          <w:b/>
          <w:i/>
        </w:rPr>
        <w:t>1.</w:t>
      </w:r>
      <w:r>
        <w:rPr>
          <w:b/>
          <w:i/>
        </w:rPr>
        <w:tab/>
        <w:t>Lailliset liikkeeseenlaskijat</w:t>
      </w:r>
    </w:p>
    <w:p w:rsidR="00DA4948" w:rsidRDefault="0027454F">
      <w:pPr>
        <w:rPr>
          <w:szCs w:val="24"/>
        </w:rPr>
      </w:pPr>
      <w:r>
        <w:t>Kaksi laillista liikkeeseenlaskijaa ilmoitti, että yhden ja kahden sentin kolikoiden hankintakustannukset olivat alentuneet, kun taas kolme liikkeeseenlaskijaa totesi kustannusten nousseen.</w:t>
      </w:r>
    </w:p>
    <w:p w:rsidR="00DA4948" w:rsidRDefault="0027454F">
      <w:pPr>
        <w:rPr>
          <w:szCs w:val="24"/>
        </w:rPr>
      </w:pPr>
      <w:r>
        <w:t>Kolme laillista liikkeeseenlaskijaa kertoi pystyvänsä hankkimaan yhden sentin kolikoita nimellisarvoa halvemmalla. Useimmissa tapauksissa yhden sentin kolikoiden hankinta vaikuttaa olevan kallista. Kaiken kaikkiaan yhden sentin kolikoiden hankintahinta oli kaikilla laillisilla liikkeeseenlaskijoilla 0,9–2,0 senttiä.</w:t>
      </w:r>
    </w:p>
    <w:p w:rsidR="00DA4948" w:rsidRDefault="00DA4948">
      <w:pPr>
        <w:rPr>
          <w:szCs w:val="24"/>
        </w:rPr>
      </w:pPr>
    </w:p>
    <w:p w:rsidR="00DA4948" w:rsidRDefault="0027454F">
      <w:pPr>
        <w:keepNext/>
        <w:rPr>
          <w:b/>
          <w:i/>
          <w:szCs w:val="24"/>
        </w:rPr>
      </w:pPr>
      <w:r>
        <w:rPr>
          <w:b/>
          <w:i/>
        </w:rPr>
        <w:t>2.</w:t>
      </w:r>
      <w:r>
        <w:rPr>
          <w:b/>
          <w:i/>
        </w:rPr>
        <w:tab/>
        <w:t>Euroalueen ulkopuoliset jäsenvaltiot</w:t>
      </w:r>
    </w:p>
    <w:p w:rsidR="00DA4948" w:rsidRDefault="0027454F">
      <w:pPr>
        <w:rPr>
          <w:szCs w:val="24"/>
        </w:rPr>
      </w:pPr>
      <w:r>
        <w:t>Kyselyyn vastasi neljä jäsenvaltiota, jotka eivät (vielä) kuulu euroalueeseen. Kahdella niistä on liikkeessä kansallisia kolikoita, joiden nimellisarvo on pienempi kuin 1 sentin eurokolikon. Kaksi jäsenvaltiota piti parempana sitä, että jos euro otettaisiin käyttöön, viiden sentin kolikko olisi pienin eurokolikko.</w:t>
      </w:r>
    </w:p>
    <w:p w:rsidR="00DA4948" w:rsidRDefault="0027454F">
      <w:pPr>
        <w:rPr>
          <w:b/>
          <w:i/>
          <w:szCs w:val="24"/>
        </w:rPr>
      </w:pPr>
      <w:r>
        <w:rPr>
          <w:b/>
          <w:i/>
        </w:rPr>
        <w:t>3.</w:t>
      </w:r>
      <w:r>
        <w:rPr>
          <w:b/>
          <w:i/>
        </w:rPr>
        <w:tab/>
        <w:t>EKP ja euroalueen kansalliset keskuspankit</w:t>
      </w:r>
    </w:p>
    <w:p w:rsidR="00DA4948" w:rsidRDefault="0027454F">
      <w:pPr>
        <w:rPr>
          <w:szCs w:val="24"/>
        </w:rPr>
      </w:pPr>
      <w:r>
        <w:t>EKP totesi, että yhden ja kahden sentin kolikoiden mahdollinen käytöstä poistaminen ja ostosten loppusumman pyöristäminen lähimpään 5 senttiin käteisellä maksettaessa ei vaikuttaisi merkittävästi hintavakauteen.</w:t>
      </w:r>
    </w:p>
    <w:p w:rsidR="00DA4948" w:rsidRDefault="0027454F">
      <w:pPr>
        <w:rPr>
          <w:szCs w:val="24"/>
        </w:rPr>
      </w:pPr>
      <w:r>
        <w:t>Kyselyyn vastasi kolmetoista kansallista keskuspankkia. Yhden ja kahden sentin kolikoita palautuu kansallisiin keskuspankkeihin yleisesti ottaen vähän niiden huonon liikkumisen vuoksi. Syynä siihen ovat kuljetuskustannukset, maantiede ja joissakin tapauksissa kolikoiden tallettamista koskevat toimintaperiaatteet, vaikkakaan siitä perittävät maksut eivät eroa yksikköarvon mukaan.</w:t>
      </w:r>
    </w:p>
    <w:p w:rsidR="00DA4948" w:rsidRDefault="0027454F">
      <w:pPr>
        <w:rPr>
          <w:b/>
          <w:i/>
          <w:szCs w:val="24"/>
        </w:rPr>
      </w:pPr>
      <w:r>
        <w:rPr>
          <w:b/>
          <w:i/>
        </w:rPr>
        <w:t>4.</w:t>
      </w:r>
      <w:r>
        <w:rPr>
          <w:b/>
          <w:i/>
        </w:rPr>
        <w:tab/>
        <w:t>Eurooppalaiset rahapajat</w:t>
      </w:r>
    </w:p>
    <w:p w:rsidR="00DA4948" w:rsidRDefault="0027454F">
      <w:pPr>
        <w:rPr>
          <w:szCs w:val="24"/>
        </w:rPr>
      </w:pPr>
      <w:r>
        <w:t>Kyselyyn vastasi seitsemän rahapajaa, jotka lyövät eurokolikoita. Neljä niistä ilmoitti, että ne eivät pystyneet tuottamaan yhden sentin kolikoita alle nimellisarvon, ja joillakin tämä koskee myös kahden sentin kolikoita. Jotkin rahapajat totesivat, että valmistus alle nimellisarvon ei ole ollut mahdollista silloinkaan, kun tuotanto- ja metallikustannukset ovat olleet alhaisemmat. Muutama rahapaja toivoo voivansa alentaa yhden ja kahden sentin kolikoiden kustannuksia sovituilla kustannuksia säästävillä ominaisuuksilla vuodesta 2018.</w:t>
      </w:r>
    </w:p>
    <w:p w:rsidR="00DA4948" w:rsidRDefault="0027454F">
      <w:pPr>
        <w:rPr>
          <w:szCs w:val="24"/>
        </w:rPr>
      </w:pPr>
      <w:r>
        <w:t>Useimmiten yhden ja kahden sentin kolikoiden poistaminen käytöstä vaikuttaisi vain vähän tai ei vaikuttaisi lainkaan rahapajan henkilöstöön. Näiden kolikoiden lyömiseen tarvittavan henkilöstön määrä on yleensä hyvin pieni lukuun ottamatta yhtä jäsenvaltiota, jossa on otettu huomioon aihiotuotannossa, pakkauksessa, varastoinnissa ja kierrätyksessä olevat työpaikat.</w:t>
      </w:r>
    </w:p>
    <w:p w:rsidR="00DA4948" w:rsidRDefault="0027454F">
      <w:pPr>
        <w:rPr>
          <w:szCs w:val="24"/>
        </w:rPr>
      </w:pPr>
      <w:r>
        <w:t>Yksi rahapaja vihjaa, että yhden ja kahden sentin kolikot ovat joka tapauksessa ympäristön näkökulmasta kriittisiä.</w:t>
      </w:r>
    </w:p>
    <w:p w:rsidR="00DA4948" w:rsidRDefault="0027454F">
      <w:pPr>
        <w:rPr>
          <w:szCs w:val="24"/>
        </w:rPr>
      </w:pPr>
      <w:r>
        <w:t>Yksi rahapaja kertoi, että usean rahapajan aihioiden yhteishankinta oli epäonnistunut.</w:t>
      </w:r>
    </w:p>
    <w:p w:rsidR="00DA4948" w:rsidRDefault="0027454F">
      <w:pPr>
        <w:rPr>
          <w:b/>
          <w:i/>
          <w:szCs w:val="24"/>
        </w:rPr>
      </w:pPr>
      <w:r>
        <w:rPr>
          <w:b/>
          <w:i/>
        </w:rPr>
        <w:t>5.</w:t>
      </w:r>
      <w:r>
        <w:rPr>
          <w:b/>
          <w:i/>
        </w:rPr>
        <w:tab/>
        <w:t>Rahaa käsittelevät laitokset</w:t>
      </w:r>
    </w:p>
    <w:p w:rsidR="00DA4948" w:rsidRDefault="0027454F">
      <w:pPr>
        <w:rPr>
          <w:szCs w:val="24"/>
        </w:rPr>
      </w:pPr>
      <w:r>
        <w:t>Kyselystä kävi ilmi, että rahaa ammattimaisesti käsittelevät laitokset (rahankäsittely-yritykset/arvokuljetusyritykset) ovat eri mieltä 1 ja 2 sentin eurokolikoiden hyödyistä ja tulevaisuudesta. Yhden ja kahden sentin kolikoiden palautuminen rahankäsittely-yrityksille vaikuttaa joissakin tapauksissa hidastuneen ajan mittaan. Yhden ja kahden sentin eurokolikoiden käsittelyhinnan suuntauksista laitokset eivät antaneet mitään tietoa.</w:t>
      </w:r>
    </w:p>
    <w:p w:rsidR="00DA4948" w:rsidRDefault="0027454F">
      <w:pPr>
        <w:rPr>
          <w:b/>
          <w:i/>
          <w:szCs w:val="24"/>
        </w:rPr>
      </w:pPr>
      <w:r>
        <w:br w:type="column"/>
      </w:r>
      <w:r>
        <w:rPr>
          <w:b/>
          <w:i/>
        </w:rPr>
        <w:t>6.</w:t>
      </w:r>
      <w:r>
        <w:rPr>
          <w:b/>
          <w:i/>
        </w:rPr>
        <w:tab/>
        <w:t>Liikepankit</w:t>
      </w:r>
    </w:p>
    <w:p w:rsidR="00DA4948" w:rsidRDefault="0027454F">
      <w:pPr>
        <w:rPr>
          <w:szCs w:val="24"/>
        </w:rPr>
      </w:pPr>
      <w:r>
        <w:t>Neljä liikepankkia, joista kaksi samasta maasta, vastasi suoraan.</w:t>
      </w:r>
    </w:p>
    <w:p w:rsidR="00DA4948" w:rsidRDefault="0027454F">
      <w:pPr>
        <w:rPr>
          <w:szCs w:val="24"/>
        </w:rPr>
      </w:pPr>
      <w:r>
        <w:t>Tallettamiselle asetetuissa ehdoissa ja maksuissa ei ollut nimellisarvoon perustuvia eroja.</w:t>
      </w:r>
    </w:p>
    <w:p w:rsidR="00DA4948" w:rsidRDefault="0027454F">
      <w:pPr>
        <w:rPr>
          <w:szCs w:val="24"/>
        </w:rPr>
      </w:pPr>
      <w:r>
        <w:t>Yhden euroalueen jäsenvaltion pankeilla on suuret varastot yhden ja kahden sentin kolikoita. Yksi pankki katsoi, että näiden kolikoiden kysyntä kasvaa mutta niitä talletetaan vähän. Toinen ilmoitti, että yhden ja kahden sentin käytöstäpoistot ja talletukset olivat vähenemässä.</w:t>
      </w:r>
    </w:p>
    <w:p w:rsidR="00DA4948" w:rsidRDefault="0027454F">
      <w:pPr>
        <w:rPr>
          <w:szCs w:val="24"/>
        </w:rPr>
      </w:pPr>
      <w:r>
        <w:t>Kolme pankkia katsoi, että yhden ja kahden sentin kolikoiden liikkuminen ei ollut vähentynyt suhteessa muiden yksikköarvojen kolikoiden liikkumiseen.</w:t>
      </w:r>
    </w:p>
    <w:p w:rsidR="00DA4948" w:rsidRDefault="0027454F">
      <w:pPr>
        <w:rPr>
          <w:szCs w:val="24"/>
        </w:rPr>
      </w:pPr>
      <w:r>
        <w:t>Pankit ilmoittivat, että yhden ja kahden sentin kolikoiden asiakasprofiili ei ole muuttunut.</w:t>
      </w:r>
    </w:p>
    <w:p w:rsidR="00DA4948" w:rsidRDefault="0027454F">
      <w:pPr>
        <w:rPr>
          <w:szCs w:val="24"/>
        </w:rPr>
      </w:pPr>
      <w:r>
        <w:t>Näkemykset käteispalvelujen hinnoittelun suuntauksista vaihtelivat eri pankeissa.</w:t>
      </w:r>
    </w:p>
    <w:p w:rsidR="00DA4948" w:rsidRDefault="0027454F">
      <w:pPr>
        <w:rPr>
          <w:b/>
          <w:i/>
          <w:szCs w:val="24"/>
        </w:rPr>
      </w:pPr>
      <w:r>
        <w:rPr>
          <w:b/>
          <w:i/>
        </w:rPr>
        <w:t>7.</w:t>
      </w:r>
      <w:r>
        <w:rPr>
          <w:b/>
          <w:i/>
        </w:rPr>
        <w:tab/>
        <w:t>Vähittäiskaupat</w:t>
      </w:r>
    </w:p>
    <w:p w:rsidR="00DA4948" w:rsidRDefault="0027454F">
      <w:pPr>
        <w:rPr>
          <w:szCs w:val="24"/>
        </w:rPr>
      </w:pPr>
      <w:r>
        <w:t xml:space="preserve">Kyselyyn vastasi kaksitoista kansallista vähittäiskauppiasjärjestöä (eurooppalaisen liittonsa kautta). Näkemykset hintamuutoksista ja loppusumman pyöristämiskäytännöstä vaihtelivat huomattavasti. Osa vähittäiskauppiaista kertoi, että asiakkaat eivät suostu pyöristämiseen lainkaan ja että jotkut asiakkaat maksaisivat enemmän ja jotkut vähemmän (mutta se tasoittuisi ajan mittaan). Yhden vastaajan mukaan vähittäiskauppiaat pyöristävät loppusumman </w:t>
      </w:r>
      <w:r>
        <w:rPr>
          <w:i/>
        </w:rPr>
        <w:t>aina</w:t>
      </w:r>
      <w:r>
        <w:t xml:space="preserve"> alaspäin.</w:t>
      </w:r>
    </w:p>
    <w:p w:rsidR="00DA4948" w:rsidRDefault="0027454F">
      <w:pPr>
        <w:rPr>
          <w:szCs w:val="24"/>
        </w:rPr>
      </w:pPr>
      <w:r>
        <w:t>Kaksi vähittäiskauppiasjärjestöä voisi harkita yksittäisten yksikköhintojen nostamista, jos pyöristäminen otettaisiin käyttöön. Seitsemän vähittäiskauppiasta ilmoitti selvästi, että he eivät nostaisi hintoja kertaluonteisesti, jos pyöristäminen otettaisiin käyttöön.</w:t>
      </w:r>
    </w:p>
    <w:p w:rsidR="00DA4948" w:rsidRDefault="0027454F">
      <w:pPr>
        <w:rPr>
          <w:szCs w:val="24"/>
        </w:rPr>
      </w:pPr>
      <w:r>
        <w:t>Yksi vähittäiskauppiasjärjestö pelkää, että jos pyöristäminen rajoitettaisiin koskemaan vain käteismaksuja, asiakkaat päättäisivät maksutavasta sillä perusteella, kumpi on pienempi, pyöristetty summa (käteismaksu) vai täsmällinen summa (sähköinen maksu). Tämä hidastaisi maksujen suorittamista kassoilla.</w:t>
      </w:r>
    </w:p>
    <w:p w:rsidR="00DA4948" w:rsidRDefault="0027454F">
      <w:pPr>
        <w:rPr>
          <w:szCs w:val="24"/>
        </w:rPr>
      </w:pPr>
      <w:r>
        <w:t>Jotkin vähittäiskauppiasjärjestöt huomauttivat, että yhden ja kahden sentin kolikot olisivat edelleen elintarvikehintojen kannalta tärkeitä.</w:t>
      </w:r>
    </w:p>
    <w:p w:rsidR="00DA4948" w:rsidRDefault="0027454F">
      <w:pPr>
        <w:rPr>
          <w:szCs w:val="24"/>
        </w:rPr>
      </w:pPr>
      <w:r>
        <w:t>Kaksi vähittäiskauppiasta vaati avoimesti yhden ja kahden sentin kolikoiden poistamista käytöstä.</w:t>
      </w:r>
    </w:p>
    <w:p w:rsidR="00DA4948" w:rsidRDefault="0027454F">
      <w:pPr>
        <w:rPr>
          <w:b/>
          <w:i/>
          <w:szCs w:val="24"/>
        </w:rPr>
      </w:pPr>
      <w:r>
        <w:rPr>
          <w:b/>
          <w:i/>
        </w:rPr>
        <w:t>8.</w:t>
      </w:r>
      <w:r>
        <w:rPr>
          <w:b/>
          <w:i/>
        </w:rPr>
        <w:tab/>
        <w:t>Kuluttajat</w:t>
      </w:r>
    </w:p>
    <w:p w:rsidR="00DA4948" w:rsidRDefault="0027454F">
      <w:pPr>
        <w:keepNext/>
        <w:rPr>
          <w:szCs w:val="24"/>
        </w:rPr>
      </w:pPr>
      <w:r>
        <w:t>Euroopan kuluttajaliitto huomautti, että asiasta ei ole kerätty riittävästi näyttöä ja että yleisperiaatteena on, että kuluttajilla pitäisi olla heidän yksilöllisiä mieltymyksiään vastaavia maksuvaihtoehtoja.</w:t>
      </w:r>
    </w:p>
    <w:p w:rsidR="00DA4948" w:rsidRDefault="00DA4948">
      <w:pPr>
        <w:keepNext/>
        <w:rPr>
          <w:szCs w:val="24"/>
        </w:rPr>
      </w:pPr>
    </w:p>
    <w:p w:rsidR="00DA4948" w:rsidRDefault="0027454F">
      <w:pPr>
        <w:keepNext/>
        <w:ind w:left="851" w:hanging="851"/>
        <w:rPr>
          <w:b/>
          <w:szCs w:val="24"/>
          <w:u w:val="single"/>
        </w:rPr>
      </w:pPr>
      <w:r>
        <w:rPr>
          <w:b/>
          <w:u w:val="single"/>
        </w:rPr>
        <w:br w:type="column"/>
        <w:t>2 osa</w:t>
      </w:r>
      <w:r>
        <w:rPr>
          <w:b/>
          <w:u w:val="single"/>
        </w:rPr>
        <w:tab/>
        <w:t>Asiantuntijaryhmien keskustelut (2013 – syksy 2017)</w:t>
      </w:r>
    </w:p>
    <w:p w:rsidR="00DA4948" w:rsidRDefault="0027454F">
      <w:pPr>
        <w:rPr>
          <w:szCs w:val="24"/>
        </w:rPr>
      </w:pPr>
      <w:r>
        <w:t>Sen jälkeen, kun komissio antoi ensimmäisen eurokolikoita koskevan tiedonantonsa (2013) ja pyöristyssäännöt otettiin käyttöön vielä kolmessa jäsenvaltiossa, useat eurokäteistä käsittelevät komission asiantuntijaryhmät ovat keskustelleet (ajoittain) yhden ja kaksin sentin kolikoiden tulevaisuudesta. Eniten siitä ovat keskustelleet ryhmät, jotka tapaavat säännöllisesti</w:t>
      </w:r>
      <w:r>
        <w:rPr>
          <w:rStyle w:val="FootnoteReference"/>
        </w:rPr>
        <w:footnoteReference w:id="1"/>
      </w:r>
      <w:r>
        <w:t xml:space="preserve">, kuten </w:t>
      </w:r>
    </w:p>
    <w:p w:rsidR="00DA4948" w:rsidRDefault="0027454F">
      <w:pPr>
        <w:numPr>
          <w:ilvl w:val="0"/>
          <w:numId w:val="48"/>
        </w:numPr>
        <w:rPr>
          <w:szCs w:val="24"/>
        </w:rPr>
      </w:pPr>
      <w:r>
        <w:t xml:space="preserve">eurokäteisen käyttäjäryhmä (Euro Cash User Group), joka tarkastelee eurokäteisen (sekä kolikoiden että seteleiden) käyttöä kansalaisten ja vähittäiskauppiaiden näkökulmasta </w:t>
      </w:r>
    </w:p>
    <w:p w:rsidR="00DA4948" w:rsidRDefault="0027454F">
      <w:pPr>
        <w:numPr>
          <w:ilvl w:val="0"/>
          <w:numId w:val="48"/>
        </w:numPr>
        <w:rPr>
          <w:szCs w:val="24"/>
        </w:rPr>
      </w:pPr>
      <w:r>
        <w:t xml:space="preserve">eurokolikoiden alakomitea (Euro Coin Sub-Committee), joka pohtii eurokolikoiden toimivuutta ja menettelynäkökohtia </w:t>
      </w:r>
    </w:p>
    <w:p w:rsidR="00DA4948" w:rsidRDefault="0027454F">
      <w:pPr>
        <w:numPr>
          <w:ilvl w:val="0"/>
          <w:numId w:val="48"/>
        </w:numPr>
        <w:rPr>
          <w:szCs w:val="24"/>
        </w:rPr>
      </w:pPr>
      <w:r>
        <w:t xml:space="preserve">rahapajajohtajien työryhmä (Mint Directors Working Group), jolla on tekninen näkemys eurokolikoista </w:t>
      </w:r>
    </w:p>
    <w:p w:rsidR="00DA4948" w:rsidRDefault="0027454F">
      <w:pPr>
        <w:numPr>
          <w:ilvl w:val="0"/>
          <w:numId w:val="48"/>
        </w:numPr>
        <w:rPr>
          <w:szCs w:val="24"/>
        </w:rPr>
      </w:pPr>
      <w:r>
        <w:t xml:space="preserve">rajat ylittävien eurokäteisen maantiekuljetusten komitea (Committee on cross-border transportation of euro cash by road), joka pohtii sitä, miten säilytetään tasapuolinen toimintaympäristö rahaa ammattimaisesti käsitteleville laitoksille kaikkialla euroalueella. </w:t>
      </w:r>
    </w:p>
    <w:p w:rsidR="00DA4948" w:rsidRDefault="0027454F">
      <w:pPr>
        <w:rPr>
          <w:szCs w:val="24"/>
        </w:rPr>
      </w:pPr>
      <w:r>
        <w:t>Aiheesta on keskusteltu myös asiantuntijoiden kanssa ad hoc -kokouksissa, kuten kokouksessa, jossa käsiteltiin eurokäteisen laillisen maksuvälineaseman soveltamisalaa ja vaikutuksia (2014).</w:t>
      </w:r>
    </w:p>
    <w:p w:rsidR="00DA4948" w:rsidRDefault="0027454F">
      <w:pPr>
        <w:rPr>
          <w:szCs w:val="24"/>
        </w:rPr>
      </w:pPr>
      <w:r>
        <w:t>On luonnollista, että osa asiantuntijaryhmistä on vähemmän huolestuneita yhden ja kahden sentin kolikoista kuin muut sen mukaan, mikä on niiden ensisijainen toiminnan painopiste ja rooli käteisen kierrossa. Kaiken kaikkiaan mielipiteitä on monia erilaisia (jopa saman ryhmä sisällä), mutta erityisesti on noussut esiin kaksi näkökulmaa: toisessa painotetaan enemmän käteiskierron kustannuksia ja yhden ja kahden sentin kolikoiden liikkeeseenlaskun taloudellisia näkökohtia, kun taas toisessa tarkastellaan enemmän sitä, miten asiakkaat suhtautuisivat niiden käytöstäpoistoon ja miten vähittäiskauppiaat mukautuisivat siihen.</w:t>
      </w:r>
    </w:p>
    <w:p w:rsidR="00DA4948" w:rsidRDefault="0027454F">
      <w:pPr>
        <w:rPr>
          <w:szCs w:val="24"/>
        </w:rPr>
      </w:pPr>
      <w:r>
        <w:t>Ensimmäisen lähestymistavan kannattajat ovat taipuvaisempia lopettamaan yhden ja kahden sentin kolikoiden käytön välittömästi, kun taas jälkimmäisen kannattajat päätyvät varovaisempaan lopputulokseen. Kun otetaan huomioon molemmat päänäkemykset, voidaan asiayhteydestä riippumatta tehdä seuraavat johtopäätökset:</w:t>
      </w:r>
    </w:p>
    <w:p w:rsidR="00DA4948" w:rsidRDefault="0027454F">
      <w:pPr>
        <w:pStyle w:val="ListParagraph"/>
        <w:numPr>
          <w:ilvl w:val="0"/>
          <w:numId w:val="47"/>
        </w:numPr>
        <w:spacing w:before="0" w:after="0" w:line="276" w:lineRule="auto"/>
        <w:ind w:left="284" w:hanging="284"/>
        <w:contextualSpacing w:val="0"/>
        <w:rPr>
          <w:szCs w:val="24"/>
        </w:rPr>
      </w:pPr>
      <w:r>
        <w:t>Ryhmissä ollaan samaa mieltä siitä, että yhden ja kahden sentin kolikoiden liikkeeseenlaskun jatkaminen on ongelmallista, koska tuotantokustannukset ovat korkeat eivätkä nämä pienet yksikköarvot palaudu tehokkaasti liikkeeseen.</w:t>
      </w:r>
    </w:p>
    <w:p w:rsidR="00DA4948" w:rsidRDefault="0027454F">
      <w:pPr>
        <w:pStyle w:val="ListParagraph"/>
        <w:numPr>
          <w:ilvl w:val="0"/>
          <w:numId w:val="47"/>
        </w:numPr>
        <w:spacing w:before="0" w:after="0" w:line="276" w:lineRule="auto"/>
        <w:ind w:left="284" w:hanging="284"/>
        <w:contextualSpacing w:val="0"/>
        <w:rPr>
          <w:szCs w:val="24"/>
        </w:rPr>
      </w:pPr>
      <w:r>
        <w:t>Yhden ja kahden sentin kolikoita koskevien politiikkatoimien (kolikoiden liikkeeseenlaskun lopettaminen tai jatkaminen) olisi perustuttava kattavaan tilanteen arviointiin, jossa otetaan huomioon kaikki asiaankuuluvat näkökohdat, ja lopputuloksesta olisi tiedotettava tehokkaasti suurelle yleisölle.</w:t>
      </w:r>
    </w:p>
    <w:p w:rsidR="00DA4948" w:rsidRDefault="00DA4948">
      <w:pPr>
        <w:pStyle w:val="ListParagraph"/>
        <w:spacing w:after="0"/>
        <w:contextualSpacing w:val="0"/>
      </w:pPr>
    </w:p>
    <w:p w:rsidR="00DA4948" w:rsidRDefault="00DA4948"/>
    <w:p w:rsidR="00DA4948" w:rsidRDefault="0027454F">
      <w:pPr>
        <w:jc w:val="center"/>
      </w:pPr>
      <w:r>
        <w:t>* * *</w:t>
      </w:r>
    </w:p>
    <w:p w:rsidR="00DA4948" w:rsidRDefault="00DA4948">
      <w:pPr>
        <w:rPr>
          <w:b/>
          <w:i/>
          <w:szCs w:val="24"/>
        </w:rPr>
      </w:pPr>
    </w:p>
    <w:p w:rsidR="00DA4948" w:rsidRDefault="00DA4948">
      <w:pPr>
        <w:autoSpaceDE w:val="0"/>
        <w:autoSpaceDN w:val="0"/>
        <w:adjustRightInd w:val="0"/>
        <w:spacing w:before="0" w:after="0"/>
        <w:rPr>
          <w:sz w:val="20"/>
          <w:szCs w:val="20"/>
        </w:rPr>
      </w:pPr>
    </w:p>
    <w:sectPr w:rsidR="00DA4948">
      <w:headerReference w:type="even" r:id="rId15"/>
      <w:headerReference w:type="default" r:id="rId16"/>
      <w:footerReference w:type="even" r:id="rId17"/>
      <w:footerReference w:type="default" r:id="rId18"/>
      <w:headerReference w:type="first" r:id="rId19"/>
      <w:footerReference w:type="first" r:id="rId20"/>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48" w:rsidRDefault="0027454F">
      <w:pPr>
        <w:spacing w:before="0" w:after="0"/>
      </w:pPr>
      <w:r>
        <w:separator/>
      </w:r>
    </w:p>
  </w:endnote>
  <w:endnote w:type="continuationSeparator" w:id="0">
    <w:p w:rsidR="00DA4948" w:rsidRDefault="00274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FooterCoverPage"/>
      <w:rPr>
        <w:rFonts w:ascii="Arial" w:hAnsi="Arial" w:cs="Arial"/>
        <w:b/>
        <w:sz w:val="48"/>
      </w:rPr>
    </w:pPr>
    <w:r w:rsidRPr="00D128D3">
      <w:rPr>
        <w:rFonts w:ascii="Arial" w:hAnsi="Arial" w:cs="Arial"/>
        <w:b/>
        <w:sz w:val="48"/>
      </w:rPr>
      <w:t>FI</w:t>
    </w:r>
    <w:r w:rsidRPr="00D128D3">
      <w:rPr>
        <w:rFonts w:ascii="Arial" w:hAnsi="Arial" w:cs="Arial"/>
        <w:b/>
        <w:sz w:val="48"/>
      </w:rPr>
      <w:tab/>
    </w:r>
    <w:r w:rsidRPr="00D128D3">
      <w:rPr>
        <w:rFonts w:ascii="Arial" w:hAnsi="Arial" w:cs="Arial"/>
        <w:b/>
        <w:sz w:val="48"/>
      </w:rPr>
      <w:tab/>
    </w:r>
    <w:r w:rsidRPr="00D128D3">
      <w:tab/>
    </w:r>
    <w:r w:rsidRPr="00D128D3">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27454F">
    <w:pPr>
      <w:pStyle w:val="Footer"/>
      <w:jc w:val="center"/>
    </w:pPr>
    <w:r>
      <w:fldChar w:fldCharType="begin"/>
    </w:r>
    <w:r>
      <w:instrText xml:space="preserve"> PAGE   \* MERGEFORMAT </w:instrText>
    </w:r>
    <w:r>
      <w:fldChar w:fldCharType="separate"/>
    </w:r>
    <w:r w:rsidR="00D128D3">
      <w:rPr>
        <w:noProof/>
      </w:rPr>
      <w:t>1</w:t>
    </w:r>
    <w:r>
      <w:fldChar w:fldCharType="end"/>
    </w:r>
  </w:p>
  <w:p w:rsidR="003420A4" w:rsidRDefault="00342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48" w:rsidRDefault="0027454F">
      <w:pPr>
        <w:spacing w:before="0" w:after="0"/>
      </w:pPr>
      <w:r>
        <w:separator/>
      </w:r>
    </w:p>
  </w:footnote>
  <w:footnote w:type="continuationSeparator" w:id="0">
    <w:p w:rsidR="00DA4948" w:rsidRDefault="0027454F">
      <w:pPr>
        <w:spacing w:before="0" w:after="0"/>
      </w:pPr>
      <w:r>
        <w:continuationSeparator/>
      </w:r>
    </w:p>
  </w:footnote>
  <w:footnote w:id="1">
    <w:p w:rsidR="00DA4948" w:rsidRDefault="0027454F">
      <w:pPr>
        <w:pStyle w:val="FootnoteText"/>
        <w:tabs>
          <w:tab w:val="left" w:pos="284"/>
        </w:tabs>
      </w:pPr>
      <w:r>
        <w:rPr>
          <w:rStyle w:val="FootnoteReference"/>
        </w:rPr>
        <w:footnoteRef/>
      </w:r>
      <w:r>
        <w:tab/>
        <w:t>Asiantuntijaryhmät tapaavat tiheimmillään neljän kuukauden välein ja harvimmillaan kahden vuoden välein ryhmästä riippuen.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3" w:rsidRPr="00D128D3" w:rsidRDefault="00D128D3" w:rsidP="00D128D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9674C4"/>
    <w:multiLevelType w:val="singleLevel"/>
    <w:tmpl w:val="8A2AF054"/>
    <w:lvl w:ilvl="0">
      <w:start w:val="1"/>
      <w:numFmt w:val="bullet"/>
      <w:lvlText w:val="–"/>
      <w:lvlJc w:val="left"/>
      <w:pPr>
        <w:tabs>
          <w:tab w:val="num" w:pos="1417"/>
        </w:tabs>
        <w:ind w:left="1417" w:hanging="567"/>
      </w:pPr>
    </w:lvl>
  </w:abstractNum>
  <w:abstractNum w:abstractNumId="10" w15:restartNumberingAfterBreak="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15:restartNumberingAfterBreak="0">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15:restartNumberingAfterBreak="0">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15:restartNumberingAfterBreak="0">
    <w:nsid w:val="241162DB"/>
    <w:multiLevelType w:val="singleLevel"/>
    <w:tmpl w:val="B27E1B54"/>
    <w:lvl w:ilvl="0">
      <w:start w:val="1"/>
      <w:numFmt w:val="bullet"/>
      <w:lvlText w:val="–"/>
      <w:lvlJc w:val="left"/>
      <w:pPr>
        <w:tabs>
          <w:tab w:val="num" w:pos="1984"/>
        </w:tabs>
        <w:ind w:left="1984" w:hanging="567"/>
      </w:pPr>
    </w:lvl>
  </w:abstractNum>
  <w:abstractNum w:abstractNumId="1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15:restartNumberingAfterBreak="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15:restartNumberingAfterBreak="0">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15:restartNumberingAfterBreak="0">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15:restartNumberingAfterBreak="0">
    <w:nsid w:val="712E4B18"/>
    <w:multiLevelType w:val="singleLevel"/>
    <w:tmpl w:val="66ECC298"/>
    <w:lvl w:ilvl="0">
      <w:start w:val="1"/>
      <w:numFmt w:val="bullet"/>
      <w:lvlText w:val="–"/>
      <w:lvlJc w:val="left"/>
      <w:pPr>
        <w:tabs>
          <w:tab w:val="num" w:pos="2551"/>
        </w:tabs>
        <w:ind w:left="2551" w:hanging="567"/>
      </w:pPr>
    </w:lvl>
  </w:abstractNum>
  <w:abstractNum w:abstractNumId="37" w15:restartNumberingAfterBreak="0">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15:restartNumberingAfterBreak="0">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15:restartNumberingAfterBreak="0">
    <w:nsid w:val="7B454D54"/>
    <w:multiLevelType w:val="singleLevel"/>
    <w:tmpl w:val="8A02E4B2"/>
    <w:lvl w:ilvl="0">
      <w:start w:val="1"/>
      <w:numFmt w:val="bullet"/>
      <w:lvlText w:val="–"/>
      <w:lvlJc w:val="left"/>
      <w:pPr>
        <w:tabs>
          <w:tab w:val="num" w:pos="3118"/>
        </w:tabs>
        <w:ind w:left="3118" w:hanging="567"/>
      </w:pPr>
    </w:lvl>
  </w:abstractNum>
  <w:abstractNum w:abstractNumId="40"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15:restartNumberingAfterBreak="0">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i-FI"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siakirjaan"/>
    <w:docVar w:name="LW_ANNEX_NBR_FIRST" w:val="1"/>
    <w:docVar w:name="LW_ANNEX_NBR_LAST" w:val="1"/>
    <w:docVar w:name="LW_ANNEX_UNIQUE" w:val="1"/>
    <w:docVar w:name="LW_CORRIGENDUM" w:val="This document corrects document COM(2018) 787 final of 27.11.2018_x000b_Concerns all language versions._x000b_The title of the annex is concerned._x000b_The text shall read as follows:"/>
    <w:docVar w:name="LW_COVERPAGE_EXISTS" w:val="True"/>
    <w:docVar w:name="LW_COVERPAGE_GUID" w:val="76441EE2-3334-41F7-B2DA-D8726EE00CAF"/>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yssel "/>
    <w:docVar w:name="LW_EMISSION_SUFFIX" w:val=" "/>
    <w:docVar w:name="LW_ID_DOCTYPE_NONLW" w:val="CP-039"/>
    <w:docVar w:name="LW_LANGUE" w:val="FI"/>
    <w:docVar w:name="LW_LEVEL_OF_SENSITIVITY" w:val="Standard treatment"/>
    <w:docVar w:name="LW_NOM.INST" w:val="EUROOPAN KOMISSIO"/>
    <w:docVar w:name="LW_NOM.INST_JOINTDOC" w:val="&lt;EMPTY&gt;"/>
    <w:docVar w:name="LW_OBJETACTEPRINCIPAL.CP" w:val="Eurokolikoiden viimeaikainen kehitys"/>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LIITE_x000b_"/>
    <w:docVar w:name="LW_TYPEACTEPRINCIPAL.CP" w:val="KOMISSION KERTOMUS EUROOPAN PARLAMENTILLE JA NEUVOSTOLLE"/>
  </w:docVars>
  <w:rsids>
    <w:rsidRoot w:val="003420A4"/>
    <w:rsid w:val="0003578D"/>
    <w:rsid w:val="00147D3F"/>
    <w:rsid w:val="001D447B"/>
    <w:rsid w:val="00271747"/>
    <w:rsid w:val="0027454F"/>
    <w:rsid w:val="003420A4"/>
    <w:rsid w:val="00405663"/>
    <w:rsid w:val="00513FB0"/>
    <w:rsid w:val="007D7382"/>
    <w:rsid w:val="00D128D3"/>
    <w:rsid w:val="00DA4948"/>
    <w:rsid w:val="00E61A4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EC3567-67DC-4815-9507-D166C314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lang w:eastAsia="en-US"/>
    </w:rPr>
  </w:style>
  <w:style w:type="paragraph" w:customStyle="1" w:styleId="Declassification">
    <w:name w:val="Declassification"/>
    <w:basedOn w:val="Normal"/>
    <w:next w:val="Normal"/>
    <w:pPr>
      <w:spacing w:before="0" w:after="0"/>
    </w:pPr>
    <w:rPr>
      <w:rFonts w:eastAsia="Calibr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fi-FI"/>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5E72-62A5-4347-963A-543F5D3F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1085</Words>
  <Characters>8901</Characters>
  <Application>Microsoft Office Word</Application>
  <DocSecurity>0</DocSecurity>
  <Lines>156</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STAFFORD Owen (DGT)</dc:creator>
  <cp:lastModifiedBy>LAGES CARVALHO Patrick (SG)</cp:lastModifiedBy>
  <cp:revision>4</cp:revision>
  <cp:lastPrinted>2017-07-20T07:34:00Z</cp:lastPrinted>
  <dcterms:created xsi:type="dcterms:W3CDTF">2018-12-07T10:56:00Z</dcterms:created>
  <dcterms:modified xsi:type="dcterms:W3CDTF">2018-12-17T11:50:00Z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