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24CA3576-CAE4-4AA1-9A2E-1B4C5770A481" style="width:450.75pt;height:320.65pt">
            <v:imagedata r:id="rId8" o:title=""/>
          </v:shape>
        </w:pict>
      </w:r>
    </w:p>
    <w:bookmarkEnd w:id="0"/>
    <w:p>
      <w:pPr>
        <w:jc w:val="both"/>
        <w:rPr>
          <w:rFonts w:ascii="Times New Roman" w:hAnsi="Times New Roman"/>
          <w:noProof/>
          <w:sz w:val="24"/>
          <w:szCs w:val="24"/>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pStyle w:val="ManualHeading1"/>
        <w:rPr>
          <w:noProof/>
        </w:rPr>
      </w:pPr>
      <w:bookmarkStart w:id="1" w:name="_GoBack"/>
      <w:bookmarkEnd w:id="1"/>
      <w:r>
        <w:lastRenderedPageBreak/>
        <w:t>1.</w:t>
      </w:r>
      <w:r>
        <w:tab/>
      </w:r>
      <w:r>
        <w:rPr>
          <w:noProof/>
        </w:rPr>
        <w:t>Introduction</w:t>
      </w:r>
    </w:p>
    <w:p>
      <w:pPr>
        <w:autoSpaceDE w:val="0"/>
        <w:autoSpaceDN w:val="0"/>
        <w:adjustRightInd w:val="0"/>
        <w:jc w:val="both"/>
        <w:rPr>
          <w:rFonts w:ascii="Times New Roman" w:hAnsi="Times New Roman"/>
          <w:noProof/>
          <w:sz w:val="24"/>
          <w:szCs w:val="24"/>
        </w:rPr>
      </w:pPr>
      <w:r>
        <w:rPr>
          <w:rFonts w:ascii="Times New Roman" w:hAnsi="Times New Roman"/>
          <w:noProof/>
          <w:sz w:val="24"/>
          <w:szCs w:val="24"/>
        </w:rPr>
        <w:t>Council Regulation (EC) No 577/98 on the organisation of the labour force sample survey in the Community</w:t>
      </w:r>
      <w:r>
        <w:rPr>
          <w:rStyle w:val="FootnoteReference"/>
          <w:rFonts w:ascii="Times New Roman" w:hAnsi="Times New Roman"/>
          <w:noProof/>
          <w:sz w:val="24"/>
          <w:szCs w:val="24"/>
        </w:rPr>
        <w:footnoteReference w:id="1"/>
      </w:r>
      <w:r>
        <w:rPr>
          <w:rFonts w:ascii="Times New Roman" w:hAnsi="Times New Roman"/>
          <w:noProof/>
          <w:sz w:val="24"/>
          <w:szCs w:val="24"/>
        </w:rPr>
        <w:t xml:space="preserve"> sets minimum standards for the harmonised production of labour force surveys in the European Union (EU) and its Member States.</w:t>
      </w:r>
    </w:p>
    <w:p>
      <w:pPr>
        <w:jc w:val="both"/>
        <w:rPr>
          <w:rFonts w:ascii="Times New Roman" w:hAnsi="Times New Roman"/>
          <w:noProof/>
          <w:sz w:val="24"/>
          <w:szCs w:val="24"/>
        </w:rPr>
      </w:pPr>
      <w:r>
        <w:rPr>
          <w:rFonts w:ascii="Times New Roman" w:hAnsi="Times New Roman"/>
          <w:noProof/>
          <w:sz w:val="24"/>
          <w:szCs w:val="24"/>
        </w:rPr>
        <w:t>Article 7 of Regulation (EC) No 577/98 states that:</w:t>
      </w:r>
    </w:p>
    <w:p>
      <w:pPr>
        <w:jc w:val="both"/>
        <w:rPr>
          <w:rFonts w:ascii="Times New Roman" w:hAnsi="Times New Roman"/>
          <w:noProof/>
          <w:sz w:val="24"/>
          <w:szCs w:val="24"/>
        </w:rPr>
      </w:pPr>
      <w:r>
        <w:rPr>
          <w:rFonts w:ascii="Times New Roman" w:hAnsi="Times New Roman"/>
          <w:i/>
          <w:noProof/>
          <w:sz w:val="24"/>
          <w:szCs w:val="24"/>
        </w:rPr>
        <w:t>A report on the implementation of this Regulation shall be submitted by the Commission to the Parliament and the Council every three years, beginning in the year 2000. This report shall evaluate in particular the quality of the statistical methods envisaged by the Member States to improve the results or to lighten the survey procedures.</w:t>
      </w:r>
    </w:p>
    <w:p>
      <w:pPr>
        <w:spacing w:after="0"/>
        <w:jc w:val="both"/>
        <w:rPr>
          <w:rFonts w:ascii="Times New Roman" w:hAnsi="Times New Roman"/>
          <w:noProof/>
          <w:sz w:val="24"/>
          <w:szCs w:val="24"/>
        </w:rPr>
      </w:pPr>
      <w:r>
        <w:rPr>
          <w:rFonts w:ascii="Times New Roman" w:hAnsi="Times New Roman"/>
          <w:noProof/>
          <w:sz w:val="24"/>
          <w:szCs w:val="24"/>
        </w:rPr>
        <w:t>This report is the Commission’s seventh report to Parliament and the Council; it covers the period 2015-2017 and is structured as follows.</w:t>
      </w:r>
    </w:p>
    <w:p>
      <w:pPr>
        <w:spacing w:after="0"/>
        <w:jc w:val="both"/>
        <w:rPr>
          <w:rFonts w:ascii="Times New Roman" w:hAnsi="Times New Roman"/>
          <w:noProof/>
          <w:sz w:val="24"/>
          <w:szCs w:val="24"/>
        </w:rPr>
      </w:pPr>
    </w:p>
    <w:p>
      <w:pPr>
        <w:numPr>
          <w:ilvl w:val="0"/>
          <w:numId w:val="24"/>
        </w:numPr>
        <w:jc w:val="both"/>
        <w:rPr>
          <w:rFonts w:ascii="Times New Roman" w:hAnsi="Times New Roman"/>
          <w:noProof/>
          <w:sz w:val="24"/>
          <w:szCs w:val="24"/>
        </w:rPr>
      </w:pPr>
      <w:r>
        <w:rPr>
          <w:rFonts w:ascii="Times New Roman" w:hAnsi="Times New Roman"/>
          <w:b/>
          <w:noProof/>
          <w:sz w:val="24"/>
          <w:szCs w:val="24"/>
        </w:rPr>
        <w:t>Section 2</w:t>
      </w:r>
      <w:r>
        <w:rPr>
          <w:rFonts w:ascii="Times New Roman" w:hAnsi="Times New Roman"/>
          <w:noProof/>
          <w:sz w:val="24"/>
          <w:szCs w:val="24"/>
        </w:rPr>
        <w:t xml:space="preserve"> gives an overview of the European Union Labour Force Survey and its role in supporting European Union policies.</w:t>
      </w:r>
    </w:p>
    <w:p>
      <w:pPr>
        <w:numPr>
          <w:ilvl w:val="0"/>
          <w:numId w:val="24"/>
        </w:numPr>
        <w:jc w:val="both"/>
        <w:rPr>
          <w:rFonts w:ascii="Times New Roman" w:hAnsi="Times New Roman"/>
          <w:noProof/>
          <w:sz w:val="24"/>
          <w:szCs w:val="24"/>
        </w:rPr>
      </w:pPr>
      <w:r>
        <w:rPr>
          <w:rFonts w:ascii="Times New Roman" w:hAnsi="Times New Roman"/>
          <w:b/>
          <w:noProof/>
          <w:sz w:val="24"/>
          <w:szCs w:val="24"/>
        </w:rPr>
        <w:t>Section 3</w:t>
      </w:r>
      <w:r>
        <w:rPr>
          <w:rFonts w:ascii="Times New Roman" w:hAnsi="Times New Roman"/>
          <w:noProof/>
          <w:sz w:val="24"/>
          <w:szCs w:val="24"/>
        </w:rPr>
        <w:t xml:space="preserve"> takes stock of how Regulation (EC) No 577/98 has been implemented in the Member States, candidate countries, and European Free Trade Association (EFTA) countries.</w:t>
      </w:r>
    </w:p>
    <w:p>
      <w:pPr>
        <w:numPr>
          <w:ilvl w:val="0"/>
          <w:numId w:val="24"/>
        </w:numPr>
        <w:jc w:val="both"/>
        <w:rPr>
          <w:rFonts w:ascii="Times New Roman" w:hAnsi="Times New Roman"/>
          <w:noProof/>
          <w:sz w:val="24"/>
          <w:szCs w:val="24"/>
        </w:rPr>
      </w:pPr>
      <w:r>
        <w:rPr>
          <w:rFonts w:ascii="Times New Roman" w:hAnsi="Times New Roman"/>
          <w:b/>
          <w:noProof/>
          <w:sz w:val="24"/>
          <w:szCs w:val="24"/>
        </w:rPr>
        <w:t>Section 4</w:t>
      </w:r>
      <w:r>
        <w:rPr>
          <w:rFonts w:ascii="Times New Roman" w:hAnsi="Times New Roman"/>
          <w:noProof/>
          <w:sz w:val="24"/>
          <w:szCs w:val="24"/>
        </w:rPr>
        <w:t xml:space="preserve"> focuses on ongoing initiatives launched by the European Statistical System</w:t>
      </w:r>
      <w:r>
        <w:rPr>
          <w:rStyle w:val="FootnoteReference"/>
          <w:rFonts w:ascii="Times New Roman" w:hAnsi="Times New Roman"/>
          <w:noProof/>
          <w:sz w:val="24"/>
          <w:szCs w:val="24"/>
        </w:rPr>
        <w:footnoteReference w:id="2"/>
      </w:r>
      <w:r>
        <w:rPr>
          <w:rFonts w:ascii="Times New Roman" w:hAnsi="Times New Roman"/>
          <w:noProof/>
          <w:sz w:val="24"/>
          <w:szCs w:val="24"/>
        </w:rPr>
        <w:t xml:space="preserve"> (ESS) to improve the quality of the Labour Force Survey.</w:t>
      </w:r>
    </w:p>
    <w:p>
      <w:pPr>
        <w:pStyle w:val="ManualHeading1"/>
        <w:rPr>
          <w:noProof/>
        </w:rPr>
      </w:pPr>
      <w:r>
        <w:t>2.</w:t>
      </w:r>
      <w:r>
        <w:tab/>
      </w:r>
      <w:r>
        <w:rPr>
          <w:noProof/>
        </w:rPr>
        <w:t>Overview of the labour force survey</w:t>
      </w:r>
    </w:p>
    <w:p>
      <w:pPr>
        <w:pStyle w:val="ManualHeading2"/>
        <w:rPr>
          <w:noProof/>
        </w:rPr>
      </w:pPr>
      <w:r>
        <w:t>2.1.</w:t>
      </w:r>
      <w:r>
        <w:tab/>
      </w:r>
      <w:r>
        <w:rPr>
          <w:noProof/>
        </w:rPr>
        <w:t>General description</w:t>
      </w:r>
    </w:p>
    <w:p>
      <w:pPr>
        <w:jc w:val="both"/>
        <w:rPr>
          <w:rFonts w:ascii="Times New Roman" w:hAnsi="Times New Roman"/>
          <w:noProof/>
          <w:sz w:val="24"/>
          <w:szCs w:val="24"/>
        </w:rPr>
      </w:pPr>
      <w:r>
        <w:rPr>
          <w:rFonts w:ascii="Times New Roman" w:hAnsi="Times New Roman"/>
          <w:noProof/>
          <w:sz w:val="24"/>
          <w:szCs w:val="24"/>
        </w:rPr>
        <w:t>The European Union Labour Force Survey (hereinafter referred to as EU-LFS) is a large sample survey of residents in private households. It provides both quarterly and annual labour market statistics on employment and unemployment, as well as on people outside the labour force. It also collects multi-annual information from ad hoc modules, and provides input for model-based monthly estimates of unemployment and unemployment rates.</w:t>
      </w:r>
    </w:p>
    <w:p>
      <w:pPr>
        <w:jc w:val="both"/>
        <w:rPr>
          <w:rFonts w:ascii="Times New Roman" w:hAnsi="Times New Roman"/>
          <w:noProof/>
          <w:sz w:val="24"/>
          <w:szCs w:val="24"/>
        </w:rPr>
      </w:pPr>
      <w:bookmarkStart w:id="2" w:name="TOC57432280"/>
      <w:bookmarkEnd w:id="2"/>
      <w:r>
        <w:rPr>
          <w:rFonts w:ascii="Times New Roman" w:hAnsi="Times New Roman"/>
          <w:noProof/>
          <w:sz w:val="24"/>
          <w:szCs w:val="24"/>
        </w:rPr>
        <w:t xml:space="preserve">The </w:t>
      </w:r>
      <w:r>
        <w:rPr>
          <w:rFonts w:ascii="Times New Roman" w:hAnsi="Times New Roman"/>
          <w:b/>
          <w:noProof/>
          <w:sz w:val="24"/>
          <w:szCs w:val="24"/>
        </w:rPr>
        <w:t>National Statistical Institutes</w:t>
      </w:r>
      <w:r>
        <w:rPr>
          <w:rFonts w:ascii="Times New Roman" w:hAnsi="Times New Roman"/>
          <w:noProof/>
          <w:sz w:val="24"/>
          <w:szCs w:val="24"/>
        </w:rPr>
        <w:t xml:space="preserve"> (NSIs) of the respective countries are responsible for: designing national questionnaires, drawing the sample, conducting interviews, and sending results to the Commission (Eurostat) in accordance with a common coding scheme set by Commission Regulation (EC) No 377/2008</w:t>
      </w:r>
      <w:r>
        <w:rPr>
          <w:rStyle w:val="FootnoteReference"/>
          <w:rFonts w:ascii="Times New Roman" w:hAnsi="Times New Roman"/>
          <w:noProof/>
          <w:sz w:val="24"/>
          <w:szCs w:val="24"/>
        </w:rPr>
        <w:footnoteReference w:id="3"/>
      </w:r>
      <w:r>
        <w:rPr>
          <w:rFonts w:ascii="Times New Roman" w:hAnsi="Times New Roman"/>
          <w:noProof/>
          <w:sz w:val="24"/>
          <w:szCs w:val="24"/>
        </w:rPr>
        <w:t>.</w:t>
      </w:r>
    </w:p>
    <w:p>
      <w:pPr>
        <w:jc w:val="both"/>
        <w:rPr>
          <w:rFonts w:ascii="Times New Roman" w:hAnsi="Times New Roman"/>
          <w:noProof/>
          <w:sz w:val="24"/>
          <w:szCs w:val="24"/>
        </w:rPr>
      </w:pPr>
      <w:r>
        <w:rPr>
          <w:rFonts w:ascii="Times New Roman" w:hAnsi="Times New Roman"/>
          <w:b/>
          <w:noProof/>
          <w:sz w:val="24"/>
          <w:szCs w:val="24"/>
        </w:rPr>
        <w:t xml:space="preserve">Eurostat </w:t>
      </w:r>
      <w:r>
        <w:rPr>
          <w:rFonts w:ascii="Times New Roman" w:hAnsi="Times New Roman"/>
          <w:noProof/>
          <w:sz w:val="24"/>
          <w:szCs w:val="24"/>
        </w:rPr>
        <w:t>is in charge of: monitoring the implementation of Regulation (EC) No 577/98; providing assistance to NSIs; promoting harmonised concepts and methods; and disseminating comparable national and European labour market statistics.</w:t>
      </w:r>
    </w:p>
    <w:p>
      <w:pPr>
        <w:jc w:val="both"/>
        <w:rPr>
          <w:rFonts w:ascii="Times New Roman" w:hAnsi="Times New Roman"/>
          <w:noProof/>
          <w:sz w:val="24"/>
          <w:szCs w:val="24"/>
        </w:rPr>
      </w:pPr>
      <w:r>
        <w:rPr>
          <w:rFonts w:ascii="Times New Roman" w:hAnsi="Times New Roman"/>
          <w:noProof/>
          <w:sz w:val="24"/>
          <w:szCs w:val="24"/>
        </w:rPr>
        <w:t>In 2017, the EU-LFS sample size was around 1.3 million people (of which around 1.2 million were in the EU-28) aged 15-74 years. The samples were taken every quarter and covered 34 participating countries</w:t>
      </w:r>
      <w:r>
        <w:rPr>
          <w:rStyle w:val="FootnoteReference"/>
          <w:rFonts w:ascii="Times New Roman" w:hAnsi="Times New Roman"/>
          <w:noProof/>
          <w:sz w:val="24"/>
          <w:szCs w:val="24"/>
        </w:rPr>
        <w:footnoteReference w:id="4"/>
      </w:r>
      <w:r>
        <w:rPr>
          <w:rFonts w:ascii="Times New Roman" w:hAnsi="Times New Roman"/>
          <w:noProof/>
          <w:sz w:val="24"/>
          <w:szCs w:val="24"/>
        </w:rPr>
        <w:t>. This makes the EU-LFS the largest household survey in Europe.</w:t>
      </w:r>
    </w:p>
    <w:p>
      <w:pPr>
        <w:pStyle w:val="ManualHeading2"/>
        <w:rPr>
          <w:noProof/>
        </w:rPr>
      </w:pPr>
      <w:r>
        <w:t>2.2.</w:t>
      </w:r>
      <w:r>
        <w:tab/>
      </w:r>
      <w:r>
        <w:rPr>
          <w:noProof/>
        </w:rPr>
        <w:t>Relevance</w:t>
      </w:r>
    </w:p>
    <w:p>
      <w:pPr>
        <w:jc w:val="both"/>
        <w:rPr>
          <w:rFonts w:ascii="Times New Roman" w:hAnsi="Times New Roman"/>
          <w:noProof/>
          <w:sz w:val="24"/>
          <w:szCs w:val="24"/>
        </w:rPr>
      </w:pPr>
      <w:r>
        <w:rPr>
          <w:rFonts w:ascii="Times New Roman" w:hAnsi="Times New Roman"/>
          <w:noProof/>
          <w:sz w:val="24"/>
          <w:szCs w:val="24"/>
        </w:rPr>
        <w:t>The EU-LFS is the largest source of official statistics on the labour markets in the EU. In total, it collects more than 100 variables on labour status; employment characteristics; working time; educational background; and training. The EU-LFS is also complemented by thematic, yearly ad hoc modules</w:t>
      </w:r>
      <w:r>
        <w:rPr>
          <w:rStyle w:val="FootnoteReference"/>
          <w:rFonts w:ascii="Times New Roman" w:hAnsi="Times New Roman"/>
          <w:noProof/>
          <w:sz w:val="24"/>
          <w:szCs w:val="24"/>
        </w:rPr>
        <w:footnoteReference w:id="5"/>
      </w:r>
      <w:r>
        <w:rPr>
          <w:rFonts w:ascii="Times New Roman" w:hAnsi="Times New Roman"/>
          <w:noProof/>
          <w:sz w:val="24"/>
          <w:szCs w:val="24"/>
        </w:rPr>
        <w:t>.</w:t>
      </w:r>
    </w:p>
    <w:p>
      <w:pPr>
        <w:jc w:val="both"/>
        <w:rPr>
          <w:rFonts w:ascii="Times New Roman" w:hAnsi="Times New Roman"/>
          <w:noProof/>
          <w:sz w:val="24"/>
          <w:szCs w:val="24"/>
        </w:rPr>
      </w:pPr>
      <w:r>
        <w:rPr>
          <w:rFonts w:ascii="Times New Roman" w:hAnsi="Times New Roman"/>
          <w:noProof/>
          <w:sz w:val="24"/>
          <w:szCs w:val="24"/>
        </w:rPr>
        <w:t>Based on international standards and definitions</w:t>
      </w:r>
      <w:r>
        <w:rPr>
          <w:rStyle w:val="FootnoteReference"/>
          <w:rFonts w:ascii="Times New Roman" w:hAnsi="Times New Roman"/>
          <w:noProof/>
          <w:sz w:val="24"/>
          <w:szCs w:val="24"/>
        </w:rPr>
        <w:footnoteReference w:id="6"/>
      </w:r>
      <w:r>
        <w:rPr>
          <w:rFonts w:ascii="Times New Roman" w:hAnsi="Times New Roman"/>
          <w:noProof/>
          <w:sz w:val="24"/>
          <w:szCs w:val="24"/>
        </w:rPr>
        <w:t>, the EU-LFS has relevance beyond the EU, allowing the European labour market to be compared with labour markets in other areas or countries.</w:t>
      </w:r>
    </w:p>
    <w:p>
      <w:pPr>
        <w:jc w:val="both"/>
        <w:rPr>
          <w:rFonts w:ascii="Times New Roman" w:hAnsi="Times New Roman"/>
          <w:noProof/>
          <w:sz w:val="24"/>
          <w:szCs w:val="24"/>
        </w:rPr>
      </w:pPr>
      <w:r>
        <w:rPr>
          <w:rFonts w:ascii="Times New Roman" w:hAnsi="Times New Roman"/>
          <w:noProof/>
          <w:sz w:val="24"/>
          <w:szCs w:val="24"/>
        </w:rPr>
        <w:t xml:space="preserve">Some key EU policy initiatives rely on EU-LFS data. For instance, the EU-LFS is one of the main data sources for monitoring Member States’ progress under the employment guidelines in the context of: (i) Article 148 of the </w:t>
      </w:r>
      <w:r>
        <w:rPr>
          <w:rFonts w:ascii="Times New Roman" w:hAnsi="Times New Roman"/>
          <w:noProof/>
          <w:color w:val="000000"/>
          <w:sz w:val="24"/>
          <w:szCs w:val="24"/>
        </w:rPr>
        <w:t>Treaty on the Functioning of the European Union</w:t>
      </w:r>
      <w:r>
        <w:rPr>
          <w:rStyle w:val="FootnoteReference"/>
          <w:rFonts w:ascii="Times New Roman" w:hAnsi="Times New Roman"/>
          <w:noProof/>
          <w:color w:val="000000"/>
          <w:sz w:val="24"/>
          <w:szCs w:val="24"/>
        </w:rPr>
        <w:footnoteReference w:id="7"/>
      </w:r>
      <w:r>
        <w:rPr>
          <w:rFonts w:ascii="Times New Roman" w:hAnsi="Times New Roman"/>
          <w:noProof/>
          <w:color w:val="000000"/>
          <w:sz w:val="24"/>
          <w:szCs w:val="24"/>
        </w:rPr>
        <w:t xml:space="preserve"> </w:t>
      </w:r>
      <w:r>
        <w:rPr>
          <w:rFonts w:ascii="Times New Roman" w:hAnsi="Times New Roman"/>
          <w:smallCaps/>
          <w:noProof/>
          <w:sz w:val="24"/>
          <w:szCs w:val="24"/>
        </w:rPr>
        <w:t>(</w:t>
      </w:r>
      <w:r>
        <w:rPr>
          <w:rFonts w:ascii="Times New Roman" w:hAnsi="Times New Roman"/>
          <w:noProof/>
          <w:sz w:val="24"/>
          <w:szCs w:val="24"/>
        </w:rPr>
        <w:t>TFEU), and (ii) the EU’s ‘Europe 2020’ growth strategy. Three EU-LFS indicators (the employment rate among those aged 20-64; the share of early leavers from education and training; and the number of 30-34 year olds that have completed tertiary education) are used to monitor 2 of the 5 Europe 2020 headline targets</w:t>
      </w:r>
      <w:r>
        <w:rPr>
          <w:rStyle w:val="FootnoteReference"/>
          <w:rFonts w:ascii="Times New Roman" w:hAnsi="Times New Roman"/>
          <w:noProof/>
          <w:sz w:val="24"/>
          <w:szCs w:val="24"/>
        </w:rPr>
        <w:footnoteReference w:id="8"/>
      </w:r>
      <w:r>
        <w:rPr>
          <w:rFonts w:ascii="Times New Roman" w:hAnsi="Times New Roman"/>
          <w:noProof/>
          <w:sz w:val="24"/>
          <w:szCs w:val="24"/>
        </w:rPr>
        <w:t>. Many other LFS-based indicators are used under the Europe 2020 Joint Assessment Framework.</w:t>
      </w:r>
    </w:p>
    <w:p>
      <w:pPr>
        <w:jc w:val="both"/>
        <w:rPr>
          <w:rFonts w:ascii="Times New Roman" w:hAnsi="Times New Roman"/>
          <w:noProof/>
          <w:sz w:val="24"/>
          <w:szCs w:val="24"/>
        </w:rPr>
      </w:pPr>
      <w:r>
        <w:rPr>
          <w:rFonts w:ascii="Times New Roman" w:hAnsi="Times New Roman"/>
          <w:noProof/>
          <w:sz w:val="24"/>
          <w:szCs w:val="24"/>
        </w:rPr>
        <w:t xml:space="preserve">Several indicators provided by the EU-LFS are also used to monitor Member States’ performance under two dimensions of the European Pillar of Social Rights. These dimensions are </w:t>
      </w:r>
      <w:r>
        <w:rPr>
          <w:rFonts w:ascii="Times New Roman" w:hAnsi="Times New Roman"/>
          <w:i/>
          <w:noProof/>
          <w:sz w:val="24"/>
          <w:szCs w:val="24"/>
        </w:rPr>
        <w:t>Equal opportunities and access to the labour market</w:t>
      </w:r>
      <w:r>
        <w:rPr>
          <w:rFonts w:ascii="Times New Roman" w:hAnsi="Times New Roman"/>
          <w:noProof/>
          <w:sz w:val="24"/>
          <w:szCs w:val="24"/>
        </w:rPr>
        <w:t xml:space="preserve"> (which covers education, skills and lifelong learning; gender equality in the labour market; and youth) and </w:t>
      </w:r>
      <w:r>
        <w:rPr>
          <w:rFonts w:ascii="Times New Roman" w:hAnsi="Times New Roman"/>
          <w:i/>
          <w:noProof/>
          <w:sz w:val="24"/>
          <w:szCs w:val="24"/>
        </w:rPr>
        <w:t xml:space="preserve">Dynamic labour markets and fair working conditions </w:t>
      </w:r>
      <w:r>
        <w:rPr>
          <w:rFonts w:ascii="Times New Roman" w:hAnsi="Times New Roman"/>
          <w:noProof/>
          <w:sz w:val="24"/>
          <w:szCs w:val="24"/>
        </w:rPr>
        <w:t>(which covers labour force structure and labour market dynamics)</w:t>
      </w:r>
      <w:r>
        <w:rPr>
          <w:rStyle w:val="FootnoteReference"/>
          <w:rFonts w:ascii="Times New Roman" w:hAnsi="Times New Roman"/>
          <w:noProof/>
          <w:sz w:val="24"/>
          <w:szCs w:val="24"/>
        </w:rPr>
        <w:footnoteReference w:id="9"/>
      </w:r>
      <w:r>
        <w:rPr>
          <w:rFonts w:ascii="Times New Roman" w:hAnsi="Times New Roman"/>
          <w:noProof/>
          <w:sz w:val="24"/>
          <w:szCs w:val="24"/>
        </w:rPr>
        <w:t>.</w:t>
      </w:r>
    </w:p>
    <w:p>
      <w:pPr>
        <w:jc w:val="both"/>
        <w:rPr>
          <w:rFonts w:ascii="Times New Roman" w:hAnsi="Times New Roman"/>
          <w:noProof/>
          <w:sz w:val="24"/>
          <w:szCs w:val="24"/>
        </w:rPr>
      </w:pPr>
      <w:r>
        <w:rPr>
          <w:rFonts w:ascii="Times New Roman" w:hAnsi="Times New Roman"/>
          <w:noProof/>
          <w:sz w:val="24"/>
          <w:szCs w:val="24"/>
        </w:rPr>
        <w:t>In addition, a number of labour market indicators at the regional level form the EU-LFS (i.e. youth unemployment rate and total unemployment rate) are used for the purpose of allocating funds in the context of the Cohesion Policy.</w:t>
      </w:r>
    </w:p>
    <w:p>
      <w:pPr>
        <w:jc w:val="both"/>
        <w:rPr>
          <w:rFonts w:ascii="Times New Roman" w:hAnsi="Times New Roman"/>
          <w:noProof/>
          <w:sz w:val="24"/>
          <w:szCs w:val="24"/>
        </w:rPr>
      </w:pPr>
      <w:r>
        <w:rPr>
          <w:rFonts w:ascii="Times New Roman" w:hAnsi="Times New Roman"/>
          <w:noProof/>
          <w:sz w:val="24"/>
          <w:szCs w:val="24"/>
        </w:rPr>
        <w:t>The EU-LFS also provides indicators for the 2030 Agenda for Sustainable Development</w:t>
      </w:r>
      <w:r>
        <w:rPr>
          <w:rStyle w:val="FootnoteReference"/>
          <w:rFonts w:ascii="Times New Roman" w:hAnsi="Times New Roman"/>
          <w:noProof/>
          <w:sz w:val="24"/>
          <w:szCs w:val="24"/>
        </w:rPr>
        <w:footnoteReference w:id="10"/>
      </w:r>
      <w:r>
        <w:rPr>
          <w:rFonts w:ascii="Times New Roman" w:hAnsi="Times New Roman"/>
          <w:noProof/>
          <w:sz w:val="24"/>
          <w:szCs w:val="24"/>
        </w:rPr>
        <w:t>. Three of the goals in the Agenda for Sustainable Development encompass indicators stemming from the EU-LFS: quality education, gender equality, and decent work and economic growth.</w:t>
      </w:r>
    </w:p>
    <w:p>
      <w:pPr>
        <w:jc w:val="both"/>
        <w:rPr>
          <w:rFonts w:ascii="Times New Roman" w:hAnsi="Times New Roman"/>
          <w:bCs/>
          <w:noProof/>
          <w:sz w:val="24"/>
          <w:szCs w:val="24"/>
        </w:rPr>
      </w:pPr>
      <w:r>
        <w:rPr>
          <w:rFonts w:ascii="Times New Roman" w:hAnsi="Times New Roman"/>
          <w:noProof/>
          <w:sz w:val="24"/>
          <w:szCs w:val="24"/>
        </w:rPr>
        <w:t>The EU-LFS-based monthly unemployment rate is an important short-term economic indicator. It is one of the Principal European Economic Indicators</w:t>
      </w:r>
      <w:r>
        <w:rPr>
          <w:rStyle w:val="FootnoteReference"/>
          <w:rFonts w:ascii="Times New Roman" w:hAnsi="Times New Roman"/>
          <w:noProof/>
          <w:sz w:val="24"/>
          <w:szCs w:val="24"/>
        </w:rPr>
        <w:footnoteReference w:id="11"/>
      </w:r>
      <w:r>
        <w:rPr>
          <w:rFonts w:ascii="Times New Roman" w:hAnsi="Times New Roman"/>
          <w:noProof/>
          <w:sz w:val="24"/>
          <w:szCs w:val="24"/>
        </w:rPr>
        <w:t xml:space="preserve">, and is also used to build moving annual averages of unemployment rates for the scoreboard of economic and financial indicators. This scoreboard is in turn used to detect </w:t>
      </w:r>
      <w:r>
        <w:rPr>
          <w:rFonts w:ascii="Times New Roman" w:hAnsi="Times New Roman"/>
          <w:bCs/>
          <w:noProof/>
          <w:sz w:val="24"/>
          <w:szCs w:val="24"/>
        </w:rPr>
        <w:t>macroeconomic and competitiveness imbalances</w:t>
      </w:r>
      <w:r>
        <w:rPr>
          <w:rStyle w:val="FootnoteReference"/>
          <w:rFonts w:ascii="Times New Roman" w:hAnsi="Times New Roman"/>
          <w:bCs/>
          <w:noProof/>
          <w:sz w:val="24"/>
          <w:szCs w:val="24"/>
        </w:rPr>
        <w:footnoteReference w:id="12"/>
      </w:r>
      <w:r>
        <w:rPr>
          <w:rFonts w:ascii="Times New Roman" w:hAnsi="Times New Roman"/>
          <w:bCs/>
          <w:noProof/>
          <w:sz w:val="24"/>
          <w:szCs w:val="24"/>
        </w:rPr>
        <w:t>. The EU-LFS provides input for national accounts on employment, working time, and other areas beyond the labour market, such as education.</w:t>
      </w:r>
    </w:p>
    <w:p>
      <w:pPr>
        <w:jc w:val="both"/>
        <w:rPr>
          <w:rFonts w:ascii="Times New Roman" w:hAnsi="Times New Roman"/>
          <w:bCs/>
          <w:noProof/>
          <w:sz w:val="24"/>
          <w:szCs w:val="24"/>
        </w:rPr>
      </w:pPr>
      <w:r>
        <w:rPr>
          <w:rFonts w:ascii="Times New Roman" w:hAnsi="Times New Roman"/>
          <w:noProof/>
          <w:sz w:val="24"/>
          <w:szCs w:val="24"/>
        </w:rPr>
        <w:t>EU-LFS data are widely used by the Commission DGs. They are also widely used by European Agencies. Eurofound in particular uses the data for its overview report on the characteristics of the workforce in Europe.</w:t>
      </w:r>
    </w:p>
    <w:p>
      <w:pPr>
        <w:jc w:val="both"/>
        <w:rPr>
          <w:rFonts w:ascii="Times New Roman" w:hAnsi="Times New Roman"/>
          <w:noProof/>
          <w:sz w:val="24"/>
          <w:szCs w:val="24"/>
        </w:rPr>
      </w:pPr>
      <w:r>
        <w:rPr>
          <w:rFonts w:ascii="Times New Roman" w:hAnsi="Times New Roman"/>
          <w:noProof/>
          <w:sz w:val="24"/>
          <w:szCs w:val="24"/>
        </w:rPr>
        <w:t xml:space="preserve">Finally, the </w:t>
      </w:r>
      <w:r>
        <w:rPr>
          <w:rFonts w:ascii="Times New Roman" w:hAnsi="Times New Roman"/>
          <w:bCs/>
          <w:noProof/>
          <w:sz w:val="24"/>
          <w:szCs w:val="24"/>
        </w:rPr>
        <w:t>EU-LFS is one of the largest sources of statistical microdata for researchers in Europe. The large sample allows studies to be carried out on specific groups in the labour market. The EU-LFS also has a very broad coverage of demographic, regional and educational-background variables.</w:t>
      </w:r>
    </w:p>
    <w:p>
      <w:pPr>
        <w:pStyle w:val="ManualHeading1"/>
        <w:rPr>
          <w:noProof/>
        </w:rPr>
      </w:pPr>
      <w:r>
        <w:t>3.</w:t>
      </w:r>
      <w:r>
        <w:tab/>
      </w:r>
      <w:r>
        <w:rPr>
          <w:noProof/>
        </w:rPr>
        <w:t>Implementation of the labour force survey</w:t>
      </w:r>
    </w:p>
    <w:p>
      <w:pPr>
        <w:jc w:val="both"/>
        <w:rPr>
          <w:rFonts w:ascii="Times New Roman" w:hAnsi="Times New Roman"/>
          <w:noProof/>
          <w:sz w:val="24"/>
          <w:szCs w:val="24"/>
        </w:rPr>
      </w:pPr>
      <w:r>
        <w:rPr>
          <w:rFonts w:ascii="Times New Roman" w:hAnsi="Times New Roman"/>
          <w:noProof/>
          <w:sz w:val="24"/>
          <w:szCs w:val="24"/>
        </w:rPr>
        <w:t>This section mainly covers the period 2015-2017, but to highlight improvements since the previous report, information on the 2014 Labour Force Survey is also presented when relevant.</w:t>
      </w:r>
    </w:p>
    <w:p>
      <w:pPr>
        <w:pStyle w:val="ManualHeading2"/>
        <w:rPr>
          <w:noProof/>
        </w:rPr>
      </w:pPr>
      <w:r>
        <w:t>3.1.</w:t>
      </w:r>
      <w:r>
        <w:tab/>
      </w:r>
      <w:r>
        <w:rPr>
          <w:noProof/>
        </w:rPr>
        <w:t>Accuracy</w:t>
      </w:r>
    </w:p>
    <w:p>
      <w:pPr>
        <w:jc w:val="both"/>
        <w:rPr>
          <w:rFonts w:ascii="Times New Roman" w:hAnsi="Times New Roman"/>
          <w:noProof/>
          <w:sz w:val="24"/>
          <w:szCs w:val="24"/>
        </w:rPr>
      </w:pPr>
      <w:r>
        <w:rPr>
          <w:rFonts w:ascii="Times New Roman" w:hAnsi="Times New Roman"/>
          <w:noProof/>
          <w:sz w:val="24"/>
          <w:szCs w:val="24"/>
        </w:rPr>
        <w:t>The accuracy of statistical outputs is the degree to which computations or estimates are close to the exact — or true — values that the statistics are intended to measure. The accuracy of the estimates is subject to two types of errors: sampling errors and non-sampling errors. Sampling errors occur because only a subset of the whole population is surveyed. Non-sampling errors are all other errors that are not the result of sampling (e.g. coverage errors, measurement errors, processing errors, non-response errors).</w:t>
      </w:r>
    </w:p>
    <w:p>
      <w:pPr>
        <w:jc w:val="both"/>
        <w:rPr>
          <w:rFonts w:ascii="Times New Roman" w:hAnsi="Times New Roman"/>
          <w:noProof/>
          <w:sz w:val="24"/>
          <w:szCs w:val="24"/>
        </w:rPr>
      </w:pPr>
      <w:r>
        <w:rPr>
          <w:rFonts w:ascii="Times New Roman" w:hAnsi="Times New Roman"/>
          <w:noProof/>
          <w:sz w:val="24"/>
          <w:szCs w:val="24"/>
        </w:rPr>
        <w:t>For sampling errors, the size of the sample is the main determinant. Larger samples improve the accuracy of the results. Table 1 shows the size of the sample of persons aged 15-74 interviewed each quarter in each participating country, in absolute terms and compared with the total population of that age group. The sampling rate</w:t>
      </w:r>
      <w:r>
        <w:rPr>
          <w:rStyle w:val="FootnoteReference"/>
          <w:rFonts w:ascii="Times New Roman" w:hAnsi="Times New Roman"/>
          <w:noProof/>
          <w:sz w:val="24"/>
          <w:szCs w:val="24"/>
        </w:rPr>
        <w:footnoteReference w:id="13"/>
      </w:r>
      <w:r>
        <w:rPr>
          <w:rFonts w:ascii="Times New Roman" w:hAnsi="Times New Roman"/>
          <w:noProof/>
          <w:sz w:val="24"/>
          <w:szCs w:val="24"/>
        </w:rPr>
        <w:t xml:space="preserve"> ranged in 2017 from 0.14 % (the United Kingdom) to 1.46 % (Luxembourg). On average, the quarterly sample size was about 1.3 million people in 2017, which amounts to 0.29 % of the total population aged 15-74 in the 34 countries taking part.</w:t>
      </w:r>
    </w:p>
    <w:p>
      <w:pPr>
        <w:jc w:val="both"/>
        <w:rPr>
          <w:rFonts w:ascii="Times New Roman" w:hAnsi="Times New Roman"/>
          <w:noProof/>
          <w:sz w:val="24"/>
          <w:szCs w:val="24"/>
        </w:rPr>
      </w:pPr>
      <w:r>
        <w:rPr>
          <w:rFonts w:ascii="Times New Roman" w:hAnsi="Times New Roman"/>
          <w:noProof/>
          <w:sz w:val="24"/>
          <w:szCs w:val="24"/>
        </w:rPr>
        <w:t>Official surveys such as the EU-LFS use probability sampling. This makes it possible to quantify sampling errors in terms of confidence intervals. Table 2 provides the estimates and 95 % confidence intervals reached for the seven main indicators on employment and unemployment at aggregated EU-28 level.</w:t>
      </w:r>
    </w:p>
    <w:p>
      <w:pPr>
        <w:jc w:val="both"/>
        <w:rPr>
          <w:rFonts w:ascii="Times New Roman" w:hAnsi="Times New Roman"/>
          <w:noProof/>
          <w:sz w:val="24"/>
          <w:szCs w:val="24"/>
        </w:rPr>
      </w:pPr>
      <w:r>
        <w:rPr>
          <w:rFonts w:ascii="Times New Roman" w:hAnsi="Times New Roman"/>
          <w:noProof/>
          <w:sz w:val="24"/>
          <w:szCs w:val="24"/>
        </w:rPr>
        <w:t>These intervals reflect the precision requirements set in Council Regulation (EC) No 577/98.</w:t>
      </w:r>
    </w:p>
    <w:p>
      <w:pPr>
        <w:jc w:val="both"/>
        <w:rPr>
          <w:rFonts w:ascii="Times New Roman" w:hAnsi="Times New Roman"/>
          <w:noProof/>
          <w:sz w:val="24"/>
          <w:szCs w:val="24"/>
        </w:rPr>
      </w:pPr>
      <w:r>
        <w:rPr>
          <w:rFonts w:ascii="Times New Roman" w:hAnsi="Times New Roman"/>
          <w:noProof/>
          <w:sz w:val="24"/>
          <w:szCs w:val="24"/>
        </w:rPr>
        <w:t>For non-sampling errors, Eurostat and participating countries regularly monitor relevant sources of non-sampling errors like non-response. Participating countries report the main causes of errors to Eurostat on an annual basis, along with the methods applied nationally to reduce them. A summary of this monitoring is published in the annual quality report of the EU-LFS</w:t>
      </w:r>
      <w:r>
        <w:rPr>
          <w:rStyle w:val="FootnoteReference"/>
          <w:rFonts w:ascii="Times New Roman" w:hAnsi="Times New Roman"/>
          <w:noProof/>
          <w:sz w:val="24"/>
          <w:szCs w:val="24"/>
        </w:rPr>
        <w:footnoteReference w:id="14"/>
      </w:r>
      <w:r>
        <w:rPr>
          <w:rFonts w:ascii="Times New Roman" w:hAnsi="Times New Roman"/>
          <w:noProof/>
          <w:sz w:val="24"/>
          <w:szCs w:val="24"/>
        </w:rPr>
        <w:t>.</w:t>
      </w:r>
    </w:p>
    <w:p>
      <w:pPr>
        <w:jc w:val="both"/>
        <w:rPr>
          <w:rFonts w:ascii="Times New Roman" w:hAnsi="Times New Roman"/>
          <w:noProof/>
          <w:sz w:val="24"/>
          <w:szCs w:val="24"/>
        </w:rPr>
      </w:pPr>
      <w:r>
        <w:rPr>
          <w:rFonts w:ascii="Times New Roman" w:hAnsi="Times New Roman"/>
          <w:noProof/>
          <w:sz w:val="24"/>
          <w:szCs w:val="24"/>
        </w:rPr>
        <w:t>In 2017, participation in the EU-LFS was compulsory in 14 countries (Belgium, Germany, Greece, Spain, France, Italy, Cyprus, Luxembourg, Malta, Austria, Portugal, Slovakia, Norway and Turkey) and voluntary in the other 20 countries. Countries conducting a voluntary survey generally have a higher unit non-response rate than countries conducting a compulsory survey</w:t>
      </w:r>
      <w:r>
        <w:rPr>
          <w:rStyle w:val="FootnoteReference"/>
          <w:rFonts w:ascii="Times New Roman" w:hAnsi="Times New Roman"/>
          <w:noProof/>
          <w:sz w:val="24"/>
          <w:szCs w:val="24"/>
        </w:rPr>
        <w:footnoteReference w:id="15"/>
      </w:r>
      <w:r>
        <w:rPr>
          <w:rFonts w:ascii="Times New Roman" w:hAnsi="Times New Roman"/>
          <w:noProof/>
          <w:sz w:val="24"/>
          <w:szCs w:val="24"/>
        </w:rPr>
        <w:t>.</w:t>
      </w:r>
    </w:p>
    <w:p>
      <w:pPr>
        <w:spacing w:after="0"/>
        <w:jc w:val="both"/>
        <w:rPr>
          <w:rFonts w:ascii="Times New Roman" w:hAnsi="Times New Roman"/>
          <w:b/>
          <w:noProof/>
          <w:sz w:val="24"/>
          <w:szCs w:val="24"/>
        </w:rPr>
      </w:pPr>
      <w:r>
        <w:rPr>
          <w:rFonts w:ascii="Times New Roman" w:hAnsi="Times New Roman"/>
          <w:b/>
          <w:noProof/>
          <w:sz w:val="24"/>
          <w:szCs w:val="24"/>
        </w:rPr>
        <w:br w:type="page"/>
        <w:t>Table 1: Achieved sample size and percentage of the population aged 15-74 (quarterly average) in the European Labour Force Survey, 2017 and 2014</w:t>
      </w:r>
    </w:p>
    <w:tbl>
      <w:tblPr>
        <w:tblW w:w="0" w:type="auto"/>
        <w:tblInd w:w="93" w:type="dxa"/>
        <w:tblLook w:val="04A0" w:firstRow="1" w:lastRow="0" w:firstColumn="1" w:lastColumn="0" w:noHBand="0" w:noVBand="1"/>
      </w:tblPr>
      <w:tblGrid>
        <w:gridCol w:w="1037"/>
        <w:gridCol w:w="1264"/>
        <w:gridCol w:w="1140"/>
        <w:gridCol w:w="1140"/>
        <w:gridCol w:w="1011"/>
        <w:gridCol w:w="1277"/>
        <w:gridCol w:w="1140"/>
        <w:gridCol w:w="1140"/>
      </w:tblGrid>
      <w:tr>
        <w:trPr>
          <w:trHeight w:val="840"/>
        </w:trPr>
        <w:tc>
          <w:tcPr>
            <w:tcW w:w="1037" w:type="dxa"/>
            <w:tcBorders>
              <w:top w:val="single" w:sz="4" w:space="0" w:color="000000"/>
              <w:left w:val="nil"/>
              <w:bottom w:val="single" w:sz="4" w:space="0" w:color="000000"/>
              <w:right w:val="nil"/>
            </w:tcBorders>
            <w:shd w:val="clear" w:color="000000" w:fill="FEF0CF"/>
            <w:vAlign w:val="bottom"/>
            <w:hideMark/>
          </w:tcPr>
          <w:p>
            <w:pPr>
              <w:spacing w:after="0"/>
              <w:jc w:val="both"/>
              <w:rPr>
                <w:rFonts w:ascii="Times New Roman" w:hAnsi="Times New Roman"/>
                <w:b/>
                <w:bCs/>
                <w:noProof/>
              </w:rPr>
            </w:pPr>
            <w:r>
              <w:rPr>
                <w:rFonts w:ascii="Times New Roman" w:hAnsi="Times New Roman"/>
                <w:b/>
                <w:bCs/>
                <w:noProof/>
              </w:rPr>
              <w:t>Country</w:t>
            </w:r>
          </w:p>
        </w:tc>
        <w:tc>
          <w:tcPr>
            <w:tcW w:w="1264" w:type="dxa"/>
            <w:tcBorders>
              <w:top w:val="single" w:sz="4" w:space="0" w:color="000000"/>
              <w:left w:val="single" w:sz="4" w:space="0" w:color="A6A6A6"/>
              <w:bottom w:val="single" w:sz="4" w:space="0" w:color="000000"/>
              <w:right w:val="nil"/>
            </w:tcBorders>
            <w:shd w:val="clear" w:color="000000" w:fill="FEF0CF"/>
            <w:vAlign w:val="bottom"/>
            <w:hideMark/>
          </w:tcPr>
          <w:p>
            <w:pPr>
              <w:spacing w:after="0"/>
              <w:jc w:val="both"/>
              <w:rPr>
                <w:rFonts w:ascii="Times New Roman" w:hAnsi="Times New Roman"/>
                <w:b/>
                <w:bCs/>
                <w:noProof/>
              </w:rPr>
            </w:pPr>
            <w:r>
              <w:rPr>
                <w:rFonts w:ascii="Times New Roman" w:hAnsi="Times New Roman"/>
                <w:b/>
                <w:bCs/>
                <w:noProof/>
              </w:rPr>
              <w:t>Quarterly sample size (thousand)</w:t>
            </w:r>
          </w:p>
          <w:p>
            <w:pPr>
              <w:spacing w:after="0"/>
              <w:jc w:val="both"/>
              <w:rPr>
                <w:rFonts w:ascii="Times New Roman" w:hAnsi="Times New Roman"/>
                <w:b/>
                <w:bCs/>
                <w:noProof/>
              </w:rPr>
            </w:pPr>
            <w:r>
              <w:rPr>
                <w:rFonts w:ascii="Times New Roman" w:hAnsi="Times New Roman"/>
                <w:b/>
                <w:bCs/>
                <w:noProof/>
              </w:rPr>
              <w:t>2017</w:t>
            </w:r>
          </w:p>
        </w:tc>
        <w:tc>
          <w:tcPr>
            <w:tcW w:w="0" w:type="auto"/>
            <w:tcBorders>
              <w:top w:val="single" w:sz="4" w:space="0" w:color="000000"/>
              <w:left w:val="single" w:sz="4" w:space="0" w:color="A6A6A6"/>
              <w:bottom w:val="single" w:sz="4" w:space="0" w:color="000000"/>
              <w:right w:val="single" w:sz="8" w:space="0" w:color="BFBFBF"/>
            </w:tcBorders>
            <w:shd w:val="clear" w:color="000000" w:fill="FEF0CF"/>
            <w:vAlign w:val="bottom"/>
            <w:hideMark/>
          </w:tcPr>
          <w:p>
            <w:pPr>
              <w:spacing w:after="0"/>
              <w:jc w:val="both"/>
              <w:rPr>
                <w:rFonts w:ascii="Times New Roman" w:hAnsi="Times New Roman"/>
                <w:b/>
                <w:bCs/>
                <w:noProof/>
              </w:rPr>
            </w:pPr>
            <w:r>
              <w:rPr>
                <w:rFonts w:ascii="Times New Roman" w:hAnsi="Times New Roman"/>
                <w:b/>
                <w:bCs/>
                <w:noProof/>
              </w:rPr>
              <w:t>Sampling rate 15-74 (%)</w:t>
            </w:r>
          </w:p>
          <w:p>
            <w:pPr>
              <w:spacing w:after="0"/>
              <w:jc w:val="both"/>
              <w:rPr>
                <w:rFonts w:ascii="Times New Roman" w:hAnsi="Times New Roman"/>
                <w:b/>
                <w:bCs/>
                <w:noProof/>
              </w:rPr>
            </w:pPr>
            <w:r>
              <w:rPr>
                <w:rFonts w:ascii="Times New Roman" w:hAnsi="Times New Roman"/>
                <w:b/>
                <w:bCs/>
                <w:noProof/>
              </w:rPr>
              <w:t>2017</w:t>
            </w:r>
          </w:p>
        </w:tc>
        <w:tc>
          <w:tcPr>
            <w:tcW w:w="0" w:type="auto"/>
            <w:tcBorders>
              <w:top w:val="single" w:sz="4" w:space="0" w:color="000000"/>
              <w:left w:val="single" w:sz="8" w:space="0" w:color="BFBFBF"/>
              <w:bottom w:val="single" w:sz="4" w:space="0" w:color="000000"/>
              <w:right w:val="single" w:sz="8" w:space="0" w:color="000000"/>
            </w:tcBorders>
            <w:shd w:val="clear" w:color="000000" w:fill="FEF0CF"/>
          </w:tcPr>
          <w:p>
            <w:pPr>
              <w:spacing w:after="0"/>
              <w:jc w:val="both"/>
              <w:rPr>
                <w:rFonts w:ascii="Times New Roman" w:hAnsi="Times New Roman"/>
                <w:b/>
                <w:bCs/>
                <w:noProof/>
              </w:rPr>
            </w:pPr>
            <w:r>
              <w:rPr>
                <w:rFonts w:ascii="Times New Roman" w:hAnsi="Times New Roman"/>
                <w:b/>
                <w:bCs/>
                <w:noProof/>
              </w:rPr>
              <w:t>Sampling rate 15-74 (%)</w:t>
            </w:r>
          </w:p>
          <w:p>
            <w:pPr>
              <w:spacing w:after="0"/>
              <w:jc w:val="both"/>
              <w:rPr>
                <w:rFonts w:ascii="Times New Roman" w:hAnsi="Times New Roman"/>
                <w:b/>
                <w:bCs/>
                <w:noProof/>
              </w:rPr>
            </w:pPr>
            <w:r>
              <w:rPr>
                <w:rFonts w:ascii="Times New Roman" w:hAnsi="Times New Roman"/>
                <w:b/>
                <w:bCs/>
                <w:noProof/>
              </w:rPr>
              <w:t>2014</w:t>
            </w:r>
          </w:p>
        </w:tc>
        <w:tc>
          <w:tcPr>
            <w:tcW w:w="0" w:type="auto"/>
            <w:tcBorders>
              <w:top w:val="single" w:sz="4" w:space="0" w:color="000000"/>
              <w:left w:val="single" w:sz="8" w:space="0" w:color="000000"/>
              <w:bottom w:val="single" w:sz="4" w:space="0" w:color="000000"/>
              <w:right w:val="nil"/>
            </w:tcBorders>
            <w:shd w:val="clear" w:color="000000" w:fill="FEF0CF"/>
            <w:noWrap/>
            <w:vAlign w:val="bottom"/>
            <w:hideMark/>
          </w:tcPr>
          <w:p>
            <w:pPr>
              <w:spacing w:after="0"/>
              <w:jc w:val="both"/>
              <w:rPr>
                <w:rFonts w:ascii="Times New Roman" w:hAnsi="Times New Roman"/>
                <w:b/>
                <w:bCs/>
                <w:noProof/>
              </w:rPr>
            </w:pPr>
            <w:r>
              <w:rPr>
                <w:rFonts w:ascii="Times New Roman" w:hAnsi="Times New Roman"/>
                <w:b/>
                <w:bCs/>
                <w:noProof/>
              </w:rPr>
              <w:t>Country</w:t>
            </w:r>
          </w:p>
        </w:tc>
        <w:tc>
          <w:tcPr>
            <w:tcW w:w="0" w:type="auto"/>
            <w:tcBorders>
              <w:top w:val="single" w:sz="4" w:space="0" w:color="000000"/>
              <w:left w:val="single" w:sz="4" w:space="0" w:color="A6A6A6"/>
              <w:bottom w:val="single" w:sz="4" w:space="0" w:color="000000"/>
              <w:right w:val="nil"/>
            </w:tcBorders>
            <w:shd w:val="clear" w:color="000000" w:fill="FEF0CF"/>
            <w:vAlign w:val="bottom"/>
            <w:hideMark/>
          </w:tcPr>
          <w:p>
            <w:pPr>
              <w:spacing w:after="0"/>
              <w:jc w:val="both"/>
              <w:rPr>
                <w:rFonts w:ascii="Times New Roman" w:hAnsi="Times New Roman"/>
                <w:b/>
                <w:bCs/>
                <w:noProof/>
              </w:rPr>
            </w:pPr>
            <w:r>
              <w:rPr>
                <w:rFonts w:ascii="Times New Roman" w:hAnsi="Times New Roman"/>
                <w:b/>
                <w:bCs/>
                <w:noProof/>
              </w:rPr>
              <w:t>Quarterly sample size (thousand)</w:t>
            </w:r>
          </w:p>
          <w:p>
            <w:pPr>
              <w:spacing w:after="0"/>
              <w:jc w:val="both"/>
              <w:rPr>
                <w:rFonts w:ascii="Times New Roman" w:hAnsi="Times New Roman"/>
                <w:b/>
                <w:bCs/>
                <w:noProof/>
              </w:rPr>
            </w:pPr>
            <w:r>
              <w:rPr>
                <w:rFonts w:ascii="Times New Roman" w:hAnsi="Times New Roman"/>
                <w:b/>
                <w:bCs/>
                <w:noProof/>
              </w:rPr>
              <w:t>2017</w:t>
            </w:r>
          </w:p>
        </w:tc>
        <w:tc>
          <w:tcPr>
            <w:tcW w:w="0" w:type="auto"/>
            <w:tcBorders>
              <w:top w:val="single" w:sz="4" w:space="0" w:color="000000"/>
              <w:left w:val="single" w:sz="4" w:space="0" w:color="A6A6A6"/>
              <w:bottom w:val="single" w:sz="4" w:space="0" w:color="000000"/>
              <w:right w:val="nil"/>
            </w:tcBorders>
            <w:shd w:val="clear" w:color="000000" w:fill="FEF0CF"/>
            <w:vAlign w:val="bottom"/>
            <w:hideMark/>
          </w:tcPr>
          <w:p>
            <w:pPr>
              <w:spacing w:after="0"/>
              <w:jc w:val="both"/>
              <w:rPr>
                <w:rFonts w:ascii="Times New Roman" w:hAnsi="Times New Roman"/>
                <w:b/>
                <w:bCs/>
                <w:noProof/>
              </w:rPr>
            </w:pPr>
            <w:r>
              <w:rPr>
                <w:rFonts w:ascii="Times New Roman" w:hAnsi="Times New Roman"/>
                <w:b/>
                <w:bCs/>
                <w:noProof/>
              </w:rPr>
              <w:t>Sampling rate 15-74 (%)</w:t>
            </w:r>
          </w:p>
          <w:p>
            <w:pPr>
              <w:spacing w:after="0"/>
              <w:jc w:val="both"/>
              <w:rPr>
                <w:rFonts w:ascii="Times New Roman" w:hAnsi="Times New Roman"/>
                <w:b/>
                <w:bCs/>
                <w:noProof/>
              </w:rPr>
            </w:pPr>
            <w:r>
              <w:rPr>
                <w:rFonts w:ascii="Times New Roman" w:hAnsi="Times New Roman"/>
                <w:b/>
                <w:bCs/>
                <w:noProof/>
              </w:rPr>
              <w:t>2017</w:t>
            </w:r>
          </w:p>
        </w:tc>
        <w:tc>
          <w:tcPr>
            <w:tcW w:w="0" w:type="auto"/>
            <w:tcBorders>
              <w:top w:val="single" w:sz="4" w:space="0" w:color="000000"/>
              <w:left w:val="single" w:sz="4" w:space="0" w:color="A6A6A6"/>
              <w:bottom w:val="single" w:sz="4" w:space="0" w:color="000000"/>
              <w:right w:val="nil"/>
            </w:tcBorders>
            <w:shd w:val="clear" w:color="000000" w:fill="FEF0CF"/>
          </w:tcPr>
          <w:p>
            <w:pPr>
              <w:spacing w:after="0"/>
              <w:jc w:val="both"/>
              <w:rPr>
                <w:rFonts w:ascii="Times New Roman" w:hAnsi="Times New Roman"/>
                <w:b/>
                <w:bCs/>
                <w:noProof/>
              </w:rPr>
            </w:pPr>
            <w:r>
              <w:rPr>
                <w:rFonts w:ascii="Times New Roman" w:hAnsi="Times New Roman"/>
                <w:b/>
                <w:bCs/>
                <w:noProof/>
              </w:rPr>
              <w:t>Sampling rate 15-74 (%)</w:t>
            </w:r>
          </w:p>
          <w:p>
            <w:pPr>
              <w:spacing w:after="0"/>
              <w:jc w:val="both"/>
              <w:rPr>
                <w:rFonts w:ascii="Times New Roman" w:hAnsi="Times New Roman"/>
                <w:b/>
                <w:bCs/>
                <w:noProof/>
              </w:rPr>
            </w:pPr>
            <w:r>
              <w:rPr>
                <w:rFonts w:ascii="Times New Roman" w:hAnsi="Times New Roman"/>
                <w:b/>
                <w:bCs/>
                <w:noProof/>
              </w:rPr>
              <w:t>2014</w:t>
            </w:r>
          </w:p>
        </w:tc>
      </w:tr>
      <w:tr>
        <w:trPr>
          <w:trHeight w:val="225"/>
        </w:trPr>
        <w:tc>
          <w:tcPr>
            <w:tcW w:w="1037" w:type="dxa"/>
            <w:tcBorders>
              <w:top w:val="single" w:sz="4" w:space="0" w:color="000000"/>
              <w:bottom w:val="single" w:sz="4" w:space="0" w:color="000000"/>
              <w:right w:val="nil"/>
            </w:tcBorders>
            <w:shd w:val="clear" w:color="000000" w:fill="FEE2A0"/>
            <w:noWrap/>
            <w:vAlign w:val="bottom"/>
            <w:hideMark/>
          </w:tcPr>
          <w:p>
            <w:pPr>
              <w:spacing w:after="0"/>
              <w:jc w:val="both"/>
              <w:rPr>
                <w:rFonts w:ascii="Times New Roman" w:hAnsi="Times New Roman"/>
                <w:b/>
                <w:bCs/>
                <w:noProof/>
              </w:rPr>
            </w:pPr>
            <w:r>
              <w:rPr>
                <w:rFonts w:ascii="Times New Roman" w:hAnsi="Times New Roman"/>
                <w:b/>
                <w:bCs/>
                <w:noProof/>
              </w:rPr>
              <w:t>EU-28</w:t>
            </w:r>
          </w:p>
        </w:tc>
        <w:tc>
          <w:tcPr>
            <w:tcW w:w="1264" w:type="dxa"/>
            <w:tcBorders>
              <w:top w:val="single" w:sz="4" w:space="0" w:color="000000"/>
              <w:left w:val="single" w:sz="4" w:space="0" w:color="A6A6A6"/>
              <w:bottom w:val="single" w:sz="4" w:space="0" w:color="000000"/>
              <w:right w:val="nil"/>
            </w:tcBorders>
            <w:shd w:val="clear" w:color="000000" w:fill="FEE2A0"/>
            <w:noWrap/>
            <w:vAlign w:val="bottom"/>
            <w:hideMark/>
          </w:tcPr>
          <w:p>
            <w:pPr>
              <w:spacing w:after="0"/>
              <w:jc w:val="both"/>
              <w:rPr>
                <w:rFonts w:ascii="Times New Roman" w:hAnsi="Times New Roman"/>
                <w:noProof/>
              </w:rPr>
            </w:pPr>
            <w:r>
              <w:rPr>
                <w:rFonts w:ascii="Times New Roman" w:hAnsi="Times New Roman"/>
                <w:noProof/>
              </w:rPr>
              <w:t>1 162</w:t>
            </w:r>
          </w:p>
        </w:tc>
        <w:tc>
          <w:tcPr>
            <w:tcW w:w="0" w:type="auto"/>
            <w:tcBorders>
              <w:top w:val="single" w:sz="4" w:space="0" w:color="000000"/>
              <w:left w:val="single" w:sz="4" w:space="0" w:color="A6A6A6"/>
              <w:bottom w:val="single" w:sz="4" w:space="0" w:color="000000"/>
              <w:right w:val="single" w:sz="4" w:space="0" w:color="A6A6A6"/>
            </w:tcBorders>
            <w:shd w:val="clear" w:color="000000" w:fill="FEE2A0"/>
            <w:noWrap/>
            <w:vAlign w:val="bottom"/>
            <w:hideMark/>
          </w:tcPr>
          <w:p>
            <w:pPr>
              <w:spacing w:after="0"/>
              <w:jc w:val="both"/>
              <w:rPr>
                <w:rFonts w:ascii="Times New Roman" w:hAnsi="Times New Roman"/>
                <w:noProof/>
              </w:rPr>
            </w:pPr>
            <w:r>
              <w:rPr>
                <w:rFonts w:ascii="Times New Roman" w:hAnsi="Times New Roman"/>
                <w:noProof/>
              </w:rPr>
              <w:t>0.31</w:t>
            </w:r>
          </w:p>
        </w:tc>
        <w:tc>
          <w:tcPr>
            <w:tcW w:w="0" w:type="auto"/>
            <w:tcBorders>
              <w:top w:val="single" w:sz="4" w:space="0" w:color="000000"/>
              <w:left w:val="single" w:sz="4" w:space="0" w:color="A6A6A6"/>
              <w:bottom w:val="single" w:sz="4" w:space="0" w:color="000000"/>
              <w:right w:val="single" w:sz="4" w:space="0" w:color="auto"/>
            </w:tcBorders>
            <w:shd w:val="clear" w:color="000000" w:fill="FEE2A0"/>
            <w:vAlign w:val="center"/>
          </w:tcPr>
          <w:p>
            <w:pPr>
              <w:spacing w:after="0"/>
              <w:jc w:val="both"/>
              <w:rPr>
                <w:rFonts w:ascii="Times New Roman" w:hAnsi="Times New Roman"/>
                <w:noProof/>
              </w:rPr>
            </w:pPr>
            <w:r>
              <w:rPr>
                <w:rFonts w:ascii="Times New Roman" w:hAnsi="Times New Roman"/>
                <w:noProof/>
              </w:rPr>
              <w:t>0.32</w:t>
            </w:r>
          </w:p>
        </w:tc>
        <w:tc>
          <w:tcPr>
            <w:tcW w:w="0" w:type="auto"/>
            <w:tcBorders>
              <w:top w:val="nil"/>
              <w:left w:val="single" w:sz="4" w:space="0" w:color="auto"/>
              <w:bottom w:val="single" w:sz="4" w:space="0" w:color="C0C0C0"/>
              <w:right w:val="single" w:sz="4" w:space="0" w:color="A6A6A6"/>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MT</w:t>
            </w:r>
          </w:p>
        </w:tc>
        <w:tc>
          <w:tcPr>
            <w:tcW w:w="0" w:type="auto"/>
            <w:tcBorders>
              <w:top w:val="nil"/>
              <w:left w:val="nil"/>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5</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1.44</w:t>
            </w:r>
          </w:p>
        </w:tc>
        <w:tc>
          <w:tcPr>
            <w:tcW w:w="0" w:type="auto"/>
            <w:tcBorders>
              <w:top w:val="nil"/>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rPr>
            </w:pPr>
            <w:r>
              <w:rPr>
                <w:rFonts w:ascii="Times New Roman" w:hAnsi="Times New Roman"/>
                <w:noProof/>
              </w:rPr>
              <w:t>1.54</w:t>
            </w:r>
          </w:p>
        </w:tc>
      </w:tr>
      <w:tr>
        <w:trPr>
          <w:trHeight w:val="225"/>
        </w:trPr>
        <w:tc>
          <w:tcPr>
            <w:tcW w:w="1037" w:type="dxa"/>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BE</w:t>
            </w:r>
          </w:p>
        </w:tc>
        <w:tc>
          <w:tcPr>
            <w:tcW w:w="1264" w:type="dxa"/>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29</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0.35</w:t>
            </w:r>
          </w:p>
        </w:tc>
        <w:tc>
          <w:tcPr>
            <w:tcW w:w="0" w:type="auto"/>
            <w:tcBorders>
              <w:top w:val="single" w:sz="4" w:space="0" w:color="000000"/>
              <w:left w:val="single" w:sz="8" w:space="0" w:color="BFBFBF"/>
              <w:bottom w:val="single" w:sz="8" w:space="0" w:color="BFBFBF"/>
              <w:right w:val="single" w:sz="8" w:space="0" w:color="000000"/>
            </w:tcBorders>
            <w:shd w:val="clear" w:color="000000" w:fill="FFFFFF"/>
            <w:vAlign w:val="center"/>
          </w:tcPr>
          <w:p>
            <w:pPr>
              <w:spacing w:after="0"/>
              <w:jc w:val="both"/>
              <w:rPr>
                <w:rFonts w:ascii="Times New Roman" w:hAnsi="Times New Roman"/>
                <w:noProof/>
              </w:rPr>
            </w:pPr>
            <w:r>
              <w:rPr>
                <w:rFonts w:ascii="Times New Roman" w:hAnsi="Times New Roman"/>
                <w:noProof/>
              </w:rPr>
              <w:t>0.23</w:t>
            </w:r>
          </w:p>
        </w:tc>
        <w:tc>
          <w:tcPr>
            <w:tcW w:w="0" w:type="auto"/>
            <w:tcBorders>
              <w:top w:val="nil"/>
              <w:left w:val="single" w:sz="8" w:space="0" w:color="000000"/>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NL</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75</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0.59</w:t>
            </w:r>
          </w:p>
        </w:tc>
        <w:tc>
          <w:tcPr>
            <w:tcW w:w="0" w:type="auto"/>
            <w:tcBorders>
              <w:top w:val="nil"/>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rPr>
            </w:pPr>
            <w:r>
              <w:rPr>
                <w:rFonts w:ascii="Times New Roman" w:hAnsi="Times New Roman"/>
                <w:noProof/>
              </w:rPr>
              <w:t>0.69</w:t>
            </w:r>
          </w:p>
        </w:tc>
      </w:tr>
      <w:tr>
        <w:trPr>
          <w:trHeight w:val="225"/>
        </w:trPr>
        <w:tc>
          <w:tcPr>
            <w:tcW w:w="1037" w:type="dxa"/>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BG</w:t>
            </w:r>
          </w:p>
        </w:tc>
        <w:tc>
          <w:tcPr>
            <w:tcW w:w="1264" w:type="dxa"/>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25</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0.45</w:t>
            </w:r>
          </w:p>
        </w:tc>
        <w:tc>
          <w:tcPr>
            <w:tcW w:w="0" w:type="auto"/>
            <w:tcBorders>
              <w:top w:val="single" w:sz="8" w:space="0" w:color="BFBFBF"/>
              <w:left w:val="single" w:sz="8" w:space="0" w:color="BFBFBF"/>
              <w:bottom w:val="single" w:sz="8" w:space="0" w:color="BFBFBF"/>
              <w:right w:val="single" w:sz="8" w:space="0" w:color="000000"/>
            </w:tcBorders>
            <w:shd w:val="clear" w:color="000000" w:fill="FFFFFF"/>
            <w:vAlign w:val="center"/>
          </w:tcPr>
          <w:p>
            <w:pPr>
              <w:spacing w:after="0"/>
              <w:jc w:val="both"/>
              <w:rPr>
                <w:rFonts w:ascii="Times New Roman" w:hAnsi="Times New Roman"/>
                <w:noProof/>
              </w:rPr>
            </w:pPr>
            <w:r>
              <w:rPr>
                <w:rFonts w:ascii="Times New Roman" w:hAnsi="Times New Roman"/>
                <w:noProof/>
              </w:rPr>
              <w:t>0.45</w:t>
            </w:r>
          </w:p>
        </w:tc>
        <w:tc>
          <w:tcPr>
            <w:tcW w:w="0" w:type="auto"/>
            <w:tcBorders>
              <w:top w:val="nil"/>
              <w:left w:val="single" w:sz="8" w:space="0" w:color="000000"/>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AT</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34</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0.52</w:t>
            </w:r>
          </w:p>
        </w:tc>
        <w:tc>
          <w:tcPr>
            <w:tcW w:w="0" w:type="auto"/>
            <w:tcBorders>
              <w:top w:val="nil"/>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rPr>
            </w:pPr>
            <w:r>
              <w:rPr>
                <w:rFonts w:ascii="Times New Roman" w:hAnsi="Times New Roman"/>
                <w:noProof/>
              </w:rPr>
              <w:t>0.54</w:t>
            </w:r>
          </w:p>
        </w:tc>
      </w:tr>
      <w:tr>
        <w:trPr>
          <w:trHeight w:val="225"/>
        </w:trPr>
        <w:tc>
          <w:tcPr>
            <w:tcW w:w="1037" w:type="dxa"/>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CZ</w:t>
            </w:r>
          </w:p>
        </w:tc>
        <w:tc>
          <w:tcPr>
            <w:tcW w:w="1264" w:type="dxa"/>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41</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0.50</w:t>
            </w:r>
          </w:p>
        </w:tc>
        <w:tc>
          <w:tcPr>
            <w:tcW w:w="0" w:type="auto"/>
            <w:tcBorders>
              <w:top w:val="single" w:sz="8" w:space="0" w:color="BFBFBF"/>
              <w:left w:val="single" w:sz="8" w:space="0" w:color="BFBFBF"/>
              <w:bottom w:val="single" w:sz="8" w:space="0" w:color="BFBFBF"/>
              <w:right w:val="single" w:sz="8" w:space="0" w:color="000000"/>
            </w:tcBorders>
            <w:shd w:val="clear" w:color="000000" w:fill="FFFFFF"/>
            <w:vAlign w:val="center"/>
          </w:tcPr>
          <w:p>
            <w:pPr>
              <w:spacing w:after="0"/>
              <w:jc w:val="both"/>
              <w:rPr>
                <w:rFonts w:ascii="Times New Roman" w:hAnsi="Times New Roman"/>
                <w:noProof/>
              </w:rPr>
            </w:pPr>
            <w:r>
              <w:rPr>
                <w:rFonts w:ascii="Times New Roman" w:hAnsi="Times New Roman"/>
                <w:noProof/>
              </w:rPr>
              <w:t>0.53</w:t>
            </w:r>
          </w:p>
        </w:tc>
        <w:tc>
          <w:tcPr>
            <w:tcW w:w="0" w:type="auto"/>
            <w:tcBorders>
              <w:top w:val="nil"/>
              <w:left w:val="single" w:sz="8" w:space="0" w:color="000000"/>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PL</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58</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0.21</w:t>
            </w:r>
          </w:p>
        </w:tc>
        <w:tc>
          <w:tcPr>
            <w:tcW w:w="0" w:type="auto"/>
            <w:tcBorders>
              <w:top w:val="nil"/>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rPr>
            </w:pPr>
            <w:r>
              <w:rPr>
                <w:rFonts w:ascii="Times New Roman" w:hAnsi="Times New Roman"/>
                <w:noProof/>
              </w:rPr>
              <w:t>0.26</w:t>
            </w:r>
          </w:p>
        </w:tc>
      </w:tr>
      <w:tr>
        <w:trPr>
          <w:trHeight w:val="225"/>
        </w:trPr>
        <w:tc>
          <w:tcPr>
            <w:tcW w:w="1037" w:type="dxa"/>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DK</w:t>
            </w:r>
          </w:p>
        </w:tc>
        <w:tc>
          <w:tcPr>
            <w:tcW w:w="1264" w:type="dxa"/>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21</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0.49</w:t>
            </w:r>
          </w:p>
        </w:tc>
        <w:tc>
          <w:tcPr>
            <w:tcW w:w="0" w:type="auto"/>
            <w:tcBorders>
              <w:top w:val="single" w:sz="8" w:space="0" w:color="BFBFBF"/>
              <w:left w:val="single" w:sz="8" w:space="0" w:color="BFBFBF"/>
              <w:bottom w:val="single" w:sz="8" w:space="0" w:color="BFBFBF"/>
              <w:right w:val="single" w:sz="8" w:space="0" w:color="000000"/>
            </w:tcBorders>
            <w:shd w:val="clear" w:color="000000" w:fill="FFFFFF"/>
            <w:vAlign w:val="center"/>
          </w:tcPr>
          <w:p>
            <w:pPr>
              <w:spacing w:after="0"/>
              <w:jc w:val="both"/>
              <w:rPr>
                <w:rFonts w:ascii="Times New Roman" w:hAnsi="Times New Roman"/>
                <w:noProof/>
              </w:rPr>
            </w:pPr>
            <w:r>
              <w:rPr>
                <w:rFonts w:ascii="Times New Roman" w:hAnsi="Times New Roman"/>
                <w:noProof/>
              </w:rPr>
              <w:t>0.59</w:t>
            </w:r>
          </w:p>
        </w:tc>
        <w:tc>
          <w:tcPr>
            <w:tcW w:w="0" w:type="auto"/>
            <w:tcBorders>
              <w:top w:val="nil"/>
              <w:left w:val="single" w:sz="8" w:space="0" w:color="000000"/>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PT</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30</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0.39</w:t>
            </w:r>
          </w:p>
        </w:tc>
        <w:tc>
          <w:tcPr>
            <w:tcW w:w="0" w:type="auto"/>
            <w:tcBorders>
              <w:top w:val="nil"/>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rPr>
            </w:pPr>
            <w:r>
              <w:rPr>
                <w:rFonts w:ascii="Times New Roman" w:hAnsi="Times New Roman"/>
                <w:noProof/>
              </w:rPr>
              <w:t>0.38</w:t>
            </w:r>
          </w:p>
        </w:tc>
      </w:tr>
      <w:tr>
        <w:trPr>
          <w:trHeight w:val="225"/>
        </w:trPr>
        <w:tc>
          <w:tcPr>
            <w:tcW w:w="1037" w:type="dxa"/>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DE</w:t>
            </w:r>
          </w:p>
        </w:tc>
        <w:tc>
          <w:tcPr>
            <w:tcW w:w="1264" w:type="dxa"/>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142</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0.23</w:t>
            </w:r>
          </w:p>
        </w:tc>
        <w:tc>
          <w:tcPr>
            <w:tcW w:w="0" w:type="auto"/>
            <w:tcBorders>
              <w:top w:val="single" w:sz="8" w:space="0" w:color="BFBFBF"/>
              <w:left w:val="single" w:sz="8" w:space="0" w:color="BFBFBF"/>
              <w:bottom w:val="single" w:sz="8" w:space="0" w:color="BFBFBF"/>
              <w:right w:val="single" w:sz="8" w:space="0" w:color="000000"/>
            </w:tcBorders>
            <w:shd w:val="clear" w:color="000000" w:fill="FFFFFF"/>
            <w:vAlign w:val="center"/>
          </w:tcPr>
          <w:p>
            <w:pPr>
              <w:spacing w:after="0"/>
              <w:jc w:val="both"/>
              <w:rPr>
                <w:rFonts w:ascii="Times New Roman" w:hAnsi="Times New Roman"/>
                <w:noProof/>
              </w:rPr>
            </w:pPr>
            <w:r>
              <w:rPr>
                <w:rFonts w:ascii="Times New Roman" w:hAnsi="Times New Roman"/>
                <w:noProof/>
              </w:rPr>
              <w:t>0.20</w:t>
            </w:r>
          </w:p>
        </w:tc>
        <w:tc>
          <w:tcPr>
            <w:tcW w:w="0" w:type="auto"/>
            <w:tcBorders>
              <w:top w:val="nil"/>
              <w:left w:val="single" w:sz="8" w:space="0" w:color="000000"/>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RO</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47</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0.31</w:t>
            </w:r>
          </w:p>
        </w:tc>
        <w:tc>
          <w:tcPr>
            <w:tcW w:w="0" w:type="auto"/>
            <w:tcBorders>
              <w:top w:val="nil"/>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rPr>
            </w:pPr>
            <w:r>
              <w:rPr>
                <w:rFonts w:ascii="Times New Roman" w:hAnsi="Times New Roman"/>
                <w:noProof/>
              </w:rPr>
              <w:t>0.28</w:t>
            </w:r>
          </w:p>
        </w:tc>
      </w:tr>
      <w:tr>
        <w:trPr>
          <w:trHeight w:val="225"/>
        </w:trPr>
        <w:tc>
          <w:tcPr>
            <w:tcW w:w="1037" w:type="dxa"/>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EE</w:t>
            </w:r>
          </w:p>
        </w:tc>
        <w:tc>
          <w:tcPr>
            <w:tcW w:w="1264" w:type="dxa"/>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5</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0.56</w:t>
            </w:r>
          </w:p>
        </w:tc>
        <w:tc>
          <w:tcPr>
            <w:tcW w:w="0" w:type="auto"/>
            <w:tcBorders>
              <w:top w:val="single" w:sz="8" w:space="0" w:color="BFBFBF"/>
              <w:left w:val="single" w:sz="8" w:space="0" w:color="BFBFBF"/>
              <w:bottom w:val="single" w:sz="8" w:space="0" w:color="BFBFBF"/>
              <w:right w:val="single" w:sz="8" w:space="0" w:color="000000"/>
            </w:tcBorders>
            <w:shd w:val="clear" w:color="000000" w:fill="FFFFFF"/>
            <w:vAlign w:val="center"/>
          </w:tcPr>
          <w:p>
            <w:pPr>
              <w:spacing w:after="0"/>
              <w:jc w:val="both"/>
              <w:rPr>
                <w:rFonts w:ascii="Times New Roman" w:hAnsi="Times New Roman"/>
                <w:noProof/>
              </w:rPr>
            </w:pPr>
            <w:r>
              <w:rPr>
                <w:rFonts w:ascii="Times New Roman" w:hAnsi="Times New Roman"/>
                <w:noProof/>
              </w:rPr>
              <w:t>0.49</w:t>
            </w:r>
          </w:p>
        </w:tc>
        <w:tc>
          <w:tcPr>
            <w:tcW w:w="0" w:type="auto"/>
            <w:tcBorders>
              <w:top w:val="nil"/>
              <w:left w:val="single" w:sz="8" w:space="0" w:color="000000"/>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SI</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13</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0.79</w:t>
            </w:r>
          </w:p>
        </w:tc>
        <w:tc>
          <w:tcPr>
            <w:tcW w:w="0" w:type="auto"/>
            <w:tcBorders>
              <w:top w:val="nil"/>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rPr>
            </w:pPr>
            <w:r>
              <w:rPr>
                <w:rFonts w:ascii="Times New Roman" w:hAnsi="Times New Roman"/>
                <w:noProof/>
              </w:rPr>
              <w:t>0.76</w:t>
            </w:r>
          </w:p>
        </w:tc>
      </w:tr>
      <w:tr>
        <w:trPr>
          <w:trHeight w:val="225"/>
        </w:trPr>
        <w:tc>
          <w:tcPr>
            <w:tcW w:w="1037" w:type="dxa"/>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IE</w:t>
            </w:r>
          </w:p>
        </w:tc>
        <w:tc>
          <w:tcPr>
            <w:tcW w:w="1264" w:type="dxa"/>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27</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0.77</w:t>
            </w:r>
          </w:p>
        </w:tc>
        <w:tc>
          <w:tcPr>
            <w:tcW w:w="0" w:type="auto"/>
            <w:tcBorders>
              <w:top w:val="single" w:sz="8" w:space="0" w:color="BFBFBF"/>
              <w:left w:val="single" w:sz="8" w:space="0" w:color="BFBFBF"/>
              <w:bottom w:val="single" w:sz="8" w:space="0" w:color="BFBFBF"/>
              <w:right w:val="single" w:sz="8" w:space="0" w:color="000000"/>
            </w:tcBorders>
            <w:shd w:val="clear" w:color="000000" w:fill="FFFFFF"/>
            <w:vAlign w:val="center"/>
          </w:tcPr>
          <w:p>
            <w:pPr>
              <w:spacing w:after="0"/>
              <w:jc w:val="both"/>
              <w:rPr>
                <w:rFonts w:ascii="Times New Roman" w:hAnsi="Times New Roman"/>
                <w:noProof/>
              </w:rPr>
            </w:pPr>
            <w:r>
              <w:rPr>
                <w:rFonts w:ascii="Times New Roman" w:hAnsi="Times New Roman"/>
                <w:noProof/>
              </w:rPr>
              <w:t>1.12</w:t>
            </w:r>
          </w:p>
        </w:tc>
        <w:tc>
          <w:tcPr>
            <w:tcW w:w="0" w:type="auto"/>
            <w:tcBorders>
              <w:top w:val="nil"/>
              <w:left w:val="single" w:sz="8" w:space="0" w:color="000000"/>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SK</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18</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0.41</w:t>
            </w:r>
          </w:p>
        </w:tc>
        <w:tc>
          <w:tcPr>
            <w:tcW w:w="0" w:type="auto"/>
            <w:tcBorders>
              <w:top w:val="nil"/>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rPr>
            </w:pPr>
            <w:r>
              <w:rPr>
                <w:rFonts w:ascii="Times New Roman" w:hAnsi="Times New Roman"/>
                <w:noProof/>
              </w:rPr>
              <w:t>0.47</w:t>
            </w:r>
          </w:p>
        </w:tc>
      </w:tr>
      <w:tr>
        <w:trPr>
          <w:trHeight w:val="225"/>
        </w:trPr>
        <w:tc>
          <w:tcPr>
            <w:tcW w:w="1037" w:type="dxa"/>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EL</w:t>
            </w:r>
          </w:p>
        </w:tc>
        <w:tc>
          <w:tcPr>
            <w:tcW w:w="1264" w:type="dxa"/>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45</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0.56</w:t>
            </w:r>
          </w:p>
        </w:tc>
        <w:tc>
          <w:tcPr>
            <w:tcW w:w="0" w:type="auto"/>
            <w:tcBorders>
              <w:top w:val="single" w:sz="8" w:space="0" w:color="BFBFBF"/>
              <w:left w:val="single" w:sz="8" w:space="0" w:color="BFBFBF"/>
              <w:bottom w:val="single" w:sz="8" w:space="0" w:color="BFBFBF"/>
              <w:right w:val="single" w:sz="8" w:space="0" w:color="000000"/>
            </w:tcBorders>
            <w:shd w:val="clear" w:color="000000" w:fill="FFFFFF"/>
            <w:vAlign w:val="center"/>
          </w:tcPr>
          <w:p>
            <w:pPr>
              <w:spacing w:after="0"/>
              <w:jc w:val="both"/>
              <w:rPr>
                <w:rFonts w:ascii="Times New Roman" w:hAnsi="Times New Roman"/>
                <w:noProof/>
              </w:rPr>
            </w:pPr>
            <w:r>
              <w:rPr>
                <w:rFonts w:ascii="Times New Roman" w:hAnsi="Times New Roman"/>
                <w:noProof/>
              </w:rPr>
              <w:t>0.55</w:t>
            </w:r>
          </w:p>
        </w:tc>
        <w:tc>
          <w:tcPr>
            <w:tcW w:w="0" w:type="auto"/>
            <w:tcBorders>
              <w:top w:val="nil"/>
              <w:left w:val="single" w:sz="8" w:space="0" w:color="000000"/>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FI</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29</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0.71</w:t>
            </w:r>
          </w:p>
        </w:tc>
        <w:tc>
          <w:tcPr>
            <w:tcW w:w="0" w:type="auto"/>
            <w:tcBorders>
              <w:top w:val="nil"/>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rPr>
            </w:pPr>
            <w:r>
              <w:rPr>
                <w:rFonts w:ascii="Times New Roman" w:hAnsi="Times New Roman"/>
                <w:noProof/>
              </w:rPr>
              <w:t>0.77</w:t>
            </w:r>
          </w:p>
        </w:tc>
      </w:tr>
      <w:tr>
        <w:trPr>
          <w:trHeight w:val="225"/>
        </w:trPr>
        <w:tc>
          <w:tcPr>
            <w:tcW w:w="1037" w:type="dxa"/>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ES</w:t>
            </w:r>
          </w:p>
        </w:tc>
        <w:tc>
          <w:tcPr>
            <w:tcW w:w="1264" w:type="dxa"/>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119</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0.34</w:t>
            </w:r>
          </w:p>
        </w:tc>
        <w:tc>
          <w:tcPr>
            <w:tcW w:w="0" w:type="auto"/>
            <w:tcBorders>
              <w:top w:val="single" w:sz="8" w:space="0" w:color="BFBFBF"/>
              <w:left w:val="single" w:sz="8" w:space="0" w:color="BFBFBF"/>
              <w:bottom w:val="single" w:sz="8" w:space="0" w:color="BFBFBF"/>
              <w:right w:val="single" w:sz="8" w:space="0" w:color="000000"/>
            </w:tcBorders>
            <w:shd w:val="clear" w:color="000000" w:fill="FFFFFF"/>
            <w:vAlign w:val="center"/>
          </w:tcPr>
          <w:p>
            <w:pPr>
              <w:spacing w:after="0"/>
              <w:jc w:val="both"/>
              <w:rPr>
                <w:rFonts w:ascii="Times New Roman" w:hAnsi="Times New Roman"/>
                <w:noProof/>
              </w:rPr>
            </w:pPr>
            <w:r>
              <w:rPr>
                <w:rFonts w:ascii="Times New Roman" w:hAnsi="Times New Roman"/>
                <w:noProof/>
              </w:rPr>
              <w:t>0.36</w:t>
            </w:r>
          </w:p>
        </w:tc>
        <w:tc>
          <w:tcPr>
            <w:tcW w:w="0" w:type="auto"/>
            <w:tcBorders>
              <w:top w:val="nil"/>
              <w:left w:val="single" w:sz="8" w:space="0" w:color="000000"/>
              <w:bottom w:val="nil"/>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SE</w:t>
            </w:r>
          </w:p>
        </w:tc>
        <w:tc>
          <w:tcPr>
            <w:tcW w:w="0" w:type="auto"/>
            <w:tcBorders>
              <w:top w:val="nil"/>
              <w:left w:val="single" w:sz="4" w:space="0" w:color="A6A6A6"/>
              <w:bottom w:val="nil"/>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51</w:t>
            </w:r>
          </w:p>
        </w:tc>
        <w:tc>
          <w:tcPr>
            <w:tcW w:w="0" w:type="auto"/>
            <w:tcBorders>
              <w:top w:val="nil"/>
              <w:left w:val="single" w:sz="4" w:space="0" w:color="A6A6A6"/>
              <w:bottom w:val="nil"/>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0.68</w:t>
            </w:r>
          </w:p>
        </w:tc>
        <w:tc>
          <w:tcPr>
            <w:tcW w:w="0" w:type="auto"/>
            <w:tcBorders>
              <w:top w:val="nil"/>
              <w:left w:val="single" w:sz="4" w:space="0" w:color="A6A6A6"/>
              <w:bottom w:val="nil"/>
              <w:right w:val="nil"/>
            </w:tcBorders>
            <w:shd w:val="clear" w:color="000000" w:fill="FFFFFF"/>
            <w:vAlign w:val="center"/>
          </w:tcPr>
          <w:p>
            <w:pPr>
              <w:spacing w:after="0"/>
              <w:jc w:val="both"/>
              <w:rPr>
                <w:rFonts w:ascii="Times New Roman" w:hAnsi="Times New Roman"/>
                <w:noProof/>
              </w:rPr>
            </w:pPr>
            <w:r>
              <w:rPr>
                <w:rFonts w:ascii="Times New Roman" w:hAnsi="Times New Roman"/>
                <w:noProof/>
              </w:rPr>
              <w:t>0.84</w:t>
            </w:r>
          </w:p>
        </w:tc>
      </w:tr>
      <w:tr>
        <w:trPr>
          <w:trHeight w:val="225"/>
        </w:trPr>
        <w:tc>
          <w:tcPr>
            <w:tcW w:w="1037" w:type="dxa"/>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FR</w:t>
            </w:r>
          </w:p>
        </w:tc>
        <w:tc>
          <w:tcPr>
            <w:tcW w:w="1264" w:type="dxa"/>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94</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0.20</w:t>
            </w:r>
          </w:p>
        </w:tc>
        <w:tc>
          <w:tcPr>
            <w:tcW w:w="0" w:type="auto"/>
            <w:tcBorders>
              <w:top w:val="single" w:sz="8" w:space="0" w:color="BFBFBF"/>
              <w:left w:val="single" w:sz="8" w:space="0" w:color="BFBFBF"/>
              <w:bottom w:val="single" w:sz="8" w:space="0" w:color="BFBFBF"/>
              <w:right w:val="single" w:sz="8" w:space="0" w:color="000000"/>
            </w:tcBorders>
            <w:shd w:val="clear" w:color="000000" w:fill="FFFFFF"/>
            <w:vAlign w:val="center"/>
          </w:tcPr>
          <w:p>
            <w:pPr>
              <w:spacing w:after="0"/>
              <w:jc w:val="both"/>
              <w:rPr>
                <w:rFonts w:ascii="Times New Roman" w:hAnsi="Times New Roman"/>
                <w:noProof/>
              </w:rPr>
            </w:pPr>
            <w:r>
              <w:rPr>
                <w:rFonts w:ascii="Times New Roman" w:hAnsi="Times New Roman"/>
                <w:noProof/>
              </w:rPr>
              <w:t>0.19</w:t>
            </w:r>
          </w:p>
        </w:tc>
        <w:tc>
          <w:tcPr>
            <w:tcW w:w="0" w:type="auto"/>
            <w:tcBorders>
              <w:top w:val="single" w:sz="4" w:space="0" w:color="C0C0C0"/>
              <w:left w:val="single" w:sz="8" w:space="0" w:color="000000"/>
              <w:bottom w:val="single" w:sz="4" w:space="0" w:color="00000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UK</w:t>
            </w:r>
          </w:p>
        </w:tc>
        <w:tc>
          <w:tcPr>
            <w:tcW w:w="0" w:type="auto"/>
            <w:tcBorders>
              <w:top w:val="single" w:sz="4" w:space="0" w:color="C0C0C0"/>
              <w:left w:val="single" w:sz="4" w:space="0" w:color="A6A6A6"/>
              <w:bottom w:val="single" w:sz="4" w:space="0" w:color="00000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67</w:t>
            </w:r>
          </w:p>
        </w:tc>
        <w:tc>
          <w:tcPr>
            <w:tcW w:w="0" w:type="auto"/>
            <w:tcBorders>
              <w:top w:val="single" w:sz="4" w:space="0" w:color="C0C0C0"/>
              <w:left w:val="single" w:sz="4" w:space="0" w:color="A6A6A6"/>
              <w:bottom w:val="single" w:sz="4" w:space="0" w:color="00000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0.14</w:t>
            </w:r>
          </w:p>
        </w:tc>
        <w:tc>
          <w:tcPr>
            <w:tcW w:w="0" w:type="auto"/>
            <w:tcBorders>
              <w:top w:val="single" w:sz="4" w:space="0" w:color="C0C0C0"/>
              <w:left w:val="single" w:sz="4" w:space="0" w:color="A6A6A6"/>
              <w:bottom w:val="single" w:sz="4" w:space="0" w:color="000000"/>
              <w:right w:val="nil"/>
            </w:tcBorders>
            <w:shd w:val="clear" w:color="000000" w:fill="FFFFFF"/>
            <w:vAlign w:val="center"/>
          </w:tcPr>
          <w:p>
            <w:pPr>
              <w:spacing w:after="0"/>
              <w:jc w:val="both"/>
              <w:rPr>
                <w:rFonts w:ascii="Times New Roman" w:hAnsi="Times New Roman"/>
                <w:noProof/>
              </w:rPr>
            </w:pPr>
            <w:r>
              <w:rPr>
                <w:rFonts w:ascii="Times New Roman" w:hAnsi="Times New Roman"/>
                <w:noProof/>
              </w:rPr>
              <w:t>0.16</w:t>
            </w:r>
          </w:p>
        </w:tc>
      </w:tr>
      <w:tr>
        <w:trPr>
          <w:trHeight w:val="225"/>
        </w:trPr>
        <w:tc>
          <w:tcPr>
            <w:tcW w:w="1037" w:type="dxa"/>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HR</w:t>
            </w:r>
          </w:p>
        </w:tc>
        <w:tc>
          <w:tcPr>
            <w:tcW w:w="1264" w:type="dxa"/>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6</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0.20</w:t>
            </w:r>
          </w:p>
        </w:tc>
        <w:tc>
          <w:tcPr>
            <w:tcW w:w="0" w:type="auto"/>
            <w:tcBorders>
              <w:top w:val="single" w:sz="8" w:space="0" w:color="BFBFBF"/>
              <w:left w:val="single" w:sz="8" w:space="0" w:color="BFBFBF"/>
              <w:bottom w:val="single" w:sz="8" w:space="0" w:color="BFBFBF"/>
              <w:right w:val="single" w:sz="8" w:space="0" w:color="000000"/>
            </w:tcBorders>
            <w:shd w:val="clear" w:color="000000" w:fill="FFFFFF"/>
            <w:vAlign w:val="center"/>
          </w:tcPr>
          <w:p>
            <w:pPr>
              <w:spacing w:after="0"/>
              <w:jc w:val="both"/>
              <w:rPr>
                <w:rFonts w:ascii="Times New Roman" w:hAnsi="Times New Roman"/>
                <w:noProof/>
              </w:rPr>
            </w:pPr>
            <w:r>
              <w:rPr>
                <w:rFonts w:ascii="Times New Roman" w:hAnsi="Times New Roman"/>
                <w:noProof/>
              </w:rPr>
              <w:t>0.21</w:t>
            </w:r>
          </w:p>
        </w:tc>
        <w:tc>
          <w:tcPr>
            <w:tcW w:w="0" w:type="auto"/>
            <w:tcBorders>
              <w:top w:val="nil"/>
              <w:left w:val="single" w:sz="8" w:space="0" w:color="000000"/>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IS</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3</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1.08</w:t>
            </w:r>
          </w:p>
        </w:tc>
        <w:tc>
          <w:tcPr>
            <w:tcW w:w="0" w:type="auto"/>
            <w:tcBorders>
              <w:top w:val="nil"/>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rPr>
            </w:pPr>
            <w:r>
              <w:rPr>
                <w:rFonts w:ascii="Times New Roman" w:hAnsi="Times New Roman"/>
                <w:noProof/>
              </w:rPr>
              <w:t>1.36</w:t>
            </w:r>
          </w:p>
        </w:tc>
      </w:tr>
      <w:tr>
        <w:trPr>
          <w:trHeight w:val="225"/>
        </w:trPr>
        <w:tc>
          <w:tcPr>
            <w:tcW w:w="1037" w:type="dxa"/>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IT</w:t>
            </w:r>
          </w:p>
        </w:tc>
        <w:tc>
          <w:tcPr>
            <w:tcW w:w="1264" w:type="dxa"/>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105</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0.23</w:t>
            </w:r>
          </w:p>
        </w:tc>
        <w:tc>
          <w:tcPr>
            <w:tcW w:w="0" w:type="auto"/>
            <w:tcBorders>
              <w:top w:val="single" w:sz="8" w:space="0" w:color="BFBFBF"/>
              <w:left w:val="single" w:sz="8" w:space="0" w:color="BFBFBF"/>
              <w:bottom w:val="single" w:sz="8" w:space="0" w:color="BFBFBF"/>
              <w:right w:val="single" w:sz="8" w:space="0" w:color="000000"/>
            </w:tcBorders>
            <w:shd w:val="clear" w:color="000000" w:fill="FFFFFF"/>
            <w:vAlign w:val="center"/>
          </w:tcPr>
          <w:p>
            <w:pPr>
              <w:spacing w:after="0"/>
              <w:jc w:val="both"/>
              <w:rPr>
                <w:rFonts w:ascii="Times New Roman" w:hAnsi="Times New Roman"/>
                <w:noProof/>
              </w:rPr>
            </w:pPr>
            <w:r>
              <w:rPr>
                <w:rFonts w:ascii="Times New Roman" w:hAnsi="Times New Roman"/>
                <w:noProof/>
              </w:rPr>
              <w:t>0.24</w:t>
            </w:r>
          </w:p>
        </w:tc>
        <w:tc>
          <w:tcPr>
            <w:tcW w:w="0" w:type="auto"/>
            <w:tcBorders>
              <w:top w:val="nil"/>
              <w:left w:val="single" w:sz="8" w:space="0" w:color="000000"/>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NO</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20</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0.51</w:t>
            </w:r>
          </w:p>
        </w:tc>
        <w:tc>
          <w:tcPr>
            <w:tcW w:w="0" w:type="auto"/>
            <w:tcBorders>
              <w:top w:val="nil"/>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rPr>
            </w:pPr>
            <w:r>
              <w:rPr>
                <w:rFonts w:ascii="Times New Roman" w:hAnsi="Times New Roman"/>
                <w:noProof/>
              </w:rPr>
              <w:t>0.50</w:t>
            </w:r>
          </w:p>
        </w:tc>
      </w:tr>
      <w:tr>
        <w:trPr>
          <w:trHeight w:val="225"/>
        </w:trPr>
        <w:tc>
          <w:tcPr>
            <w:tcW w:w="1037" w:type="dxa"/>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CY</w:t>
            </w:r>
          </w:p>
        </w:tc>
        <w:tc>
          <w:tcPr>
            <w:tcW w:w="1264" w:type="dxa"/>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8</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1.22</w:t>
            </w:r>
          </w:p>
        </w:tc>
        <w:tc>
          <w:tcPr>
            <w:tcW w:w="0" w:type="auto"/>
            <w:tcBorders>
              <w:top w:val="single" w:sz="8" w:space="0" w:color="BFBFBF"/>
              <w:left w:val="single" w:sz="8" w:space="0" w:color="BFBFBF"/>
              <w:bottom w:val="single" w:sz="8" w:space="0" w:color="BFBFBF"/>
              <w:right w:val="single" w:sz="8" w:space="0" w:color="000000"/>
            </w:tcBorders>
            <w:shd w:val="clear" w:color="000000" w:fill="FFFFFF"/>
            <w:vAlign w:val="center"/>
          </w:tcPr>
          <w:p>
            <w:pPr>
              <w:spacing w:after="0"/>
              <w:jc w:val="both"/>
              <w:rPr>
                <w:rFonts w:ascii="Times New Roman" w:hAnsi="Times New Roman"/>
                <w:noProof/>
              </w:rPr>
            </w:pPr>
            <w:r>
              <w:rPr>
                <w:rFonts w:ascii="Times New Roman" w:hAnsi="Times New Roman"/>
                <w:noProof/>
              </w:rPr>
              <w:t>1.27</w:t>
            </w:r>
          </w:p>
        </w:tc>
        <w:tc>
          <w:tcPr>
            <w:tcW w:w="0" w:type="auto"/>
            <w:tcBorders>
              <w:top w:val="single" w:sz="4" w:space="0" w:color="C0C0C0"/>
              <w:left w:val="single" w:sz="8" w:space="0" w:color="000000"/>
              <w:bottom w:val="single" w:sz="8" w:space="0" w:color="00000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CH</w:t>
            </w:r>
          </w:p>
        </w:tc>
        <w:tc>
          <w:tcPr>
            <w:tcW w:w="0" w:type="auto"/>
            <w:tcBorders>
              <w:top w:val="single" w:sz="4" w:space="0" w:color="C0C0C0"/>
              <w:left w:val="single" w:sz="4" w:space="0" w:color="A6A6A6"/>
              <w:bottom w:val="single" w:sz="8" w:space="0" w:color="00000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28</w:t>
            </w:r>
          </w:p>
        </w:tc>
        <w:tc>
          <w:tcPr>
            <w:tcW w:w="0" w:type="auto"/>
            <w:tcBorders>
              <w:top w:val="single" w:sz="4" w:space="0" w:color="C0C0C0"/>
              <w:left w:val="single" w:sz="4" w:space="0" w:color="A6A6A6"/>
              <w:bottom w:val="single" w:sz="8" w:space="0" w:color="00000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0.43</w:t>
            </w:r>
          </w:p>
        </w:tc>
        <w:tc>
          <w:tcPr>
            <w:tcW w:w="0" w:type="auto"/>
            <w:tcBorders>
              <w:top w:val="single" w:sz="4" w:space="0" w:color="C0C0C0"/>
              <w:left w:val="single" w:sz="4" w:space="0" w:color="A6A6A6"/>
              <w:bottom w:val="single" w:sz="8" w:space="0" w:color="000000"/>
              <w:right w:val="nil"/>
            </w:tcBorders>
            <w:shd w:val="clear" w:color="000000" w:fill="FFFFFF"/>
            <w:vAlign w:val="center"/>
          </w:tcPr>
          <w:p>
            <w:pPr>
              <w:spacing w:after="0"/>
              <w:jc w:val="both"/>
              <w:rPr>
                <w:rFonts w:ascii="Times New Roman" w:hAnsi="Times New Roman"/>
                <w:noProof/>
              </w:rPr>
            </w:pPr>
            <w:r>
              <w:rPr>
                <w:rFonts w:ascii="Times New Roman" w:hAnsi="Times New Roman"/>
                <w:noProof/>
              </w:rPr>
              <w:t>0.50</w:t>
            </w:r>
          </w:p>
        </w:tc>
      </w:tr>
      <w:tr>
        <w:trPr>
          <w:trHeight w:val="225"/>
        </w:trPr>
        <w:tc>
          <w:tcPr>
            <w:tcW w:w="1037" w:type="dxa"/>
            <w:tcBorders>
              <w:top w:val="nil"/>
              <w:left w:val="nil"/>
              <w:bottom w:val="single" w:sz="4" w:space="0" w:color="C0C0C0"/>
              <w:right w:val="nil"/>
            </w:tcBorders>
            <w:shd w:val="clear" w:color="000000" w:fill="FFFFFF"/>
            <w:noWrap/>
            <w:vAlign w:val="bottom"/>
          </w:tcPr>
          <w:p>
            <w:pPr>
              <w:spacing w:after="0"/>
              <w:jc w:val="both"/>
              <w:rPr>
                <w:rFonts w:ascii="Times New Roman" w:hAnsi="Times New Roman"/>
                <w:b/>
                <w:bCs/>
                <w:noProof/>
              </w:rPr>
            </w:pPr>
            <w:r>
              <w:rPr>
                <w:rFonts w:ascii="Times New Roman" w:hAnsi="Times New Roman"/>
                <w:b/>
                <w:bCs/>
                <w:noProof/>
              </w:rPr>
              <w:t>LV</w:t>
            </w:r>
          </w:p>
        </w:tc>
        <w:tc>
          <w:tcPr>
            <w:tcW w:w="1264" w:type="dxa"/>
            <w:tcBorders>
              <w:top w:val="nil"/>
              <w:left w:val="single" w:sz="4" w:space="0" w:color="A6A6A6"/>
              <w:bottom w:val="single" w:sz="4" w:space="0" w:color="C0C0C0"/>
              <w:right w:val="nil"/>
            </w:tcBorders>
            <w:shd w:val="clear" w:color="000000" w:fill="FFFFFF"/>
            <w:noWrap/>
            <w:vAlign w:val="center"/>
          </w:tcPr>
          <w:p>
            <w:pPr>
              <w:spacing w:after="0"/>
              <w:jc w:val="both"/>
              <w:rPr>
                <w:rFonts w:ascii="Times New Roman" w:hAnsi="Times New Roman"/>
                <w:noProof/>
              </w:rPr>
            </w:pPr>
            <w:r>
              <w:rPr>
                <w:rFonts w:ascii="Times New Roman" w:hAnsi="Times New Roman"/>
                <w:noProof/>
              </w:rPr>
              <w:t>8</w:t>
            </w:r>
          </w:p>
        </w:tc>
        <w:tc>
          <w:tcPr>
            <w:tcW w:w="0" w:type="auto"/>
            <w:tcBorders>
              <w:top w:val="nil"/>
              <w:left w:val="single" w:sz="4" w:space="0" w:color="A6A6A6"/>
              <w:bottom w:val="single" w:sz="4" w:space="0" w:color="C0C0C0"/>
              <w:right w:val="single" w:sz="8" w:space="0" w:color="BFBFBF"/>
            </w:tcBorders>
            <w:shd w:val="clear" w:color="000000" w:fill="FFFFFF"/>
            <w:noWrap/>
            <w:vAlign w:val="center"/>
          </w:tcPr>
          <w:p>
            <w:pPr>
              <w:spacing w:after="0"/>
              <w:jc w:val="both"/>
              <w:rPr>
                <w:rFonts w:ascii="Times New Roman" w:hAnsi="Times New Roman"/>
                <w:noProof/>
              </w:rPr>
            </w:pPr>
            <w:r>
              <w:rPr>
                <w:rFonts w:ascii="Times New Roman" w:hAnsi="Times New Roman"/>
                <w:noProof/>
              </w:rPr>
              <w:t>0.53</w:t>
            </w:r>
          </w:p>
        </w:tc>
        <w:tc>
          <w:tcPr>
            <w:tcW w:w="0" w:type="auto"/>
            <w:tcBorders>
              <w:top w:val="single" w:sz="8" w:space="0" w:color="BFBFBF"/>
              <w:left w:val="single" w:sz="8" w:space="0" w:color="BFBFBF"/>
              <w:bottom w:val="single" w:sz="8" w:space="0" w:color="BFBFBF"/>
              <w:right w:val="single" w:sz="8" w:space="0" w:color="000000"/>
            </w:tcBorders>
            <w:shd w:val="clear" w:color="000000" w:fill="FFFFFF"/>
            <w:vAlign w:val="center"/>
          </w:tcPr>
          <w:p>
            <w:pPr>
              <w:spacing w:after="0"/>
              <w:jc w:val="both"/>
              <w:rPr>
                <w:rFonts w:ascii="Times New Roman" w:hAnsi="Times New Roman"/>
                <w:noProof/>
              </w:rPr>
            </w:pPr>
            <w:r>
              <w:rPr>
                <w:rFonts w:ascii="Times New Roman" w:hAnsi="Times New Roman"/>
                <w:noProof/>
              </w:rPr>
              <w:t>0.56</w:t>
            </w:r>
          </w:p>
        </w:tc>
        <w:tc>
          <w:tcPr>
            <w:tcW w:w="0" w:type="auto"/>
            <w:tcBorders>
              <w:top w:val="single" w:sz="8" w:space="0" w:color="000000"/>
              <w:left w:val="single" w:sz="8" w:space="0" w:color="000000"/>
              <w:bottom w:val="single" w:sz="4" w:space="0" w:color="A6A6A6"/>
              <w:right w:val="nil"/>
            </w:tcBorders>
            <w:shd w:val="clear" w:color="000000" w:fill="FFFFFF"/>
            <w:noWrap/>
            <w:vAlign w:val="bottom"/>
          </w:tcPr>
          <w:p>
            <w:pPr>
              <w:spacing w:after="0"/>
              <w:jc w:val="both"/>
              <w:rPr>
                <w:rFonts w:ascii="Times New Roman" w:hAnsi="Times New Roman"/>
                <w:b/>
                <w:bCs/>
                <w:noProof/>
              </w:rPr>
            </w:pPr>
            <w:r>
              <w:rPr>
                <w:rFonts w:ascii="Times New Roman" w:hAnsi="Times New Roman"/>
                <w:b/>
                <w:bCs/>
                <w:noProof/>
              </w:rPr>
              <w:t>ME</w:t>
            </w:r>
          </w:p>
        </w:tc>
        <w:tc>
          <w:tcPr>
            <w:tcW w:w="0" w:type="auto"/>
            <w:tcBorders>
              <w:top w:val="single" w:sz="8" w:space="0" w:color="000000"/>
              <w:left w:val="single" w:sz="4" w:space="0" w:color="A6A6A6"/>
              <w:bottom w:val="single" w:sz="4" w:space="0" w:color="A6A6A6"/>
              <w:right w:val="nil"/>
            </w:tcBorders>
            <w:shd w:val="clear" w:color="000000" w:fill="FFFFFF"/>
            <w:noWrap/>
            <w:vAlign w:val="center"/>
          </w:tcPr>
          <w:p>
            <w:pPr>
              <w:spacing w:after="0"/>
              <w:jc w:val="both"/>
              <w:rPr>
                <w:rFonts w:ascii="Times New Roman" w:hAnsi="Times New Roman"/>
                <w:bCs/>
                <w:noProof/>
              </w:rPr>
            </w:pPr>
            <w:r>
              <w:rPr>
                <w:rFonts w:ascii="Times New Roman" w:hAnsi="Times New Roman"/>
                <w:noProof/>
              </w:rPr>
              <w:t>5</w:t>
            </w:r>
          </w:p>
        </w:tc>
        <w:tc>
          <w:tcPr>
            <w:tcW w:w="0" w:type="auto"/>
            <w:tcBorders>
              <w:top w:val="single" w:sz="8" w:space="0" w:color="000000"/>
              <w:left w:val="single" w:sz="4" w:space="0" w:color="A6A6A6"/>
              <w:bottom w:val="single" w:sz="4" w:space="0" w:color="A6A6A6"/>
              <w:right w:val="nil"/>
            </w:tcBorders>
            <w:shd w:val="clear" w:color="000000" w:fill="FFFFFF"/>
            <w:noWrap/>
            <w:vAlign w:val="center"/>
          </w:tcPr>
          <w:p>
            <w:pPr>
              <w:spacing w:after="0"/>
              <w:jc w:val="both"/>
              <w:rPr>
                <w:rFonts w:ascii="Times New Roman" w:hAnsi="Times New Roman"/>
                <w:bCs/>
                <w:noProof/>
              </w:rPr>
            </w:pPr>
            <w:r>
              <w:rPr>
                <w:rFonts w:ascii="Times New Roman" w:hAnsi="Times New Roman"/>
                <w:noProof/>
              </w:rPr>
              <w:t>1.09</w:t>
            </w:r>
          </w:p>
        </w:tc>
        <w:tc>
          <w:tcPr>
            <w:tcW w:w="0" w:type="auto"/>
            <w:tcBorders>
              <w:top w:val="single" w:sz="8" w:space="0" w:color="000000"/>
              <w:left w:val="single" w:sz="4" w:space="0" w:color="A6A6A6"/>
              <w:bottom w:val="single" w:sz="4" w:space="0" w:color="A6A6A6"/>
              <w:right w:val="nil"/>
            </w:tcBorders>
            <w:shd w:val="clear" w:color="000000" w:fill="FFFFFF"/>
            <w:vAlign w:val="center"/>
          </w:tcPr>
          <w:p>
            <w:pPr>
              <w:spacing w:after="0"/>
              <w:jc w:val="both"/>
              <w:rPr>
                <w:rFonts w:ascii="Times New Roman" w:hAnsi="Times New Roman"/>
                <w:noProof/>
              </w:rPr>
            </w:pPr>
            <w:r>
              <w:rPr>
                <w:rFonts w:ascii="Times New Roman" w:hAnsi="Times New Roman"/>
                <w:noProof/>
              </w:rPr>
              <w:t>-</w:t>
            </w:r>
          </w:p>
        </w:tc>
      </w:tr>
      <w:tr>
        <w:trPr>
          <w:trHeight w:val="225"/>
        </w:trPr>
        <w:tc>
          <w:tcPr>
            <w:tcW w:w="1037" w:type="dxa"/>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LT</w:t>
            </w:r>
          </w:p>
        </w:tc>
        <w:tc>
          <w:tcPr>
            <w:tcW w:w="1264" w:type="dxa"/>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12</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0.57</w:t>
            </w:r>
          </w:p>
        </w:tc>
        <w:tc>
          <w:tcPr>
            <w:tcW w:w="0" w:type="auto"/>
            <w:tcBorders>
              <w:top w:val="single" w:sz="8" w:space="0" w:color="BFBFBF"/>
              <w:left w:val="single" w:sz="8" w:space="0" w:color="BFBFBF"/>
              <w:bottom w:val="single" w:sz="8" w:space="0" w:color="BFBFBF"/>
              <w:right w:val="single" w:sz="8" w:space="0" w:color="000000"/>
            </w:tcBorders>
            <w:shd w:val="clear" w:color="000000" w:fill="FFFFFF"/>
            <w:vAlign w:val="center"/>
          </w:tcPr>
          <w:p>
            <w:pPr>
              <w:spacing w:after="0"/>
              <w:jc w:val="both"/>
              <w:rPr>
                <w:rFonts w:ascii="Times New Roman" w:hAnsi="Times New Roman"/>
                <w:noProof/>
              </w:rPr>
            </w:pPr>
            <w:r>
              <w:rPr>
                <w:rFonts w:ascii="Times New Roman" w:hAnsi="Times New Roman"/>
                <w:noProof/>
              </w:rPr>
              <w:t>0.75</w:t>
            </w:r>
          </w:p>
        </w:tc>
        <w:tc>
          <w:tcPr>
            <w:tcW w:w="0" w:type="auto"/>
            <w:tcBorders>
              <w:top w:val="single" w:sz="4" w:space="0" w:color="A6A6A6"/>
              <w:left w:val="single" w:sz="8" w:space="0" w:color="000000"/>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MK</w:t>
            </w:r>
          </w:p>
        </w:tc>
        <w:tc>
          <w:tcPr>
            <w:tcW w:w="0" w:type="auto"/>
            <w:tcBorders>
              <w:top w:val="single" w:sz="4" w:space="0" w:color="A6A6A6"/>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bCs/>
                <w:noProof/>
              </w:rPr>
            </w:pPr>
            <w:r>
              <w:rPr>
                <w:rFonts w:ascii="Times New Roman" w:hAnsi="Times New Roman"/>
                <w:noProof/>
              </w:rPr>
              <w:t>11</w:t>
            </w:r>
          </w:p>
        </w:tc>
        <w:tc>
          <w:tcPr>
            <w:tcW w:w="0" w:type="auto"/>
            <w:tcBorders>
              <w:top w:val="single" w:sz="4" w:space="0" w:color="A6A6A6"/>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bCs/>
                <w:noProof/>
              </w:rPr>
            </w:pPr>
            <w:r>
              <w:rPr>
                <w:rFonts w:ascii="Times New Roman" w:hAnsi="Times New Roman"/>
                <w:noProof/>
              </w:rPr>
              <w:t>0.65</w:t>
            </w:r>
          </w:p>
        </w:tc>
        <w:tc>
          <w:tcPr>
            <w:tcW w:w="0" w:type="auto"/>
            <w:tcBorders>
              <w:top w:val="single" w:sz="4" w:space="0" w:color="A6A6A6"/>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rPr>
            </w:pPr>
            <w:r>
              <w:rPr>
                <w:rFonts w:ascii="Times New Roman" w:hAnsi="Times New Roman"/>
                <w:noProof/>
              </w:rPr>
              <w:t>0.53</w:t>
            </w:r>
          </w:p>
        </w:tc>
      </w:tr>
      <w:tr>
        <w:trPr>
          <w:trHeight w:val="225"/>
        </w:trPr>
        <w:tc>
          <w:tcPr>
            <w:tcW w:w="1037" w:type="dxa"/>
            <w:tcBorders>
              <w:top w:val="nil"/>
              <w:left w:val="nil"/>
              <w:bottom w:val="nil"/>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LU</w:t>
            </w:r>
          </w:p>
        </w:tc>
        <w:tc>
          <w:tcPr>
            <w:tcW w:w="1264" w:type="dxa"/>
            <w:tcBorders>
              <w:top w:val="nil"/>
              <w:left w:val="single" w:sz="4" w:space="0" w:color="A6A6A6"/>
              <w:bottom w:val="nil"/>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7</w:t>
            </w:r>
          </w:p>
        </w:tc>
        <w:tc>
          <w:tcPr>
            <w:tcW w:w="0" w:type="auto"/>
            <w:tcBorders>
              <w:top w:val="nil"/>
              <w:left w:val="single" w:sz="4" w:space="0" w:color="A6A6A6"/>
              <w:bottom w:val="nil"/>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1.46</w:t>
            </w:r>
          </w:p>
        </w:tc>
        <w:tc>
          <w:tcPr>
            <w:tcW w:w="0" w:type="auto"/>
            <w:tcBorders>
              <w:top w:val="single" w:sz="8" w:space="0" w:color="BFBFBF"/>
              <w:left w:val="single" w:sz="8" w:space="0" w:color="BFBFBF"/>
              <w:bottom w:val="single" w:sz="8" w:space="0" w:color="BFBFBF"/>
              <w:right w:val="single" w:sz="8" w:space="0" w:color="000000"/>
            </w:tcBorders>
            <w:shd w:val="clear" w:color="000000" w:fill="FFFFFF"/>
            <w:vAlign w:val="center"/>
          </w:tcPr>
          <w:p>
            <w:pPr>
              <w:spacing w:after="0"/>
              <w:jc w:val="both"/>
              <w:rPr>
                <w:rFonts w:ascii="Times New Roman" w:hAnsi="Times New Roman"/>
                <w:noProof/>
              </w:rPr>
            </w:pPr>
            <w:r>
              <w:rPr>
                <w:rFonts w:ascii="Times New Roman" w:hAnsi="Times New Roman"/>
                <w:noProof/>
              </w:rPr>
              <w:t>0.65</w:t>
            </w:r>
          </w:p>
        </w:tc>
        <w:tc>
          <w:tcPr>
            <w:tcW w:w="0" w:type="auto"/>
            <w:tcBorders>
              <w:top w:val="single" w:sz="4" w:space="0" w:color="C0C0C0"/>
              <w:left w:val="single" w:sz="8" w:space="0" w:color="000000"/>
              <w:bottom w:val="single" w:sz="4" w:space="0" w:color="000000"/>
              <w:right w:val="nil"/>
            </w:tcBorders>
            <w:shd w:val="clear" w:color="000000" w:fill="FFFFFF"/>
            <w:noWrap/>
            <w:vAlign w:val="bottom"/>
          </w:tcPr>
          <w:p>
            <w:pPr>
              <w:spacing w:after="0"/>
              <w:jc w:val="both"/>
              <w:rPr>
                <w:rFonts w:ascii="Times New Roman" w:hAnsi="Times New Roman"/>
                <w:b/>
                <w:bCs/>
                <w:noProof/>
              </w:rPr>
            </w:pPr>
            <w:r>
              <w:rPr>
                <w:rFonts w:ascii="Times New Roman" w:hAnsi="Times New Roman"/>
                <w:b/>
                <w:bCs/>
                <w:noProof/>
              </w:rPr>
              <w:t>TR</w:t>
            </w:r>
          </w:p>
        </w:tc>
        <w:tc>
          <w:tcPr>
            <w:tcW w:w="0" w:type="auto"/>
            <w:tcBorders>
              <w:top w:val="single" w:sz="4" w:space="0" w:color="C0C0C0"/>
              <w:left w:val="single" w:sz="4" w:space="0" w:color="A6A6A6"/>
              <w:bottom w:val="single" w:sz="4" w:space="0" w:color="000000"/>
              <w:right w:val="nil"/>
            </w:tcBorders>
            <w:shd w:val="clear" w:color="000000" w:fill="FFFFFF"/>
            <w:noWrap/>
            <w:vAlign w:val="center"/>
          </w:tcPr>
          <w:p>
            <w:pPr>
              <w:spacing w:after="0"/>
              <w:jc w:val="both"/>
              <w:rPr>
                <w:rFonts w:ascii="Times New Roman" w:hAnsi="Times New Roman"/>
                <w:noProof/>
              </w:rPr>
            </w:pPr>
            <w:r>
              <w:rPr>
                <w:rFonts w:ascii="Times New Roman" w:hAnsi="Times New Roman"/>
                <w:noProof/>
              </w:rPr>
              <w:t>89</w:t>
            </w:r>
          </w:p>
        </w:tc>
        <w:tc>
          <w:tcPr>
            <w:tcW w:w="0" w:type="auto"/>
            <w:tcBorders>
              <w:top w:val="single" w:sz="4" w:space="0" w:color="C0C0C0"/>
              <w:left w:val="single" w:sz="4" w:space="0" w:color="A6A6A6"/>
              <w:bottom w:val="single" w:sz="4" w:space="0" w:color="000000"/>
              <w:right w:val="nil"/>
            </w:tcBorders>
            <w:shd w:val="clear" w:color="000000" w:fill="FFFFFF"/>
            <w:noWrap/>
            <w:vAlign w:val="center"/>
          </w:tcPr>
          <w:p>
            <w:pPr>
              <w:spacing w:after="0"/>
              <w:jc w:val="both"/>
              <w:rPr>
                <w:rFonts w:ascii="Times New Roman" w:hAnsi="Times New Roman"/>
                <w:noProof/>
              </w:rPr>
            </w:pPr>
            <w:r>
              <w:rPr>
                <w:rFonts w:ascii="Times New Roman" w:hAnsi="Times New Roman"/>
                <w:noProof/>
              </w:rPr>
              <w:t>0.16</w:t>
            </w:r>
          </w:p>
        </w:tc>
        <w:tc>
          <w:tcPr>
            <w:tcW w:w="0" w:type="auto"/>
            <w:tcBorders>
              <w:top w:val="single" w:sz="4" w:space="0" w:color="C0C0C0"/>
              <w:left w:val="single" w:sz="4" w:space="0" w:color="A6A6A6"/>
              <w:bottom w:val="single" w:sz="4" w:space="0" w:color="000000"/>
              <w:right w:val="nil"/>
            </w:tcBorders>
            <w:shd w:val="clear" w:color="000000" w:fill="FFFFFF"/>
            <w:vAlign w:val="center"/>
          </w:tcPr>
          <w:p>
            <w:pPr>
              <w:spacing w:after="0"/>
              <w:jc w:val="both"/>
              <w:rPr>
                <w:rFonts w:ascii="Times New Roman" w:hAnsi="Times New Roman"/>
                <w:noProof/>
              </w:rPr>
            </w:pPr>
            <w:r>
              <w:rPr>
                <w:rFonts w:ascii="Times New Roman" w:hAnsi="Times New Roman"/>
                <w:noProof/>
              </w:rPr>
              <w:t>0.17</w:t>
            </w:r>
          </w:p>
        </w:tc>
      </w:tr>
      <w:tr>
        <w:trPr>
          <w:trHeight w:val="225"/>
        </w:trPr>
        <w:tc>
          <w:tcPr>
            <w:tcW w:w="1037" w:type="dxa"/>
            <w:tcBorders>
              <w:top w:val="single" w:sz="4" w:space="0" w:color="C0C0C0"/>
              <w:left w:val="nil"/>
              <w:bottom w:val="single" w:sz="4" w:space="0" w:color="00000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HU</w:t>
            </w:r>
          </w:p>
        </w:tc>
        <w:tc>
          <w:tcPr>
            <w:tcW w:w="1264" w:type="dxa"/>
            <w:tcBorders>
              <w:top w:val="single" w:sz="4" w:space="0" w:color="C0C0C0"/>
              <w:left w:val="single" w:sz="4" w:space="0" w:color="A6A6A6"/>
              <w:bottom w:val="single" w:sz="4" w:space="0" w:color="00000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43</w:t>
            </w:r>
          </w:p>
        </w:tc>
        <w:tc>
          <w:tcPr>
            <w:tcW w:w="0" w:type="auto"/>
            <w:tcBorders>
              <w:top w:val="single" w:sz="4" w:space="0" w:color="C0C0C0"/>
              <w:left w:val="single" w:sz="4" w:space="0" w:color="A6A6A6"/>
              <w:bottom w:val="single" w:sz="4" w:space="0" w:color="00000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rPr>
              <w:t>0.58</w:t>
            </w:r>
          </w:p>
        </w:tc>
        <w:tc>
          <w:tcPr>
            <w:tcW w:w="0" w:type="auto"/>
            <w:tcBorders>
              <w:top w:val="single" w:sz="8" w:space="0" w:color="BFBFBF"/>
              <w:left w:val="single" w:sz="8" w:space="0" w:color="BFBFBF"/>
              <w:bottom w:val="single" w:sz="4" w:space="0" w:color="000000"/>
              <w:right w:val="single" w:sz="8" w:space="0" w:color="000000"/>
            </w:tcBorders>
            <w:shd w:val="clear" w:color="000000" w:fill="FFFFFF"/>
            <w:vAlign w:val="center"/>
          </w:tcPr>
          <w:p>
            <w:pPr>
              <w:spacing w:after="0"/>
              <w:jc w:val="both"/>
              <w:rPr>
                <w:rFonts w:ascii="Times New Roman" w:hAnsi="Times New Roman"/>
                <w:noProof/>
              </w:rPr>
            </w:pPr>
            <w:r>
              <w:rPr>
                <w:rFonts w:ascii="Times New Roman" w:hAnsi="Times New Roman"/>
                <w:noProof/>
              </w:rPr>
              <w:t>0.32</w:t>
            </w:r>
          </w:p>
        </w:tc>
        <w:tc>
          <w:tcPr>
            <w:tcW w:w="0" w:type="auto"/>
            <w:tcBorders>
              <w:top w:val="nil"/>
              <w:left w:val="single" w:sz="8" w:space="0" w:color="000000"/>
              <w:bottom w:val="single" w:sz="4" w:space="0" w:color="00000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TOTAL</w:t>
            </w:r>
          </w:p>
        </w:tc>
        <w:tc>
          <w:tcPr>
            <w:tcW w:w="0" w:type="auto"/>
            <w:tcBorders>
              <w:top w:val="nil"/>
              <w:left w:val="single" w:sz="4" w:space="0" w:color="A6A6A6"/>
              <w:bottom w:val="single" w:sz="4" w:space="0" w:color="00000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1 318</w:t>
            </w:r>
          </w:p>
        </w:tc>
        <w:tc>
          <w:tcPr>
            <w:tcW w:w="0" w:type="auto"/>
            <w:tcBorders>
              <w:top w:val="nil"/>
              <w:left w:val="single" w:sz="4" w:space="0" w:color="A6A6A6"/>
              <w:bottom w:val="single" w:sz="4" w:space="0" w:color="00000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0.29</w:t>
            </w:r>
          </w:p>
        </w:tc>
        <w:tc>
          <w:tcPr>
            <w:tcW w:w="0" w:type="auto"/>
            <w:tcBorders>
              <w:top w:val="nil"/>
              <w:left w:val="single" w:sz="4" w:space="0" w:color="A6A6A6"/>
              <w:bottom w:val="single" w:sz="4" w:space="0" w:color="000000"/>
              <w:right w:val="nil"/>
            </w:tcBorders>
            <w:shd w:val="clear" w:color="000000" w:fill="FFFFFF"/>
            <w:vAlign w:val="center"/>
          </w:tcPr>
          <w:p>
            <w:pPr>
              <w:spacing w:after="0"/>
              <w:jc w:val="both"/>
              <w:rPr>
                <w:rFonts w:ascii="Times New Roman" w:hAnsi="Times New Roman"/>
                <w:noProof/>
              </w:rPr>
            </w:pPr>
            <w:r>
              <w:rPr>
                <w:rFonts w:ascii="Times New Roman" w:hAnsi="Times New Roman"/>
                <w:noProof/>
              </w:rPr>
              <w:t>0.31</w:t>
            </w:r>
          </w:p>
        </w:tc>
      </w:tr>
    </w:tbl>
    <w:p>
      <w:pPr>
        <w:jc w:val="both"/>
        <w:rPr>
          <w:rFonts w:ascii="Times New Roman" w:hAnsi="Times New Roman"/>
          <w:b/>
          <w:noProof/>
          <w:sz w:val="24"/>
          <w:szCs w:val="24"/>
        </w:rPr>
      </w:pPr>
    </w:p>
    <w:p>
      <w:pPr>
        <w:jc w:val="both"/>
        <w:rPr>
          <w:rFonts w:ascii="Times New Roman" w:hAnsi="Times New Roman"/>
          <w:b/>
          <w:noProof/>
          <w:sz w:val="24"/>
          <w:szCs w:val="24"/>
        </w:rPr>
      </w:pPr>
    </w:p>
    <w:p>
      <w:pPr>
        <w:jc w:val="both"/>
        <w:rPr>
          <w:rFonts w:ascii="Times New Roman" w:hAnsi="Times New Roman"/>
          <w:b/>
          <w:noProof/>
          <w:sz w:val="24"/>
          <w:szCs w:val="24"/>
        </w:rPr>
      </w:pPr>
      <w:r>
        <w:rPr>
          <w:rFonts w:ascii="Times New Roman" w:hAnsi="Times New Roman"/>
          <w:b/>
          <w:noProof/>
          <w:sz w:val="24"/>
          <w:szCs w:val="24"/>
        </w:rPr>
        <w:t>Table 2: 95 % confidence interval of the main LFS indicators on employment and unemployment for the EU-28, 2017</w:t>
      </w:r>
    </w:p>
    <w:tbl>
      <w:tblPr>
        <w:tblW w:w="5000" w:type="pct"/>
        <w:tblLook w:val="0000" w:firstRow="0" w:lastRow="0" w:firstColumn="0" w:lastColumn="0" w:noHBand="0" w:noVBand="0"/>
      </w:tblPr>
      <w:tblGrid>
        <w:gridCol w:w="1814"/>
        <w:gridCol w:w="1815"/>
        <w:gridCol w:w="1871"/>
        <w:gridCol w:w="1871"/>
        <w:gridCol w:w="1871"/>
      </w:tblGrid>
      <w:tr>
        <w:trPr>
          <w:trHeight w:val="765"/>
        </w:trPr>
        <w:tc>
          <w:tcPr>
            <w:tcW w:w="982" w:type="pct"/>
            <w:tcBorders>
              <w:top w:val="single" w:sz="4" w:space="0" w:color="auto"/>
              <w:left w:val="nil"/>
              <w:bottom w:val="single" w:sz="4" w:space="0" w:color="auto"/>
              <w:right w:val="single" w:sz="4" w:space="0" w:color="auto"/>
            </w:tcBorders>
            <w:shd w:val="clear" w:color="auto" w:fill="FFEFCF"/>
            <w:vAlign w:val="center"/>
          </w:tcPr>
          <w:p>
            <w:pPr>
              <w:spacing w:after="0"/>
              <w:jc w:val="both"/>
              <w:rPr>
                <w:rFonts w:ascii="Times New Roman" w:hAnsi="Times New Roman"/>
                <w:b/>
                <w:bCs/>
                <w:noProof/>
              </w:rPr>
            </w:pPr>
            <w:r>
              <w:rPr>
                <w:rFonts w:ascii="Times New Roman" w:hAnsi="Times New Roman"/>
                <w:b/>
                <w:bCs/>
                <w:noProof/>
              </w:rPr>
              <w:t>Number of employed persons (x1000)</w:t>
            </w:r>
          </w:p>
        </w:tc>
        <w:tc>
          <w:tcPr>
            <w:tcW w:w="982" w:type="pct"/>
            <w:tcBorders>
              <w:top w:val="single" w:sz="4" w:space="0" w:color="auto"/>
              <w:left w:val="nil"/>
              <w:bottom w:val="single" w:sz="4" w:space="0" w:color="auto"/>
              <w:right w:val="single" w:sz="4" w:space="0" w:color="auto"/>
            </w:tcBorders>
            <w:shd w:val="clear" w:color="auto" w:fill="FFEFCF"/>
            <w:vAlign w:val="center"/>
          </w:tcPr>
          <w:p>
            <w:pPr>
              <w:spacing w:after="0"/>
              <w:jc w:val="both"/>
              <w:rPr>
                <w:rFonts w:ascii="Times New Roman" w:hAnsi="Times New Roman"/>
                <w:b/>
                <w:bCs/>
                <w:noProof/>
              </w:rPr>
            </w:pPr>
            <w:r>
              <w:rPr>
                <w:rFonts w:ascii="Times New Roman" w:hAnsi="Times New Roman"/>
                <w:b/>
                <w:bCs/>
                <w:noProof/>
              </w:rPr>
              <w:t>Employment rate as a percentage of the population (%)</w:t>
            </w:r>
          </w:p>
        </w:tc>
        <w:tc>
          <w:tcPr>
            <w:tcW w:w="1012" w:type="pct"/>
            <w:tcBorders>
              <w:top w:val="single" w:sz="4" w:space="0" w:color="auto"/>
              <w:left w:val="nil"/>
              <w:bottom w:val="single" w:sz="4" w:space="0" w:color="auto"/>
              <w:right w:val="single" w:sz="4" w:space="0" w:color="auto"/>
            </w:tcBorders>
            <w:shd w:val="clear" w:color="auto" w:fill="FFEFCF"/>
            <w:vAlign w:val="center"/>
          </w:tcPr>
          <w:p>
            <w:pPr>
              <w:spacing w:after="0"/>
              <w:jc w:val="both"/>
              <w:rPr>
                <w:rFonts w:ascii="Times New Roman" w:hAnsi="Times New Roman"/>
                <w:b/>
                <w:bCs/>
                <w:noProof/>
              </w:rPr>
            </w:pPr>
            <w:r>
              <w:rPr>
                <w:rFonts w:ascii="Times New Roman" w:hAnsi="Times New Roman"/>
                <w:b/>
                <w:bCs/>
                <w:noProof/>
              </w:rPr>
              <w:t>Number of unemployed persons (x1000)</w:t>
            </w:r>
          </w:p>
        </w:tc>
        <w:tc>
          <w:tcPr>
            <w:tcW w:w="1012" w:type="pct"/>
            <w:tcBorders>
              <w:top w:val="single" w:sz="4" w:space="0" w:color="auto"/>
              <w:left w:val="single" w:sz="4" w:space="0" w:color="auto"/>
              <w:bottom w:val="single" w:sz="4" w:space="0" w:color="auto"/>
              <w:right w:val="single" w:sz="4" w:space="0" w:color="auto"/>
            </w:tcBorders>
            <w:shd w:val="clear" w:color="auto" w:fill="FFEFCF"/>
            <w:vAlign w:val="center"/>
          </w:tcPr>
          <w:p>
            <w:pPr>
              <w:spacing w:after="0"/>
              <w:jc w:val="both"/>
              <w:rPr>
                <w:rFonts w:ascii="Times New Roman" w:hAnsi="Times New Roman"/>
                <w:b/>
                <w:bCs/>
                <w:noProof/>
              </w:rPr>
            </w:pPr>
            <w:r>
              <w:rPr>
                <w:rFonts w:ascii="Times New Roman" w:hAnsi="Times New Roman"/>
                <w:b/>
                <w:bCs/>
                <w:noProof/>
              </w:rPr>
              <w:t>Unemployment rate as a percentage of labour force (%)</w:t>
            </w:r>
          </w:p>
        </w:tc>
        <w:tc>
          <w:tcPr>
            <w:tcW w:w="1012" w:type="pct"/>
            <w:tcBorders>
              <w:top w:val="single" w:sz="4" w:space="0" w:color="auto"/>
              <w:left w:val="nil"/>
              <w:bottom w:val="single" w:sz="4" w:space="0" w:color="auto"/>
              <w:right w:val="single" w:sz="4" w:space="0" w:color="auto"/>
            </w:tcBorders>
            <w:shd w:val="clear" w:color="auto" w:fill="FFEFCF"/>
            <w:vAlign w:val="center"/>
          </w:tcPr>
          <w:p>
            <w:pPr>
              <w:spacing w:after="0"/>
              <w:jc w:val="both"/>
              <w:rPr>
                <w:rFonts w:ascii="Times New Roman" w:hAnsi="Times New Roman"/>
                <w:b/>
                <w:bCs/>
                <w:noProof/>
              </w:rPr>
            </w:pPr>
            <w:r>
              <w:rPr>
                <w:rFonts w:ascii="Times New Roman" w:hAnsi="Times New Roman"/>
                <w:b/>
                <w:bCs/>
                <w:noProof/>
              </w:rPr>
              <w:t>Youth unemployment rate as a percentage of labour force (%)</w:t>
            </w:r>
          </w:p>
        </w:tc>
      </w:tr>
      <w:tr>
        <w:trPr>
          <w:trHeight w:val="510"/>
        </w:trPr>
        <w:tc>
          <w:tcPr>
            <w:tcW w:w="982" w:type="pct"/>
            <w:tcBorders>
              <w:top w:val="nil"/>
              <w:left w:val="nil"/>
              <w:bottom w:val="single" w:sz="4" w:space="0" w:color="C0C0C0"/>
              <w:right w:val="single" w:sz="4" w:space="0" w:color="auto"/>
            </w:tcBorders>
            <w:shd w:val="clear" w:color="auto" w:fill="auto"/>
            <w:noWrap/>
            <w:vAlign w:val="center"/>
          </w:tcPr>
          <w:p>
            <w:pPr>
              <w:spacing w:after="0"/>
              <w:jc w:val="both"/>
              <w:rPr>
                <w:rFonts w:ascii="Times New Roman" w:hAnsi="Times New Roman"/>
                <w:noProof/>
              </w:rPr>
            </w:pPr>
            <w:r>
              <w:rPr>
                <w:rFonts w:ascii="Times New Roman" w:hAnsi="Times New Roman"/>
                <w:noProof/>
              </w:rPr>
              <w:t>217 740 ± 311</w:t>
            </w:r>
          </w:p>
        </w:tc>
        <w:tc>
          <w:tcPr>
            <w:tcW w:w="982" w:type="pct"/>
            <w:tcBorders>
              <w:top w:val="single" w:sz="4" w:space="0" w:color="C0C0C0"/>
              <w:left w:val="nil"/>
              <w:bottom w:val="single" w:sz="4" w:space="0" w:color="C0C0C0"/>
              <w:right w:val="nil"/>
            </w:tcBorders>
            <w:shd w:val="clear" w:color="auto" w:fill="auto"/>
            <w:noWrap/>
            <w:vAlign w:val="center"/>
          </w:tcPr>
          <w:p>
            <w:pPr>
              <w:spacing w:after="0"/>
              <w:jc w:val="both"/>
              <w:rPr>
                <w:rFonts w:ascii="Times New Roman" w:hAnsi="Times New Roman"/>
                <w:noProof/>
              </w:rPr>
            </w:pPr>
            <w:r>
              <w:rPr>
                <w:rFonts w:ascii="Times New Roman" w:hAnsi="Times New Roman"/>
                <w:noProof/>
              </w:rPr>
              <w:t>72.1 ± 0.1</w:t>
            </w:r>
          </w:p>
        </w:tc>
        <w:tc>
          <w:tcPr>
            <w:tcW w:w="1012" w:type="pct"/>
            <w:tcBorders>
              <w:top w:val="single" w:sz="4" w:space="0" w:color="C0C0C0"/>
              <w:left w:val="single" w:sz="4" w:space="0" w:color="auto"/>
              <w:bottom w:val="single" w:sz="4" w:space="0" w:color="C0C0C0"/>
              <w:right w:val="single" w:sz="4" w:space="0" w:color="auto"/>
            </w:tcBorders>
            <w:vAlign w:val="center"/>
          </w:tcPr>
          <w:p>
            <w:pPr>
              <w:spacing w:after="0"/>
              <w:jc w:val="both"/>
              <w:rPr>
                <w:rFonts w:ascii="Times New Roman" w:hAnsi="Times New Roman"/>
                <w:noProof/>
              </w:rPr>
            </w:pPr>
            <w:r>
              <w:rPr>
                <w:rFonts w:ascii="Times New Roman" w:hAnsi="Times New Roman"/>
                <w:noProof/>
              </w:rPr>
              <w:t>18 781 ± 145</w:t>
            </w:r>
          </w:p>
        </w:tc>
        <w:tc>
          <w:tcPr>
            <w:tcW w:w="1012" w:type="pct"/>
            <w:tcBorders>
              <w:top w:val="single" w:sz="4" w:space="0" w:color="auto"/>
              <w:left w:val="single" w:sz="4" w:space="0" w:color="auto"/>
              <w:bottom w:val="single" w:sz="4" w:space="0" w:color="C0C0C0"/>
              <w:right w:val="nil"/>
            </w:tcBorders>
            <w:vAlign w:val="center"/>
          </w:tcPr>
          <w:p>
            <w:pPr>
              <w:spacing w:after="0"/>
              <w:jc w:val="both"/>
              <w:rPr>
                <w:rFonts w:ascii="Times New Roman" w:hAnsi="Times New Roman"/>
                <w:noProof/>
              </w:rPr>
            </w:pPr>
            <w:r>
              <w:rPr>
                <w:rFonts w:ascii="Times New Roman" w:hAnsi="Times New Roman"/>
                <w:noProof/>
              </w:rPr>
              <w:t>7.9 ± 0.1</w:t>
            </w:r>
          </w:p>
        </w:tc>
        <w:tc>
          <w:tcPr>
            <w:tcW w:w="1012" w:type="pct"/>
            <w:tcBorders>
              <w:top w:val="single" w:sz="4" w:space="0" w:color="C0C0C0"/>
              <w:left w:val="single" w:sz="4" w:space="0" w:color="auto"/>
              <w:bottom w:val="single" w:sz="4" w:space="0" w:color="C0C0C0"/>
              <w:right w:val="nil"/>
            </w:tcBorders>
            <w:vAlign w:val="center"/>
          </w:tcPr>
          <w:p>
            <w:pPr>
              <w:spacing w:after="0"/>
              <w:jc w:val="both"/>
              <w:rPr>
                <w:rFonts w:ascii="Times New Roman" w:hAnsi="Times New Roman"/>
                <w:noProof/>
              </w:rPr>
            </w:pPr>
            <w:r>
              <w:rPr>
                <w:rFonts w:ascii="Times New Roman" w:hAnsi="Times New Roman"/>
                <w:noProof/>
              </w:rPr>
              <w:t>16.8 ± 0.3</w:t>
            </w:r>
          </w:p>
        </w:tc>
      </w:tr>
    </w:tbl>
    <w:p>
      <w:pPr>
        <w:jc w:val="both"/>
        <w:rPr>
          <w:rFonts w:ascii="Times New Roman" w:hAnsi="Times New Roman"/>
          <w:b/>
          <w:noProof/>
          <w:sz w:val="24"/>
          <w:szCs w:val="24"/>
        </w:rPr>
      </w:pPr>
    </w:p>
    <w:p>
      <w:pPr>
        <w:jc w:val="both"/>
        <w:rPr>
          <w:rFonts w:ascii="Times New Roman" w:hAnsi="Times New Roman"/>
          <w:b/>
          <w:noProof/>
          <w:sz w:val="24"/>
          <w:szCs w:val="24"/>
        </w:rPr>
      </w:pPr>
      <w:r>
        <w:rPr>
          <w:rFonts w:ascii="Times New Roman" w:hAnsi="Times New Roman"/>
          <w:b/>
          <w:noProof/>
          <w:sz w:val="24"/>
          <w:szCs w:val="24"/>
        </w:rPr>
        <w:br w:type="page"/>
        <w:t>Table 3: Participation and non-response rate of the EU-LFS by country, 2017 and 2014</w:t>
      </w:r>
    </w:p>
    <w:tbl>
      <w:tblPr>
        <w:tblW w:w="0" w:type="auto"/>
        <w:tblInd w:w="93" w:type="dxa"/>
        <w:tblLook w:val="04A0" w:firstRow="1" w:lastRow="0" w:firstColumn="1" w:lastColumn="0" w:noHBand="0" w:noVBand="1"/>
      </w:tblPr>
      <w:tblGrid>
        <w:gridCol w:w="1012"/>
        <w:gridCol w:w="1451"/>
        <w:gridCol w:w="1056"/>
        <w:gridCol w:w="1056"/>
        <w:gridCol w:w="1011"/>
        <w:gridCol w:w="1451"/>
        <w:gridCol w:w="1056"/>
        <w:gridCol w:w="1056"/>
      </w:tblGrid>
      <w:tr>
        <w:trPr>
          <w:trHeight w:val="480"/>
        </w:trPr>
        <w:tc>
          <w:tcPr>
            <w:tcW w:w="0" w:type="auto"/>
            <w:tcBorders>
              <w:top w:val="single" w:sz="4" w:space="0" w:color="000000"/>
              <w:left w:val="nil"/>
              <w:bottom w:val="nil"/>
              <w:right w:val="nil"/>
            </w:tcBorders>
            <w:shd w:val="clear" w:color="000000" w:fill="FEF0CF"/>
            <w:vAlign w:val="bottom"/>
            <w:hideMark/>
          </w:tcPr>
          <w:p>
            <w:pPr>
              <w:spacing w:after="0"/>
              <w:jc w:val="both"/>
              <w:rPr>
                <w:rFonts w:ascii="Times New Roman" w:hAnsi="Times New Roman"/>
                <w:b/>
                <w:bCs/>
                <w:noProof/>
              </w:rPr>
            </w:pPr>
            <w:r>
              <w:rPr>
                <w:rFonts w:ascii="Times New Roman" w:hAnsi="Times New Roman"/>
                <w:b/>
                <w:bCs/>
                <w:noProof/>
              </w:rPr>
              <w:t>Country</w:t>
            </w:r>
          </w:p>
        </w:tc>
        <w:tc>
          <w:tcPr>
            <w:tcW w:w="0" w:type="auto"/>
            <w:tcBorders>
              <w:top w:val="single" w:sz="4" w:space="0" w:color="000000"/>
              <w:left w:val="single" w:sz="4" w:space="0" w:color="A6A6A6"/>
              <w:bottom w:val="single" w:sz="4" w:space="0" w:color="000000"/>
              <w:right w:val="nil"/>
            </w:tcBorders>
            <w:shd w:val="clear" w:color="000000" w:fill="FEF0CF"/>
            <w:vAlign w:val="bottom"/>
            <w:hideMark/>
          </w:tcPr>
          <w:p>
            <w:pPr>
              <w:spacing w:after="0"/>
              <w:jc w:val="both"/>
              <w:rPr>
                <w:rFonts w:ascii="Times New Roman" w:hAnsi="Times New Roman"/>
                <w:b/>
                <w:bCs/>
                <w:noProof/>
              </w:rPr>
            </w:pPr>
            <w:r>
              <w:rPr>
                <w:rFonts w:ascii="Times New Roman" w:hAnsi="Times New Roman"/>
                <w:b/>
                <w:bCs/>
                <w:noProof/>
              </w:rPr>
              <w:t>Participation</w:t>
            </w:r>
          </w:p>
          <w:p>
            <w:pPr>
              <w:spacing w:after="0"/>
              <w:jc w:val="both"/>
              <w:rPr>
                <w:rFonts w:ascii="Times New Roman" w:hAnsi="Times New Roman"/>
                <w:b/>
                <w:bCs/>
                <w:noProof/>
              </w:rPr>
            </w:pPr>
            <w:r>
              <w:rPr>
                <w:rFonts w:ascii="Times New Roman" w:hAnsi="Times New Roman"/>
                <w:b/>
                <w:bCs/>
                <w:noProof/>
              </w:rPr>
              <w:t>2017</w:t>
            </w:r>
          </w:p>
        </w:tc>
        <w:tc>
          <w:tcPr>
            <w:tcW w:w="0" w:type="auto"/>
            <w:tcBorders>
              <w:top w:val="single" w:sz="4" w:space="0" w:color="000000"/>
              <w:left w:val="single" w:sz="4" w:space="0" w:color="A6A6A6"/>
              <w:bottom w:val="single" w:sz="4" w:space="0" w:color="000000"/>
              <w:right w:val="single" w:sz="8" w:space="0" w:color="BFBFBF"/>
            </w:tcBorders>
            <w:shd w:val="clear" w:color="000000" w:fill="FEF0CF"/>
            <w:vAlign w:val="bottom"/>
            <w:hideMark/>
          </w:tcPr>
          <w:p>
            <w:pPr>
              <w:spacing w:after="0"/>
              <w:jc w:val="both"/>
              <w:rPr>
                <w:rFonts w:ascii="Times New Roman" w:hAnsi="Times New Roman"/>
                <w:b/>
                <w:bCs/>
                <w:noProof/>
              </w:rPr>
            </w:pPr>
            <w:r>
              <w:rPr>
                <w:rFonts w:ascii="Times New Roman" w:hAnsi="Times New Roman"/>
                <w:b/>
                <w:bCs/>
                <w:noProof/>
              </w:rPr>
              <w:t>Unit non-response rate (%)</w:t>
            </w:r>
          </w:p>
          <w:p>
            <w:pPr>
              <w:spacing w:after="0"/>
              <w:jc w:val="both"/>
              <w:rPr>
                <w:rFonts w:ascii="Times New Roman" w:hAnsi="Times New Roman"/>
                <w:b/>
                <w:bCs/>
                <w:noProof/>
              </w:rPr>
            </w:pPr>
            <w:r>
              <w:rPr>
                <w:rFonts w:ascii="Times New Roman" w:hAnsi="Times New Roman"/>
                <w:b/>
                <w:bCs/>
                <w:noProof/>
              </w:rPr>
              <w:t>2017</w:t>
            </w:r>
          </w:p>
        </w:tc>
        <w:tc>
          <w:tcPr>
            <w:tcW w:w="0" w:type="auto"/>
            <w:tcBorders>
              <w:top w:val="single" w:sz="8" w:space="0" w:color="000000"/>
              <w:left w:val="single" w:sz="8" w:space="0" w:color="BFBFBF"/>
              <w:bottom w:val="single" w:sz="8" w:space="0" w:color="000000"/>
              <w:right w:val="single" w:sz="4" w:space="0" w:color="auto"/>
            </w:tcBorders>
            <w:shd w:val="clear" w:color="000000" w:fill="FEF0CF"/>
            <w:vAlign w:val="bottom"/>
          </w:tcPr>
          <w:p>
            <w:pPr>
              <w:spacing w:after="0"/>
              <w:jc w:val="both"/>
              <w:rPr>
                <w:rFonts w:ascii="Times New Roman" w:hAnsi="Times New Roman"/>
                <w:b/>
                <w:bCs/>
                <w:noProof/>
              </w:rPr>
            </w:pPr>
            <w:r>
              <w:rPr>
                <w:rFonts w:ascii="Times New Roman" w:hAnsi="Times New Roman"/>
                <w:b/>
                <w:bCs/>
                <w:noProof/>
              </w:rPr>
              <w:t>Unit non-response rate (%)</w:t>
            </w:r>
          </w:p>
          <w:p>
            <w:pPr>
              <w:spacing w:after="0"/>
              <w:jc w:val="both"/>
              <w:rPr>
                <w:rFonts w:ascii="Times New Roman" w:hAnsi="Times New Roman"/>
                <w:b/>
                <w:bCs/>
                <w:noProof/>
              </w:rPr>
            </w:pPr>
            <w:r>
              <w:rPr>
                <w:rFonts w:ascii="Times New Roman" w:hAnsi="Times New Roman"/>
                <w:b/>
                <w:bCs/>
                <w:noProof/>
              </w:rPr>
              <w:t>2014</w:t>
            </w:r>
          </w:p>
        </w:tc>
        <w:tc>
          <w:tcPr>
            <w:tcW w:w="0" w:type="auto"/>
            <w:tcBorders>
              <w:top w:val="single" w:sz="4" w:space="0" w:color="000000"/>
              <w:left w:val="single" w:sz="4" w:space="0" w:color="auto"/>
              <w:bottom w:val="single" w:sz="4" w:space="0" w:color="000000"/>
              <w:right w:val="nil"/>
            </w:tcBorders>
            <w:shd w:val="clear" w:color="000000" w:fill="FEF0CF"/>
            <w:noWrap/>
            <w:vAlign w:val="bottom"/>
            <w:hideMark/>
          </w:tcPr>
          <w:p>
            <w:pPr>
              <w:spacing w:after="0"/>
              <w:jc w:val="both"/>
              <w:rPr>
                <w:rFonts w:ascii="Times New Roman" w:hAnsi="Times New Roman"/>
                <w:b/>
                <w:bCs/>
                <w:noProof/>
              </w:rPr>
            </w:pPr>
            <w:r>
              <w:rPr>
                <w:rFonts w:ascii="Times New Roman" w:hAnsi="Times New Roman"/>
                <w:b/>
                <w:bCs/>
                <w:noProof/>
              </w:rPr>
              <w:t>Country</w:t>
            </w:r>
          </w:p>
        </w:tc>
        <w:tc>
          <w:tcPr>
            <w:tcW w:w="0" w:type="auto"/>
            <w:tcBorders>
              <w:top w:val="single" w:sz="4" w:space="0" w:color="000000"/>
              <w:left w:val="single" w:sz="4" w:space="0" w:color="A6A6A6"/>
              <w:bottom w:val="single" w:sz="4" w:space="0" w:color="000000"/>
              <w:right w:val="nil"/>
            </w:tcBorders>
            <w:shd w:val="clear" w:color="000000" w:fill="FEF0CF"/>
            <w:vAlign w:val="bottom"/>
            <w:hideMark/>
          </w:tcPr>
          <w:p>
            <w:pPr>
              <w:spacing w:after="0"/>
              <w:jc w:val="both"/>
              <w:rPr>
                <w:rFonts w:ascii="Times New Roman" w:hAnsi="Times New Roman"/>
                <w:b/>
                <w:bCs/>
                <w:noProof/>
              </w:rPr>
            </w:pPr>
            <w:r>
              <w:rPr>
                <w:rFonts w:ascii="Times New Roman" w:hAnsi="Times New Roman"/>
                <w:b/>
                <w:bCs/>
                <w:noProof/>
              </w:rPr>
              <w:t>Participation</w:t>
            </w:r>
          </w:p>
          <w:p>
            <w:pPr>
              <w:spacing w:after="0"/>
              <w:jc w:val="both"/>
              <w:rPr>
                <w:rFonts w:ascii="Times New Roman" w:hAnsi="Times New Roman"/>
                <w:b/>
                <w:bCs/>
                <w:noProof/>
              </w:rPr>
            </w:pPr>
            <w:r>
              <w:rPr>
                <w:rFonts w:ascii="Times New Roman" w:hAnsi="Times New Roman"/>
                <w:b/>
                <w:bCs/>
                <w:noProof/>
              </w:rPr>
              <w:t>2017</w:t>
            </w:r>
          </w:p>
        </w:tc>
        <w:tc>
          <w:tcPr>
            <w:tcW w:w="0" w:type="auto"/>
            <w:tcBorders>
              <w:top w:val="single" w:sz="4" w:space="0" w:color="000000"/>
              <w:left w:val="single" w:sz="4" w:space="0" w:color="A6A6A6"/>
              <w:bottom w:val="single" w:sz="4" w:space="0" w:color="000000"/>
              <w:right w:val="nil"/>
            </w:tcBorders>
            <w:shd w:val="clear" w:color="000000" w:fill="FEF0CF"/>
            <w:vAlign w:val="bottom"/>
            <w:hideMark/>
          </w:tcPr>
          <w:p>
            <w:pPr>
              <w:spacing w:after="0"/>
              <w:jc w:val="both"/>
              <w:rPr>
                <w:rFonts w:ascii="Times New Roman" w:hAnsi="Times New Roman"/>
                <w:b/>
                <w:bCs/>
                <w:noProof/>
              </w:rPr>
            </w:pPr>
            <w:r>
              <w:rPr>
                <w:rFonts w:ascii="Times New Roman" w:hAnsi="Times New Roman"/>
                <w:b/>
                <w:bCs/>
                <w:noProof/>
              </w:rPr>
              <w:t>Unit non-response rate (%)</w:t>
            </w:r>
          </w:p>
          <w:p>
            <w:pPr>
              <w:spacing w:after="0"/>
              <w:jc w:val="both"/>
              <w:rPr>
                <w:rFonts w:ascii="Times New Roman" w:hAnsi="Times New Roman"/>
                <w:b/>
                <w:bCs/>
                <w:noProof/>
              </w:rPr>
            </w:pPr>
            <w:r>
              <w:rPr>
                <w:rFonts w:ascii="Times New Roman" w:hAnsi="Times New Roman"/>
                <w:b/>
                <w:bCs/>
                <w:noProof/>
              </w:rPr>
              <w:t>2017</w:t>
            </w:r>
          </w:p>
        </w:tc>
        <w:tc>
          <w:tcPr>
            <w:tcW w:w="0" w:type="auto"/>
            <w:tcBorders>
              <w:top w:val="single" w:sz="4" w:space="0" w:color="000000"/>
              <w:left w:val="single" w:sz="4" w:space="0" w:color="A6A6A6"/>
              <w:bottom w:val="single" w:sz="4" w:space="0" w:color="000000"/>
              <w:right w:val="nil"/>
            </w:tcBorders>
            <w:shd w:val="clear" w:color="000000" w:fill="FEF0CF"/>
            <w:vAlign w:val="bottom"/>
          </w:tcPr>
          <w:p>
            <w:pPr>
              <w:spacing w:after="0"/>
              <w:jc w:val="both"/>
              <w:rPr>
                <w:rFonts w:ascii="Times New Roman" w:hAnsi="Times New Roman"/>
                <w:b/>
                <w:bCs/>
                <w:noProof/>
              </w:rPr>
            </w:pPr>
            <w:r>
              <w:rPr>
                <w:rFonts w:ascii="Times New Roman" w:hAnsi="Times New Roman"/>
                <w:b/>
                <w:bCs/>
                <w:noProof/>
              </w:rPr>
              <w:t>Unit non-response rate (%)</w:t>
            </w:r>
          </w:p>
          <w:p>
            <w:pPr>
              <w:spacing w:after="0"/>
              <w:jc w:val="both"/>
              <w:rPr>
                <w:rFonts w:ascii="Times New Roman" w:hAnsi="Times New Roman"/>
                <w:b/>
                <w:bCs/>
                <w:noProof/>
              </w:rPr>
            </w:pPr>
            <w:r>
              <w:rPr>
                <w:rFonts w:ascii="Times New Roman" w:hAnsi="Times New Roman"/>
                <w:b/>
                <w:bCs/>
                <w:noProof/>
              </w:rPr>
              <w:t>2014</w:t>
            </w:r>
          </w:p>
        </w:tc>
      </w:tr>
      <w:tr>
        <w:trPr>
          <w:trHeight w:val="240"/>
        </w:trPr>
        <w:tc>
          <w:tcPr>
            <w:tcW w:w="0" w:type="auto"/>
            <w:tcBorders>
              <w:top w:val="single" w:sz="4" w:space="0" w:color="000000"/>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BE</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Compulsory</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17.4</w:t>
            </w:r>
          </w:p>
        </w:tc>
        <w:tc>
          <w:tcPr>
            <w:tcW w:w="0" w:type="auto"/>
            <w:tcBorders>
              <w:top w:val="single" w:sz="8" w:space="0" w:color="000000"/>
              <w:left w:val="single" w:sz="8" w:space="0" w:color="BFBFBF"/>
              <w:bottom w:val="single" w:sz="8" w:space="0" w:color="BFBFBF"/>
              <w:right w:val="single" w:sz="4" w:space="0" w:color="auto"/>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27.8</w:t>
            </w:r>
          </w:p>
        </w:tc>
        <w:tc>
          <w:tcPr>
            <w:tcW w:w="0" w:type="auto"/>
            <w:tcBorders>
              <w:top w:val="nil"/>
              <w:left w:val="single" w:sz="4" w:space="0" w:color="auto"/>
              <w:bottom w:val="single" w:sz="4" w:space="0" w:color="C0C0C0"/>
              <w:right w:val="single" w:sz="4" w:space="0" w:color="A6A6A6"/>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MT</w:t>
            </w:r>
          </w:p>
        </w:tc>
        <w:tc>
          <w:tcPr>
            <w:tcW w:w="0" w:type="auto"/>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Compulsory</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24.8</w:t>
            </w:r>
          </w:p>
        </w:tc>
        <w:tc>
          <w:tcPr>
            <w:tcW w:w="0" w:type="auto"/>
            <w:tcBorders>
              <w:top w:val="nil"/>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23.7</w:t>
            </w:r>
          </w:p>
        </w:tc>
      </w:tr>
      <w:tr>
        <w:trPr>
          <w:trHeight w:val="240"/>
        </w:trPr>
        <w:tc>
          <w:tcPr>
            <w:tcW w:w="0" w:type="auto"/>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BG</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Voluntary</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19.7</w:t>
            </w:r>
          </w:p>
        </w:tc>
        <w:tc>
          <w:tcPr>
            <w:tcW w:w="0" w:type="auto"/>
            <w:tcBorders>
              <w:top w:val="single" w:sz="8" w:space="0" w:color="BFBFBF"/>
              <w:left w:val="single" w:sz="8" w:space="0" w:color="BFBFBF"/>
              <w:bottom w:val="single" w:sz="8" w:space="0" w:color="BFBFBF"/>
              <w:right w:val="single" w:sz="4" w:space="0" w:color="auto"/>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23.7</w:t>
            </w:r>
          </w:p>
        </w:tc>
        <w:tc>
          <w:tcPr>
            <w:tcW w:w="0" w:type="auto"/>
            <w:tcBorders>
              <w:top w:val="nil"/>
              <w:left w:val="single" w:sz="4" w:space="0" w:color="auto"/>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NL</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Voluntary</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48.4</w:t>
            </w:r>
          </w:p>
        </w:tc>
        <w:tc>
          <w:tcPr>
            <w:tcW w:w="0" w:type="auto"/>
            <w:tcBorders>
              <w:top w:val="nil"/>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42.7</w:t>
            </w:r>
          </w:p>
        </w:tc>
      </w:tr>
      <w:tr>
        <w:trPr>
          <w:trHeight w:val="240"/>
        </w:trPr>
        <w:tc>
          <w:tcPr>
            <w:tcW w:w="0" w:type="auto"/>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CZ</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Voluntary</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21.2</w:t>
            </w:r>
          </w:p>
        </w:tc>
        <w:tc>
          <w:tcPr>
            <w:tcW w:w="0" w:type="auto"/>
            <w:tcBorders>
              <w:top w:val="single" w:sz="8" w:space="0" w:color="BFBFBF"/>
              <w:left w:val="single" w:sz="8" w:space="0" w:color="BFBFBF"/>
              <w:bottom w:val="single" w:sz="8" w:space="0" w:color="BFBFBF"/>
              <w:right w:val="single" w:sz="4" w:space="0" w:color="auto"/>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20.6</w:t>
            </w:r>
          </w:p>
        </w:tc>
        <w:tc>
          <w:tcPr>
            <w:tcW w:w="0" w:type="auto"/>
            <w:tcBorders>
              <w:top w:val="nil"/>
              <w:left w:val="single" w:sz="4" w:space="0" w:color="auto"/>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AT</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Compulsory</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3.4</w:t>
            </w:r>
          </w:p>
        </w:tc>
        <w:tc>
          <w:tcPr>
            <w:tcW w:w="0" w:type="auto"/>
            <w:tcBorders>
              <w:top w:val="nil"/>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5.7</w:t>
            </w:r>
          </w:p>
        </w:tc>
      </w:tr>
      <w:tr>
        <w:trPr>
          <w:trHeight w:val="240"/>
        </w:trPr>
        <w:tc>
          <w:tcPr>
            <w:tcW w:w="0" w:type="auto"/>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DK</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Voluntary</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45.0</w:t>
            </w:r>
          </w:p>
        </w:tc>
        <w:tc>
          <w:tcPr>
            <w:tcW w:w="0" w:type="auto"/>
            <w:tcBorders>
              <w:top w:val="single" w:sz="8" w:space="0" w:color="BFBFBF"/>
              <w:left w:val="single" w:sz="8" w:space="0" w:color="BFBFBF"/>
              <w:bottom w:val="single" w:sz="8" w:space="0" w:color="BFBFBF"/>
              <w:right w:val="single" w:sz="4" w:space="0" w:color="auto"/>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46.2</w:t>
            </w:r>
          </w:p>
        </w:tc>
        <w:tc>
          <w:tcPr>
            <w:tcW w:w="0" w:type="auto"/>
            <w:tcBorders>
              <w:top w:val="nil"/>
              <w:left w:val="single" w:sz="4" w:space="0" w:color="auto"/>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PL</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Voluntary</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38.7</w:t>
            </w:r>
          </w:p>
        </w:tc>
        <w:tc>
          <w:tcPr>
            <w:tcW w:w="0" w:type="auto"/>
            <w:tcBorders>
              <w:top w:val="nil"/>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31.5</w:t>
            </w:r>
          </w:p>
        </w:tc>
      </w:tr>
      <w:tr>
        <w:trPr>
          <w:trHeight w:val="240"/>
        </w:trPr>
        <w:tc>
          <w:tcPr>
            <w:tcW w:w="0" w:type="auto"/>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DE</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Compulsory</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3.8</w:t>
            </w:r>
          </w:p>
        </w:tc>
        <w:tc>
          <w:tcPr>
            <w:tcW w:w="0" w:type="auto"/>
            <w:tcBorders>
              <w:top w:val="single" w:sz="8" w:space="0" w:color="BFBFBF"/>
              <w:left w:val="single" w:sz="8" w:space="0" w:color="BFBFBF"/>
              <w:bottom w:val="single" w:sz="8" w:space="0" w:color="BFBFBF"/>
              <w:right w:val="single" w:sz="4" w:space="0" w:color="auto"/>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2.3</w:t>
            </w:r>
          </w:p>
        </w:tc>
        <w:tc>
          <w:tcPr>
            <w:tcW w:w="0" w:type="auto"/>
            <w:tcBorders>
              <w:top w:val="nil"/>
              <w:left w:val="single" w:sz="4" w:space="0" w:color="auto"/>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PT</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Compulsory</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16.1</w:t>
            </w:r>
          </w:p>
        </w:tc>
        <w:tc>
          <w:tcPr>
            <w:tcW w:w="0" w:type="auto"/>
            <w:tcBorders>
              <w:top w:val="nil"/>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14.8</w:t>
            </w:r>
          </w:p>
        </w:tc>
      </w:tr>
      <w:tr>
        <w:trPr>
          <w:trHeight w:val="240"/>
        </w:trPr>
        <w:tc>
          <w:tcPr>
            <w:tcW w:w="0" w:type="auto"/>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EE</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Voluntary</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33.2</w:t>
            </w:r>
          </w:p>
        </w:tc>
        <w:tc>
          <w:tcPr>
            <w:tcW w:w="0" w:type="auto"/>
            <w:tcBorders>
              <w:top w:val="single" w:sz="8" w:space="0" w:color="BFBFBF"/>
              <w:left w:val="single" w:sz="8" w:space="0" w:color="BFBFBF"/>
              <w:bottom w:val="single" w:sz="8" w:space="0" w:color="BFBFBF"/>
              <w:right w:val="single" w:sz="4" w:space="0" w:color="auto"/>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31.3</w:t>
            </w:r>
          </w:p>
        </w:tc>
        <w:tc>
          <w:tcPr>
            <w:tcW w:w="0" w:type="auto"/>
            <w:tcBorders>
              <w:top w:val="nil"/>
              <w:left w:val="single" w:sz="4" w:space="0" w:color="auto"/>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RO</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Voluntary</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12.7</w:t>
            </w:r>
          </w:p>
        </w:tc>
        <w:tc>
          <w:tcPr>
            <w:tcW w:w="0" w:type="auto"/>
            <w:tcBorders>
              <w:top w:val="nil"/>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9.5</w:t>
            </w:r>
          </w:p>
        </w:tc>
      </w:tr>
      <w:tr>
        <w:trPr>
          <w:trHeight w:val="240"/>
        </w:trPr>
        <w:tc>
          <w:tcPr>
            <w:tcW w:w="0" w:type="auto"/>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IE</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Voluntary</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32.2</w:t>
            </w:r>
          </w:p>
        </w:tc>
        <w:tc>
          <w:tcPr>
            <w:tcW w:w="0" w:type="auto"/>
            <w:tcBorders>
              <w:top w:val="single" w:sz="8" w:space="0" w:color="BFBFBF"/>
              <w:left w:val="single" w:sz="8" w:space="0" w:color="BFBFBF"/>
              <w:bottom w:val="single" w:sz="8" w:space="0" w:color="BFBFBF"/>
              <w:right w:val="single" w:sz="4" w:space="0" w:color="auto"/>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23.9</w:t>
            </w:r>
          </w:p>
        </w:tc>
        <w:tc>
          <w:tcPr>
            <w:tcW w:w="0" w:type="auto"/>
            <w:tcBorders>
              <w:top w:val="nil"/>
              <w:left w:val="single" w:sz="4" w:space="0" w:color="auto"/>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SI</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Voluntary</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20.1</w:t>
            </w:r>
          </w:p>
        </w:tc>
        <w:tc>
          <w:tcPr>
            <w:tcW w:w="0" w:type="auto"/>
            <w:tcBorders>
              <w:top w:val="nil"/>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21.3</w:t>
            </w:r>
          </w:p>
        </w:tc>
      </w:tr>
      <w:tr>
        <w:trPr>
          <w:trHeight w:val="240"/>
        </w:trPr>
        <w:tc>
          <w:tcPr>
            <w:tcW w:w="0" w:type="auto"/>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EL</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Compulsory</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25.4</w:t>
            </w:r>
          </w:p>
        </w:tc>
        <w:tc>
          <w:tcPr>
            <w:tcW w:w="0" w:type="auto"/>
            <w:tcBorders>
              <w:top w:val="single" w:sz="8" w:space="0" w:color="BFBFBF"/>
              <w:left w:val="single" w:sz="8" w:space="0" w:color="BFBFBF"/>
              <w:bottom w:val="single" w:sz="8" w:space="0" w:color="BFBFBF"/>
              <w:right w:val="single" w:sz="4" w:space="0" w:color="auto"/>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24.6</w:t>
            </w:r>
          </w:p>
        </w:tc>
        <w:tc>
          <w:tcPr>
            <w:tcW w:w="0" w:type="auto"/>
            <w:tcBorders>
              <w:top w:val="nil"/>
              <w:left w:val="single" w:sz="4" w:space="0" w:color="auto"/>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SK</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Compulsory</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18.0</w:t>
            </w:r>
          </w:p>
        </w:tc>
        <w:tc>
          <w:tcPr>
            <w:tcW w:w="0" w:type="auto"/>
            <w:tcBorders>
              <w:top w:val="nil"/>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11.0</w:t>
            </w:r>
          </w:p>
        </w:tc>
      </w:tr>
      <w:tr>
        <w:trPr>
          <w:trHeight w:val="240"/>
        </w:trPr>
        <w:tc>
          <w:tcPr>
            <w:tcW w:w="0" w:type="auto"/>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ES</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Compulsory</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13.1</w:t>
            </w:r>
          </w:p>
        </w:tc>
        <w:tc>
          <w:tcPr>
            <w:tcW w:w="0" w:type="auto"/>
            <w:tcBorders>
              <w:top w:val="single" w:sz="8" w:space="0" w:color="BFBFBF"/>
              <w:left w:val="single" w:sz="8" w:space="0" w:color="BFBFBF"/>
              <w:bottom w:val="single" w:sz="8" w:space="0" w:color="BFBFBF"/>
              <w:right w:val="single" w:sz="4" w:space="0" w:color="auto"/>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15.2</w:t>
            </w:r>
          </w:p>
        </w:tc>
        <w:tc>
          <w:tcPr>
            <w:tcW w:w="0" w:type="auto"/>
            <w:tcBorders>
              <w:top w:val="nil"/>
              <w:left w:val="single" w:sz="4" w:space="0" w:color="auto"/>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FI</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Voluntary</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32.7</w:t>
            </w:r>
          </w:p>
        </w:tc>
        <w:tc>
          <w:tcPr>
            <w:tcW w:w="0" w:type="auto"/>
            <w:tcBorders>
              <w:top w:val="nil"/>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28.0</w:t>
            </w:r>
          </w:p>
        </w:tc>
      </w:tr>
      <w:tr>
        <w:trPr>
          <w:trHeight w:val="240"/>
        </w:trPr>
        <w:tc>
          <w:tcPr>
            <w:tcW w:w="0" w:type="auto"/>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FR</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Compulsory</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20.4</w:t>
            </w:r>
          </w:p>
        </w:tc>
        <w:tc>
          <w:tcPr>
            <w:tcW w:w="0" w:type="auto"/>
            <w:tcBorders>
              <w:top w:val="single" w:sz="8" w:space="0" w:color="BFBFBF"/>
              <w:left w:val="single" w:sz="8" w:space="0" w:color="BFBFBF"/>
              <w:bottom w:val="single" w:sz="8" w:space="0" w:color="BFBFBF"/>
              <w:right w:val="single" w:sz="4" w:space="0" w:color="auto"/>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20.9</w:t>
            </w:r>
          </w:p>
        </w:tc>
        <w:tc>
          <w:tcPr>
            <w:tcW w:w="0" w:type="auto"/>
            <w:tcBorders>
              <w:top w:val="nil"/>
              <w:left w:val="single" w:sz="4" w:space="0" w:color="auto"/>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SE</w:t>
            </w:r>
          </w:p>
        </w:tc>
        <w:tc>
          <w:tcPr>
            <w:tcW w:w="0" w:type="auto"/>
            <w:tcBorders>
              <w:top w:val="nil"/>
              <w:left w:val="single" w:sz="4" w:space="0" w:color="A6A6A6"/>
              <w:bottom w:val="nil"/>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Voluntary</w:t>
            </w:r>
          </w:p>
        </w:tc>
        <w:tc>
          <w:tcPr>
            <w:tcW w:w="0" w:type="auto"/>
            <w:tcBorders>
              <w:top w:val="nil"/>
              <w:left w:val="single" w:sz="4" w:space="0" w:color="A6A6A6"/>
              <w:bottom w:val="nil"/>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43.4</w:t>
            </w:r>
          </w:p>
        </w:tc>
        <w:tc>
          <w:tcPr>
            <w:tcW w:w="0" w:type="auto"/>
            <w:tcBorders>
              <w:top w:val="nil"/>
              <w:left w:val="single" w:sz="4" w:space="0" w:color="A6A6A6"/>
              <w:bottom w:val="nil"/>
              <w:right w:val="nil"/>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35.7</w:t>
            </w:r>
          </w:p>
        </w:tc>
      </w:tr>
      <w:tr>
        <w:trPr>
          <w:trHeight w:val="240"/>
        </w:trPr>
        <w:tc>
          <w:tcPr>
            <w:tcW w:w="0" w:type="auto"/>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HR</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Voluntary</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44.5</w:t>
            </w:r>
          </w:p>
        </w:tc>
        <w:tc>
          <w:tcPr>
            <w:tcW w:w="0" w:type="auto"/>
            <w:tcBorders>
              <w:top w:val="single" w:sz="8" w:space="0" w:color="BFBFBF"/>
              <w:left w:val="single" w:sz="8" w:space="0" w:color="BFBFBF"/>
              <w:bottom w:val="single" w:sz="8" w:space="0" w:color="BFBFBF"/>
              <w:right w:val="single" w:sz="4" w:space="0" w:color="auto"/>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31.3</w:t>
            </w:r>
          </w:p>
        </w:tc>
        <w:tc>
          <w:tcPr>
            <w:tcW w:w="0" w:type="auto"/>
            <w:tcBorders>
              <w:top w:val="nil"/>
              <w:left w:val="single" w:sz="4" w:space="0" w:color="auto"/>
              <w:bottom w:val="single" w:sz="4" w:space="0" w:color="00000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UK</w:t>
            </w:r>
          </w:p>
        </w:tc>
        <w:tc>
          <w:tcPr>
            <w:tcW w:w="0" w:type="auto"/>
            <w:tcBorders>
              <w:top w:val="single" w:sz="4" w:space="0" w:color="C0C0C0"/>
              <w:left w:val="single" w:sz="4" w:space="0" w:color="A6A6A6"/>
              <w:bottom w:val="single" w:sz="4" w:space="0" w:color="00000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Voluntary</w:t>
            </w:r>
          </w:p>
        </w:tc>
        <w:tc>
          <w:tcPr>
            <w:tcW w:w="0" w:type="auto"/>
            <w:tcBorders>
              <w:top w:val="single" w:sz="4" w:space="0" w:color="C0C0C0"/>
              <w:left w:val="single" w:sz="4" w:space="0" w:color="A6A6A6"/>
              <w:bottom w:val="single" w:sz="4" w:space="0" w:color="00000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50.7</w:t>
            </w:r>
          </w:p>
        </w:tc>
        <w:tc>
          <w:tcPr>
            <w:tcW w:w="0" w:type="auto"/>
            <w:tcBorders>
              <w:top w:val="single" w:sz="4" w:space="0" w:color="C0C0C0"/>
              <w:left w:val="single" w:sz="4" w:space="0" w:color="A6A6A6"/>
              <w:bottom w:val="single" w:sz="4" w:space="0" w:color="000000"/>
              <w:right w:val="nil"/>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39.8</w:t>
            </w:r>
          </w:p>
        </w:tc>
      </w:tr>
      <w:tr>
        <w:trPr>
          <w:trHeight w:val="240"/>
        </w:trPr>
        <w:tc>
          <w:tcPr>
            <w:tcW w:w="0" w:type="auto"/>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IT</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Compulsory</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14.9</w:t>
            </w:r>
          </w:p>
        </w:tc>
        <w:tc>
          <w:tcPr>
            <w:tcW w:w="0" w:type="auto"/>
            <w:tcBorders>
              <w:top w:val="single" w:sz="8" w:space="0" w:color="BFBFBF"/>
              <w:left w:val="single" w:sz="8" w:space="0" w:color="BFBFBF"/>
              <w:bottom w:val="single" w:sz="8" w:space="0" w:color="BFBFBF"/>
              <w:right w:val="single" w:sz="4" w:space="0" w:color="auto"/>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11.8</w:t>
            </w:r>
          </w:p>
        </w:tc>
        <w:tc>
          <w:tcPr>
            <w:tcW w:w="0" w:type="auto"/>
            <w:tcBorders>
              <w:top w:val="nil"/>
              <w:left w:val="single" w:sz="4" w:space="0" w:color="auto"/>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IS</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Voluntary</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31.5</w:t>
            </w:r>
          </w:p>
        </w:tc>
        <w:tc>
          <w:tcPr>
            <w:tcW w:w="0" w:type="auto"/>
            <w:tcBorders>
              <w:top w:val="nil"/>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21.0</w:t>
            </w:r>
          </w:p>
        </w:tc>
      </w:tr>
      <w:tr>
        <w:trPr>
          <w:trHeight w:val="240"/>
        </w:trPr>
        <w:tc>
          <w:tcPr>
            <w:tcW w:w="0" w:type="auto"/>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CY</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Compulsory</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3.8</w:t>
            </w:r>
          </w:p>
        </w:tc>
        <w:tc>
          <w:tcPr>
            <w:tcW w:w="0" w:type="auto"/>
            <w:tcBorders>
              <w:top w:val="single" w:sz="8" w:space="0" w:color="BFBFBF"/>
              <w:left w:val="single" w:sz="8" w:space="0" w:color="BFBFBF"/>
              <w:bottom w:val="single" w:sz="8" w:space="0" w:color="BFBFBF"/>
              <w:right w:val="single" w:sz="4" w:space="0" w:color="auto"/>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4.2</w:t>
            </w:r>
          </w:p>
        </w:tc>
        <w:tc>
          <w:tcPr>
            <w:tcW w:w="0" w:type="auto"/>
            <w:tcBorders>
              <w:top w:val="nil"/>
              <w:left w:val="single" w:sz="4" w:space="0" w:color="auto"/>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NO</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Compulsory</w:t>
            </w:r>
          </w:p>
        </w:tc>
        <w:tc>
          <w:tcPr>
            <w:tcW w:w="0" w:type="auto"/>
            <w:tcBorders>
              <w:top w:val="nil"/>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15.8</w:t>
            </w:r>
          </w:p>
        </w:tc>
        <w:tc>
          <w:tcPr>
            <w:tcW w:w="0" w:type="auto"/>
            <w:tcBorders>
              <w:top w:val="nil"/>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19.9</w:t>
            </w:r>
          </w:p>
        </w:tc>
      </w:tr>
      <w:tr>
        <w:trPr>
          <w:trHeight w:val="240"/>
        </w:trPr>
        <w:tc>
          <w:tcPr>
            <w:tcW w:w="0" w:type="auto"/>
            <w:tcBorders>
              <w:top w:val="nil"/>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LV</w:t>
            </w:r>
          </w:p>
        </w:tc>
        <w:tc>
          <w:tcPr>
            <w:tcW w:w="0" w:type="auto"/>
            <w:tcBorders>
              <w:top w:val="nil"/>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Voluntary</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35.4</w:t>
            </w:r>
          </w:p>
        </w:tc>
        <w:tc>
          <w:tcPr>
            <w:tcW w:w="0" w:type="auto"/>
            <w:tcBorders>
              <w:top w:val="single" w:sz="8" w:space="0" w:color="BFBFBF"/>
              <w:left w:val="single" w:sz="8" w:space="0" w:color="BFBFBF"/>
              <w:bottom w:val="single" w:sz="8" w:space="0" w:color="BFBFBF"/>
              <w:right w:val="single" w:sz="4" w:space="0" w:color="auto"/>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35.7</w:t>
            </w:r>
          </w:p>
        </w:tc>
        <w:tc>
          <w:tcPr>
            <w:tcW w:w="0" w:type="auto"/>
            <w:tcBorders>
              <w:top w:val="single" w:sz="4" w:space="0" w:color="C0C0C0"/>
              <w:left w:val="single" w:sz="4" w:space="0" w:color="auto"/>
              <w:bottom w:val="single" w:sz="8" w:space="0" w:color="00000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CH</w:t>
            </w:r>
          </w:p>
        </w:tc>
        <w:tc>
          <w:tcPr>
            <w:tcW w:w="0" w:type="auto"/>
            <w:tcBorders>
              <w:top w:val="single" w:sz="4" w:space="0" w:color="C0C0C0"/>
              <w:left w:val="single" w:sz="4" w:space="0" w:color="A6A6A6"/>
              <w:bottom w:val="single" w:sz="8" w:space="0" w:color="00000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Voluntary</w:t>
            </w:r>
          </w:p>
        </w:tc>
        <w:tc>
          <w:tcPr>
            <w:tcW w:w="0" w:type="auto"/>
            <w:tcBorders>
              <w:top w:val="single" w:sz="4" w:space="0" w:color="C0C0C0"/>
              <w:left w:val="single" w:sz="4" w:space="0" w:color="A6A6A6"/>
              <w:bottom w:val="single" w:sz="8" w:space="0" w:color="00000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19.7</w:t>
            </w:r>
          </w:p>
        </w:tc>
        <w:tc>
          <w:tcPr>
            <w:tcW w:w="0" w:type="auto"/>
            <w:tcBorders>
              <w:top w:val="single" w:sz="4" w:space="0" w:color="C0C0C0"/>
              <w:left w:val="single" w:sz="4" w:space="0" w:color="A6A6A6"/>
              <w:bottom w:val="single" w:sz="8" w:space="0" w:color="000000"/>
              <w:right w:val="nil"/>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18.8</w:t>
            </w:r>
          </w:p>
        </w:tc>
      </w:tr>
      <w:tr>
        <w:trPr>
          <w:trHeight w:val="240"/>
        </w:trPr>
        <w:tc>
          <w:tcPr>
            <w:tcW w:w="0" w:type="auto"/>
            <w:tcBorders>
              <w:top w:val="nil"/>
              <w:left w:val="nil"/>
              <w:bottom w:val="nil"/>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LT</w:t>
            </w:r>
          </w:p>
        </w:tc>
        <w:tc>
          <w:tcPr>
            <w:tcW w:w="0" w:type="auto"/>
            <w:tcBorders>
              <w:top w:val="nil"/>
              <w:left w:val="single" w:sz="4" w:space="0" w:color="A6A6A6"/>
              <w:bottom w:val="nil"/>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Voluntary</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22.3</w:t>
            </w:r>
          </w:p>
        </w:tc>
        <w:tc>
          <w:tcPr>
            <w:tcW w:w="0" w:type="auto"/>
            <w:tcBorders>
              <w:top w:val="single" w:sz="8" w:space="0" w:color="BFBFBF"/>
              <w:left w:val="single" w:sz="8" w:space="0" w:color="BFBFBF"/>
              <w:bottom w:val="single" w:sz="8" w:space="0" w:color="BFBFBF"/>
              <w:right w:val="single" w:sz="4" w:space="0" w:color="auto"/>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19.6</w:t>
            </w:r>
          </w:p>
        </w:tc>
        <w:tc>
          <w:tcPr>
            <w:tcW w:w="0" w:type="auto"/>
            <w:tcBorders>
              <w:top w:val="single" w:sz="8" w:space="0" w:color="000000"/>
              <w:left w:val="single" w:sz="4" w:space="0" w:color="auto"/>
              <w:bottom w:val="nil"/>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ME</w:t>
            </w:r>
          </w:p>
        </w:tc>
        <w:tc>
          <w:tcPr>
            <w:tcW w:w="0" w:type="auto"/>
            <w:tcBorders>
              <w:top w:val="single" w:sz="8" w:space="0" w:color="000000"/>
              <w:left w:val="single" w:sz="4" w:space="0" w:color="A6A6A6"/>
              <w:bottom w:val="nil"/>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Voluntary</w:t>
            </w:r>
          </w:p>
        </w:tc>
        <w:tc>
          <w:tcPr>
            <w:tcW w:w="0" w:type="auto"/>
            <w:tcBorders>
              <w:top w:val="single" w:sz="8" w:space="0" w:color="000000"/>
              <w:left w:val="single" w:sz="4" w:space="0" w:color="A6A6A6"/>
              <w:bottom w:val="nil"/>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16.7</w:t>
            </w:r>
          </w:p>
        </w:tc>
        <w:tc>
          <w:tcPr>
            <w:tcW w:w="0" w:type="auto"/>
            <w:tcBorders>
              <w:top w:val="single" w:sz="8" w:space="0" w:color="000000"/>
              <w:left w:val="single" w:sz="4" w:space="0" w:color="A6A6A6"/>
              <w:bottom w:val="nil"/>
              <w:right w:val="nil"/>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w:t>
            </w:r>
          </w:p>
        </w:tc>
      </w:tr>
      <w:tr>
        <w:trPr>
          <w:trHeight w:val="240"/>
        </w:trPr>
        <w:tc>
          <w:tcPr>
            <w:tcW w:w="0" w:type="auto"/>
            <w:tcBorders>
              <w:top w:val="single" w:sz="4" w:space="0" w:color="C0C0C0"/>
              <w:left w:val="nil"/>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LU</w:t>
            </w:r>
          </w:p>
        </w:tc>
        <w:tc>
          <w:tcPr>
            <w:tcW w:w="0" w:type="auto"/>
            <w:tcBorders>
              <w:top w:val="single" w:sz="4" w:space="0" w:color="C0C0C0"/>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Compulsory</w:t>
            </w:r>
          </w:p>
        </w:tc>
        <w:tc>
          <w:tcPr>
            <w:tcW w:w="0" w:type="auto"/>
            <w:tcBorders>
              <w:top w:val="nil"/>
              <w:left w:val="single" w:sz="4" w:space="0" w:color="A6A6A6"/>
              <w:bottom w:val="single" w:sz="4" w:space="0" w:color="C0C0C0"/>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41.7</w:t>
            </w:r>
          </w:p>
        </w:tc>
        <w:tc>
          <w:tcPr>
            <w:tcW w:w="0" w:type="auto"/>
            <w:tcBorders>
              <w:top w:val="single" w:sz="8" w:space="0" w:color="BFBFBF"/>
              <w:left w:val="single" w:sz="8" w:space="0" w:color="BFBFBF"/>
              <w:bottom w:val="single" w:sz="8" w:space="0" w:color="BFBFBF"/>
              <w:right w:val="single" w:sz="4" w:space="0" w:color="auto"/>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84.6</w:t>
            </w:r>
          </w:p>
        </w:tc>
        <w:tc>
          <w:tcPr>
            <w:tcW w:w="0" w:type="auto"/>
            <w:tcBorders>
              <w:top w:val="single" w:sz="4" w:space="0" w:color="C0C0C0"/>
              <w:left w:val="single" w:sz="4" w:space="0" w:color="auto"/>
              <w:bottom w:val="single" w:sz="4" w:space="0" w:color="C0C0C0"/>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MK</w:t>
            </w:r>
          </w:p>
        </w:tc>
        <w:tc>
          <w:tcPr>
            <w:tcW w:w="0" w:type="auto"/>
            <w:tcBorders>
              <w:top w:val="single" w:sz="4" w:space="0" w:color="C0C0C0"/>
              <w:left w:val="single" w:sz="4" w:space="0" w:color="A6A6A6"/>
              <w:bottom w:val="single" w:sz="4" w:space="0" w:color="C0C0C0"/>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Voluntary</w:t>
            </w:r>
          </w:p>
        </w:tc>
        <w:tc>
          <w:tcPr>
            <w:tcW w:w="0" w:type="auto"/>
            <w:tcBorders>
              <w:top w:val="single" w:sz="4" w:space="0" w:color="C0C0C0"/>
              <w:left w:val="single" w:sz="4" w:space="0" w:color="A6A6A6"/>
              <w:bottom w:val="single" w:sz="4" w:space="0" w:color="C0C0C0"/>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11.9</w:t>
            </w:r>
          </w:p>
        </w:tc>
        <w:tc>
          <w:tcPr>
            <w:tcW w:w="0" w:type="auto"/>
            <w:tcBorders>
              <w:top w:val="single" w:sz="4" w:space="0" w:color="C0C0C0"/>
              <w:left w:val="single" w:sz="4" w:space="0" w:color="A6A6A6"/>
              <w:bottom w:val="single" w:sz="4" w:space="0" w:color="C0C0C0"/>
              <w:right w:val="nil"/>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24.6</w:t>
            </w:r>
          </w:p>
        </w:tc>
      </w:tr>
      <w:tr>
        <w:trPr>
          <w:trHeight w:val="240"/>
        </w:trPr>
        <w:tc>
          <w:tcPr>
            <w:tcW w:w="0" w:type="auto"/>
            <w:tcBorders>
              <w:top w:val="nil"/>
              <w:left w:val="nil"/>
              <w:bottom w:val="single" w:sz="4" w:space="0" w:color="auto"/>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HU</w:t>
            </w:r>
          </w:p>
        </w:tc>
        <w:tc>
          <w:tcPr>
            <w:tcW w:w="0" w:type="auto"/>
            <w:tcBorders>
              <w:top w:val="nil"/>
              <w:left w:val="single" w:sz="4" w:space="0" w:color="A6A6A6"/>
              <w:bottom w:val="single" w:sz="4" w:space="0" w:color="auto"/>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Voluntary</w:t>
            </w:r>
          </w:p>
        </w:tc>
        <w:tc>
          <w:tcPr>
            <w:tcW w:w="0" w:type="auto"/>
            <w:tcBorders>
              <w:top w:val="nil"/>
              <w:left w:val="single" w:sz="4" w:space="0" w:color="A6A6A6"/>
              <w:bottom w:val="single" w:sz="4" w:space="0" w:color="auto"/>
              <w:right w:val="single" w:sz="8" w:space="0" w:color="BFBFBF"/>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21.5</w:t>
            </w:r>
          </w:p>
        </w:tc>
        <w:tc>
          <w:tcPr>
            <w:tcW w:w="0" w:type="auto"/>
            <w:tcBorders>
              <w:top w:val="single" w:sz="8" w:space="0" w:color="BFBFBF"/>
              <w:left w:val="single" w:sz="8" w:space="0" w:color="BFBFBF"/>
              <w:bottom w:val="single" w:sz="8" w:space="0" w:color="000000"/>
              <w:right w:val="single" w:sz="4" w:space="0" w:color="auto"/>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17.2</w:t>
            </w:r>
          </w:p>
        </w:tc>
        <w:tc>
          <w:tcPr>
            <w:tcW w:w="0" w:type="auto"/>
            <w:tcBorders>
              <w:top w:val="nil"/>
              <w:left w:val="single" w:sz="4" w:space="0" w:color="auto"/>
              <w:bottom w:val="single" w:sz="4" w:space="0" w:color="auto"/>
              <w:right w:val="nil"/>
            </w:tcBorders>
            <w:shd w:val="clear" w:color="000000" w:fill="FFFFFF"/>
            <w:noWrap/>
            <w:vAlign w:val="bottom"/>
            <w:hideMark/>
          </w:tcPr>
          <w:p>
            <w:pPr>
              <w:spacing w:after="0"/>
              <w:jc w:val="both"/>
              <w:rPr>
                <w:rFonts w:ascii="Times New Roman" w:hAnsi="Times New Roman"/>
                <w:b/>
                <w:bCs/>
                <w:noProof/>
              </w:rPr>
            </w:pPr>
            <w:r>
              <w:rPr>
                <w:rFonts w:ascii="Times New Roman" w:hAnsi="Times New Roman"/>
                <w:b/>
                <w:bCs/>
                <w:noProof/>
              </w:rPr>
              <w:t>TR</w:t>
            </w:r>
          </w:p>
        </w:tc>
        <w:tc>
          <w:tcPr>
            <w:tcW w:w="0" w:type="auto"/>
            <w:tcBorders>
              <w:top w:val="nil"/>
              <w:left w:val="single" w:sz="4" w:space="0" w:color="A6A6A6"/>
              <w:bottom w:val="single" w:sz="4" w:space="0" w:color="auto"/>
              <w:right w:val="nil"/>
            </w:tcBorders>
            <w:shd w:val="clear" w:color="000000" w:fill="FFFFFF"/>
            <w:noWrap/>
            <w:vAlign w:val="bottom"/>
            <w:hideMark/>
          </w:tcPr>
          <w:p>
            <w:pPr>
              <w:spacing w:after="0"/>
              <w:jc w:val="both"/>
              <w:rPr>
                <w:rFonts w:ascii="Times New Roman" w:hAnsi="Times New Roman"/>
                <w:noProof/>
              </w:rPr>
            </w:pPr>
            <w:r>
              <w:rPr>
                <w:rFonts w:ascii="Times New Roman" w:hAnsi="Times New Roman"/>
                <w:noProof/>
              </w:rPr>
              <w:t>Compulsory</w:t>
            </w:r>
          </w:p>
        </w:tc>
        <w:tc>
          <w:tcPr>
            <w:tcW w:w="0" w:type="auto"/>
            <w:tcBorders>
              <w:top w:val="nil"/>
              <w:left w:val="single" w:sz="4" w:space="0" w:color="A6A6A6"/>
              <w:bottom w:val="single" w:sz="4" w:space="0" w:color="auto"/>
              <w:right w:val="nil"/>
            </w:tcBorders>
            <w:shd w:val="clear" w:color="000000" w:fill="FFFFFF"/>
            <w:noWrap/>
            <w:vAlign w:val="center"/>
            <w:hideMark/>
          </w:tcPr>
          <w:p>
            <w:pPr>
              <w:spacing w:after="0"/>
              <w:jc w:val="both"/>
              <w:rPr>
                <w:rFonts w:ascii="Times New Roman" w:hAnsi="Times New Roman"/>
                <w:noProof/>
              </w:rPr>
            </w:pPr>
            <w:r>
              <w:rPr>
                <w:rFonts w:ascii="Times New Roman" w:hAnsi="Times New Roman"/>
                <w:noProof/>
                <w:color w:val="000000"/>
              </w:rPr>
              <w:t>4.3</w:t>
            </w:r>
          </w:p>
        </w:tc>
        <w:tc>
          <w:tcPr>
            <w:tcW w:w="0" w:type="auto"/>
            <w:tcBorders>
              <w:top w:val="nil"/>
              <w:left w:val="single" w:sz="4" w:space="0" w:color="A6A6A6"/>
              <w:bottom w:val="single" w:sz="4" w:space="0" w:color="auto"/>
              <w:right w:val="nil"/>
            </w:tcBorders>
            <w:shd w:val="clear" w:color="000000" w:fill="FFFFFF"/>
            <w:vAlign w:val="center"/>
          </w:tcPr>
          <w:p>
            <w:pPr>
              <w:spacing w:after="0"/>
              <w:jc w:val="both"/>
              <w:rPr>
                <w:rFonts w:ascii="Times New Roman" w:hAnsi="Times New Roman"/>
                <w:noProof/>
                <w:color w:val="000000"/>
              </w:rPr>
            </w:pPr>
            <w:r>
              <w:rPr>
                <w:rFonts w:ascii="Times New Roman" w:hAnsi="Times New Roman"/>
                <w:noProof/>
                <w:color w:val="000000"/>
              </w:rPr>
              <w:t>9.3</w:t>
            </w:r>
          </w:p>
        </w:tc>
      </w:tr>
    </w:tbl>
    <w:p>
      <w:pPr>
        <w:jc w:val="both"/>
        <w:rPr>
          <w:rFonts w:ascii="Times New Roman" w:hAnsi="Times New Roman"/>
          <w:noProof/>
          <w:sz w:val="24"/>
          <w:szCs w:val="24"/>
        </w:rPr>
      </w:pPr>
    </w:p>
    <w:p>
      <w:pPr>
        <w:pStyle w:val="ManualHeading2"/>
        <w:rPr>
          <w:noProof/>
        </w:rPr>
      </w:pPr>
      <w:r>
        <w:t>3.2.</w:t>
      </w:r>
      <w:r>
        <w:tab/>
      </w:r>
      <w:r>
        <w:rPr>
          <w:noProof/>
        </w:rPr>
        <w:t>Timeliness and punctuality</w:t>
      </w:r>
    </w:p>
    <w:p>
      <w:pPr>
        <w:jc w:val="both"/>
        <w:rPr>
          <w:rFonts w:ascii="Times New Roman" w:hAnsi="Times New Roman"/>
          <w:noProof/>
          <w:sz w:val="24"/>
          <w:szCs w:val="24"/>
        </w:rPr>
      </w:pPr>
      <w:r>
        <w:rPr>
          <w:rFonts w:ascii="Times New Roman" w:hAnsi="Times New Roman"/>
          <w:noProof/>
          <w:sz w:val="24"/>
          <w:szCs w:val="24"/>
        </w:rPr>
        <w:t xml:space="preserve">The </w:t>
      </w:r>
      <w:r>
        <w:rPr>
          <w:rFonts w:ascii="Times New Roman" w:hAnsi="Times New Roman"/>
          <w:i/>
          <w:noProof/>
          <w:sz w:val="24"/>
          <w:szCs w:val="24"/>
        </w:rPr>
        <w:t>timeliness of statistics</w:t>
      </w:r>
      <w:r>
        <w:rPr>
          <w:rFonts w:ascii="Times New Roman" w:hAnsi="Times New Roman"/>
          <w:noProof/>
          <w:sz w:val="24"/>
          <w:szCs w:val="24"/>
        </w:rPr>
        <w:t xml:space="preserve"> is defined as the length of time between data availability and the event or phenomenon they describe. For the EU-LFS, this length of time depends on: (i) the time Member States need to conduct and process the survey and send the results to Eurostat, and (ii) the time needed by Eurostat to process, validate and publish the results.</w:t>
      </w:r>
    </w:p>
    <w:p>
      <w:pPr>
        <w:jc w:val="both"/>
        <w:rPr>
          <w:rFonts w:ascii="Times New Roman" w:hAnsi="Times New Roman"/>
          <w:noProof/>
          <w:sz w:val="24"/>
          <w:szCs w:val="24"/>
        </w:rPr>
      </w:pPr>
      <w:r>
        <w:rPr>
          <w:rFonts w:ascii="Times New Roman" w:hAnsi="Times New Roman"/>
          <w:noProof/>
          <w:sz w:val="24"/>
          <w:szCs w:val="24"/>
        </w:rPr>
        <w:t>Council Regulation (EC) No 577/98 states that Member States must deliver data to Eurostat within 12 weeks of the end of a reference quarter. Eurostat validates the national datasets as soon as they are received. Table 4 shows the time span between the end of the reference quarter and the availability of data for Eurostat’s users for the period 2014-2017. Timeliness of EU-LFS data has slightly improved for the EU-28 in recent years. In 2017, the average number of calendar days needed to disseminate the EU-28 data was 75 days, compared to 77 days in 2014. Eurostat plans to further improve the timeliness of dissemination of EU-LFS results by shortening the deadline for data delivery to Eurostat in the future.</w:t>
      </w:r>
    </w:p>
    <w:p>
      <w:pPr>
        <w:jc w:val="both"/>
        <w:rPr>
          <w:rFonts w:ascii="Times New Roman" w:hAnsi="Times New Roman"/>
          <w:noProof/>
          <w:sz w:val="24"/>
          <w:szCs w:val="24"/>
        </w:rPr>
      </w:pPr>
      <w:r>
        <w:rPr>
          <w:rFonts w:ascii="Times New Roman" w:hAnsi="Times New Roman"/>
          <w:noProof/>
          <w:sz w:val="24"/>
          <w:szCs w:val="24"/>
        </w:rPr>
        <w:t>The timeliness of EU-LFS data is also important for estimating monthly unemployment rates. As soon as national data are processed by Eurostat, they are used to calculate the next monthly unemployment rate. The monthly unemployment rate is disseminated approximately 30 days after the end of the reference month.</w:t>
      </w:r>
    </w:p>
    <w:p>
      <w:pPr>
        <w:jc w:val="both"/>
        <w:rPr>
          <w:rFonts w:ascii="Times New Roman" w:hAnsi="Times New Roman"/>
          <w:noProof/>
          <w:sz w:val="24"/>
          <w:szCs w:val="24"/>
        </w:rPr>
      </w:pPr>
      <w:r>
        <w:rPr>
          <w:rFonts w:ascii="Times New Roman" w:hAnsi="Times New Roman"/>
          <w:b/>
          <w:noProof/>
          <w:sz w:val="24"/>
          <w:szCs w:val="24"/>
        </w:rPr>
        <w:t>Table 4: Availability of LFS data to users — Timeliness, 2014-2017</w:t>
      </w:r>
    </w:p>
    <w:tbl>
      <w:tblPr>
        <w:tblW w:w="0" w:type="auto"/>
        <w:tblInd w:w="98" w:type="dxa"/>
        <w:tblLook w:val="04A0" w:firstRow="1" w:lastRow="0" w:firstColumn="1" w:lastColumn="0" w:noHBand="0" w:noVBand="1"/>
      </w:tblPr>
      <w:tblGrid>
        <w:gridCol w:w="3572"/>
        <w:gridCol w:w="523"/>
        <w:gridCol w:w="870"/>
        <w:gridCol w:w="523"/>
        <w:gridCol w:w="870"/>
        <w:gridCol w:w="523"/>
        <w:gridCol w:w="870"/>
        <w:gridCol w:w="523"/>
        <w:gridCol w:w="870"/>
      </w:tblGrid>
      <w:tr>
        <w:trPr>
          <w:trHeight w:val="630"/>
        </w:trPr>
        <w:tc>
          <w:tcPr>
            <w:tcW w:w="0" w:type="auto"/>
            <w:vMerge w:val="restart"/>
            <w:tcBorders>
              <w:top w:val="single" w:sz="8" w:space="0" w:color="000000"/>
              <w:left w:val="single" w:sz="8" w:space="0" w:color="A6A6A6"/>
              <w:bottom w:val="single" w:sz="8" w:space="0" w:color="000000"/>
              <w:right w:val="single" w:sz="8" w:space="0" w:color="A6A6A6"/>
            </w:tcBorders>
            <w:shd w:val="clear" w:color="000000" w:fill="FEEDCF"/>
            <w:vAlign w:val="center"/>
            <w:hideMark/>
          </w:tcPr>
          <w:p>
            <w:pPr>
              <w:spacing w:after="0"/>
              <w:jc w:val="both"/>
              <w:rPr>
                <w:rFonts w:ascii="Times New Roman" w:hAnsi="Times New Roman"/>
                <w:b/>
                <w:bCs/>
                <w:noProof/>
                <w:sz w:val="24"/>
                <w:szCs w:val="24"/>
              </w:rPr>
            </w:pPr>
            <w:r>
              <w:rPr>
                <w:rFonts w:ascii="Times New Roman" w:hAnsi="Times New Roman"/>
                <w:b/>
                <w:bCs/>
                <w:noProof/>
                <w:sz w:val="24"/>
                <w:szCs w:val="24"/>
              </w:rPr>
              <w:t>Number of calendar days between the end of the reference period and Eurostat’s dissemination of national data (website)</w:t>
            </w:r>
          </w:p>
        </w:tc>
        <w:tc>
          <w:tcPr>
            <w:tcW w:w="0" w:type="auto"/>
            <w:gridSpan w:val="8"/>
            <w:tcBorders>
              <w:top w:val="single" w:sz="8" w:space="0" w:color="000000"/>
              <w:left w:val="nil"/>
              <w:bottom w:val="single" w:sz="8" w:space="0" w:color="C0C0C0"/>
              <w:right w:val="nil"/>
            </w:tcBorders>
            <w:shd w:val="clear" w:color="000000" w:fill="FEEDCF"/>
            <w:vAlign w:val="center"/>
            <w:hideMark/>
          </w:tcPr>
          <w:p>
            <w:pPr>
              <w:spacing w:after="0"/>
              <w:jc w:val="both"/>
              <w:rPr>
                <w:rFonts w:ascii="Times New Roman" w:hAnsi="Times New Roman"/>
                <w:b/>
                <w:bCs/>
                <w:noProof/>
                <w:sz w:val="24"/>
                <w:szCs w:val="24"/>
              </w:rPr>
            </w:pPr>
            <w:r>
              <w:rPr>
                <w:rFonts w:ascii="Times New Roman" w:hAnsi="Times New Roman"/>
                <w:b/>
                <w:bCs/>
                <w:noProof/>
                <w:sz w:val="24"/>
                <w:szCs w:val="24"/>
              </w:rPr>
              <w:t>Number of countries</w:t>
            </w:r>
          </w:p>
        </w:tc>
      </w:tr>
      <w:tr>
        <w:trPr>
          <w:trHeight w:val="270"/>
        </w:trPr>
        <w:tc>
          <w:tcPr>
            <w:tcW w:w="0" w:type="auto"/>
            <w:vMerge/>
            <w:tcBorders>
              <w:top w:val="single" w:sz="8" w:space="0" w:color="000000"/>
              <w:left w:val="single" w:sz="8" w:space="0" w:color="A6A6A6"/>
              <w:bottom w:val="single" w:sz="8" w:space="0" w:color="000000"/>
              <w:right w:val="single" w:sz="8" w:space="0" w:color="A6A6A6"/>
            </w:tcBorders>
            <w:vAlign w:val="center"/>
            <w:hideMark/>
          </w:tcPr>
          <w:p>
            <w:pPr>
              <w:spacing w:after="0"/>
              <w:jc w:val="both"/>
              <w:rPr>
                <w:rFonts w:ascii="Times New Roman" w:hAnsi="Times New Roman"/>
                <w:b/>
                <w:bCs/>
                <w:noProof/>
                <w:sz w:val="24"/>
                <w:szCs w:val="24"/>
              </w:rPr>
            </w:pPr>
          </w:p>
        </w:tc>
        <w:tc>
          <w:tcPr>
            <w:tcW w:w="0" w:type="auto"/>
            <w:gridSpan w:val="2"/>
            <w:tcBorders>
              <w:top w:val="single" w:sz="8" w:space="0" w:color="C0C0C0"/>
              <w:left w:val="nil"/>
              <w:bottom w:val="single" w:sz="8" w:space="0" w:color="C0C0C0"/>
              <w:right w:val="single" w:sz="8" w:space="0" w:color="A6A6A6"/>
            </w:tcBorders>
            <w:shd w:val="clear" w:color="000000" w:fill="FEEDCF"/>
            <w:vAlign w:val="center"/>
            <w:hideMark/>
          </w:tcPr>
          <w:p>
            <w:pPr>
              <w:spacing w:after="0"/>
              <w:jc w:val="both"/>
              <w:rPr>
                <w:rFonts w:ascii="Times New Roman" w:hAnsi="Times New Roman"/>
                <w:b/>
                <w:bCs/>
                <w:noProof/>
                <w:sz w:val="24"/>
                <w:szCs w:val="24"/>
              </w:rPr>
            </w:pPr>
            <w:r>
              <w:rPr>
                <w:rFonts w:ascii="Times New Roman" w:hAnsi="Times New Roman"/>
                <w:b/>
                <w:bCs/>
                <w:noProof/>
                <w:sz w:val="24"/>
                <w:szCs w:val="24"/>
              </w:rPr>
              <w:t>2014</w:t>
            </w:r>
          </w:p>
        </w:tc>
        <w:tc>
          <w:tcPr>
            <w:tcW w:w="0" w:type="auto"/>
            <w:gridSpan w:val="2"/>
            <w:tcBorders>
              <w:top w:val="single" w:sz="8" w:space="0" w:color="C0C0C0"/>
              <w:left w:val="nil"/>
              <w:bottom w:val="single" w:sz="8" w:space="0" w:color="C0C0C0"/>
              <w:right w:val="single" w:sz="8" w:space="0" w:color="A6A6A6"/>
            </w:tcBorders>
            <w:shd w:val="clear" w:color="000000" w:fill="FEEDCF"/>
            <w:vAlign w:val="center"/>
            <w:hideMark/>
          </w:tcPr>
          <w:p>
            <w:pPr>
              <w:spacing w:after="0"/>
              <w:jc w:val="both"/>
              <w:rPr>
                <w:rFonts w:ascii="Times New Roman" w:hAnsi="Times New Roman"/>
                <w:b/>
                <w:bCs/>
                <w:noProof/>
                <w:sz w:val="24"/>
                <w:szCs w:val="24"/>
              </w:rPr>
            </w:pPr>
            <w:r>
              <w:rPr>
                <w:rFonts w:ascii="Times New Roman" w:hAnsi="Times New Roman"/>
                <w:b/>
                <w:bCs/>
                <w:noProof/>
                <w:sz w:val="24"/>
                <w:szCs w:val="24"/>
              </w:rPr>
              <w:t>2015</w:t>
            </w:r>
          </w:p>
        </w:tc>
        <w:tc>
          <w:tcPr>
            <w:tcW w:w="0" w:type="auto"/>
            <w:gridSpan w:val="2"/>
            <w:tcBorders>
              <w:top w:val="single" w:sz="8" w:space="0" w:color="C0C0C0"/>
              <w:left w:val="nil"/>
              <w:bottom w:val="single" w:sz="8" w:space="0" w:color="C0C0C0"/>
              <w:right w:val="single" w:sz="8" w:space="0" w:color="A6A6A6"/>
            </w:tcBorders>
            <w:shd w:val="clear" w:color="000000" w:fill="FEEDCF"/>
            <w:vAlign w:val="center"/>
            <w:hideMark/>
          </w:tcPr>
          <w:p>
            <w:pPr>
              <w:spacing w:after="0"/>
              <w:jc w:val="both"/>
              <w:rPr>
                <w:rFonts w:ascii="Times New Roman" w:hAnsi="Times New Roman"/>
                <w:b/>
                <w:bCs/>
                <w:noProof/>
                <w:sz w:val="24"/>
                <w:szCs w:val="24"/>
              </w:rPr>
            </w:pPr>
            <w:r>
              <w:rPr>
                <w:rFonts w:ascii="Times New Roman" w:hAnsi="Times New Roman"/>
                <w:b/>
                <w:bCs/>
                <w:noProof/>
                <w:sz w:val="24"/>
                <w:szCs w:val="24"/>
              </w:rPr>
              <w:t>2016</w:t>
            </w:r>
          </w:p>
        </w:tc>
        <w:tc>
          <w:tcPr>
            <w:tcW w:w="0" w:type="auto"/>
            <w:gridSpan w:val="2"/>
            <w:tcBorders>
              <w:top w:val="single" w:sz="8" w:space="0" w:color="C0C0C0"/>
              <w:left w:val="nil"/>
              <w:bottom w:val="single" w:sz="8" w:space="0" w:color="C0C0C0"/>
              <w:right w:val="single" w:sz="8" w:space="0" w:color="A6A6A6"/>
            </w:tcBorders>
            <w:shd w:val="clear" w:color="000000" w:fill="FEEDCF"/>
            <w:vAlign w:val="center"/>
            <w:hideMark/>
          </w:tcPr>
          <w:p>
            <w:pPr>
              <w:spacing w:after="0"/>
              <w:jc w:val="both"/>
              <w:rPr>
                <w:rFonts w:ascii="Times New Roman" w:hAnsi="Times New Roman"/>
                <w:b/>
                <w:bCs/>
                <w:noProof/>
                <w:sz w:val="24"/>
                <w:szCs w:val="24"/>
              </w:rPr>
            </w:pPr>
            <w:r>
              <w:rPr>
                <w:rFonts w:ascii="Times New Roman" w:hAnsi="Times New Roman"/>
                <w:b/>
                <w:bCs/>
                <w:noProof/>
                <w:sz w:val="24"/>
                <w:szCs w:val="24"/>
              </w:rPr>
              <w:t>2017</w:t>
            </w:r>
          </w:p>
        </w:tc>
      </w:tr>
      <w:tr>
        <w:trPr>
          <w:trHeight w:val="270"/>
        </w:trPr>
        <w:tc>
          <w:tcPr>
            <w:tcW w:w="0" w:type="auto"/>
            <w:vMerge/>
            <w:tcBorders>
              <w:top w:val="single" w:sz="8" w:space="0" w:color="000000"/>
              <w:left w:val="single" w:sz="8" w:space="0" w:color="A6A6A6"/>
              <w:bottom w:val="single" w:sz="8" w:space="0" w:color="000000"/>
              <w:right w:val="single" w:sz="8" w:space="0" w:color="A6A6A6"/>
            </w:tcBorders>
            <w:vAlign w:val="center"/>
            <w:hideMark/>
          </w:tcPr>
          <w:p>
            <w:pPr>
              <w:spacing w:after="0"/>
              <w:jc w:val="both"/>
              <w:rPr>
                <w:rFonts w:ascii="Times New Roman" w:hAnsi="Times New Roman"/>
                <w:b/>
                <w:bCs/>
                <w:noProof/>
                <w:sz w:val="24"/>
                <w:szCs w:val="24"/>
              </w:rPr>
            </w:pPr>
          </w:p>
        </w:tc>
        <w:tc>
          <w:tcPr>
            <w:tcW w:w="0" w:type="auto"/>
            <w:tcBorders>
              <w:top w:val="nil"/>
              <w:left w:val="nil"/>
              <w:bottom w:val="single" w:sz="8" w:space="0" w:color="auto"/>
              <w:right w:val="nil"/>
            </w:tcBorders>
            <w:shd w:val="clear" w:color="000000" w:fill="FEEDCF"/>
            <w:vAlign w:val="center"/>
            <w:hideMark/>
          </w:tcPr>
          <w:p>
            <w:pPr>
              <w:spacing w:after="0"/>
              <w:jc w:val="both"/>
              <w:rPr>
                <w:rFonts w:ascii="Times New Roman" w:hAnsi="Times New Roman"/>
                <w:b/>
                <w:bCs/>
                <w:noProof/>
                <w:sz w:val="24"/>
                <w:szCs w:val="24"/>
              </w:rPr>
            </w:pPr>
            <w:r>
              <w:rPr>
                <w:rFonts w:ascii="Times New Roman" w:hAnsi="Times New Roman"/>
                <w:b/>
                <w:bCs/>
                <w:noProof/>
                <w:sz w:val="24"/>
                <w:szCs w:val="24"/>
              </w:rPr>
              <w:t>All</w:t>
            </w:r>
          </w:p>
        </w:tc>
        <w:tc>
          <w:tcPr>
            <w:tcW w:w="0" w:type="auto"/>
            <w:tcBorders>
              <w:top w:val="nil"/>
              <w:left w:val="nil"/>
              <w:bottom w:val="single" w:sz="8" w:space="0" w:color="auto"/>
              <w:right w:val="nil"/>
            </w:tcBorders>
            <w:shd w:val="clear" w:color="000000" w:fill="FEEDCF"/>
            <w:noWrap/>
            <w:vAlign w:val="center"/>
            <w:hideMark/>
          </w:tcPr>
          <w:p>
            <w:pPr>
              <w:spacing w:after="0"/>
              <w:jc w:val="both"/>
              <w:rPr>
                <w:rFonts w:ascii="Times New Roman" w:hAnsi="Times New Roman"/>
                <w:b/>
                <w:bCs/>
                <w:noProof/>
                <w:sz w:val="24"/>
                <w:szCs w:val="24"/>
              </w:rPr>
            </w:pPr>
            <w:r>
              <w:rPr>
                <w:rFonts w:ascii="Times New Roman" w:hAnsi="Times New Roman"/>
                <w:b/>
                <w:bCs/>
                <w:noProof/>
                <w:sz w:val="24"/>
                <w:szCs w:val="24"/>
              </w:rPr>
              <w:t>EU-28</w:t>
            </w:r>
          </w:p>
        </w:tc>
        <w:tc>
          <w:tcPr>
            <w:tcW w:w="0" w:type="auto"/>
            <w:tcBorders>
              <w:top w:val="nil"/>
              <w:left w:val="single" w:sz="8" w:space="0" w:color="A6A6A6"/>
              <w:bottom w:val="single" w:sz="8" w:space="0" w:color="auto"/>
              <w:right w:val="nil"/>
            </w:tcBorders>
            <w:shd w:val="clear" w:color="000000" w:fill="FEEDCF"/>
            <w:noWrap/>
            <w:vAlign w:val="center"/>
            <w:hideMark/>
          </w:tcPr>
          <w:p>
            <w:pPr>
              <w:spacing w:after="0"/>
              <w:jc w:val="both"/>
              <w:rPr>
                <w:rFonts w:ascii="Times New Roman" w:hAnsi="Times New Roman"/>
                <w:b/>
                <w:bCs/>
                <w:noProof/>
                <w:sz w:val="24"/>
                <w:szCs w:val="24"/>
              </w:rPr>
            </w:pPr>
            <w:r>
              <w:rPr>
                <w:rFonts w:ascii="Times New Roman" w:hAnsi="Times New Roman"/>
                <w:b/>
                <w:bCs/>
                <w:noProof/>
                <w:sz w:val="24"/>
                <w:szCs w:val="24"/>
              </w:rPr>
              <w:t>All</w:t>
            </w:r>
          </w:p>
        </w:tc>
        <w:tc>
          <w:tcPr>
            <w:tcW w:w="0" w:type="auto"/>
            <w:tcBorders>
              <w:top w:val="nil"/>
              <w:left w:val="nil"/>
              <w:bottom w:val="single" w:sz="8" w:space="0" w:color="auto"/>
              <w:right w:val="nil"/>
            </w:tcBorders>
            <w:shd w:val="clear" w:color="000000" w:fill="FEEDCF"/>
            <w:noWrap/>
            <w:vAlign w:val="center"/>
            <w:hideMark/>
          </w:tcPr>
          <w:p>
            <w:pPr>
              <w:spacing w:after="0"/>
              <w:jc w:val="both"/>
              <w:rPr>
                <w:rFonts w:ascii="Times New Roman" w:hAnsi="Times New Roman"/>
                <w:b/>
                <w:bCs/>
                <w:noProof/>
                <w:sz w:val="24"/>
                <w:szCs w:val="24"/>
              </w:rPr>
            </w:pPr>
            <w:r>
              <w:rPr>
                <w:rFonts w:ascii="Times New Roman" w:hAnsi="Times New Roman"/>
                <w:b/>
                <w:bCs/>
                <w:noProof/>
                <w:sz w:val="24"/>
                <w:szCs w:val="24"/>
              </w:rPr>
              <w:t>EU-28</w:t>
            </w:r>
          </w:p>
        </w:tc>
        <w:tc>
          <w:tcPr>
            <w:tcW w:w="0" w:type="auto"/>
            <w:tcBorders>
              <w:top w:val="nil"/>
              <w:left w:val="single" w:sz="8" w:space="0" w:color="A6A6A6"/>
              <w:bottom w:val="single" w:sz="8" w:space="0" w:color="auto"/>
              <w:right w:val="nil"/>
            </w:tcBorders>
            <w:shd w:val="clear" w:color="000000" w:fill="FEEDCF"/>
            <w:noWrap/>
            <w:vAlign w:val="center"/>
            <w:hideMark/>
          </w:tcPr>
          <w:p>
            <w:pPr>
              <w:spacing w:after="0"/>
              <w:jc w:val="both"/>
              <w:rPr>
                <w:rFonts w:ascii="Times New Roman" w:hAnsi="Times New Roman"/>
                <w:b/>
                <w:bCs/>
                <w:noProof/>
                <w:sz w:val="24"/>
                <w:szCs w:val="24"/>
              </w:rPr>
            </w:pPr>
            <w:r>
              <w:rPr>
                <w:rFonts w:ascii="Times New Roman" w:hAnsi="Times New Roman"/>
                <w:b/>
                <w:bCs/>
                <w:noProof/>
                <w:sz w:val="24"/>
                <w:szCs w:val="24"/>
              </w:rPr>
              <w:t>All</w:t>
            </w:r>
          </w:p>
        </w:tc>
        <w:tc>
          <w:tcPr>
            <w:tcW w:w="0" w:type="auto"/>
            <w:tcBorders>
              <w:top w:val="nil"/>
              <w:left w:val="nil"/>
              <w:bottom w:val="single" w:sz="8" w:space="0" w:color="auto"/>
              <w:right w:val="nil"/>
            </w:tcBorders>
            <w:shd w:val="clear" w:color="000000" w:fill="FEEDCF"/>
            <w:noWrap/>
            <w:vAlign w:val="center"/>
            <w:hideMark/>
          </w:tcPr>
          <w:p>
            <w:pPr>
              <w:spacing w:after="0"/>
              <w:jc w:val="both"/>
              <w:rPr>
                <w:rFonts w:ascii="Times New Roman" w:hAnsi="Times New Roman"/>
                <w:b/>
                <w:bCs/>
                <w:noProof/>
                <w:sz w:val="24"/>
                <w:szCs w:val="24"/>
              </w:rPr>
            </w:pPr>
            <w:r>
              <w:rPr>
                <w:rFonts w:ascii="Times New Roman" w:hAnsi="Times New Roman"/>
                <w:b/>
                <w:bCs/>
                <w:noProof/>
                <w:sz w:val="24"/>
                <w:szCs w:val="24"/>
              </w:rPr>
              <w:t>EU-28</w:t>
            </w:r>
          </w:p>
        </w:tc>
        <w:tc>
          <w:tcPr>
            <w:tcW w:w="0" w:type="auto"/>
            <w:tcBorders>
              <w:top w:val="nil"/>
              <w:left w:val="single" w:sz="8" w:space="0" w:color="A6A6A6"/>
              <w:bottom w:val="single" w:sz="8" w:space="0" w:color="auto"/>
              <w:right w:val="nil"/>
            </w:tcBorders>
            <w:shd w:val="clear" w:color="000000" w:fill="FEEDCF"/>
            <w:noWrap/>
            <w:vAlign w:val="center"/>
            <w:hideMark/>
          </w:tcPr>
          <w:p>
            <w:pPr>
              <w:spacing w:after="0"/>
              <w:jc w:val="both"/>
              <w:rPr>
                <w:rFonts w:ascii="Times New Roman" w:hAnsi="Times New Roman"/>
                <w:b/>
                <w:bCs/>
                <w:noProof/>
                <w:sz w:val="24"/>
                <w:szCs w:val="24"/>
              </w:rPr>
            </w:pPr>
            <w:r>
              <w:rPr>
                <w:rFonts w:ascii="Times New Roman" w:hAnsi="Times New Roman"/>
                <w:b/>
                <w:bCs/>
                <w:noProof/>
                <w:sz w:val="24"/>
                <w:szCs w:val="24"/>
              </w:rPr>
              <w:t>All</w:t>
            </w:r>
          </w:p>
        </w:tc>
        <w:tc>
          <w:tcPr>
            <w:tcW w:w="0" w:type="auto"/>
            <w:tcBorders>
              <w:top w:val="nil"/>
              <w:left w:val="nil"/>
              <w:bottom w:val="single" w:sz="8" w:space="0" w:color="auto"/>
              <w:right w:val="nil"/>
            </w:tcBorders>
            <w:shd w:val="clear" w:color="000000" w:fill="FEEDCF"/>
            <w:noWrap/>
            <w:vAlign w:val="center"/>
            <w:hideMark/>
          </w:tcPr>
          <w:p>
            <w:pPr>
              <w:spacing w:after="0"/>
              <w:jc w:val="both"/>
              <w:rPr>
                <w:rFonts w:ascii="Times New Roman" w:hAnsi="Times New Roman"/>
                <w:b/>
                <w:bCs/>
                <w:noProof/>
                <w:sz w:val="24"/>
                <w:szCs w:val="24"/>
              </w:rPr>
            </w:pPr>
            <w:r>
              <w:rPr>
                <w:rFonts w:ascii="Times New Roman" w:hAnsi="Times New Roman"/>
                <w:b/>
                <w:bCs/>
                <w:noProof/>
                <w:sz w:val="24"/>
                <w:szCs w:val="24"/>
              </w:rPr>
              <w:t>EU-28</w:t>
            </w:r>
          </w:p>
        </w:tc>
      </w:tr>
      <w:tr>
        <w:trPr>
          <w:trHeight w:val="270"/>
        </w:trPr>
        <w:tc>
          <w:tcPr>
            <w:tcW w:w="0" w:type="auto"/>
            <w:tcBorders>
              <w:top w:val="nil"/>
              <w:left w:val="nil"/>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&lt;31</w:t>
            </w:r>
          </w:p>
        </w:tc>
        <w:tc>
          <w:tcPr>
            <w:tcW w:w="0" w:type="auto"/>
            <w:tcBorders>
              <w:top w:val="nil"/>
              <w:left w:val="single" w:sz="8" w:space="0" w:color="A6A6A6"/>
              <w:bottom w:val="single" w:sz="8" w:space="0" w:color="C0C0C0"/>
              <w:right w:val="nil"/>
            </w:tcBorders>
            <w:shd w:val="clear" w:color="auto" w:fill="auto"/>
            <w:vAlign w:val="center"/>
            <w:hideMark/>
          </w:tcPr>
          <w:p>
            <w:pPr>
              <w:spacing w:after="0"/>
              <w:jc w:val="both"/>
              <w:rPr>
                <w:rFonts w:ascii="Times New Roman" w:hAnsi="Times New Roman"/>
                <w:noProof/>
                <w:sz w:val="24"/>
                <w:szCs w:val="24"/>
              </w:rPr>
            </w:pPr>
            <w:r>
              <w:rPr>
                <w:rFonts w:ascii="Times New Roman" w:hAnsi="Times New Roman"/>
                <w:noProof/>
                <w:sz w:val="24"/>
                <w:szCs w:val="24"/>
              </w:rPr>
              <w:t>0</w:t>
            </w:r>
          </w:p>
        </w:tc>
        <w:tc>
          <w:tcPr>
            <w:tcW w:w="0" w:type="auto"/>
            <w:tcBorders>
              <w:top w:val="nil"/>
              <w:left w:val="nil"/>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0</w:t>
            </w:r>
          </w:p>
        </w:tc>
        <w:tc>
          <w:tcPr>
            <w:tcW w:w="0" w:type="auto"/>
            <w:tcBorders>
              <w:top w:val="nil"/>
              <w:left w:val="single" w:sz="8" w:space="0" w:color="A6A6A6"/>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0</w:t>
            </w:r>
          </w:p>
        </w:tc>
        <w:tc>
          <w:tcPr>
            <w:tcW w:w="0" w:type="auto"/>
            <w:tcBorders>
              <w:top w:val="nil"/>
              <w:left w:val="nil"/>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0</w:t>
            </w:r>
          </w:p>
        </w:tc>
        <w:tc>
          <w:tcPr>
            <w:tcW w:w="0" w:type="auto"/>
            <w:tcBorders>
              <w:top w:val="nil"/>
              <w:left w:val="single" w:sz="8" w:space="0" w:color="A6A6A6"/>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0</w:t>
            </w:r>
          </w:p>
        </w:tc>
        <w:tc>
          <w:tcPr>
            <w:tcW w:w="0" w:type="auto"/>
            <w:tcBorders>
              <w:top w:val="nil"/>
              <w:left w:val="nil"/>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0</w:t>
            </w:r>
          </w:p>
        </w:tc>
        <w:tc>
          <w:tcPr>
            <w:tcW w:w="0" w:type="auto"/>
            <w:tcBorders>
              <w:top w:val="nil"/>
              <w:left w:val="single" w:sz="8" w:space="0" w:color="A6A6A6"/>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0</w:t>
            </w:r>
          </w:p>
        </w:tc>
        <w:tc>
          <w:tcPr>
            <w:tcW w:w="0" w:type="auto"/>
            <w:tcBorders>
              <w:top w:val="nil"/>
              <w:left w:val="nil"/>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0</w:t>
            </w:r>
          </w:p>
        </w:tc>
      </w:tr>
      <w:tr>
        <w:trPr>
          <w:trHeight w:val="270"/>
        </w:trPr>
        <w:tc>
          <w:tcPr>
            <w:tcW w:w="0" w:type="auto"/>
            <w:tcBorders>
              <w:top w:val="nil"/>
              <w:left w:val="nil"/>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31-60</w:t>
            </w:r>
          </w:p>
        </w:tc>
        <w:tc>
          <w:tcPr>
            <w:tcW w:w="0" w:type="auto"/>
            <w:tcBorders>
              <w:top w:val="nil"/>
              <w:left w:val="single" w:sz="8" w:space="0" w:color="A6A6A6"/>
              <w:bottom w:val="single" w:sz="8" w:space="0" w:color="C0C0C0"/>
              <w:right w:val="nil"/>
            </w:tcBorders>
            <w:shd w:val="clear" w:color="auto" w:fill="auto"/>
            <w:vAlign w:val="center"/>
            <w:hideMark/>
          </w:tcPr>
          <w:p>
            <w:pPr>
              <w:spacing w:after="0"/>
              <w:jc w:val="both"/>
              <w:rPr>
                <w:rFonts w:ascii="Times New Roman" w:hAnsi="Times New Roman"/>
                <w:noProof/>
                <w:sz w:val="24"/>
                <w:szCs w:val="24"/>
              </w:rPr>
            </w:pPr>
            <w:r>
              <w:rPr>
                <w:rFonts w:ascii="Times New Roman" w:hAnsi="Times New Roman"/>
                <w:noProof/>
                <w:sz w:val="24"/>
                <w:szCs w:val="24"/>
              </w:rPr>
              <w:t>2</w:t>
            </w:r>
          </w:p>
        </w:tc>
        <w:tc>
          <w:tcPr>
            <w:tcW w:w="0" w:type="auto"/>
            <w:tcBorders>
              <w:top w:val="nil"/>
              <w:left w:val="nil"/>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2</w:t>
            </w:r>
          </w:p>
        </w:tc>
        <w:tc>
          <w:tcPr>
            <w:tcW w:w="0" w:type="auto"/>
            <w:tcBorders>
              <w:top w:val="nil"/>
              <w:left w:val="single" w:sz="8" w:space="0" w:color="A6A6A6"/>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2</w:t>
            </w:r>
          </w:p>
        </w:tc>
        <w:tc>
          <w:tcPr>
            <w:tcW w:w="0" w:type="auto"/>
            <w:tcBorders>
              <w:top w:val="nil"/>
              <w:left w:val="nil"/>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2</w:t>
            </w:r>
          </w:p>
        </w:tc>
        <w:tc>
          <w:tcPr>
            <w:tcW w:w="0" w:type="auto"/>
            <w:tcBorders>
              <w:top w:val="nil"/>
              <w:left w:val="single" w:sz="8" w:space="0" w:color="A6A6A6"/>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5</w:t>
            </w:r>
          </w:p>
        </w:tc>
        <w:tc>
          <w:tcPr>
            <w:tcW w:w="0" w:type="auto"/>
            <w:tcBorders>
              <w:top w:val="nil"/>
              <w:left w:val="nil"/>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3</w:t>
            </w:r>
          </w:p>
        </w:tc>
        <w:tc>
          <w:tcPr>
            <w:tcW w:w="0" w:type="auto"/>
            <w:tcBorders>
              <w:top w:val="nil"/>
              <w:left w:val="single" w:sz="8" w:space="0" w:color="A6A6A6"/>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6</w:t>
            </w:r>
          </w:p>
        </w:tc>
        <w:tc>
          <w:tcPr>
            <w:tcW w:w="0" w:type="auto"/>
            <w:tcBorders>
              <w:top w:val="nil"/>
              <w:left w:val="nil"/>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5</w:t>
            </w:r>
          </w:p>
        </w:tc>
      </w:tr>
      <w:tr>
        <w:trPr>
          <w:trHeight w:val="270"/>
        </w:trPr>
        <w:tc>
          <w:tcPr>
            <w:tcW w:w="0" w:type="auto"/>
            <w:tcBorders>
              <w:top w:val="nil"/>
              <w:left w:val="nil"/>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61-90</w:t>
            </w:r>
          </w:p>
        </w:tc>
        <w:tc>
          <w:tcPr>
            <w:tcW w:w="0" w:type="auto"/>
            <w:tcBorders>
              <w:top w:val="nil"/>
              <w:left w:val="single" w:sz="8" w:space="0" w:color="A6A6A6"/>
              <w:bottom w:val="single" w:sz="8" w:space="0" w:color="C0C0C0"/>
              <w:right w:val="nil"/>
            </w:tcBorders>
            <w:shd w:val="clear" w:color="auto" w:fill="auto"/>
            <w:vAlign w:val="center"/>
            <w:hideMark/>
          </w:tcPr>
          <w:p>
            <w:pPr>
              <w:spacing w:after="0"/>
              <w:jc w:val="both"/>
              <w:rPr>
                <w:rFonts w:ascii="Times New Roman" w:hAnsi="Times New Roman"/>
                <w:noProof/>
                <w:sz w:val="24"/>
                <w:szCs w:val="24"/>
              </w:rPr>
            </w:pPr>
            <w:r>
              <w:rPr>
                <w:rFonts w:ascii="Times New Roman" w:hAnsi="Times New Roman"/>
                <w:noProof/>
                <w:sz w:val="24"/>
                <w:szCs w:val="24"/>
              </w:rPr>
              <w:t>27</w:t>
            </w:r>
          </w:p>
        </w:tc>
        <w:tc>
          <w:tcPr>
            <w:tcW w:w="0" w:type="auto"/>
            <w:tcBorders>
              <w:top w:val="nil"/>
              <w:left w:val="nil"/>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24</w:t>
            </w:r>
          </w:p>
        </w:tc>
        <w:tc>
          <w:tcPr>
            <w:tcW w:w="0" w:type="auto"/>
            <w:tcBorders>
              <w:top w:val="nil"/>
              <w:left w:val="single" w:sz="8" w:space="0" w:color="A6A6A6"/>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29</w:t>
            </w:r>
          </w:p>
        </w:tc>
        <w:tc>
          <w:tcPr>
            <w:tcW w:w="0" w:type="auto"/>
            <w:tcBorders>
              <w:top w:val="nil"/>
              <w:left w:val="nil"/>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24</w:t>
            </w:r>
          </w:p>
        </w:tc>
        <w:tc>
          <w:tcPr>
            <w:tcW w:w="0" w:type="auto"/>
            <w:tcBorders>
              <w:top w:val="nil"/>
              <w:left w:val="single" w:sz="8" w:space="0" w:color="A6A6A6"/>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27</w:t>
            </w:r>
          </w:p>
        </w:tc>
        <w:tc>
          <w:tcPr>
            <w:tcW w:w="0" w:type="auto"/>
            <w:tcBorders>
              <w:top w:val="nil"/>
              <w:left w:val="nil"/>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24</w:t>
            </w:r>
          </w:p>
        </w:tc>
        <w:tc>
          <w:tcPr>
            <w:tcW w:w="0" w:type="auto"/>
            <w:tcBorders>
              <w:top w:val="nil"/>
              <w:left w:val="single" w:sz="8" w:space="0" w:color="A6A6A6"/>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25</w:t>
            </w:r>
          </w:p>
        </w:tc>
        <w:tc>
          <w:tcPr>
            <w:tcW w:w="0" w:type="auto"/>
            <w:tcBorders>
              <w:top w:val="nil"/>
              <w:left w:val="nil"/>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22</w:t>
            </w:r>
          </w:p>
        </w:tc>
      </w:tr>
      <w:tr>
        <w:trPr>
          <w:trHeight w:val="270"/>
        </w:trPr>
        <w:tc>
          <w:tcPr>
            <w:tcW w:w="0" w:type="auto"/>
            <w:tcBorders>
              <w:top w:val="nil"/>
              <w:left w:val="nil"/>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91+</w:t>
            </w:r>
          </w:p>
        </w:tc>
        <w:tc>
          <w:tcPr>
            <w:tcW w:w="0" w:type="auto"/>
            <w:tcBorders>
              <w:top w:val="nil"/>
              <w:left w:val="single" w:sz="8" w:space="0" w:color="A6A6A6"/>
              <w:bottom w:val="single" w:sz="8" w:space="0" w:color="C0C0C0"/>
              <w:right w:val="nil"/>
            </w:tcBorders>
            <w:shd w:val="clear" w:color="auto" w:fill="auto"/>
            <w:vAlign w:val="center"/>
            <w:hideMark/>
          </w:tcPr>
          <w:p>
            <w:pPr>
              <w:spacing w:after="0"/>
              <w:jc w:val="both"/>
              <w:rPr>
                <w:rFonts w:ascii="Times New Roman" w:hAnsi="Times New Roman"/>
                <w:noProof/>
                <w:sz w:val="24"/>
                <w:szCs w:val="24"/>
              </w:rPr>
            </w:pPr>
            <w:r>
              <w:rPr>
                <w:rFonts w:ascii="Times New Roman" w:hAnsi="Times New Roman"/>
                <w:noProof/>
                <w:sz w:val="24"/>
                <w:szCs w:val="24"/>
              </w:rPr>
              <w:t>4</w:t>
            </w:r>
          </w:p>
        </w:tc>
        <w:tc>
          <w:tcPr>
            <w:tcW w:w="0" w:type="auto"/>
            <w:tcBorders>
              <w:top w:val="nil"/>
              <w:left w:val="nil"/>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2</w:t>
            </w:r>
          </w:p>
        </w:tc>
        <w:tc>
          <w:tcPr>
            <w:tcW w:w="0" w:type="auto"/>
            <w:tcBorders>
              <w:top w:val="nil"/>
              <w:left w:val="single" w:sz="8" w:space="0" w:color="A6A6A6"/>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2</w:t>
            </w:r>
          </w:p>
        </w:tc>
        <w:tc>
          <w:tcPr>
            <w:tcW w:w="0" w:type="auto"/>
            <w:tcBorders>
              <w:top w:val="nil"/>
              <w:left w:val="nil"/>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2</w:t>
            </w:r>
          </w:p>
        </w:tc>
        <w:tc>
          <w:tcPr>
            <w:tcW w:w="0" w:type="auto"/>
            <w:tcBorders>
              <w:top w:val="nil"/>
              <w:left w:val="single" w:sz="8" w:space="0" w:color="A6A6A6"/>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1</w:t>
            </w:r>
          </w:p>
        </w:tc>
        <w:tc>
          <w:tcPr>
            <w:tcW w:w="0" w:type="auto"/>
            <w:tcBorders>
              <w:top w:val="nil"/>
              <w:left w:val="nil"/>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1</w:t>
            </w:r>
          </w:p>
        </w:tc>
        <w:tc>
          <w:tcPr>
            <w:tcW w:w="0" w:type="auto"/>
            <w:tcBorders>
              <w:top w:val="nil"/>
              <w:left w:val="single" w:sz="8" w:space="0" w:color="A6A6A6"/>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2</w:t>
            </w:r>
          </w:p>
        </w:tc>
        <w:tc>
          <w:tcPr>
            <w:tcW w:w="0" w:type="auto"/>
            <w:tcBorders>
              <w:top w:val="nil"/>
              <w:left w:val="nil"/>
              <w:bottom w:val="single" w:sz="8" w:space="0" w:color="C0C0C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1</w:t>
            </w:r>
          </w:p>
        </w:tc>
      </w:tr>
      <w:tr>
        <w:trPr>
          <w:trHeight w:val="270"/>
        </w:trPr>
        <w:tc>
          <w:tcPr>
            <w:tcW w:w="0" w:type="auto"/>
            <w:tcBorders>
              <w:top w:val="nil"/>
              <w:left w:val="nil"/>
              <w:bottom w:val="nil"/>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Total</w:t>
            </w:r>
          </w:p>
        </w:tc>
        <w:tc>
          <w:tcPr>
            <w:tcW w:w="0" w:type="auto"/>
            <w:tcBorders>
              <w:top w:val="nil"/>
              <w:left w:val="single" w:sz="8" w:space="0" w:color="A6A6A6"/>
              <w:bottom w:val="nil"/>
              <w:right w:val="nil"/>
            </w:tcBorders>
            <w:shd w:val="clear" w:color="auto" w:fill="auto"/>
            <w:vAlign w:val="center"/>
            <w:hideMark/>
          </w:tcPr>
          <w:p>
            <w:pPr>
              <w:spacing w:after="0"/>
              <w:jc w:val="both"/>
              <w:rPr>
                <w:rFonts w:ascii="Times New Roman" w:hAnsi="Times New Roman"/>
                <w:noProof/>
                <w:sz w:val="24"/>
                <w:szCs w:val="24"/>
              </w:rPr>
            </w:pPr>
            <w:r>
              <w:rPr>
                <w:rFonts w:ascii="Times New Roman" w:hAnsi="Times New Roman"/>
                <w:noProof/>
                <w:sz w:val="24"/>
                <w:szCs w:val="24"/>
              </w:rPr>
              <w:t>33</w:t>
            </w:r>
          </w:p>
        </w:tc>
        <w:tc>
          <w:tcPr>
            <w:tcW w:w="0" w:type="auto"/>
            <w:tcBorders>
              <w:top w:val="nil"/>
              <w:left w:val="nil"/>
              <w:bottom w:val="nil"/>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28</w:t>
            </w:r>
          </w:p>
        </w:tc>
        <w:tc>
          <w:tcPr>
            <w:tcW w:w="0" w:type="auto"/>
            <w:tcBorders>
              <w:top w:val="nil"/>
              <w:left w:val="single" w:sz="8" w:space="0" w:color="A6A6A6"/>
              <w:bottom w:val="nil"/>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33</w:t>
            </w:r>
          </w:p>
        </w:tc>
        <w:tc>
          <w:tcPr>
            <w:tcW w:w="0" w:type="auto"/>
            <w:tcBorders>
              <w:top w:val="nil"/>
              <w:left w:val="nil"/>
              <w:bottom w:val="nil"/>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28</w:t>
            </w:r>
          </w:p>
        </w:tc>
        <w:tc>
          <w:tcPr>
            <w:tcW w:w="0" w:type="auto"/>
            <w:tcBorders>
              <w:top w:val="nil"/>
              <w:left w:val="single" w:sz="8" w:space="0" w:color="A6A6A6"/>
              <w:bottom w:val="nil"/>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33</w:t>
            </w:r>
          </w:p>
        </w:tc>
        <w:tc>
          <w:tcPr>
            <w:tcW w:w="0" w:type="auto"/>
            <w:tcBorders>
              <w:top w:val="nil"/>
              <w:left w:val="nil"/>
              <w:bottom w:val="nil"/>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28</w:t>
            </w:r>
          </w:p>
        </w:tc>
        <w:tc>
          <w:tcPr>
            <w:tcW w:w="0" w:type="auto"/>
            <w:tcBorders>
              <w:top w:val="nil"/>
              <w:left w:val="single" w:sz="8" w:space="0" w:color="A6A6A6"/>
              <w:bottom w:val="nil"/>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33</w:t>
            </w:r>
          </w:p>
        </w:tc>
        <w:tc>
          <w:tcPr>
            <w:tcW w:w="0" w:type="auto"/>
            <w:tcBorders>
              <w:top w:val="nil"/>
              <w:left w:val="nil"/>
              <w:bottom w:val="nil"/>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28</w:t>
            </w:r>
          </w:p>
        </w:tc>
      </w:tr>
      <w:tr>
        <w:trPr>
          <w:trHeight w:val="270"/>
        </w:trPr>
        <w:tc>
          <w:tcPr>
            <w:tcW w:w="0" w:type="auto"/>
            <w:tcBorders>
              <w:top w:val="single" w:sz="8" w:space="0" w:color="C0C0C0"/>
              <w:left w:val="nil"/>
              <w:bottom w:val="single" w:sz="8" w:space="0" w:color="00000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Average number of calendar days</w:t>
            </w:r>
          </w:p>
        </w:tc>
        <w:tc>
          <w:tcPr>
            <w:tcW w:w="0" w:type="auto"/>
            <w:tcBorders>
              <w:top w:val="single" w:sz="8" w:space="0" w:color="C0C0C0"/>
              <w:left w:val="single" w:sz="8" w:space="0" w:color="A6A6A6"/>
              <w:bottom w:val="single" w:sz="8" w:space="0" w:color="000000"/>
              <w:right w:val="nil"/>
            </w:tcBorders>
            <w:shd w:val="clear" w:color="auto" w:fill="auto"/>
            <w:vAlign w:val="center"/>
            <w:hideMark/>
          </w:tcPr>
          <w:p>
            <w:pPr>
              <w:spacing w:after="0"/>
              <w:jc w:val="both"/>
              <w:rPr>
                <w:rFonts w:ascii="Times New Roman" w:hAnsi="Times New Roman"/>
                <w:noProof/>
                <w:sz w:val="24"/>
                <w:szCs w:val="24"/>
              </w:rPr>
            </w:pPr>
            <w:r>
              <w:rPr>
                <w:rFonts w:ascii="Times New Roman" w:hAnsi="Times New Roman"/>
                <w:noProof/>
                <w:sz w:val="24"/>
                <w:szCs w:val="24"/>
              </w:rPr>
              <w:t>77</w:t>
            </w:r>
          </w:p>
        </w:tc>
        <w:tc>
          <w:tcPr>
            <w:tcW w:w="0" w:type="auto"/>
            <w:tcBorders>
              <w:top w:val="single" w:sz="8" w:space="0" w:color="C0C0C0"/>
              <w:left w:val="nil"/>
              <w:bottom w:val="single" w:sz="8" w:space="0" w:color="00000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77</w:t>
            </w:r>
          </w:p>
        </w:tc>
        <w:tc>
          <w:tcPr>
            <w:tcW w:w="0" w:type="auto"/>
            <w:tcBorders>
              <w:top w:val="single" w:sz="8" w:space="0" w:color="C0C0C0"/>
              <w:left w:val="single" w:sz="8" w:space="0" w:color="A6A6A6"/>
              <w:bottom w:val="single" w:sz="8" w:space="0" w:color="00000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80</w:t>
            </w:r>
          </w:p>
        </w:tc>
        <w:tc>
          <w:tcPr>
            <w:tcW w:w="0" w:type="auto"/>
            <w:tcBorders>
              <w:top w:val="single" w:sz="8" w:space="0" w:color="C0C0C0"/>
              <w:left w:val="nil"/>
              <w:bottom w:val="single" w:sz="8" w:space="0" w:color="00000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80</w:t>
            </w:r>
          </w:p>
        </w:tc>
        <w:tc>
          <w:tcPr>
            <w:tcW w:w="0" w:type="auto"/>
            <w:tcBorders>
              <w:top w:val="single" w:sz="8" w:space="0" w:color="C0C0C0"/>
              <w:left w:val="single" w:sz="8" w:space="0" w:color="A6A6A6"/>
              <w:bottom w:val="single" w:sz="8" w:space="0" w:color="00000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73</w:t>
            </w:r>
          </w:p>
        </w:tc>
        <w:tc>
          <w:tcPr>
            <w:tcW w:w="0" w:type="auto"/>
            <w:tcBorders>
              <w:top w:val="single" w:sz="8" w:space="0" w:color="C0C0C0"/>
              <w:left w:val="nil"/>
              <w:bottom w:val="single" w:sz="8" w:space="0" w:color="00000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74</w:t>
            </w:r>
          </w:p>
        </w:tc>
        <w:tc>
          <w:tcPr>
            <w:tcW w:w="0" w:type="auto"/>
            <w:tcBorders>
              <w:top w:val="single" w:sz="8" w:space="0" w:color="C0C0C0"/>
              <w:left w:val="single" w:sz="8" w:space="0" w:color="A6A6A6"/>
              <w:bottom w:val="single" w:sz="8" w:space="0" w:color="00000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77</w:t>
            </w:r>
          </w:p>
        </w:tc>
        <w:tc>
          <w:tcPr>
            <w:tcW w:w="0" w:type="auto"/>
            <w:tcBorders>
              <w:top w:val="single" w:sz="8" w:space="0" w:color="C0C0C0"/>
              <w:left w:val="nil"/>
              <w:bottom w:val="single" w:sz="8" w:space="0" w:color="000000"/>
              <w:right w:val="nil"/>
            </w:tcBorders>
            <w:shd w:val="clear" w:color="auto" w:fill="auto"/>
            <w:noWrap/>
            <w:vAlign w:val="center"/>
            <w:hideMark/>
          </w:tcPr>
          <w:p>
            <w:pPr>
              <w:spacing w:after="0"/>
              <w:jc w:val="both"/>
              <w:rPr>
                <w:rFonts w:ascii="Times New Roman" w:hAnsi="Times New Roman"/>
                <w:noProof/>
                <w:sz w:val="24"/>
                <w:szCs w:val="24"/>
              </w:rPr>
            </w:pPr>
            <w:r>
              <w:rPr>
                <w:rFonts w:ascii="Times New Roman" w:hAnsi="Times New Roman"/>
                <w:noProof/>
                <w:sz w:val="24"/>
                <w:szCs w:val="24"/>
              </w:rPr>
              <w:t>75</w:t>
            </w:r>
          </w:p>
        </w:tc>
      </w:tr>
    </w:tbl>
    <w:p>
      <w:pPr>
        <w:jc w:val="both"/>
        <w:rPr>
          <w:rFonts w:ascii="Times New Roman" w:hAnsi="Times New Roman"/>
          <w:noProof/>
          <w:sz w:val="16"/>
          <w:szCs w:val="16"/>
        </w:rPr>
      </w:pPr>
    </w:p>
    <w:p>
      <w:pPr>
        <w:jc w:val="both"/>
        <w:rPr>
          <w:rFonts w:ascii="Times New Roman" w:hAnsi="Times New Roman"/>
          <w:noProof/>
          <w:sz w:val="24"/>
          <w:szCs w:val="24"/>
        </w:rPr>
      </w:pPr>
      <w:r>
        <w:rPr>
          <w:rFonts w:ascii="Times New Roman" w:hAnsi="Times New Roman"/>
          <w:noProof/>
          <w:sz w:val="24"/>
          <w:szCs w:val="24"/>
        </w:rPr>
        <w:t xml:space="preserve">The </w:t>
      </w:r>
      <w:r>
        <w:rPr>
          <w:rFonts w:ascii="Times New Roman" w:hAnsi="Times New Roman"/>
          <w:i/>
          <w:noProof/>
          <w:sz w:val="24"/>
          <w:szCs w:val="24"/>
        </w:rPr>
        <w:t>punctuality of statistics</w:t>
      </w:r>
      <w:r>
        <w:rPr>
          <w:rFonts w:ascii="Times New Roman" w:hAnsi="Times New Roman"/>
          <w:noProof/>
          <w:sz w:val="24"/>
          <w:szCs w:val="24"/>
        </w:rPr>
        <w:t xml:space="preserve"> is</w:t>
      </w:r>
      <w:r>
        <w:rPr>
          <w:rFonts w:ascii="Times New Roman" w:hAnsi="Times New Roman"/>
          <w:i/>
          <w:noProof/>
          <w:sz w:val="24"/>
          <w:szCs w:val="24"/>
        </w:rPr>
        <w:t xml:space="preserve"> </w:t>
      </w:r>
      <w:r>
        <w:rPr>
          <w:rFonts w:ascii="Times New Roman" w:hAnsi="Times New Roman"/>
          <w:noProof/>
          <w:sz w:val="24"/>
          <w:szCs w:val="24"/>
        </w:rPr>
        <w:t>defined as the time lag between the announced release date and the actual release date. Eurostat publishes the planned quarterly and annual release dates of the main EU-LFS indicators. In 2015-2017, all the announced publication deadlines were met.</w:t>
      </w:r>
    </w:p>
    <w:p>
      <w:pPr>
        <w:pStyle w:val="ManualHeading2"/>
        <w:rPr>
          <w:noProof/>
        </w:rPr>
      </w:pPr>
      <w:r>
        <w:t>3.3.</w:t>
      </w:r>
      <w:r>
        <w:tab/>
      </w:r>
      <w:r>
        <w:rPr>
          <w:noProof/>
        </w:rPr>
        <w:t>Accessibility and clarity</w:t>
      </w:r>
    </w:p>
    <w:p>
      <w:pPr>
        <w:jc w:val="both"/>
        <w:rPr>
          <w:rFonts w:ascii="Times New Roman" w:hAnsi="Times New Roman"/>
          <w:noProof/>
          <w:sz w:val="24"/>
          <w:szCs w:val="24"/>
        </w:rPr>
      </w:pPr>
      <w:r>
        <w:rPr>
          <w:rFonts w:ascii="Times New Roman" w:hAnsi="Times New Roman"/>
          <w:noProof/>
          <w:sz w:val="24"/>
          <w:szCs w:val="24"/>
        </w:rPr>
        <w:t>Eurostat disseminates EU-LFS statistics in several ways. The main tool for dissemination is Eurostat’s online database, which contains more than 400 tables of detailed EU-LFS data (quarterly, annual, household and ad hoc module results). The policy indicators described in paragraph 2.2 are also published in specific sections of the website</w:t>
      </w:r>
      <w:r>
        <w:rPr>
          <w:rStyle w:val="FootnoteReference"/>
          <w:rFonts w:ascii="Times New Roman" w:hAnsi="Times New Roman"/>
          <w:noProof/>
          <w:sz w:val="24"/>
          <w:szCs w:val="24"/>
        </w:rPr>
        <w:footnoteReference w:id="16"/>
      </w:r>
      <w:r>
        <w:rPr>
          <w:rFonts w:ascii="Times New Roman" w:hAnsi="Times New Roman"/>
          <w:noProof/>
          <w:sz w:val="24"/>
          <w:szCs w:val="24"/>
        </w:rPr>
        <w:t>; the tables in these sections cover only the most important EU-LFS results. Eurostat produces other combinations of EU-LFS variables as tailor-made tabulations on demand from users.</w:t>
      </w:r>
    </w:p>
    <w:p>
      <w:pPr>
        <w:jc w:val="both"/>
        <w:rPr>
          <w:rFonts w:ascii="Times New Roman" w:hAnsi="Times New Roman"/>
          <w:noProof/>
          <w:sz w:val="24"/>
          <w:szCs w:val="24"/>
        </w:rPr>
      </w:pPr>
      <w:r>
        <w:rPr>
          <w:rFonts w:ascii="Times New Roman" w:hAnsi="Times New Roman"/>
          <w:noProof/>
          <w:sz w:val="24"/>
          <w:szCs w:val="24"/>
        </w:rPr>
        <w:t>EU-LFS microdata are also highly relevant for scientific purposes. They are requested by growing numbers of researchers from universities, research institutes and national statistical institutes across Europe and beyond. Eurostat has been providing microdata free of charge since 2011. Access is granted in accordance with the terms set out in Commission Regulation (EC) No 557/2013</w:t>
      </w:r>
      <w:r>
        <w:rPr>
          <w:rStyle w:val="FootnoteReference"/>
          <w:rFonts w:ascii="Times New Roman" w:hAnsi="Times New Roman"/>
          <w:noProof/>
          <w:sz w:val="24"/>
          <w:szCs w:val="24"/>
        </w:rPr>
        <w:footnoteReference w:id="17"/>
      </w:r>
      <w:r>
        <w:rPr>
          <w:rFonts w:ascii="Times New Roman" w:hAnsi="Times New Roman"/>
          <w:noProof/>
          <w:sz w:val="24"/>
          <w:szCs w:val="24"/>
        </w:rPr>
        <w:t xml:space="preserve"> to ensure the protection of survey respondents’ personal data</w:t>
      </w:r>
      <w:r>
        <w:rPr>
          <w:rStyle w:val="FootnoteReference"/>
          <w:rFonts w:ascii="Times New Roman" w:hAnsi="Times New Roman"/>
          <w:noProof/>
          <w:sz w:val="24"/>
          <w:szCs w:val="24"/>
        </w:rPr>
        <w:footnoteReference w:id="18"/>
      </w:r>
      <w:r>
        <w:rPr>
          <w:rFonts w:ascii="Times New Roman" w:hAnsi="Times New Roman"/>
          <w:noProof/>
          <w:sz w:val="24"/>
          <w:szCs w:val="24"/>
        </w:rPr>
        <w:t>. The data files, consisting of individual records, do not contain direct identifiers such as names, addresses or ID numbers. Moreover, anonymisation rules are applied.</w:t>
      </w:r>
    </w:p>
    <w:p>
      <w:pPr>
        <w:jc w:val="both"/>
        <w:rPr>
          <w:rFonts w:ascii="Times New Roman" w:hAnsi="Times New Roman"/>
          <w:noProof/>
          <w:sz w:val="24"/>
          <w:szCs w:val="24"/>
        </w:rPr>
      </w:pPr>
      <w:r>
        <w:rPr>
          <w:rFonts w:ascii="Times New Roman" w:hAnsi="Times New Roman"/>
          <w:noProof/>
          <w:sz w:val="24"/>
          <w:szCs w:val="24"/>
        </w:rPr>
        <w:t>Detailed documentation (metadata) is provided to users through various dissemination channels. General information is disseminated to the public at large on the EU-LFS section of the Eurostat website. More detailed information can be accessed in the website’s ‘Statistics Explained’ section</w:t>
      </w:r>
      <w:r>
        <w:rPr>
          <w:rStyle w:val="FootnoteReference"/>
          <w:rFonts w:ascii="Times New Roman" w:hAnsi="Times New Roman"/>
          <w:noProof/>
          <w:sz w:val="24"/>
          <w:szCs w:val="24"/>
        </w:rPr>
        <w:footnoteReference w:id="19"/>
      </w:r>
      <w:r>
        <w:rPr>
          <w:rFonts w:ascii="Times New Roman" w:hAnsi="Times New Roman"/>
          <w:noProof/>
          <w:sz w:val="24"/>
          <w:szCs w:val="24"/>
        </w:rPr>
        <w:t>. This information is updated regularly. Specific information on the content and quality of statistics is released in two annual publications: a methodological publication describing the characteristics of the national surveys, and an annual quality report summarising the results achieved by the EU-LFS</w:t>
      </w:r>
      <w:r>
        <w:rPr>
          <w:rStyle w:val="FootnoteReference"/>
          <w:rFonts w:ascii="Times New Roman" w:hAnsi="Times New Roman"/>
          <w:noProof/>
          <w:sz w:val="24"/>
          <w:szCs w:val="24"/>
        </w:rPr>
        <w:footnoteReference w:id="20"/>
      </w:r>
      <w:r>
        <w:rPr>
          <w:rFonts w:ascii="Times New Roman" w:hAnsi="Times New Roman"/>
          <w:noProof/>
          <w:sz w:val="24"/>
          <w:szCs w:val="24"/>
        </w:rPr>
        <w:t>. In addition, specific metadata is attached to the EU-LFS statistics in Eurostat’s online database. Since 2014, information from the National Quality Reports of each participating country has also been published online.</w:t>
      </w:r>
    </w:p>
    <w:p>
      <w:pPr>
        <w:pStyle w:val="NormalWeb"/>
        <w:shd w:val="clear" w:color="auto" w:fill="FFFFFF"/>
        <w:spacing w:before="30" w:beforeAutospacing="0" w:after="30" w:afterAutospacing="0"/>
        <w:jc w:val="both"/>
        <w:rPr>
          <w:noProof/>
        </w:rPr>
      </w:pPr>
      <w:r>
        <w:rPr>
          <w:noProof/>
        </w:rPr>
        <w:t>Countries regularly improve their LFS, either in its methodology or processes. If these improvements lead to breaks in EU-LFS data, the NSIs involved inform Eurostat. Significant breaks are documented in Eurostat publications</w:t>
      </w:r>
      <w:r>
        <w:rPr>
          <w:rStyle w:val="FootnoteReference"/>
          <w:noProof/>
        </w:rPr>
        <w:footnoteReference w:id="21"/>
      </w:r>
      <w:r>
        <w:rPr>
          <w:noProof/>
        </w:rPr>
        <w:t>. Eurostat also publishes a special dataset called ‘LFS main indicators’, in which previous series are adjusted for breaks and occasional data gaps are filled.</w:t>
      </w:r>
    </w:p>
    <w:p>
      <w:pPr>
        <w:pStyle w:val="NormalWeb"/>
        <w:shd w:val="clear" w:color="auto" w:fill="FFFFFF"/>
        <w:spacing w:before="30" w:beforeAutospacing="0" w:after="30" w:afterAutospacing="0"/>
        <w:jc w:val="both"/>
        <w:rPr>
          <w:noProof/>
        </w:rPr>
      </w:pPr>
    </w:p>
    <w:p>
      <w:pPr>
        <w:pStyle w:val="ManualHeading2"/>
        <w:rPr>
          <w:noProof/>
        </w:rPr>
      </w:pPr>
      <w:r>
        <w:t>3.4.</w:t>
      </w:r>
      <w:r>
        <w:tab/>
      </w:r>
      <w:r>
        <w:rPr>
          <w:noProof/>
        </w:rPr>
        <w:t>Comparability</w:t>
      </w:r>
    </w:p>
    <w:p>
      <w:pPr>
        <w:jc w:val="both"/>
        <w:rPr>
          <w:rFonts w:ascii="Times New Roman" w:hAnsi="Times New Roman"/>
          <w:noProof/>
          <w:sz w:val="24"/>
          <w:szCs w:val="24"/>
        </w:rPr>
      </w:pPr>
      <w:r>
        <w:rPr>
          <w:rFonts w:ascii="Times New Roman" w:hAnsi="Times New Roman"/>
          <w:noProof/>
          <w:sz w:val="24"/>
          <w:szCs w:val="24"/>
        </w:rPr>
        <w:t>The EU-LFS draws on highly harmonised concepts, definitions, classifications and methodologies. Regulation (EC) No 377/2008 sets out a common coding scheme, ensuring that all participating countries use the same variable definitions. Common classifications are used (e.g. the European standard classification of productive economic activities (NACE) and the International Standard Classification of Occupations (ISCO)), and whenever these classifications are revised, Eurostat ensures that all participating countries coordinate implementation. In addition, Eurostat issues explanatory notes which provide detailed guidelines to national statistical institutes on how to code and implement statistics. The explanatory notes also explain Eurostat’s reasoning for each of the guidelines. Methodological issues are discussed in a dedicated working group, the Labour Market Statistics Working Group. This group fosters the exchange of experience and common practices among all participating countries.</w:t>
      </w:r>
    </w:p>
    <w:p>
      <w:pPr>
        <w:pStyle w:val="Default"/>
        <w:jc w:val="both"/>
        <w:rPr>
          <w:rFonts w:ascii="Times New Roman" w:hAnsi="Times New Roman"/>
          <w:noProof/>
          <w:lang w:val="en-GB"/>
        </w:rPr>
      </w:pPr>
      <w:r>
        <w:rPr>
          <w:rFonts w:ascii="Times New Roman" w:hAnsi="Times New Roman"/>
          <w:noProof/>
          <w:lang w:val="en-GB"/>
        </w:rPr>
        <w:t>To ensure that the measurement of unemployment is harmonised across all countries participating, Commission Regulation (EC) No 1897/2000</w:t>
      </w:r>
      <w:r>
        <w:rPr>
          <w:rStyle w:val="FootnoteReference"/>
          <w:rFonts w:ascii="Times New Roman" w:hAnsi="Times New Roman"/>
          <w:noProof/>
          <w:lang w:val="en-GB"/>
        </w:rPr>
        <w:footnoteReference w:id="22"/>
      </w:r>
      <w:r>
        <w:rPr>
          <w:rFonts w:ascii="Times New Roman" w:hAnsi="Times New Roman"/>
          <w:noProof/>
          <w:lang w:val="en-GB"/>
        </w:rPr>
        <w:t xml:space="preserve"> lays down an operational definition of unemployment. It also lays down principles to be followed for formulating the survey questions on labour status. The definition of unemployment is consistent with International Labour Organisation (ILO) standards, which were adopted by the 13</w:t>
      </w:r>
      <w:r>
        <w:rPr>
          <w:rFonts w:ascii="Times New Roman" w:hAnsi="Times New Roman"/>
          <w:noProof/>
          <w:vertAlign w:val="superscript"/>
          <w:lang w:val="en-GB"/>
        </w:rPr>
        <w:t>th</w:t>
      </w:r>
      <w:r>
        <w:rPr>
          <w:rFonts w:ascii="Times New Roman" w:hAnsi="Times New Roman"/>
          <w:noProof/>
          <w:lang w:val="en-GB"/>
        </w:rPr>
        <w:t xml:space="preserve"> and 14</w:t>
      </w:r>
      <w:r>
        <w:rPr>
          <w:rFonts w:ascii="Times New Roman" w:hAnsi="Times New Roman"/>
          <w:noProof/>
          <w:vertAlign w:val="superscript"/>
          <w:lang w:val="en-GB"/>
        </w:rPr>
        <w:t>th</w:t>
      </w:r>
      <w:r>
        <w:rPr>
          <w:rFonts w:ascii="Times New Roman" w:hAnsi="Times New Roman"/>
          <w:noProof/>
          <w:lang w:val="en-GB"/>
        </w:rPr>
        <w:t xml:space="preserve"> International Conferences of Labour Statisticians</w:t>
      </w:r>
      <w:r>
        <w:rPr>
          <w:rStyle w:val="FootnoteReference"/>
          <w:rFonts w:ascii="Times New Roman" w:hAnsi="Times New Roman"/>
          <w:noProof/>
          <w:lang w:val="en-GB"/>
        </w:rPr>
        <w:footnoteReference w:id="23"/>
      </w:r>
      <w:r>
        <w:rPr>
          <w:rFonts w:ascii="Times New Roman" w:hAnsi="Times New Roman"/>
          <w:noProof/>
          <w:lang w:val="en-GB"/>
        </w:rPr>
        <w:t>. This ensures that EU-LFS statistics are comparable to those from other countries, especially those of other OECD members.</w:t>
      </w:r>
    </w:p>
    <w:p>
      <w:pPr>
        <w:pStyle w:val="ManualHeading2"/>
        <w:rPr>
          <w:noProof/>
        </w:rPr>
      </w:pPr>
      <w:r>
        <w:t>3.5.</w:t>
      </w:r>
      <w:r>
        <w:tab/>
      </w:r>
      <w:r>
        <w:rPr>
          <w:noProof/>
        </w:rPr>
        <w:t>Coherence</w:t>
      </w:r>
    </w:p>
    <w:p>
      <w:pPr>
        <w:jc w:val="both"/>
        <w:rPr>
          <w:rFonts w:ascii="Times New Roman" w:hAnsi="Times New Roman"/>
          <w:noProof/>
          <w:sz w:val="24"/>
          <w:szCs w:val="24"/>
        </w:rPr>
      </w:pPr>
      <w:r>
        <w:rPr>
          <w:rFonts w:ascii="Times New Roman" w:hAnsi="Times New Roman"/>
          <w:noProof/>
          <w:sz w:val="24"/>
          <w:szCs w:val="24"/>
        </w:rPr>
        <w:t>Consistency between population estimates based on EU-LFS and demographic statistics is an important aspect of overall quality. Based on a sample survey, the EU-LFS’s results are calculated from the responses of a subset of the population. The responses are then benchmarked against the entire population. Data for the entire population is based on the best estimates available at the time (broken down by sex and age groups to improve the accuracy of the procedure). In principle, this benchmarking procedure ensures consistency between EU-LFS and demographic statistics. However, differences may occur in exceptional circumstances. For instance, every 10 years, new population census results become available. If a new census produces figures that differ from previous population estimates, a past series may have to be revised. In such a case, the revision policy for demographic statistics and the EU-LFS may differ in length and timing, constrained by the lack of detailed information on the population for the 10 years between censuses.</w:t>
      </w:r>
    </w:p>
    <w:p>
      <w:pPr>
        <w:jc w:val="both"/>
        <w:rPr>
          <w:rFonts w:ascii="Times New Roman" w:hAnsi="Times New Roman"/>
          <w:noProof/>
          <w:sz w:val="24"/>
          <w:szCs w:val="24"/>
        </w:rPr>
      </w:pPr>
      <w:r>
        <w:rPr>
          <w:rFonts w:ascii="Times New Roman" w:hAnsi="Times New Roman"/>
          <w:noProof/>
          <w:sz w:val="24"/>
          <w:szCs w:val="24"/>
        </w:rPr>
        <w:t>Most of the countries participating in the EU-LFS carried out a population census in the 2011 round. New census results often lead to new LFS weights, sample frames and/or sample designs. All NSIs in countries where censuses were held in 2011 have checked, and revised when needed, the LFS weights to reflect new population estimates, including re-weighting of back-data series, at least back to 2010.</w:t>
      </w:r>
    </w:p>
    <w:p>
      <w:pPr>
        <w:jc w:val="both"/>
        <w:rPr>
          <w:rFonts w:ascii="Times New Roman" w:hAnsi="Times New Roman"/>
          <w:noProof/>
          <w:sz w:val="24"/>
          <w:szCs w:val="24"/>
        </w:rPr>
      </w:pPr>
      <w:r>
        <w:rPr>
          <w:rFonts w:ascii="Times New Roman" w:hAnsi="Times New Roman"/>
          <w:noProof/>
          <w:sz w:val="24"/>
          <w:szCs w:val="24"/>
        </w:rPr>
        <w:t>On the consistency of unemployment estimates, many countries also publish statistics on the number of people registered at the public employment office and looking for work. The LFS unemployment figures and the number of registered job seekers differ because of the different nature of the data collected. While the EU-LFS draws on a harmonised methodology to survey households on their employment activities and availability for work, the public employment offices’ administrative records comprise an exhaustive list of people registered and eligible for unemployment benefits. Because the criteria for registration depend on national social policies, statistics on registered job seekers are not comparable across countries or over time.</w:t>
      </w:r>
    </w:p>
    <w:p>
      <w:pPr>
        <w:jc w:val="both"/>
        <w:rPr>
          <w:rFonts w:ascii="Times New Roman" w:hAnsi="Times New Roman"/>
          <w:noProof/>
          <w:sz w:val="24"/>
          <w:szCs w:val="24"/>
        </w:rPr>
      </w:pPr>
      <w:r>
        <w:rPr>
          <w:rFonts w:ascii="Times New Roman" w:hAnsi="Times New Roman"/>
          <w:noProof/>
          <w:sz w:val="24"/>
          <w:szCs w:val="24"/>
        </w:rPr>
        <w:t>Another area in which statistical consistency is important is in comparing employment estimates produced from the LFS and from national accounts, as the estimates are not necessarily the same. This is due to differences in both methodologies (the concepts and coverage of the population are not identical) and compilation processes. National accounts are compiled by comparing and combining all relevant data sources available in a country, and taking the best from each source to obtain comprehensive results. National accounts also seek consistency between measures of employment and production (Gross Domestic Product, GDP). The LFS is one data source in that process. Other data sources in the process include business surveys, employment registers or social security registers. Consistency between the LFS and national accounts has been addressed by the Labour Market Statistics Working Group. Eurostat assesses the differences between the two estimates, and several NSIs have analysed the causes and the size of the differences. In some cases, NSIs have published reconciliation tables between the two datasets.</w:t>
      </w:r>
    </w:p>
    <w:p>
      <w:pPr>
        <w:jc w:val="both"/>
        <w:rPr>
          <w:rFonts w:ascii="Times New Roman" w:hAnsi="Times New Roman"/>
          <w:noProof/>
          <w:sz w:val="24"/>
          <w:szCs w:val="24"/>
        </w:rPr>
      </w:pPr>
      <w:r>
        <w:rPr>
          <w:rFonts w:ascii="Times New Roman" w:hAnsi="Times New Roman"/>
          <w:noProof/>
          <w:sz w:val="24"/>
          <w:szCs w:val="24"/>
        </w:rPr>
        <w:t>A comparison between the LFS and national accounts shows that the LFS is more suitable for measuring participation in the labour market (unemployment and activity) or for analysing the situation of specific socioeconomic groups in the population (e.g. by age, gender or educational level). National accounts data are more suitable for comparing employment estimates with aggregate production and income measures at macro level.</w:t>
      </w:r>
    </w:p>
    <w:p>
      <w:pPr>
        <w:pStyle w:val="ManualHeading1"/>
        <w:rPr>
          <w:noProof/>
        </w:rPr>
      </w:pPr>
      <w:r>
        <w:t>4.</w:t>
      </w:r>
      <w:r>
        <w:tab/>
      </w:r>
      <w:r>
        <w:rPr>
          <w:noProof/>
        </w:rPr>
        <w:t>Initiatives to further improve the Labour Force Survey</w:t>
      </w:r>
    </w:p>
    <w:p>
      <w:pPr>
        <w:pStyle w:val="ManualHeading2"/>
        <w:rPr>
          <w:noProof/>
        </w:rPr>
      </w:pPr>
      <w:r>
        <w:t>4.1.</w:t>
      </w:r>
      <w:r>
        <w:tab/>
      </w:r>
      <w:r>
        <w:rPr>
          <w:noProof/>
        </w:rPr>
        <w:t>The LFS in a modernised system of social statistics</w:t>
      </w:r>
    </w:p>
    <w:p>
      <w:pPr>
        <w:jc w:val="both"/>
        <w:rPr>
          <w:rFonts w:ascii="Times New Roman" w:hAnsi="Times New Roman"/>
          <w:iCs/>
          <w:noProof/>
          <w:color w:val="000000"/>
          <w:sz w:val="24"/>
          <w:szCs w:val="24"/>
        </w:rPr>
      </w:pPr>
      <w:r>
        <w:rPr>
          <w:rFonts w:ascii="Times New Roman" w:hAnsi="Times New Roman"/>
          <w:noProof/>
          <w:sz w:val="24"/>
          <w:szCs w:val="24"/>
        </w:rPr>
        <w:t>Building on the Commission’s ‘Communication on the production method of EU statistics: a vision for the next decade’</w:t>
      </w:r>
      <w:r>
        <w:rPr>
          <w:rStyle w:val="FootnoteReference"/>
          <w:rFonts w:ascii="Times New Roman" w:hAnsi="Times New Roman"/>
          <w:noProof/>
          <w:sz w:val="24"/>
          <w:szCs w:val="24"/>
        </w:rPr>
        <w:footnoteReference w:id="24"/>
      </w:r>
      <w:r>
        <w:rPr>
          <w:rFonts w:ascii="Times New Roman" w:hAnsi="Times New Roman"/>
          <w:noProof/>
          <w:sz w:val="24"/>
          <w:szCs w:val="24"/>
        </w:rPr>
        <w:t xml:space="preserve">, </w:t>
      </w:r>
      <w:r>
        <w:rPr>
          <w:rFonts w:ascii="Times New Roman" w:hAnsi="Times New Roman"/>
          <w:iCs/>
          <w:noProof/>
          <w:color w:val="000000"/>
          <w:sz w:val="24"/>
          <w:szCs w:val="24"/>
        </w:rPr>
        <w:t xml:space="preserve">the Commission adopted </w:t>
      </w:r>
      <w:r>
        <w:rPr>
          <w:rFonts w:ascii="Times New Roman" w:hAnsi="Times New Roman"/>
          <w:noProof/>
          <w:sz w:val="24"/>
          <w:szCs w:val="24"/>
        </w:rPr>
        <w:t>on</w:t>
      </w:r>
      <w:r>
        <w:rPr>
          <w:rFonts w:ascii="Times New Roman" w:hAnsi="Times New Roman"/>
          <w:iCs/>
          <w:noProof/>
          <w:color w:val="000000"/>
          <w:sz w:val="24"/>
          <w:szCs w:val="24"/>
        </w:rPr>
        <w:t xml:space="preserve"> 26 August 2016 a proposal for a regulation of the European Parliament and of the Council for European statistics relating to persons and households, based on data at individual level collected from samples (the Integrated European Social Statistics (IESS). framework regulation)</w:t>
      </w:r>
      <w:r>
        <w:rPr>
          <w:rStyle w:val="FootnoteReference"/>
          <w:rFonts w:ascii="Times New Roman" w:hAnsi="Times New Roman"/>
          <w:iCs/>
          <w:noProof/>
          <w:color w:val="000000"/>
          <w:sz w:val="24"/>
          <w:szCs w:val="24"/>
        </w:rPr>
        <w:footnoteReference w:id="25"/>
      </w:r>
      <w:r>
        <w:rPr>
          <w:rFonts w:ascii="Times New Roman" w:hAnsi="Times New Roman"/>
          <w:iCs/>
          <w:noProof/>
          <w:color w:val="000000"/>
          <w:sz w:val="24"/>
          <w:szCs w:val="24"/>
        </w:rPr>
        <w:t xml:space="preserve">. </w:t>
      </w:r>
    </w:p>
    <w:p>
      <w:pPr>
        <w:jc w:val="both"/>
        <w:rPr>
          <w:rFonts w:ascii="Times New Roman" w:hAnsi="Times New Roman"/>
          <w:noProof/>
          <w:sz w:val="24"/>
          <w:szCs w:val="24"/>
        </w:rPr>
      </w:pPr>
      <w:r>
        <w:rPr>
          <w:rFonts w:ascii="Times New Roman" w:hAnsi="Times New Roman"/>
          <w:iCs/>
          <w:noProof/>
          <w:color w:val="000000"/>
          <w:sz w:val="24"/>
          <w:szCs w:val="24"/>
        </w:rPr>
        <w:t>This initiative aimed</w:t>
      </w:r>
      <w:r>
        <w:rPr>
          <w:rFonts w:ascii="Times New Roman" w:hAnsi="Times New Roman"/>
          <w:noProof/>
          <w:sz w:val="24"/>
          <w:szCs w:val="24"/>
        </w:rPr>
        <w:t xml:space="preserve"> to modernise European social statistics. Indeed, t</w:t>
      </w:r>
      <w:r>
        <w:rPr>
          <w:rFonts w:ascii="Times New Roman" w:hAnsi="Times New Roman"/>
          <w:iCs/>
          <w:noProof/>
          <w:color w:val="000000"/>
          <w:sz w:val="24"/>
          <w:szCs w:val="24"/>
        </w:rPr>
        <w:t>he proposed framework regulation will increase the comparability and consistency of European social statistics by bringing together seven existing household surveys that are currently carried out in the EU, and harmonising the definitions, concepts and variables that are common to two or more surveys. This will facilitate joint analysis of social phenomena. The proposed framework regulation is expected to lead to a first data collection in 2021.</w:t>
      </w:r>
    </w:p>
    <w:p>
      <w:pPr>
        <w:jc w:val="both"/>
        <w:rPr>
          <w:rFonts w:ascii="Times New Roman" w:hAnsi="Times New Roman"/>
          <w:noProof/>
          <w:sz w:val="24"/>
          <w:szCs w:val="24"/>
        </w:rPr>
      </w:pPr>
      <w:r>
        <w:rPr>
          <w:rFonts w:ascii="Times New Roman" w:hAnsi="Times New Roman"/>
          <w:noProof/>
          <w:sz w:val="24"/>
          <w:szCs w:val="24"/>
        </w:rPr>
        <w:t>The EU-LFS is one of the household surveys covered by the IESS framework regulation, and it is being modernised to comply with the framework regulation. This modernisation will align the EU-LFS with the 19</w:t>
      </w:r>
      <w:r>
        <w:rPr>
          <w:rFonts w:ascii="Times New Roman" w:hAnsi="Times New Roman"/>
          <w:noProof/>
          <w:sz w:val="24"/>
          <w:szCs w:val="24"/>
          <w:vertAlign w:val="superscript"/>
        </w:rPr>
        <w:t>th</w:t>
      </w:r>
      <w:r>
        <w:rPr>
          <w:rFonts w:ascii="Times New Roman" w:hAnsi="Times New Roman"/>
          <w:noProof/>
          <w:sz w:val="24"/>
          <w:szCs w:val="24"/>
        </w:rPr>
        <w:t xml:space="preserve"> International Conference of Labour Statisticians (ICLS) resolution adopted in October 2013, with a more restricted scope for employment and more precise criteria for parental leave and seasonal work. The modernisation will also improve the relevance of the LFS for: (i) migration analysis and (ii) comparability of information on working time and monthly pay from people’s main job. In addition, the modernisation of EU-LFS will lead to better coverage of: (i) employment (dependent self-employment), (ii) general health information (to compare the labour market situation of disabled people with that of the total target population), and (iii) </w:t>
      </w:r>
      <w:r>
        <w:rPr>
          <w:rFonts w:ascii="Times New Roman" w:hAnsi="Times New Roman"/>
          <w:noProof/>
          <w:color w:val="000000"/>
          <w:sz w:val="24"/>
          <w:szCs w:val="24"/>
        </w:rPr>
        <w:t>participation in education and training (lasting at least 12 months).</w:t>
      </w:r>
    </w:p>
    <w:p>
      <w:pPr>
        <w:jc w:val="both"/>
        <w:rPr>
          <w:rFonts w:ascii="Times New Roman" w:hAnsi="Times New Roman"/>
          <w:noProof/>
          <w:sz w:val="24"/>
          <w:szCs w:val="24"/>
        </w:rPr>
      </w:pPr>
      <w:r>
        <w:rPr>
          <w:rFonts w:ascii="Times New Roman" w:hAnsi="Times New Roman"/>
          <w:noProof/>
          <w:sz w:val="24"/>
          <w:szCs w:val="24"/>
        </w:rPr>
        <w:t>Furthermore, the revision of the EU-LFS will improve the timeliness of data transmission to Eurostat, revise the precision requirements, and further develop methodological improvements.</w:t>
      </w:r>
    </w:p>
    <w:p>
      <w:pPr>
        <w:pStyle w:val="ManualHeading2"/>
        <w:rPr>
          <w:noProof/>
        </w:rPr>
      </w:pPr>
      <w:r>
        <w:t>4.2.</w:t>
      </w:r>
      <w:r>
        <w:tab/>
      </w:r>
      <w:r>
        <w:rPr>
          <w:noProof/>
        </w:rPr>
        <w:t>Extending the EU-LFS to additional candidate countries</w:t>
      </w:r>
    </w:p>
    <w:p>
      <w:pPr>
        <w:jc w:val="both"/>
        <w:rPr>
          <w:rFonts w:ascii="Times New Roman" w:hAnsi="Times New Roman"/>
          <w:noProof/>
          <w:sz w:val="24"/>
          <w:szCs w:val="24"/>
        </w:rPr>
      </w:pPr>
      <w:r>
        <w:rPr>
          <w:rFonts w:ascii="Times New Roman" w:hAnsi="Times New Roman"/>
          <w:noProof/>
          <w:sz w:val="24"/>
          <w:szCs w:val="24"/>
        </w:rPr>
        <w:t>Currently, 34 countries (the 28 EU Member States, 3 candidate countries and 3 EFTA countries) participate in the EU-LFS. This means that they send data to Eurostat in line with Council Regulation (EC) No 577/98 and that their data are regularly disseminated by Eurostat. The candidate countries already included are Montenegro, the former Yugoslav Republic of Macedonia, and Turkey. Eurostat works closely with the statistical offices from other candidate countries to help them progress towards compliance with Council Regulation (EC) No 577/98 in survey content and quality. Serbia and Albania have already started sending LFS data to Eurostat. As soon as the national surveys of these countries meet the requirements of the European regulations, their data will also be disseminated by Eurostat.</w:t>
      </w:r>
    </w:p>
    <w:p>
      <w:pPr>
        <w:pStyle w:val="ManualHeading2"/>
        <w:rPr>
          <w:noProof/>
        </w:rPr>
      </w:pPr>
      <w:r>
        <w:t>4.3.</w:t>
      </w:r>
      <w:r>
        <w:tab/>
      </w:r>
      <w:r>
        <w:rPr>
          <w:noProof/>
        </w:rPr>
        <w:t>Developing new statistical products</w:t>
      </w:r>
    </w:p>
    <w:p>
      <w:pPr>
        <w:jc w:val="both"/>
        <w:rPr>
          <w:rFonts w:ascii="Times New Roman" w:hAnsi="Times New Roman"/>
          <w:noProof/>
          <w:sz w:val="24"/>
          <w:szCs w:val="24"/>
          <w:u w:val="single"/>
        </w:rPr>
      </w:pPr>
      <w:r>
        <w:rPr>
          <w:rFonts w:ascii="Times New Roman" w:hAnsi="Times New Roman"/>
          <w:noProof/>
          <w:sz w:val="24"/>
          <w:szCs w:val="24"/>
          <w:u w:val="single"/>
        </w:rPr>
        <w:t>Statistics to capture labour market dynamics</w:t>
      </w:r>
    </w:p>
    <w:p>
      <w:pPr>
        <w:jc w:val="both"/>
        <w:rPr>
          <w:rFonts w:ascii="Times New Roman" w:hAnsi="Times New Roman"/>
          <w:noProof/>
          <w:sz w:val="24"/>
          <w:szCs w:val="24"/>
        </w:rPr>
      </w:pPr>
      <w:r>
        <w:rPr>
          <w:rFonts w:ascii="Times New Roman" w:hAnsi="Times New Roman"/>
          <w:noProof/>
          <w:sz w:val="24"/>
          <w:szCs w:val="24"/>
        </w:rPr>
        <w:t>Changes in the labour status of individual people are of great interest, because they provide additional information on the general situation of the labour market, including its flexibility or rigidity. These changes also provide information on the situation of specific groups. For example, data on labour market dynamics make it possible to analyse how many people became unemployed or found a job over a certain period, and who these people are. This in turn makes it possible to identify groups which have a better chance of finding a job, or groups which are more at risk of becoming or remaining unemployed.</w:t>
      </w:r>
    </w:p>
    <w:p>
      <w:pPr>
        <w:jc w:val="both"/>
        <w:rPr>
          <w:rFonts w:ascii="Times New Roman" w:hAnsi="Times New Roman"/>
          <w:noProof/>
          <w:sz w:val="24"/>
          <w:szCs w:val="24"/>
        </w:rPr>
      </w:pPr>
      <w:r>
        <w:rPr>
          <w:rFonts w:ascii="Times New Roman" w:hAnsi="Times New Roman"/>
          <w:noProof/>
          <w:sz w:val="24"/>
          <w:szCs w:val="24"/>
        </w:rPr>
        <w:t>Quarterly labour market analyses showing the movements between employment, unemployment and economic inactivity were first published in 2015. Additional results, giving breakdowns of these movements by sex, age group, unemployment duration, or job-to-job transitions, are published since 2017 as experimental statistics.</w:t>
      </w:r>
    </w:p>
    <w:p>
      <w:pPr>
        <w:jc w:val="both"/>
        <w:rPr>
          <w:rFonts w:ascii="Times New Roman" w:hAnsi="Times New Roman"/>
          <w:noProof/>
          <w:sz w:val="24"/>
          <w:szCs w:val="24"/>
        </w:rPr>
      </w:pPr>
      <w:r>
        <w:rPr>
          <w:rFonts w:ascii="Times New Roman" w:hAnsi="Times New Roman"/>
          <w:noProof/>
          <w:sz w:val="24"/>
          <w:szCs w:val="24"/>
        </w:rPr>
        <w:t>Eurostat and national statistical institutes are currently working on developing a methodology to estimate annual labour market transitions, tackling the challenges posed by high attrition rates (decreasing sample sizes across interview waves) as well as population changes over time.</w:t>
      </w:r>
    </w:p>
    <w:p>
      <w:pPr>
        <w:jc w:val="both"/>
        <w:rPr>
          <w:rFonts w:ascii="Times New Roman" w:hAnsi="Times New Roman"/>
          <w:noProof/>
          <w:sz w:val="24"/>
          <w:szCs w:val="24"/>
          <w:u w:val="single"/>
        </w:rPr>
      </w:pPr>
      <w:r>
        <w:rPr>
          <w:rFonts w:ascii="Times New Roman" w:hAnsi="Times New Roman"/>
          <w:noProof/>
          <w:sz w:val="24"/>
          <w:szCs w:val="24"/>
          <w:u w:val="single"/>
        </w:rPr>
        <w:t>Extension and preparation of the EU-LFS main indicators with the future legal framework</w:t>
      </w:r>
    </w:p>
    <w:p>
      <w:pPr>
        <w:jc w:val="both"/>
        <w:rPr>
          <w:rFonts w:ascii="Times New Roman" w:hAnsi="Times New Roman"/>
          <w:noProof/>
          <w:sz w:val="24"/>
          <w:szCs w:val="24"/>
        </w:rPr>
      </w:pPr>
      <w:r>
        <w:rPr>
          <w:rFonts w:ascii="Times New Roman" w:hAnsi="Times New Roman"/>
          <w:noProof/>
          <w:sz w:val="24"/>
          <w:szCs w:val="24"/>
        </w:rPr>
        <w:t xml:space="preserve">The LFS main indicators are a collection of the most important EU-LFS results disseminated in Eurostat’s online database. Their aim is to provide users with seasonally adjusted time series of the most important indicators describing the labour market (e.g. employment, unemployment and activity rates). These highly relevant indicators have been improved over time and extended to include indicators covering groups such as NEETs (young people </w:t>
      </w:r>
      <w:r>
        <w:rPr>
          <w:rFonts w:ascii="Times New Roman" w:hAnsi="Times New Roman"/>
          <w:bCs/>
          <w:noProof/>
          <w:sz w:val="24"/>
          <w:szCs w:val="24"/>
        </w:rPr>
        <w:t>not in employment, education or training</w:t>
      </w:r>
      <w:r>
        <w:rPr>
          <w:rFonts w:ascii="Times New Roman" w:hAnsi="Times New Roman"/>
          <w:noProof/>
          <w:sz w:val="24"/>
          <w:szCs w:val="24"/>
        </w:rPr>
        <w:t>).</w:t>
      </w:r>
    </w:p>
    <w:p>
      <w:pPr>
        <w:jc w:val="both"/>
        <w:rPr>
          <w:rFonts w:ascii="Times New Roman" w:hAnsi="Times New Roman"/>
          <w:noProof/>
          <w:sz w:val="24"/>
          <w:szCs w:val="24"/>
        </w:rPr>
      </w:pPr>
      <w:r>
        <w:rPr>
          <w:rFonts w:ascii="Times New Roman" w:hAnsi="Times New Roman"/>
          <w:noProof/>
          <w:sz w:val="24"/>
          <w:szCs w:val="24"/>
        </w:rPr>
        <w:t>Eurostat and the Labour Market Statistics Working Group have developed a strategy to tackle the breaks in time series caused by the entry into force of the new framework regulation. This strategy will ensure the publication of break-free main indicator series. It requires a duplication of the data, allowing Eurostat to derive back-series aligned with the new LFS in parallel with national dissemination. Due to: (i) the large differences in approaches used by countries to derive information on the breaks in series, and (ii) the large number of indicators that must be derived based on relatively scarce information, Eurostat has already begun working on all implementation steps of this project.</w:t>
      </w:r>
    </w:p>
    <w:p>
      <w:pPr>
        <w:jc w:val="both"/>
        <w:rPr>
          <w:rFonts w:ascii="Times New Roman" w:hAnsi="Times New Roman"/>
          <w:noProof/>
          <w:sz w:val="24"/>
          <w:szCs w:val="24"/>
          <w:u w:val="single"/>
        </w:rPr>
      </w:pPr>
      <w:r>
        <w:rPr>
          <w:rFonts w:ascii="Times New Roman" w:hAnsi="Times New Roman"/>
          <w:noProof/>
          <w:sz w:val="24"/>
          <w:szCs w:val="24"/>
          <w:u w:val="single"/>
        </w:rPr>
        <w:t>Additional information on the accuracy of EU-LFS results</w:t>
      </w:r>
    </w:p>
    <w:p>
      <w:pPr>
        <w:jc w:val="both"/>
        <w:rPr>
          <w:rFonts w:ascii="Times New Roman" w:hAnsi="Times New Roman"/>
          <w:noProof/>
          <w:sz w:val="24"/>
          <w:szCs w:val="24"/>
        </w:rPr>
      </w:pPr>
      <w:r>
        <w:rPr>
          <w:rFonts w:ascii="Times New Roman" w:hAnsi="Times New Roman"/>
          <w:noProof/>
          <w:sz w:val="24"/>
          <w:szCs w:val="24"/>
        </w:rPr>
        <w:t>Surveys such as the EU-LFS provide estimates of indicators on a target population based on a randomly selected sample of that population. As only a subset of the target population is selected, it is important to provide, alongside the estimate, information on the estimate’s accuracy (see paragraph 3.1). Such quality indicators take the form of standard errors, or confidence intervals.</w:t>
      </w:r>
    </w:p>
    <w:p>
      <w:pPr>
        <w:jc w:val="both"/>
        <w:rPr>
          <w:rFonts w:ascii="Times New Roman" w:hAnsi="Times New Roman"/>
          <w:noProof/>
          <w:sz w:val="24"/>
          <w:szCs w:val="24"/>
        </w:rPr>
      </w:pPr>
      <w:r>
        <w:rPr>
          <w:rFonts w:ascii="Times New Roman" w:hAnsi="Times New Roman"/>
          <w:noProof/>
          <w:sz w:val="24"/>
          <w:szCs w:val="24"/>
        </w:rPr>
        <w:t>Eurostat and the Member States have produced the variance of annual net changes for a subset of 23 indicators of high policy relevance (as described in paragraph 2.2). This allows users, when disseminating and analysing these EU-LFS indicators for policy purposes, to supplement the information on indicator changes between two consecutive years with information on the statistical significance of these indicator changes.</w:t>
      </w:r>
    </w:p>
    <w:p>
      <w:pPr>
        <w:pStyle w:val="ManualHeading1"/>
        <w:rPr>
          <w:noProof/>
        </w:rPr>
      </w:pPr>
      <w:r>
        <w:t>5.</w:t>
      </w:r>
      <w:r>
        <w:tab/>
      </w:r>
      <w:r>
        <w:rPr>
          <w:noProof/>
        </w:rPr>
        <w:t>Conclusion</w:t>
      </w:r>
    </w:p>
    <w:p>
      <w:pPr>
        <w:jc w:val="both"/>
        <w:rPr>
          <w:rFonts w:ascii="Times New Roman" w:hAnsi="Times New Roman"/>
          <w:noProof/>
          <w:sz w:val="24"/>
          <w:szCs w:val="24"/>
        </w:rPr>
      </w:pPr>
      <w:r>
        <w:rPr>
          <w:rFonts w:ascii="Times New Roman" w:hAnsi="Times New Roman"/>
          <w:noProof/>
          <w:sz w:val="24"/>
          <w:szCs w:val="24"/>
        </w:rPr>
        <w:t>The Commission monitors Member State compliance with Regulation (EC) No 577/98. The Commission considers the implementation of EU-LFS to be very satisfactory, as Member States are fully — or almost fully — complying with this European legislation. Unresolved issues are discussed with Member States, and, if necessary, action plans are jointly drawn up. The overall quality of the EU-LFS is good.</w:t>
      </w:r>
    </w:p>
    <w:p>
      <w:pPr>
        <w:jc w:val="both"/>
        <w:rPr>
          <w:rFonts w:ascii="Times New Roman" w:hAnsi="Times New Roman"/>
          <w:noProof/>
          <w:sz w:val="24"/>
          <w:szCs w:val="24"/>
        </w:rPr>
      </w:pPr>
      <w:r>
        <w:rPr>
          <w:rFonts w:ascii="Times New Roman" w:hAnsi="Times New Roman"/>
          <w:noProof/>
          <w:sz w:val="24"/>
          <w:szCs w:val="24"/>
        </w:rPr>
        <w:t>The European Statistical System works to continuously improve EU-LFS processes and methods. It has kept up the momentum of these efforts despite a difficult environment, with scarce resources and deep budget cuts. Constant improvements to EU-LFS are under way, either as part of the modernisation process of social statistics, or as individual EU-LFS projects for adapting to changes in user needs and new challenges (e.g. increased timeliness requirements, estimates on annual labour market transitions). This work will continue in the coming years.</w:t>
      </w:r>
    </w:p>
    <w:p>
      <w:pPr>
        <w:jc w:val="both"/>
        <w:rPr>
          <w:rFonts w:ascii="Times New Roman" w:hAnsi="Times New Roman"/>
          <w:noProof/>
          <w:sz w:val="24"/>
          <w:szCs w:val="24"/>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ab/>
        <w:t>OJ L 77, 14.3.1998, p. 3.</w:t>
      </w:r>
    </w:p>
  </w:footnote>
  <w:footnote w:id="2">
    <w:p>
      <w:pPr>
        <w:pStyle w:val="FootnoteText"/>
      </w:pPr>
      <w:r>
        <w:rPr>
          <w:rStyle w:val="FootnoteReference"/>
        </w:rPr>
        <w:footnoteRef/>
      </w:r>
      <w:r>
        <w:tab/>
        <w:t>According to Article 4 of Regulation (EC) No 223/2009 on European statistics (OJ L 87, 31.3.2009, p. 164), the ESS is the partnership between the European statistical authority (which is the European Commission (Eurostat)), the national statistical institutes, and other national authorities responsible in each Member State for the development, production and dissemination of European statistics.</w:t>
      </w:r>
    </w:p>
  </w:footnote>
  <w:footnote w:id="3">
    <w:p>
      <w:pPr>
        <w:pStyle w:val="NormalWeb"/>
        <w:spacing w:before="0" w:beforeAutospacing="0" w:after="0" w:afterAutospacing="0"/>
        <w:ind w:left="709" w:hanging="709"/>
        <w:jc w:val="both"/>
        <w:rPr>
          <w:bCs/>
          <w:sz w:val="20"/>
          <w:szCs w:val="20"/>
        </w:rPr>
      </w:pPr>
      <w:r>
        <w:rPr>
          <w:rStyle w:val="FootnoteReference"/>
        </w:rPr>
        <w:footnoteRef/>
      </w:r>
      <w:r>
        <w:tab/>
      </w:r>
      <w:r>
        <w:rPr>
          <w:bCs/>
          <w:sz w:val="20"/>
          <w:szCs w:val="20"/>
        </w:rPr>
        <w:t>Commission Regulation (EC) No 377/2008 of 25 April 2008 implementing Council Regulation (EC) No 577/98 on the organisation of a labour force sample survey in the Community as regards the codification to be used for data transmission from 2009 onwards, the use of a sub-sample for the collection of data on structural variables and the definition of the reference quarters (OJ L 114, 26.4.2008, p. 57).</w:t>
      </w:r>
    </w:p>
  </w:footnote>
  <w:footnote w:id="4">
    <w:p>
      <w:pPr>
        <w:pStyle w:val="FootnoteText"/>
      </w:pPr>
      <w:r>
        <w:rPr>
          <w:rStyle w:val="FootnoteReference"/>
        </w:rPr>
        <w:footnoteRef/>
      </w:r>
      <w:r>
        <w:tab/>
        <w:t>Participating countries are the 28 Member States, Iceland, Norway, Switzerland, Montenegro, the former Yugoslav Republic of Macedonia and Turkey.</w:t>
      </w:r>
    </w:p>
  </w:footnote>
  <w:footnote w:id="5">
    <w:p>
      <w:pPr>
        <w:pStyle w:val="FootnoteText"/>
      </w:pPr>
      <w:r>
        <w:rPr>
          <w:rStyle w:val="FootnoteReference"/>
        </w:rPr>
        <w:footnoteRef/>
      </w:r>
      <w:r>
        <w:tab/>
        <w:t xml:space="preserve">In 2015, no ad hoc module was included in the EU-LFS. The ad-hoc module in 2016 was </w:t>
      </w:r>
      <w:r>
        <w:rPr>
          <w:i/>
        </w:rPr>
        <w:t>Young people on the labour market</w:t>
      </w:r>
      <w:r>
        <w:t>. The ad hoc module in 2017 was</w:t>
      </w:r>
      <w:r>
        <w:rPr>
          <w:i/>
        </w:rPr>
        <w:t xml:space="preserve"> Self-employment.</w:t>
      </w:r>
    </w:p>
  </w:footnote>
  <w:footnote w:id="6">
    <w:p>
      <w:pPr>
        <w:pStyle w:val="FootnoteText"/>
        <w:rPr>
          <w:rStyle w:val="Hyperlink"/>
        </w:rPr>
      </w:pPr>
      <w:r>
        <w:rPr>
          <w:rStyle w:val="FootnoteReference"/>
        </w:rPr>
        <w:footnoteRef/>
      </w:r>
      <w:r>
        <w:tab/>
        <w:t xml:space="preserve">In particular, the EU-LFS follows the resolutions and recommendations of the International Conferences of Labour Statisticians organised by the International Labour Organisation, see </w:t>
      </w:r>
      <w:r>
        <w:br/>
      </w:r>
      <w:hyperlink r:id="rId1" w:history="1">
        <w:r>
          <w:rPr>
            <w:rStyle w:val="Hyperlink"/>
          </w:rPr>
          <w:t>http://www.ilo.org/global/statistics-and-databases/standards-and-guidelines/resolutions-adopted-by-international-conferences-of-labour-statisticians/lang--en/index.htm</w:t>
        </w:r>
      </w:hyperlink>
      <w:r>
        <w:t xml:space="preserve"> (available only in English, French and Spanish).</w:t>
      </w:r>
    </w:p>
  </w:footnote>
  <w:footnote w:id="7">
    <w:p>
      <w:pPr>
        <w:pStyle w:val="FootnoteText"/>
      </w:pPr>
      <w:r>
        <w:rPr>
          <w:rStyle w:val="FootnoteReference"/>
        </w:rPr>
        <w:footnoteRef/>
      </w:r>
      <w:r>
        <w:tab/>
        <w:t>See Council Decision 2014/322/EU of 6 May 2014 on guidelines for the employment policies of the Member States for 2014, (OJ L 165, 4.6.2014, p. 49)</w:t>
      </w:r>
      <w:r>
        <w:rPr>
          <w:i/>
          <w:iCs/>
        </w:rPr>
        <w:t>.</w:t>
      </w:r>
    </w:p>
  </w:footnote>
  <w:footnote w:id="8">
    <w:p>
      <w:pPr>
        <w:pStyle w:val="FootnoteText"/>
      </w:pPr>
      <w:r>
        <w:rPr>
          <w:rStyle w:val="FootnoteReference"/>
        </w:rPr>
        <w:footnoteRef/>
      </w:r>
      <w:r>
        <w:tab/>
        <w:t>Europe 2020 headline targets:</w:t>
      </w:r>
    </w:p>
    <w:p>
      <w:pPr>
        <w:pStyle w:val="FootnoteText"/>
        <w:ind w:firstLine="0"/>
      </w:pPr>
      <w:hyperlink r:id="rId2" w:history="1">
        <w:r>
          <w:rPr>
            <w:rStyle w:val="Hyperlink"/>
          </w:rPr>
          <w:t>http://ec.europa.eu/eurostat/statistics-explained/index.php/Europe_2020_headline_indicators</w:t>
        </w:r>
      </w:hyperlink>
      <w:r>
        <w:t>.</w:t>
      </w:r>
    </w:p>
  </w:footnote>
  <w:footnote w:id="9">
    <w:p>
      <w:pPr>
        <w:pStyle w:val="FootnoteText"/>
      </w:pPr>
      <w:r>
        <w:rPr>
          <w:rStyle w:val="FootnoteReference"/>
        </w:rPr>
        <w:footnoteRef/>
      </w:r>
      <w:r>
        <w:tab/>
      </w:r>
      <w:hyperlink r:id="rId3" w:history="1">
        <w:r>
          <w:rPr>
            <w:rStyle w:val="Hyperlink"/>
          </w:rPr>
          <w:t>http://ec.europa.eu/eurostat/web/european-pillar-of-social-rights/indicators</w:t>
        </w:r>
      </w:hyperlink>
      <w:r>
        <w:t xml:space="preserve"> (available only in English, French and German).</w:t>
      </w:r>
    </w:p>
  </w:footnote>
  <w:footnote w:id="10">
    <w:p>
      <w:pPr>
        <w:pStyle w:val="FootnoteText"/>
      </w:pPr>
      <w:r>
        <w:rPr>
          <w:rStyle w:val="FootnoteReference"/>
        </w:rPr>
        <w:footnoteRef/>
      </w:r>
      <w:r>
        <w:tab/>
      </w:r>
      <w:hyperlink r:id="rId4" w:history="1">
        <w:r>
          <w:rPr>
            <w:rStyle w:val="Hyperlink"/>
          </w:rPr>
          <w:t>https://ec.europa.eu/europeaid/policies/sustainable-development-goals_en</w:t>
        </w:r>
      </w:hyperlink>
    </w:p>
  </w:footnote>
  <w:footnote w:id="11">
    <w:p>
      <w:pPr>
        <w:pStyle w:val="FootnoteText"/>
      </w:pPr>
      <w:r>
        <w:rPr>
          <w:rStyle w:val="FootnoteReference"/>
        </w:rPr>
        <w:footnoteRef/>
      </w:r>
      <w:r>
        <w:tab/>
        <w:t xml:space="preserve">Principal European Economic Indicators — A statistical guide, Eurostat 2009, see </w:t>
      </w:r>
      <w:hyperlink r:id="rId5" w:history="1">
        <w:r>
          <w:rPr>
            <w:rStyle w:val="Hyperlink"/>
          </w:rPr>
          <w:t>http://ec.europa.eu/eurostat/en/web/products-statistical-books/-/KS-81-08-398</w:t>
        </w:r>
      </w:hyperlink>
      <w:r>
        <w:t xml:space="preserve"> (available only in English).</w:t>
      </w:r>
    </w:p>
  </w:footnote>
  <w:footnote w:id="12">
    <w:p>
      <w:pPr>
        <w:pStyle w:val="FootnoteText"/>
      </w:pPr>
      <w:r>
        <w:rPr>
          <w:rStyle w:val="FootnoteReference"/>
        </w:rPr>
        <w:footnoteRef/>
      </w:r>
      <w:r>
        <w:tab/>
        <w:t>The MIP Scoreboard is used to identify emerging or persistent macroeconomic imbalances in a country. It is part of an annual procedure, where the first step is the compilation of an Alert Mechanism Report (AMR). See Regulation (EU) No 1176/2011 of the European Parliament and the Council (OJ L 306, 23.11.2011, p. 25).</w:t>
      </w:r>
    </w:p>
  </w:footnote>
  <w:footnote w:id="13">
    <w:p>
      <w:pPr>
        <w:pStyle w:val="FootnoteText"/>
      </w:pPr>
      <w:r>
        <w:rPr>
          <w:rStyle w:val="FootnoteReference"/>
        </w:rPr>
        <w:footnoteRef/>
      </w:r>
      <w:r>
        <w:tab/>
        <w:t>The sampling rate is defined as the ratio of the sample size (the number of sampling units in the sample) to the population size (the total number of sampling units in the target population).</w:t>
      </w:r>
    </w:p>
  </w:footnote>
  <w:footnote w:id="14">
    <w:p>
      <w:pPr>
        <w:pStyle w:val="FootnoteText"/>
      </w:pPr>
      <w:r>
        <w:rPr>
          <w:rStyle w:val="FootnoteReference"/>
        </w:rPr>
        <w:footnoteRef/>
      </w:r>
      <w:r>
        <w:tab/>
      </w:r>
      <w:hyperlink r:id="rId6" w:history="1">
        <w:r>
          <w:rPr>
            <w:rStyle w:val="Hyperlink"/>
          </w:rPr>
          <w:t>http://ec.europa.eu/eurostat/web/lfs/publications/quality-reporting</w:t>
        </w:r>
      </w:hyperlink>
      <w:r>
        <w:rPr>
          <w:rStyle w:val="Hyperlink"/>
        </w:rPr>
        <w:t xml:space="preserve"> </w:t>
      </w:r>
      <w:r>
        <w:t>(available only in English).</w:t>
      </w:r>
    </w:p>
  </w:footnote>
  <w:footnote w:id="15">
    <w:p>
      <w:pPr>
        <w:pStyle w:val="FootnoteText"/>
      </w:pPr>
      <w:r>
        <w:rPr>
          <w:rStyle w:val="FootnoteReference"/>
        </w:rPr>
        <w:footnoteRef/>
      </w:r>
      <w:r>
        <w:tab/>
        <w:t>Unit non-response occurs when no data are collected about a population unit designated for data collection. The unit non-response rate is the ratio of the number of units for which no data has been collected to the total number of units designated for data collection.</w:t>
      </w:r>
    </w:p>
  </w:footnote>
  <w:footnote w:id="16">
    <w:p>
      <w:pPr>
        <w:pStyle w:val="FootnoteText"/>
      </w:pPr>
      <w:r>
        <w:rPr>
          <w:rStyle w:val="FootnoteReference"/>
        </w:rPr>
        <w:footnoteRef/>
      </w:r>
      <w:r>
        <w:tab/>
        <w:t xml:space="preserve">Example for EU2020: </w:t>
      </w:r>
      <w:hyperlink r:id="rId7" w:history="1">
        <w:r>
          <w:rPr>
            <w:rStyle w:val="Hyperlink"/>
          </w:rPr>
          <w:t>http://ec.europa.eu/eurostat/web/europe-2020-indicators/europe-2020-strategy/headline-indicators-scoreboard</w:t>
        </w:r>
      </w:hyperlink>
      <w:r>
        <w:rPr>
          <w:rStyle w:val="Hyperlink"/>
        </w:rPr>
        <w:t xml:space="preserve"> </w:t>
      </w:r>
      <w:r>
        <w:t>(available only in English, French and German).</w:t>
      </w:r>
    </w:p>
  </w:footnote>
  <w:footnote w:id="17">
    <w:p>
      <w:pPr>
        <w:pStyle w:val="FootnoteText"/>
      </w:pPr>
      <w:r>
        <w:rPr>
          <w:rStyle w:val="FootnoteReference"/>
        </w:rPr>
        <w:footnoteRef/>
      </w:r>
      <w:r>
        <w:tab/>
        <w:t>OJ L 164, 18.6.2013.</w:t>
      </w:r>
    </w:p>
  </w:footnote>
  <w:footnote w:id="18">
    <w:p>
      <w:pPr>
        <w:pStyle w:val="FootnoteText"/>
      </w:pPr>
      <w:r>
        <w:rPr>
          <w:rStyle w:val="FootnoteReference"/>
        </w:rPr>
        <w:footnoteRef/>
      </w:r>
      <w:r>
        <w:rPr>
          <w:rStyle w:val="FootnoteReference"/>
        </w:rPr>
        <w:tab/>
      </w:r>
      <w:r>
        <w:t>See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19">
    <w:p>
      <w:pPr>
        <w:pStyle w:val="FootnoteText"/>
      </w:pPr>
      <w:r>
        <w:rPr>
          <w:rStyle w:val="FootnoteReference"/>
        </w:rPr>
        <w:footnoteRef/>
      </w:r>
      <w:r>
        <w:tab/>
      </w:r>
      <w:hyperlink w:history="1"/>
      <w:hyperlink r:id="rId8" w:history="1">
        <w:r>
          <w:rPr>
            <w:rStyle w:val="Hyperlink"/>
          </w:rPr>
          <w:t>http://ec.europa.eu/eurostat/web/lfs/overview</w:t>
        </w:r>
      </w:hyperlink>
      <w:r>
        <w:t xml:space="preserve"> (available only in English, French and German).</w:t>
      </w:r>
    </w:p>
    <w:p>
      <w:pPr>
        <w:pStyle w:val="FootnoteText"/>
      </w:pPr>
      <w:r>
        <w:tab/>
      </w:r>
      <w:hyperlink r:id="rId9" w:history="1">
        <w:r>
          <w:rPr>
            <w:rStyle w:val="Hyperlink"/>
          </w:rPr>
          <w:t>http://ec.europa.eu/eurostat/statistics-explained/index.php/EU_labour_force_survey</w:t>
        </w:r>
      </w:hyperlink>
      <w:r>
        <w:rPr>
          <w:rStyle w:val="Hyperlink"/>
        </w:rPr>
        <w:t xml:space="preserve"> </w:t>
      </w:r>
      <w:r>
        <w:t>(available only in English).</w:t>
      </w:r>
    </w:p>
  </w:footnote>
  <w:footnote w:id="20">
    <w:p>
      <w:pPr>
        <w:pStyle w:val="FootnoteText"/>
      </w:pPr>
      <w:r>
        <w:rPr>
          <w:rStyle w:val="FootnoteReference"/>
        </w:rPr>
        <w:footnoteRef/>
      </w:r>
      <w:r>
        <w:tab/>
      </w:r>
      <w:hyperlink r:id="rId10" w:history="1">
        <w:r>
          <w:rPr>
            <w:rStyle w:val="Hyperlink"/>
          </w:rPr>
          <w:t>http://ec.europa.eu/eurostat/web/lfs/publications/quality-reporting</w:t>
        </w:r>
      </w:hyperlink>
      <w:r>
        <w:t xml:space="preserve"> (available only in English).</w:t>
      </w:r>
    </w:p>
  </w:footnote>
  <w:footnote w:id="21">
    <w:p>
      <w:pPr>
        <w:pStyle w:val="FootnoteText"/>
        <w:jc w:val="left"/>
      </w:pPr>
      <w:r>
        <w:rPr>
          <w:rStyle w:val="FootnoteReference"/>
        </w:rPr>
        <w:footnoteRef/>
      </w:r>
      <w:r>
        <w:tab/>
        <w:t xml:space="preserve">The documentation on breaks in series in the EU-LFS is available (only in English) at: </w:t>
      </w:r>
      <w:hyperlink r:id="rId11" w:history="1">
        <w:r>
          <w:rPr>
            <w:rStyle w:val="Hyperlink"/>
          </w:rPr>
          <w:t>http://ec.europa.eu/eurostat/statistics-explained/index.php/EU_labour_force_survey</w:t>
        </w:r>
      </w:hyperlink>
      <w:r>
        <w:t xml:space="preserve"> (Chapter 1).</w:t>
      </w:r>
    </w:p>
  </w:footnote>
  <w:footnote w:id="22">
    <w:p>
      <w:pPr>
        <w:pStyle w:val="NormalWeb"/>
        <w:spacing w:before="0" w:beforeAutospacing="0" w:after="0" w:afterAutospacing="0"/>
        <w:ind w:left="709" w:hanging="709"/>
        <w:jc w:val="both"/>
        <w:rPr>
          <w:sz w:val="20"/>
          <w:szCs w:val="20"/>
        </w:rPr>
      </w:pPr>
      <w:r>
        <w:rPr>
          <w:rStyle w:val="FootnoteReference"/>
        </w:rPr>
        <w:footnoteRef/>
      </w:r>
      <w:r>
        <w:tab/>
      </w:r>
      <w:r>
        <w:rPr>
          <w:bCs/>
          <w:sz w:val="20"/>
          <w:szCs w:val="20"/>
        </w:rPr>
        <w:t>Commission Regulation (EC) No 1897/2000</w:t>
      </w:r>
      <w:r>
        <w:rPr>
          <w:sz w:val="20"/>
          <w:szCs w:val="20"/>
        </w:rPr>
        <w:t xml:space="preserve"> of 7 September 2000 implementing Council Regulation (EC) No 577/98 on the organisation of a labour force sample survey in the Community concerning the operational definition of unemployment (OJ L 228, 8.9.2000, p. 18).</w:t>
      </w:r>
    </w:p>
  </w:footnote>
  <w:footnote w:id="23">
    <w:p>
      <w:pPr>
        <w:pStyle w:val="FootnoteText"/>
        <w:rPr>
          <w:rStyle w:val="Hyperlink"/>
        </w:rPr>
      </w:pPr>
      <w:r>
        <w:rPr>
          <w:rStyle w:val="FootnoteReference"/>
        </w:rPr>
        <w:footnoteRef/>
      </w:r>
      <w:r>
        <w:tab/>
      </w:r>
      <w:hyperlink r:id="rId12" w:history="1">
        <w:r>
          <w:rPr>
            <w:rStyle w:val="Hyperlink"/>
          </w:rPr>
          <w:t>http://www.ilo.org/global/statistics-and-databases/standards-and-guidelines/resolutions-adopted-by-international-conferences-of-labour-statisticians/lang--en/index.htm</w:t>
        </w:r>
      </w:hyperlink>
    </w:p>
    <w:p>
      <w:pPr>
        <w:pStyle w:val="FootnoteText"/>
        <w:ind w:firstLine="0"/>
      </w:pPr>
      <w:r>
        <w:t>The implementation of the newly adopted ILO definitions of employment and unemployment by the 19</w:t>
      </w:r>
      <w:r>
        <w:rPr>
          <w:vertAlign w:val="superscript"/>
        </w:rPr>
        <w:t>th</w:t>
      </w:r>
      <w:r>
        <w:t xml:space="preserve"> International Conference of Labour Statisticians is described in Chapter 4 (available only in English, French and Spanish).</w:t>
      </w:r>
    </w:p>
  </w:footnote>
  <w:footnote w:id="24">
    <w:p>
      <w:pPr>
        <w:pStyle w:val="FootnoteText"/>
      </w:pPr>
      <w:r>
        <w:rPr>
          <w:rStyle w:val="FootnoteReference"/>
        </w:rPr>
        <w:footnoteRef/>
      </w:r>
      <w:r>
        <w:tab/>
        <w:t>COM(2009) 404 of 10 August 2009.</w:t>
      </w:r>
    </w:p>
  </w:footnote>
  <w:footnote w:id="25">
    <w:p>
      <w:pPr>
        <w:pStyle w:val="FootnoteText"/>
      </w:pPr>
      <w:r>
        <w:rPr>
          <w:rStyle w:val="FootnoteReference"/>
        </w:rPr>
        <w:footnoteRef/>
      </w:r>
      <w:r>
        <w:tab/>
        <w:t>COM(2016) 551.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E6CB11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F2A8DE4"/>
    <w:lvl w:ilvl="0">
      <w:start w:val="1"/>
      <w:numFmt w:val="decimal"/>
      <w:pStyle w:val="ListNumber3"/>
      <w:lvlText w:val="%1."/>
      <w:lvlJc w:val="left"/>
      <w:pPr>
        <w:tabs>
          <w:tab w:val="num" w:pos="926"/>
        </w:tabs>
        <w:ind w:left="926" w:hanging="360"/>
      </w:pPr>
    </w:lvl>
  </w:abstractNum>
  <w:abstractNum w:abstractNumId="2">
    <w:nsid w:val="FFFFFF7F"/>
    <w:multiLevelType w:val="singleLevel"/>
    <w:tmpl w:val="8B20C3B8"/>
    <w:lvl w:ilvl="0">
      <w:start w:val="1"/>
      <w:numFmt w:val="decimal"/>
      <w:pStyle w:val="ListNumber2"/>
      <w:lvlText w:val="%1."/>
      <w:lvlJc w:val="left"/>
      <w:pPr>
        <w:tabs>
          <w:tab w:val="num" w:pos="643"/>
        </w:tabs>
        <w:ind w:left="643" w:hanging="360"/>
      </w:pPr>
    </w:lvl>
  </w:abstractNum>
  <w:abstractNum w:abstractNumId="3">
    <w:nsid w:val="FFFFFF81"/>
    <w:multiLevelType w:val="singleLevel"/>
    <w:tmpl w:val="834C712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74A3FC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5BC4B0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5AEC072"/>
    <w:lvl w:ilvl="0">
      <w:start w:val="1"/>
      <w:numFmt w:val="decimal"/>
      <w:pStyle w:val="ListNumber"/>
      <w:lvlText w:val="%1."/>
      <w:lvlJc w:val="left"/>
      <w:pPr>
        <w:tabs>
          <w:tab w:val="num" w:pos="360"/>
        </w:tabs>
        <w:ind w:left="360" w:hanging="360"/>
      </w:pPr>
    </w:lvl>
  </w:abstractNum>
  <w:abstractNum w:abstractNumId="7">
    <w:nsid w:val="FFFFFF89"/>
    <w:multiLevelType w:val="singleLevel"/>
    <w:tmpl w:val="55B6923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3A965BE6"/>
    <w:multiLevelType w:val="hybridMultilevel"/>
    <w:tmpl w:val="B6D0F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3"/>
  </w:num>
  <w:num w:numId="12">
    <w:abstractNumId w:val="21"/>
  </w:num>
  <w:num w:numId="13">
    <w:abstractNumId w:val="11"/>
  </w:num>
  <w:num w:numId="14">
    <w:abstractNumId w:val="14"/>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hideSpellingErrors/>
  <w:hideGrammaticalErrors/>
  <w:revisionView w:markup="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Status" w:val="Green"/>
    <w:docVar w:name="LW_ACCOMPAGNANT.CP" w:val="&lt;UNUSED&gt;"/>
    <w:docVar w:name="LW_CORRIGENDUM" w:val="&lt;UNUSED&gt;"/>
    <w:docVar w:name="LW_COVERPAGE_EXISTS" w:val="True"/>
    <w:docVar w:name="LW_COVERPAGE_GUID" w:val="24CA3576-CAE4-4AA1-9A2E-1B4C5770A481"/>
    <w:docVar w:name="LW_COVERPAGE_TYPE" w:val="1"/>
    <w:docVar w:name="LW_CROSSREFERENCE" w:val="&lt;UNUSED&gt;"/>
    <w:docVar w:name="LW_DATE.ADOPT.CP_ISODATE" w:val="&lt;EMPTY&gt;"/>
    <w:docVar w:name="LW_DocType" w:val="NORMAL"/>
    <w:docVar w:name="LW_EMISSION" w:val="28.1.2019"/>
    <w:docVar w:name="LW_EMISSION_ISODATE" w:val="2019-01-28"/>
    <w:docVar w:name="LW_EMISSION_LOCATION" w:val="BRX"/>
    <w:docVar w:name="LW_EMISSION_PREFIX" w:val="Brussels, "/>
    <w:docVar w:name="LW_EMISSION_SUFFIX" w:val=" "/>
    <w:docVar w:name="LW_ID_DOCTYPE_NONLW" w:val="CP-006"/>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9) 1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on the implementation of Council Regulation (EC) No 577/98&lt;/FMT&gt;_x000d__x000b_"/>
    <w:docVar w:name="LW_TYPE.DOC.CP" w:val="REPORT FROM THE COMMISSION TO THE EUROPEAN PARLIAMENT AND THE COUNCIL"/>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Text1"/>
    <w:link w:val="Heading1Char"/>
    <w:uiPriority w:val="9"/>
    <w:qFormat/>
    <w:pPr>
      <w:keepNext/>
      <w:numPr>
        <w:numId w:val="9"/>
      </w:numPr>
      <w:spacing w:before="360" w:after="120" w:line="240" w:lineRule="auto"/>
      <w:jc w:val="both"/>
      <w:outlineLvl w:val="0"/>
    </w:pPr>
    <w:rPr>
      <w:rFonts w:ascii="Times New Roman" w:eastAsia="Times New Roman" w:hAnsi="Times New Roman"/>
      <w:b/>
      <w:bCs/>
      <w:smallCaps/>
      <w:sz w:val="24"/>
      <w:szCs w:val="28"/>
    </w:rPr>
  </w:style>
  <w:style w:type="paragraph" w:styleId="Heading2">
    <w:name w:val="heading 2"/>
    <w:basedOn w:val="Normal"/>
    <w:next w:val="Text1"/>
    <w:link w:val="Heading2Char"/>
    <w:uiPriority w:val="9"/>
    <w:semiHidden/>
    <w:unhideWhenUsed/>
    <w:qFormat/>
    <w:pPr>
      <w:keepNext/>
      <w:numPr>
        <w:ilvl w:val="1"/>
        <w:numId w:val="9"/>
      </w:numPr>
      <w:spacing w:before="120" w:after="120" w:line="240" w:lineRule="auto"/>
      <w:jc w:val="both"/>
      <w:outlineLvl w:val="1"/>
    </w:pPr>
    <w:rPr>
      <w:rFonts w:ascii="Times New Roman" w:eastAsia="Times New Roman" w:hAnsi="Times New Roman"/>
      <w:b/>
      <w:bCs/>
      <w:sz w:val="24"/>
      <w:szCs w:val="26"/>
    </w:rPr>
  </w:style>
  <w:style w:type="paragraph" w:styleId="Heading3">
    <w:name w:val="heading 3"/>
    <w:basedOn w:val="Normal"/>
    <w:next w:val="Text1"/>
    <w:link w:val="Heading3Char"/>
    <w:uiPriority w:val="9"/>
    <w:semiHidden/>
    <w:unhideWhenUsed/>
    <w:qFormat/>
    <w:pPr>
      <w:keepNext/>
      <w:numPr>
        <w:ilvl w:val="2"/>
        <w:numId w:val="9"/>
      </w:numPr>
      <w:spacing w:before="120" w:after="120" w:line="240" w:lineRule="auto"/>
      <w:jc w:val="both"/>
      <w:outlineLvl w:val="2"/>
    </w:pPr>
    <w:rPr>
      <w:rFonts w:ascii="Times New Roman" w:eastAsia="Times New Roman" w:hAnsi="Times New Roman"/>
      <w:bCs/>
      <w:i/>
      <w:sz w:val="24"/>
    </w:rPr>
  </w:style>
  <w:style w:type="paragraph" w:styleId="Heading4">
    <w:name w:val="heading 4"/>
    <w:basedOn w:val="Normal"/>
    <w:next w:val="Text1"/>
    <w:link w:val="Heading4Char"/>
    <w:uiPriority w:val="9"/>
    <w:semiHidden/>
    <w:unhideWhenUsed/>
    <w:qFormat/>
    <w:pPr>
      <w:keepNext/>
      <w:numPr>
        <w:ilvl w:val="3"/>
        <w:numId w:val="9"/>
      </w:numPr>
      <w:spacing w:before="120" w:after="120" w:line="240" w:lineRule="auto"/>
      <w:jc w:val="both"/>
      <w:outlineLvl w:val="3"/>
    </w:pPr>
    <w:rPr>
      <w:rFonts w:ascii="Times New Roman" w:eastAsia="Times New Roman" w:hAnsi="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val="en-GB"/>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lang w:val="en-GB"/>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lang w:val="en-GB"/>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val="en-GB"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link w:val="FooterSensitivity"/>
    <w:rPr>
      <w:rFonts w:ascii="Times New Roman" w:hAnsi="Times New Roman"/>
      <w:b/>
      <w:sz w:val="32"/>
      <w:szCs w:val="22"/>
      <w:lang w:val="en-GB"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val="en-GB"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link w:val="HeaderSensitivity"/>
    <w:rPr>
      <w:rFonts w:ascii="Times New Roman" w:hAnsi="Times New Roman"/>
      <w:b/>
      <w:sz w:val="32"/>
      <w:szCs w:val="22"/>
      <w:lang w:val="en-GB" w:eastAsia="en-US"/>
    </w:rPr>
  </w:style>
  <w:style w:type="character" w:customStyle="1" w:styleId="Heading1Char">
    <w:name w:val="Heading 1 Char"/>
    <w:link w:val="Heading1"/>
    <w:uiPriority w:val="9"/>
    <w:rPr>
      <w:rFonts w:ascii="Times New Roman" w:eastAsia="Times New Roman" w:hAnsi="Times New Roman" w:cs="Times New Roman"/>
      <w:b/>
      <w:bCs/>
      <w:smallCaps/>
      <w:sz w:val="24"/>
      <w:szCs w:val="28"/>
      <w:lang w:val="en-GB"/>
    </w:rPr>
  </w:style>
  <w:style w:type="character" w:customStyle="1" w:styleId="Heading2Char">
    <w:name w:val="Heading 2 Char"/>
    <w:link w:val="Heading2"/>
    <w:uiPriority w:val="9"/>
    <w:semiHidden/>
    <w:rPr>
      <w:rFonts w:ascii="Times New Roman" w:eastAsia="Times New Roman" w:hAnsi="Times New Roman" w:cs="Times New Roman"/>
      <w:b/>
      <w:bCs/>
      <w:sz w:val="24"/>
      <w:szCs w:val="26"/>
      <w:lang w:val="en-GB"/>
    </w:rPr>
  </w:style>
  <w:style w:type="character" w:customStyle="1" w:styleId="Heading3Char">
    <w:name w:val="Heading 3 Char"/>
    <w:link w:val="Heading3"/>
    <w:uiPriority w:val="9"/>
    <w:semiHidden/>
    <w:rPr>
      <w:rFonts w:ascii="Times New Roman" w:eastAsia="Times New Roman" w:hAnsi="Times New Roman" w:cs="Times New Roman"/>
      <w:bCs/>
      <w:i/>
      <w:sz w:val="24"/>
      <w:lang w:val="en-GB"/>
    </w:rPr>
  </w:style>
  <w:style w:type="character" w:customStyle="1" w:styleId="Heading4Char">
    <w:name w:val="Heading 4 Char"/>
    <w:link w:val="Heading4"/>
    <w:uiPriority w:val="9"/>
    <w:semiHidden/>
    <w:rPr>
      <w:rFonts w:ascii="Times New Roman" w:eastAsia="Times New Roman" w:hAnsi="Times New Roman" w:cs="Times New Roman"/>
      <w:bCs/>
      <w:iCs/>
      <w:sz w:val="24"/>
      <w:lang w:val="en-GB"/>
    </w:rPr>
  </w:style>
  <w:style w:type="paragraph" w:customStyle="1" w:styleId="Formatolibre">
    <w:name w:val="Formato libre"/>
    <w:pPr>
      <w:spacing w:after="200" w:line="276" w:lineRule="auto"/>
    </w:pPr>
    <w:rPr>
      <w:rFonts w:eastAsia="ヒラギノ角ゴ Pro W3"/>
      <w:color w:val="000000"/>
      <w:sz w:val="22"/>
      <w:szCs w:val="22"/>
      <w:lang w:val="en-US" w:eastAsia="en-US"/>
    </w:rPr>
  </w:style>
  <w:style w:type="numbering" w:customStyle="1" w:styleId="List1">
    <w:name w:val="List 1"/>
    <w:autoRedefine/>
  </w:style>
  <w:style w:type="character" w:customStyle="1" w:styleId="Caratteredellanota">
    <w:name w:val="Carattere della nota"/>
    <w:rPr>
      <w:color w:val="000000"/>
      <w:sz w:val="20"/>
      <w:vertAlign w:val="superscript"/>
    </w:rPr>
  </w:style>
  <w:style w:type="paragraph" w:customStyle="1" w:styleId="FootnoteText1">
    <w:name w:val="Footnote Text1"/>
    <w:pPr>
      <w:spacing w:after="200" w:line="276" w:lineRule="auto"/>
      <w:ind w:left="720" w:hanging="720"/>
      <w:jc w:val="both"/>
    </w:pPr>
    <w:rPr>
      <w:rFonts w:eastAsia="ヒラギノ角ゴ Pro W3"/>
      <w:color w:val="000000"/>
      <w:sz w:val="22"/>
      <w:szCs w:val="22"/>
      <w:lang w:val="en-US" w:eastAsia="en-US"/>
    </w:rPr>
  </w:style>
  <w:style w:type="character" w:customStyle="1" w:styleId="FootnoteReference1">
    <w:name w:val="Footnote Reference1"/>
    <w:rPr>
      <w:color w:val="000000"/>
      <w:sz w:val="20"/>
      <w:vertAlign w:val="superscript"/>
    </w:rPr>
  </w:style>
  <w:style w:type="character" w:customStyle="1" w:styleId="Hyperlink1">
    <w:name w:val="Hyperlink1"/>
    <w:rPr>
      <w:color w:val="0027F3"/>
      <w:sz w:val="20"/>
      <w:u w:val="single"/>
    </w:rPr>
  </w:style>
  <w:style w:type="character" w:styleId="CommentReference">
    <w:name w:val="annotation reference"/>
    <w:semiHidden/>
    <w:rPr>
      <w:sz w:val="16"/>
      <w:szCs w:val="16"/>
      <w:shd w:val="clear" w:color="auto" w:fill="auto"/>
    </w:rPr>
  </w:style>
  <w:style w:type="paragraph" w:styleId="CommentText">
    <w:name w:val="annotation text"/>
    <w:basedOn w:val="Normal"/>
    <w:link w:val="CommentTextChar"/>
    <w:semiHidden/>
    <w:pPr>
      <w:spacing w:before="120" w:after="120" w:line="240" w:lineRule="auto"/>
      <w:jc w:val="both"/>
    </w:pPr>
    <w:rPr>
      <w:rFonts w:ascii="Times New Roman" w:eastAsia="ヒラギノ角ゴ Pro W3" w:hAnsi="Times New Roman"/>
      <w:color w:val="000000"/>
      <w:sz w:val="20"/>
      <w:szCs w:val="20"/>
    </w:rPr>
  </w:style>
  <w:style w:type="character" w:customStyle="1" w:styleId="CommentTextChar">
    <w:name w:val="Comment Text Char"/>
    <w:link w:val="CommentText"/>
    <w:semiHidden/>
    <w:rPr>
      <w:rFonts w:ascii="Times New Roman" w:eastAsia="ヒラギノ角ゴ Pro W3" w:hAnsi="Times New Roman" w:cs="Times New Roman"/>
      <w:color w:val="000000"/>
      <w:sz w:val="20"/>
      <w:szCs w:val="20"/>
      <w:lang w:val="en-GB"/>
    </w:rPr>
  </w:style>
  <w:style w:type="character" w:customStyle="1" w:styleId="long-description">
    <w:name w:val="long-description"/>
    <w:rPr>
      <w:shd w:val="clear" w:color="auto" w:fill="auto"/>
    </w:rPr>
  </w:style>
  <w:style w:type="paragraph" w:styleId="Caption">
    <w:name w:val="caption"/>
    <w:basedOn w:val="Normal"/>
    <w:next w:val="Normal"/>
    <w:qFormat/>
    <w:pPr>
      <w:spacing w:before="120" w:after="120" w:line="240" w:lineRule="auto"/>
      <w:jc w:val="both"/>
    </w:pPr>
    <w:rPr>
      <w:rFonts w:ascii="Times New Roman" w:hAnsi="Times New Roman"/>
      <w:b/>
      <w:bCs/>
      <w:sz w:val="20"/>
      <w:szCs w:val="20"/>
    </w:rPr>
  </w:style>
  <w:style w:type="paragraph" w:styleId="TableofFigures">
    <w:name w:val="table of figures"/>
    <w:basedOn w:val="Normal"/>
    <w:next w:val="Normal"/>
    <w:semiHidden/>
    <w:pPr>
      <w:spacing w:before="120" w:after="120" w:line="240" w:lineRule="auto"/>
      <w:jc w:val="both"/>
    </w:pPr>
    <w:rPr>
      <w:rFonts w:ascii="Times New Roman" w:hAnsi="Times New Roman"/>
      <w:sz w:val="24"/>
    </w:rPr>
  </w:style>
  <w:style w:type="paragraph" w:styleId="ListBullet">
    <w:name w:val="List Bullet"/>
    <w:basedOn w:val="Normal"/>
    <w:pPr>
      <w:numPr>
        <w:numId w:val="1"/>
      </w:numPr>
      <w:spacing w:before="120" w:after="120" w:line="240" w:lineRule="auto"/>
      <w:jc w:val="both"/>
    </w:pPr>
    <w:rPr>
      <w:rFonts w:ascii="Times New Roman" w:hAnsi="Times New Roman"/>
      <w:sz w:val="24"/>
    </w:rPr>
  </w:style>
  <w:style w:type="paragraph" w:styleId="ListBullet2">
    <w:name w:val="List Bullet 2"/>
    <w:basedOn w:val="Normal"/>
    <w:pPr>
      <w:numPr>
        <w:numId w:val="2"/>
      </w:numPr>
      <w:spacing w:before="120" w:after="120" w:line="240" w:lineRule="auto"/>
      <w:jc w:val="both"/>
    </w:pPr>
    <w:rPr>
      <w:rFonts w:ascii="Times New Roman" w:hAnsi="Times New Roman"/>
      <w:sz w:val="24"/>
    </w:rPr>
  </w:style>
  <w:style w:type="paragraph" w:styleId="ListBullet3">
    <w:name w:val="List Bullet 3"/>
    <w:basedOn w:val="Normal"/>
    <w:pPr>
      <w:numPr>
        <w:numId w:val="3"/>
      </w:numPr>
      <w:spacing w:before="120" w:after="120" w:line="240" w:lineRule="auto"/>
      <w:jc w:val="both"/>
    </w:pPr>
    <w:rPr>
      <w:rFonts w:ascii="Times New Roman" w:hAnsi="Times New Roman"/>
      <w:sz w:val="24"/>
    </w:rPr>
  </w:style>
  <w:style w:type="paragraph" w:styleId="ListBullet4">
    <w:name w:val="List Bullet 4"/>
    <w:basedOn w:val="Normal"/>
    <w:pPr>
      <w:numPr>
        <w:numId w:val="4"/>
      </w:numPr>
      <w:spacing w:before="120" w:after="120" w:line="240" w:lineRule="auto"/>
      <w:jc w:val="both"/>
    </w:pPr>
    <w:rPr>
      <w:rFonts w:ascii="Times New Roman" w:hAnsi="Times New Roman"/>
      <w:sz w:val="24"/>
    </w:rPr>
  </w:style>
  <w:style w:type="paragraph" w:styleId="ListNumber">
    <w:name w:val="List Number"/>
    <w:basedOn w:val="Normal"/>
    <w:pPr>
      <w:numPr>
        <w:numId w:val="5"/>
      </w:numPr>
      <w:spacing w:before="120" w:after="120" w:line="240" w:lineRule="auto"/>
      <w:jc w:val="both"/>
    </w:pPr>
    <w:rPr>
      <w:rFonts w:ascii="Times New Roman" w:hAnsi="Times New Roman"/>
      <w:sz w:val="24"/>
    </w:rPr>
  </w:style>
  <w:style w:type="paragraph" w:styleId="ListNumber2">
    <w:name w:val="List Number 2"/>
    <w:basedOn w:val="Normal"/>
    <w:pPr>
      <w:numPr>
        <w:numId w:val="6"/>
      </w:numPr>
      <w:spacing w:before="120" w:after="120" w:line="240" w:lineRule="auto"/>
      <w:jc w:val="both"/>
    </w:pPr>
    <w:rPr>
      <w:rFonts w:ascii="Times New Roman" w:hAnsi="Times New Roman"/>
      <w:sz w:val="24"/>
    </w:rPr>
  </w:style>
  <w:style w:type="paragraph" w:styleId="ListNumber3">
    <w:name w:val="List Number 3"/>
    <w:basedOn w:val="Normal"/>
    <w:pPr>
      <w:numPr>
        <w:numId w:val="7"/>
      </w:numPr>
      <w:spacing w:before="120" w:after="120" w:line="240" w:lineRule="auto"/>
      <w:jc w:val="both"/>
    </w:pPr>
    <w:rPr>
      <w:rFonts w:ascii="Times New Roman" w:hAnsi="Times New Roman"/>
      <w:sz w:val="24"/>
    </w:rPr>
  </w:style>
  <w:style w:type="paragraph" w:styleId="ListNumber4">
    <w:name w:val="List Number 4"/>
    <w:basedOn w:val="Normal"/>
    <w:pPr>
      <w:numPr>
        <w:numId w:val="8"/>
      </w:numPr>
      <w:spacing w:before="120" w:after="120" w:line="240" w:lineRule="auto"/>
      <w:jc w:val="both"/>
    </w:pPr>
    <w:rPr>
      <w:rFonts w:ascii="Times New Roman" w:hAnsi="Times New Roman"/>
      <w:sz w:val="24"/>
    </w:rPr>
  </w:style>
  <w:style w:type="paragraph" w:styleId="CommentSubject">
    <w:name w:val="annotation subject"/>
    <w:basedOn w:val="CommentText"/>
    <w:next w:val="CommentText"/>
    <w:link w:val="CommentSubjectChar"/>
    <w:semiHidden/>
    <w:rPr>
      <w:rFonts w:eastAsia="Times New Roman"/>
      <w:b/>
      <w:bCs/>
      <w:color w:val="auto"/>
    </w:rPr>
  </w:style>
  <w:style w:type="character" w:customStyle="1" w:styleId="CommentSubjectChar">
    <w:name w:val="Comment Subject Char"/>
    <w:link w:val="CommentSubject"/>
    <w:semiHidden/>
    <w:rPr>
      <w:rFonts w:ascii="Times New Roman" w:eastAsia="Times New Roman" w:hAnsi="Times New Roman" w:cs="Times New Roman"/>
      <w:b/>
      <w:bCs/>
      <w:color w:val="000000"/>
      <w:sz w:val="20"/>
      <w:szCs w:val="20"/>
      <w:lang w:val="en-GB"/>
    </w:rPr>
  </w:style>
  <w:style w:type="character" w:styleId="Hyperlink">
    <w:name w:val="Hyperlink"/>
    <w:rPr>
      <w:color w:val="0000FF"/>
      <w:u w:val="single"/>
      <w:shd w:val="clear" w:color="auto" w:fill="auto"/>
    </w:rPr>
  </w:style>
  <w:style w:type="paragraph" w:styleId="Revision">
    <w:name w:val="Revision"/>
    <w:hidden/>
    <w:uiPriority w:val="99"/>
    <w:semiHidden/>
    <w:pPr>
      <w:spacing w:after="200" w:line="276" w:lineRule="auto"/>
    </w:pPr>
    <w:rPr>
      <w:sz w:val="24"/>
      <w:szCs w:val="24"/>
      <w:lang w:val="en-US" w:eastAsia="en-US"/>
    </w:rPr>
  </w:style>
  <w:style w:type="character" w:styleId="FollowedHyperlink">
    <w:name w:val="FollowedHyperlink"/>
    <w:rPr>
      <w:color w:val="800080"/>
      <w:u w:val="single"/>
      <w:shd w:val="clear" w:color="auto" w:fill="auto"/>
    </w:rPr>
  </w:style>
  <w:style w:type="paragraph" w:customStyle="1" w:styleId="Sous-titreobjet">
    <w:name w:val="Sous-titre objet"/>
    <w:basedOn w:val="Normal"/>
    <w:pPr>
      <w:spacing w:after="0" w:line="240" w:lineRule="auto"/>
      <w:jc w:val="center"/>
    </w:pPr>
    <w:rPr>
      <w:rFonts w:ascii="Times New Roman" w:hAnsi="Times New Roman"/>
      <w:b/>
      <w:sz w:val="24"/>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spacing w:before="120" w:after="120" w:line="240" w:lineRule="auto"/>
      <w:ind w:left="720"/>
      <w:contextualSpacing/>
      <w:jc w:val="both"/>
    </w:pPr>
    <w:rPr>
      <w:rFonts w:ascii="Times New Roman" w:hAnsi="Times New Roman"/>
      <w:sz w:val="24"/>
    </w:rPr>
  </w:style>
  <w:style w:type="character" w:styleId="Strong">
    <w:name w:val="Strong"/>
    <w:uiPriority w:val="22"/>
    <w:qFormat/>
    <w:rPr>
      <w:b/>
      <w:bCs/>
    </w:rPr>
  </w:style>
  <w:style w:type="paragraph" w:styleId="NormalWeb">
    <w:name w:val="Normal (Web)"/>
    <w:basedOn w:val="Normal"/>
    <w:unhideWhenUsed/>
    <w:pPr>
      <w:spacing w:before="100" w:beforeAutospacing="1" w:after="100" w:afterAutospacing="1" w:line="240" w:lineRule="auto"/>
    </w:pPr>
    <w:rPr>
      <w:rFonts w:ascii="Times New Roman" w:hAnsi="Times New Roman"/>
      <w:sz w:val="24"/>
      <w:szCs w:val="24"/>
    </w:rPr>
  </w:style>
  <w:style w:type="paragraph" w:customStyle="1" w:styleId="Default">
    <w:name w:val="Default"/>
    <w:pPr>
      <w:autoSpaceDE w:val="0"/>
      <w:autoSpaceDN w:val="0"/>
      <w:adjustRightInd w:val="0"/>
    </w:pPr>
    <w:rPr>
      <w:color w:val="000000"/>
      <w:sz w:val="24"/>
      <w:szCs w:val="24"/>
      <w:lang w:val="en-US" w:eastAsia="en-US"/>
    </w:rPr>
  </w:style>
  <w:style w:type="character" w:styleId="Emphasis">
    <w:name w:val="Emphasis"/>
    <w:uiPriority w:val="20"/>
    <w:qFormat/>
    <w:rPr>
      <w:i/>
      <w:iCs/>
    </w:rPr>
  </w:style>
  <w:style w:type="paragraph" w:styleId="FootnoteText">
    <w:name w:val="footnote text"/>
    <w:basedOn w:val="Normal"/>
    <w:uiPriority w:val="99"/>
    <w:unhideWhenUsed/>
    <w:pPr>
      <w:spacing w:after="0" w:line="240" w:lineRule="auto"/>
      <w:ind w:left="720" w:hanging="720"/>
      <w:jc w:val="both"/>
    </w:pPr>
    <w:rPr>
      <w:rFonts w:ascii="Times New Roman" w:hAnsi="Times New Roman"/>
      <w:sz w:val="20"/>
      <w:szCs w:val="20"/>
    </w:rPr>
  </w:style>
  <w:style w:type="character" w:customStyle="1" w:styleId="FootnoteTextChar">
    <w:name w:val="Footnote Text Char"/>
    <w:uiPriority w:val="99"/>
    <w:semiHidden/>
    <w:rPr>
      <w:rFonts w:ascii="Times New Roman" w:hAnsi="Times New Roman" w:cs="Times New Roman"/>
      <w:sz w:val="20"/>
      <w:szCs w:val="20"/>
      <w:lang w:val="en-GB"/>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hAnsi="Times New Roman"/>
      <w:b/>
      <w:sz w:val="28"/>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hAnsi="Times New Roman"/>
      <w:sz w:val="24"/>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hAnsi="Times New Roman"/>
      <w:sz w:val="24"/>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hAnsi="Times New Roman"/>
      <w:sz w:val="24"/>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hAnsi="Times New Roman"/>
      <w:sz w:val="24"/>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hAnsi="Times New Roman"/>
      <w:sz w:val="24"/>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hAnsi="Times New Roman"/>
      <w:sz w:val="24"/>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hAnsi="Times New Roman"/>
      <w:sz w:val="24"/>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hAnsi="Times New Roman"/>
      <w:sz w:val="24"/>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sz w:val="24"/>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hAnsi="Times New Roman"/>
      <w:sz w:val="24"/>
    </w:rPr>
  </w:style>
  <w:style w:type="paragraph" w:customStyle="1" w:styleId="Text2">
    <w:name w:val="Text 2"/>
    <w:basedOn w:val="Normal"/>
    <w:pPr>
      <w:spacing w:before="120" w:after="120" w:line="240" w:lineRule="auto"/>
      <w:ind w:left="1417"/>
      <w:jc w:val="both"/>
    </w:pPr>
    <w:rPr>
      <w:rFonts w:ascii="Times New Roman" w:hAnsi="Times New Roman"/>
      <w:sz w:val="24"/>
    </w:rPr>
  </w:style>
  <w:style w:type="paragraph" w:customStyle="1" w:styleId="Text3">
    <w:name w:val="Text 3"/>
    <w:basedOn w:val="Normal"/>
    <w:pPr>
      <w:spacing w:before="120" w:after="120" w:line="240" w:lineRule="auto"/>
      <w:ind w:left="1984"/>
      <w:jc w:val="both"/>
    </w:pPr>
    <w:rPr>
      <w:rFonts w:ascii="Times New Roman" w:hAnsi="Times New Roman"/>
      <w:sz w:val="24"/>
    </w:rPr>
  </w:style>
  <w:style w:type="paragraph" w:customStyle="1" w:styleId="Text4">
    <w:name w:val="Text 4"/>
    <w:basedOn w:val="Normal"/>
    <w:pPr>
      <w:spacing w:before="120" w:after="120" w:line="240" w:lineRule="auto"/>
      <w:ind w:left="2551"/>
      <w:jc w:val="both"/>
    </w:pPr>
    <w:rPr>
      <w:rFonts w:ascii="Times New Roman" w:hAnsi="Times New Roman"/>
      <w:sz w:val="24"/>
    </w:rPr>
  </w:style>
  <w:style w:type="paragraph" w:customStyle="1" w:styleId="NormalCentered">
    <w:name w:val="Normal Centered"/>
    <w:basedOn w:val="Normal"/>
    <w:pPr>
      <w:spacing w:before="120" w:after="120" w:line="240" w:lineRule="auto"/>
      <w:jc w:val="center"/>
    </w:pPr>
    <w:rPr>
      <w:rFonts w:ascii="Times New Roman" w:hAnsi="Times New Roman"/>
      <w:sz w:val="24"/>
    </w:rPr>
  </w:style>
  <w:style w:type="paragraph" w:customStyle="1" w:styleId="NormalLeft">
    <w:name w:val="Normal Left"/>
    <w:basedOn w:val="Normal"/>
    <w:pPr>
      <w:spacing w:before="120" w:after="120" w:line="240" w:lineRule="auto"/>
    </w:pPr>
    <w:rPr>
      <w:rFonts w:ascii="Times New Roman" w:hAnsi="Times New Roman"/>
      <w:sz w:val="24"/>
    </w:rPr>
  </w:style>
  <w:style w:type="paragraph" w:customStyle="1" w:styleId="NormalRight">
    <w:name w:val="Normal Right"/>
    <w:basedOn w:val="Normal"/>
    <w:pPr>
      <w:spacing w:before="120" w:after="120" w:line="240" w:lineRule="auto"/>
      <w:jc w:val="right"/>
    </w:pPr>
    <w:rPr>
      <w:rFonts w:ascii="Times New Roman" w:hAnsi="Times New Roman"/>
      <w:sz w:val="24"/>
    </w:rPr>
  </w:style>
  <w:style w:type="paragraph" w:customStyle="1" w:styleId="QuotedText">
    <w:name w:val="Quoted Text"/>
    <w:basedOn w:val="Normal"/>
    <w:pPr>
      <w:spacing w:before="120" w:after="120" w:line="240" w:lineRule="auto"/>
      <w:ind w:left="1417"/>
      <w:jc w:val="both"/>
    </w:pPr>
    <w:rPr>
      <w:rFonts w:ascii="Times New Roman" w:hAnsi="Times New Roman"/>
      <w:sz w:val="24"/>
    </w:rPr>
  </w:style>
  <w:style w:type="paragraph" w:customStyle="1" w:styleId="Point0">
    <w:name w:val="Point 0"/>
    <w:basedOn w:val="Normal"/>
    <w:pPr>
      <w:spacing w:before="120" w:after="120" w:line="240" w:lineRule="auto"/>
      <w:ind w:left="850" w:hanging="850"/>
      <w:jc w:val="both"/>
    </w:pPr>
    <w:rPr>
      <w:rFonts w:ascii="Times New Roman" w:hAnsi="Times New Roman"/>
      <w:sz w:val="24"/>
    </w:rPr>
  </w:style>
  <w:style w:type="paragraph" w:customStyle="1" w:styleId="Point1">
    <w:name w:val="Point 1"/>
    <w:basedOn w:val="Normal"/>
    <w:pPr>
      <w:spacing w:before="120" w:after="120" w:line="240" w:lineRule="auto"/>
      <w:ind w:left="1417" w:hanging="567"/>
      <w:jc w:val="both"/>
    </w:pPr>
    <w:rPr>
      <w:rFonts w:ascii="Times New Roman" w:hAnsi="Times New Roman"/>
      <w:sz w:val="24"/>
    </w:rPr>
  </w:style>
  <w:style w:type="paragraph" w:customStyle="1" w:styleId="Point2">
    <w:name w:val="Point 2"/>
    <w:basedOn w:val="Normal"/>
    <w:pPr>
      <w:spacing w:before="120" w:after="120" w:line="240" w:lineRule="auto"/>
      <w:ind w:left="1984" w:hanging="567"/>
      <w:jc w:val="both"/>
    </w:pPr>
    <w:rPr>
      <w:rFonts w:ascii="Times New Roman" w:hAnsi="Times New Roman"/>
      <w:sz w:val="24"/>
    </w:rPr>
  </w:style>
  <w:style w:type="paragraph" w:customStyle="1" w:styleId="Point3">
    <w:name w:val="Point 3"/>
    <w:basedOn w:val="Normal"/>
    <w:pPr>
      <w:spacing w:before="120" w:after="120" w:line="240" w:lineRule="auto"/>
      <w:ind w:left="2551" w:hanging="567"/>
      <w:jc w:val="both"/>
    </w:pPr>
    <w:rPr>
      <w:rFonts w:ascii="Times New Roman" w:hAnsi="Times New Roman"/>
      <w:sz w:val="24"/>
    </w:rPr>
  </w:style>
  <w:style w:type="paragraph" w:customStyle="1" w:styleId="Point4">
    <w:name w:val="Point 4"/>
    <w:basedOn w:val="Normal"/>
    <w:pPr>
      <w:spacing w:before="120" w:after="120" w:line="240" w:lineRule="auto"/>
      <w:ind w:left="3118" w:hanging="567"/>
      <w:jc w:val="both"/>
    </w:pPr>
    <w:rPr>
      <w:rFonts w:ascii="Times New Roman" w:hAnsi="Times New Roman"/>
      <w:sz w:val="24"/>
    </w:r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hAnsi="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hAnsi="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hAnsi="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hAnsi="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hAnsi="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hAnsi="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hAnsi="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hAnsi="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hAnsi="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hAnsi="Times New Roman"/>
      <w:sz w:val="24"/>
    </w:rPr>
  </w:style>
  <w:style w:type="paragraph" w:customStyle="1" w:styleId="NumPar1">
    <w:name w:val="NumPar 1"/>
    <w:basedOn w:val="Normal"/>
    <w:next w:val="Text1"/>
    <w:pPr>
      <w:numPr>
        <w:numId w:val="15"/>
      </w:numPr>
      <w:spacing w:before="120" w:after="120" w:line="240" w:lineRule="auto"/>
      <w:jc w:val="both"/>
    </w:pPr>
    <w:rPr>
      <w:rFonts w:ascii="Times New Roman" w:hAnsi="Times New Roman"/>
      <w:sz w:val="24"/>
    </w:rPr>
  </w:style>
  <w:style w:type="paragraph" w:customStyle="1" w:styleId="NumPar2">
    <w:name w:val="NumPar 2"/>
    <w:basedOn w:val="Normal"/>
    <w:next w:val="Text1"/>
    <w:pPr>
      <w:numPr>
        <w:ilvl w:val="1"/>
        <w:numId w:val="15"/>
      </w:numPr>
      <w:spacing w:before="120" w:after="120" w:line="240" w:lineRule="auto"/>
      <w:jc w:val="both"/>
    </w:pPr>
    <w:rPr>
      <w:rFonts w:ascii="Times New Roman" w:hAnsi="Times New Roman"/>
      <w:sz w:val="24"/>
    </w:rPr>
  </w:style>
  <w:style w:type="paragraph" w:customStyle="1" w:styleId="NumPar3">
    <w:name w:val="NumPar 3"/>
    <w:basedOn w:val="Normal"/>
    <w:next w:val="Text1"/>
    <w:pPr>
      <w:numPr>
        <w:ilvl w:val="2"/>
        <w:numId w:val="15"/>
      </w:numPr>
      <w:spacing w:before="120" w:after="120" w:line="240" w:lineRule="auto"/>
      <w:jc w:val="both"/>
    </w:pPr>
    <w:rPr>
      <w:rFonts w:ascii="Times New Roman" w:hAnsi="Times New Roman"/>
      <w:sz w:val="24"/>
    </w:rPr>
  </w:style>
  <w:style w:type="paragraph" w:customStyle="1" w:styleId="NumPar4">
    <w:name w:val="NumPar 4"/>
    <w:basedOn w:val="Normal"/>
    <w:next w:val="Text1"/>
    <w:pPr>
      <w:numPr>
        <w:ilvl w:val="3"/>
        <w:numId w:val="15"/>
      </w:numPr>
      <w:spacing w:before="120" w:after="120" w:line="240" w:lineRule="auto"/>
      <w:jc w:val="both"/>
    </w:pPr>
    <w:rPr>
      <w:rFonts w:ascii="Times New Roman" w:hAnsi="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hAnsi="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hAnsi="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hAnsi="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hAnsi="Times New Roman"/>
      <w:sz w:val="24"/>
    </w:rPr>
  </w:style>
  <w:style w:type="paragraph" w:customStyle="1" w:styleId="QuotedNumPar">
    <w:name w:val="Quoted NumPar"/>
    <w:basedOn w:val="Normal"/>
    <w:pPr>
      <w:spacing w:before="120" w:after="120" w:line="240" w:lineRule="auto"/>
      <w:ind w:left="1417" w:hanging="567"/>
      <w:jc w:val="both"/>
    </w:pPr>
    <w:rPr>
      <w:rFonts w:ascii="Times New Roman" w:hAnsi="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hAnsi="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hAnsi="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hAnsi="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hAnsi="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hAnsi="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hAnsi="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hAnsi="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hAnsi="Times New Roman"/>
      <w:b/>
      <w:sz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17"/>
      </w:numPr>
      <w:spacing w:before="120" w:after="120" w:line="240" w:lineRule="auto"/>
      <w:jc w:val="both"/>
    </w:pPr>
    <w:rPr>
      <w:rFonts w:ascii="Times New Roman" w:hAnsi="Times New Roman"/>
      <w:sz w:val="24"/>
    </w:rPr>
  </w:style>
  <w:style w:type="paragraph" w:customStyle="1" w:styleId="Point1number">
    <w:name w:val="Point 1 (number)"/>
    <w:basedOn w:val="Normal"/>
    <w:pPr>
      <w:numPr>
        <w:ilvl w:val="2"/>
        <w:numId w:val="17"/>
      </w:numPr>
      <w:spacing w:before="120" w:after="120" w:line="240" w:lineRule="auto"/>
      <w:jc w:val="both"/>
    </w:pPr>
    <w:rPr>
      <w:rFonts w:ascii="Times New Roman" w:hAnsi="Times New Roman"/>
      <w:sz w:val="24"/>
    </w:rPr>
  </w:style>
  <w:style w:type="paragraph" w:customStyle="1" w:styleId="Point2number">
    <w:name w:val="Point 2 (number)"/>
    <w:basedOn w:val="Normal"/>
    <w:pPr>
      <w:numPr>
        <w:ilvl w:val="4"/>
        <w:numId w:val="17"/>
      </w:numPr>
      <w:spacing w:before="120" w:after="120" w:line="240" w:lineRule="auto"/>
      <w:jc w:val="both"/>
    </w:pPr>
    <w:rPr>
      <w:rFonts w:ascii="Times New Roman" w:hAnsi="Times New Roman"/>
      <w:sz w:val="24"/>
    </w:rPr>
  </w:style>
  <w:style w:type="paragraph" w:customStyle="1" w:styleId="Point3number">
    <w:name w:val="Point 3 (number)"/>
    <w:basedOn w:val="Normal"/>
    <w:pPr>
      <w:numPr>
        <w:ilvl w:val="6"/>
        <w:numId w:val="17"/>
      </w:numPr>
      <w:spacing w:before="120" w:after="120" w:line="240" w:lineRule="auto"/>
      <w:jc w:val="both"/>
    </w:pPr>
    <w:rPr>
      <w:rFonts w:ascii="Times New Roman" w:hAnsi="Times New Roman"/>
      <w:sz w:val="24"/>
    </w:rPr>
  </w:style>
  <w:style w:type="paragraph" w:customStyle="1" w:styleId="Point0letter">
    <w:name w:val="Point 0 (letter)"/>
    <w:basedOn w:val="Normal"/>
    <w:pPr>
      <w:numPr>
        <w:ilvl w:val="1"/>
        <w:numId w:val="17"/>
      </w:numPr>
      <w:spacing w:before="120" w:after="120" w:line="240" w:lineRule="auto"/>
      <w:jc w:val="both"/>
    </w:pPr>
    <w:rPr>
      <w:rFonts w:ascii="Times New Roman" w:hAnsi="Times New Roman"/>
      <w:sz w:val="24"/>
    </w:rPr>
  </w:style>
  <w:style w:type="paragraph" w:customStyle="1" w:styleId="Point1letter">
    <w:name w:val="Point 1 (letter)"/>
    <w:basedOn w:val="Normal"/>
    <w:pPr>
      <w:numPr>
        <w:ilvl w:val="3"/>
        <w:numId w:val="17"/>
      </w:numPr>
      <w:spacing w:before="120" w:after="120" w:line="240" w:lineRule="auto"/>
      <w:jc w:val="both"/>
    </w:pPr>
    <w:rPr>
      <w:rFonts w:ascii="Times New Roman" w:hAnsi="Times New Roman"/>
      <w:sz w:val="24"/>
    </w:rPr>
  </w:style>
  <w:style w:type="paragraph" w:customStyle="1" w:styleId="Point2letter">
    <w:name w:val="Point 2 (letter)"/>
    <w:basedOn w:val="Normal"/>
    <w:pPr>
      <w:numPr>
        <w:ilvl w:val="5"/>
        <w:numId w:val="17"/>
      </w:numPr>
      <w:spacing w:before="120" w:after="120" w:line="240" w:lineRule="auto"/>
      <w:jc w:val="both"/>
    </w:pPr>
    <w:rPr>
      <w:rFonts w:ascii="Times New Roman" w:hAnsi="Times New Roman"/>
      <w:sz w:val="24"/>
    </w:rPr>
  </w:style>
  <w:style w:type="paragraph" w:customStyle="1" w:styleId="Point3letter">
    <w:name w:val="Point 3 (letter)"/>
    <w:basedOn w:val="Normal"/>
    <w:pPr>
      <w:numPr>
        <w:ilvl w:val="7"/>
        <w:numId w:val="17"/>
      </w:numPr>
      <w:spacing w:before="120" w:after="120" w:line="240" w:lineRule="auto"/>
      <w:jc w:val="both"/>
    </w:pPr>
    <w:rPr>
      <w:rFonts w:ascii="Times New Roman" w:hAnsi="Times New Roman"/>
      <w:sz w:val="24"/>
    </w:rPr>
  </w:style>
  <w:style w:type="paragraph" w:customStyle="1" w:styleId="Point4letter">
    <w:name w:val="Point 4 (letter)"/>
    <w:basedOn w:val="Normal"/>
    <w:pPr>
      <w:numPr>
        <w:ilvl w:val="8"/>
        <w:numId w:val="17"/>
      </w:numPr>
      <w:spacing w:before="120" w:after="120" w:line="240" w:lineRule="auto"/>
      <w:jc w:val="both"/>
    </w:pPr>
    <w:rPr>
      <w:rFonts w:ascii="Times New Roman" w:hAnsi="Times New Roman"/>
      <w:sz w:val="24"/>
    </w:rPr>
  </w:style>
  <w:style w:type="paragraph" w:customStyle="1" w:styleId="Bullet0">
    <w:name w:val="Bullet 0"/>
    <w:basedOn w:val="Normal"/>
    <w:pPr>
      <w:numPr>
        <w:numId w:val="18"/>
      </w:numPr>
      <w:spacing w:before="120" w:after="120" w:line="240" w:lineRule="auto"/>
      <w:jc w:val="both"/>
    </w:pPr>
    <w:rPr>
      <w:rFonts w:ascii="Times New Roman" w:hAnsi="Times New Roman"/>
      <w:sz w:val="24"/>
    </w:rPr>
  </w:style>
  <w:style w:type="paragraph" w:customStyle="1" w:styleId="Bullet1">
    <w:name w:val="Bullet 1"/>
    <w:basedOn w:val="Normal"/>
    <w:pPr>
      <w:numPr>
        <w:numId w:val="19"/>
      </w:numPr>
      <w:spacing w:before="120" w:after="120" w:line="240" w:lineRule="auto"/>
      <w:jc w:val="both"/>
    </w:pPr>
    <w:rPr>
      <w:rFonts w:ascii="Times New Roman" w:hAnsi="Times New Roman"/>
      <w:sz w:val="24"/>
    </w:rPr>
  </w:style>
  <w:style w:type="paragraph" w:customStyle="1" w:styleId="Bullet2">
    <w:name w:val="Bullet 2"/>
    <w:basedOn w:val="Normal"/>
    <w:pPr>
      <w:numPr>
        <w:numId w:val="20"/>
      </w:numPr>
      <w:spacing w:before="120" w:after="120" w:line="240" w:lineRule="auto"/>
      <w:jc w:val="both"/>
    </w:pPr>
    <w:rPr>
      <w:rFonts w:ascii="Times New Roman" w:hAnsi="Times New Roman"/>
      <w:sz w:val="24"/>
    </w:rPr>
  </w:style>
  <w:style w:type="paragraph" w:customStyle="1" w:styleId="Bullet3">
    <w:name w:val="Bullet 3"/>
    <w:basedOn w:val="Normal"/>
    <w:pPr>
      <w:numPr>
        <w:numId w:val="21"/>
      </w:numPr>
      <w:spacing w:before="120" w:after="120" w:line="240" w:lineRule="auto"/>
      <w:jc w:val="both"/>
    </w:pPr>
    <w:rPr>
      <w:rFonts w:ascii="Times New Roman" w:hAnsi="Times New Roman"/>
      <w:sz w:val="24"/>
    </w:rPr>
  </w:style>
  <w:style w:type="paragraph" w:customStyle="1" w:styleId="Bullet4">
    <w:name w:val="Bullet 4"/>
    <w:basedOn w:val="Normal"/>
    <w:pPr>
      <w:numPr>
        <w:numId w:val="22"/>
      </w:numPr>
      <w:spacing w:before="120" w:after="120" w:line="240" w:lineRule="auto"/>
      <w:jc w:val="both"/>
    </w:pPr>
    <w:rPr>
      <w:rFonts w:ascii="Times New Roman" w:hAnsi="Times New Roman"/>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hAnsi="Times New Roman"/>
      <w:b/>
      <w:caps/>
      <w:sz w:val="24"/>
    </w:rPr>
  </w:style>
  <w:style w:type="paragraph" w:customStyle="1" w:styleId="Nomdelinstitution">
    <w:name w:val="Nom de l'institution"/>
    <w:basedOn w:val="Normal"/>
    <w:next w:val="Emission"/>
    <w:pPr>
      <w:spacing w:after="0" w:line="240" w:lineRule="auto"/>
    </w:pPr>
    <w:rPr>
      <w:rFonts w:ascii="Arial" w:hAnsi="Arial" w:cs="Arial"/>
      <w:sz w:val="24"/>
    </w:rPr>
  </w:style>
  <w:style w:type="paragraph" w:customStyle="1" w:styleId="Emission">
    <w:name w:val="Emission"/>
    <w:basedOn w:val="Normal"/>
    <w:next w:val="Rfrenceinstitutionnelle"/>
    <w:pPr>
      <w:spacing w:after="0" w:line="240" w:lineRule="auto"/>
      <w:ind w:left="5103"/>
    </w:pPr>
    <w:rPr>
      <w:rFonts w:ascii="Times New Roman" w:hAnsi="Times New Roman"/>
      <w:sz w:val="24"/>
    </w:rPr>
  </w:style>
  <w:style w:type="paragraph" w:customStyle="1" w:styleId="Rfrenceinstitutionnelle">
    <w:name w:val="Référence institutionnelle"/>
    <w:basedOn w:val="Normal"/>
    <w:next w:val="Confidentialit"/>
    <w:pPr>
      <w:spacing w:after="240" w:line="240" w:lineRule="auto"/>
      <w:ind w:left="5103"/>
    </w:pPr>
    <w:rPr>
      <w:rFonts w:ascii="Times New Roman" w:hAnsi="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sz w:val="24"/>
    </w:rPr>
  </w:style>
  <w:style w:type="paragraph" w:customStyle="1" w:styleId="Annexetitreexpos">
    <w:name w:val="Annexe titre (exposé)"/>
    <w:basedOn w:val="Normal"/>
    <w:next w:val="Normal"/>
    <w:pPr>
      <w:spacing w:before="120" w:after="120" w:line="240" w:lineRule="auto"/>
      <w:jc w:val="center"/>
    </w:pPr>
    <w:rPr>
      <w:rFonts w:ascii="Times New Roman" w:hAnsi="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hAnsi="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hAnsi="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hAnsi="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hAnsi="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hAnsi="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hAnsi="Times New Roman"/>
      <w:i/>
      <w:sz w:val="32"/>
    </w:rPr>
  </w:style>
  <w:style w:type="paragraph" w:customStyle="1" w:styleId="Considrant">
    <w:name w:val="Considérant"/>
    <w:basedOn w:val="Normal"/>
    <w:pPr>
      <w:numPr>
        <w:numId w:val="23"/>
      </w:numPr>
      <w:spacing w:before="120" w:after="120" w:line="240" w:lineRule="auto"/>
      <w:jc w:val="both"/>
    </w:pPr>
    <w:rPr>
      <w:rFonts w:ascii="Times New Roman" w:hAnsi="Times New Roman"/>
      <w:sz w:val="24"/>
    </w:rPr>
  </w:style>
  <w:style w:type="paragraph" w:customStyle="1" w:styleId="Corrigendum">
    <w:name w:val="Corrigendum"/>
    <w:basedOn w:val="Normal"/>
    <w:next w:val="Normal"/>
    <w:pPr>
      <w:spacing w:after="240" w:line="240" w:lineRule="auto"/>
    </w:pPr>
    <w:rPr>
      <w:rFonts w:ascii="Times New Roman" w:hAnsi="Times New Roman"/>
      <w:sz w:val="24"/>
    </w:rPr>
  </w:style>
  <w:style w:type="paragraph" w:customStyle="1" w:styleId="Datedadoption">
    <w:name w:val="Date d'adoption"/>
    <w:basedOn w:val="Normal"/>
    <w:next w:val="Titreobjet"/>
    <w:pPr>
      <w:spacing w:before="360" w:after="0" w:line="240" w:lineRule="auto"/>
      <w:jc w:val="center"/>
    </w:pPr>
    <w:rPr>
      <w:rFonts w:ascii="Times New Roman" w:hAnsi="Times New Roman"/>
      <w:b/>
      <w:sz w:val="24"/>
    </w:rPr>
  </w:style>
  <w:style w:type="paragraph" w:customStyle="1" w:styleId="Exposdesmotifstitre">
    <w:name w:val="Exposé des motifs titre"/>
    <w:basedOn w:val="Normal"/>
    <w:next w:val="Normal"/>
    <w:pPr>
      <w:spacing w:before="120" w:after="120" w:line="240" w:lineRule="auto"/>
      <w:jc w:val="center"/>
    </w:pPr>
    <w:rPr>
      <w:rFonts w:ascii="Times New Roman" w:hAnsi="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hAnsi="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hAnsi="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hAnsi="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hAnsi="Times New Roman"/>
      <w:i/>
      <w:sz w:val="24"/>
    </w:rPr>
  </w:style>
  <w:style w:type="paragraph" w:customStyle="1" w:styleId="ManualConsidrant">
    <w:name w:val="Manual Considérant"/>
    <w:basedOn w:val="Normal"/>
    <w:pPr>
      <w:spacing w:before="120" w:after="120" w:line="240" w:lineRule="auto"/>
      <w:ind w:left="709" w:hanging="709"/>
      <w:jc w:val="both"/>
    </w:pPr>
    <w:rPr>
      <w:rFonts w:ascii="Times New Roman" w:hAnsi="Times New Roman"/>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hAnsi="Times New Roman"/>
      <w:i/>
      <w:sz w:val="24"/>
    </w:rPr>
  </w:style>
  <w:style w:type="paragraph" w:customStyle="1" w:styleId="Rfrenceinterinstitutionnelle">
    <w:name w:val="Référence interinstitutionnelle"/>
    <w:basedOn w:val="Normal"/>
    <w:next w:val="Statut"/>
    <w:pPr>
      <w:spacing w:after="0" w:line="240" w:lineRule="auto"/>
      <w:ind w:left="5103"/>
    </w:pPr>
    <w:rPr>
      <w:rFonts w:ascii="Times New Roman" w:hAnsi="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hAnsi="Times New Roman"/>
      <w:sz w:val="24"/>
    </w:rPr>
  </w:style>
  <w:style w:type="paragraph" w:customStyle="1" w:styleId="Statut">
    <w:name w:val="Statut"/>
    <w:basedOn w:val="Normal"/>
    <w:next w:val="Typedudocument"/>
    <w:pPr>
      <w:spacing w:before="360" w:after="0" w:line="240" w:lineRule="auto"/>
      <w:jc w:val="center"/>
    </w:pPr>
    <w:rPr>
      <w:rFonts w:ascii="Times New Roman" w:hAnsi="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hAnsi="Times New Roman"/>
      <w:i/>
      <w:sz w:val="24"/>
    </w:rPr>
  </w:style>
  <w:style w:type="paragraph" w:customStyle="1" w:styleId="Titreobjet">
    <w:name w:val="Titre objet"/>
    <w:basedOn w:val="Normal"/>
    <w:next w:val="IntrtEEE"/>
    <w:pPr>
      <w:spacing w:before="360" w:after="360" w:line="240" w:lineRule="auto"/>
      <w:jc w:val="center"/>
    </w:pPr>
    <w:rPr>
      <w:rFonts w:ascii="Times New Roman" w:hAnsi="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hAnsi="Times New Roman"/>
      <w:b/>
      <w:sz w:val="24"/>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pPr>
      <w:spacing w:before="120" w:after="120" w:line="240" w:lineRule="auto"/>
      <w:jc w:val="both"/>
    </w:pPr>
    <w:rPr>
      <w:rFonts w:ascii="Times New Roman" w:hAnsi="Times New Roman"/>
      <w:i/>
      <w:caps/>
      <w:sz w:val="24"/>
    </w:rPr>
  </w:style>
  <w:style w:type="paragraph" w:customStyle="1" w:styleId="Supertitre">
    <w:name w:val="Supertitre"/>
    <w:basedOn w:val="Normal"/>
    <w:next w:val="Normal"/>
    <w:pPr>
      <w:spacing w:after="600" w:line="240" w:lineRule="auto"/>
      <w:jc w:val="center"/>
    </w:pPr>
    <w:rPr>
      <w:rFonts w:ascii="Times New Roman" w:hAnsi="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hAnsi="Times New Roman"/>
      <w:sz w:val="24"/>
    </w:rPr>
  </w:style>
  <w:style w:type="paragraph" w:customStyle="1" w:styleId="Rfrencecroise">
    <w:name w:val="Référence croisée"/>
    <w:basedOn w:val="Normal"/>
    <w:pPr>
      <w:spacing w:after="0" w:line="240" w:lineRule="auto"/>
      <w:jc w:val="center"/>
    </w:pPr>
    <w:rPr>
      <w:rFonts w:ascii="Times New Roman" w:hAnsi="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hAnsi="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hAnsi="Times New Roman"/>
      <w:b/>
      <w:i/>
      <w:sz w:val="24"/>
    </w:rPr>
  </w:style>
  <w:style w:type="paragraph" w:customStyle="1" w:styleId="Typeacteprincipal">
    <w:name w:val="Type acte principal"/>
    <w:basedOn w:val="Normal"/>
    <w:next w:val="Objetacteprincipal"/>
    <w:pPr>
      <w:spacing w:after="240" w:line="240" w:lineRule="auto"/>
      <w:jc w:val="center"/>
    </w:pPr>
    <w:rPr>
      <w:rFonts w:ascii="Times New Roman" w:hAnsi="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hAnsi="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urostat/web/lfs/overview" TargetMode="External"/><Relationship Id="rId3" Type="http://schemas.openxmlformats.org/officeDocument/2006/relationships/hyperlink" Target="http://ec.europa.eu/eurostat/web/european-pillar-of-social-rights/indicators" TargetMode="External"/><Relationship Id="rId7" Type="http://schemas.openxmlformats.org/officeDocument/2006/relationships/hyperlink" Target="http://ec.europa.eu/eurostat/web/europe-2020-indicators/europe-2020-strategy/headline-indicators-scoreboard" TargetMode="External"/><Relationship Id="rId12" Type="http://schemas.openxmlformats.org/officeDocument/2006/relationships/hyperlink" Target="http://www.ilo.org/global/statistics-and-databases/standards-and-guidelines/resolutions-adopted-by-international-conferences-of-labour-statisticians/lang--en/index.htm" TargetMode="External"/><Relationship Id="rId2" Type="http://schemas.openxmlformats.org/officeDocument/2006/relationships/hyperlink" Target="http://ec.europa.eu/eurostat/statistics-explained/index.php/Europe_2020_headline_indicators" TargetMode="External"/><Relationship Id="rId1" Type="http://schemas.openxmlformats.org/officeDocument/2006/relationships/hyperlink" Target="http://www.ilo.org/global/statistics-and-databases/standards-and-guidelines/resolutions-adopted-by-international-conferences-of-labour-statisticians/lang--en/index.htm" TargetMode="External"/><Relationship Id="rId6" Type="http://schemas.openxmlformats.org/officeDocument/2006/relationships/hyperlink" Target="http://ec.europa.eu/eurostat/web/lfs/publications/quality-reporting" TargetMode="External"/><Relationship Id="rId11" Type="http://schemas.openxmlformats.org/officeDocument/2006/relationships/hyperlink" Target="http://ec.europa.eu/eurostat/statistics-explained/index.php/EU_labour_force_survey" TargetMode="External"/><Relationship Id="rId5" Type="http://schemas.openxmlformats.org/officeDocument/2006/relationships/hyperlink" Target="http://ec.europa.eu/eurostat/en/web/products-statistical-books/-/KS-81-08-398" TargetMode="External"/><Relationship Id="rId10" Type="http://schemas.openxmlformats.org/officeDocument/2006/relationships/hyperlink" Target="http://ec.europa.eu/eurostat/web/lfs/publications/quality-reporting%20" TargetMode="External"/><Relationship Id="rId4" Type="http://schemas.openxmlformats.org/officeDocument/2006/relationships/hyperlink" Target="https://ec.europa.eu/europeaid/policies/sustainable-development-goals_en" TargetMode="External"/><Relationship Id="rId9" Type="http://schemas.openxmlformats.org/officeDocument/2006/relationships/hyperlink" Target="http://ec.europa.eu/eurostat/statistics-explained/index.php/EU_labour_force_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4325</Words>
  <Characters>23618</Characters>
  <Application>Microsoft Office Word</Application>
  <DocSecurity>0</DocSecurity>
  <Lines>787</Lines>
  <Paragraphs>547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27396</CharactersWithSpaces>
  <SharedDoc>false</SharedDoc>
  <HLinks>
    <vt:vector size="72" baseType="variant">
      <vt:variant>
        <vt:i4>3866740</vt:i4>
      </vt:variant>
      <vt:variant>
        <vt:i4>36</vt:i4>
      </vt:variant>
      <vt:variant>
        <vt:i4>0</vt:i4>
      </vt:variant>
      <vt:variant>
        <vt:i4>5</vt:i4>
      </vt:variant>
      <vt:variant>
        <vt:lpwstr>http://www.ilo.org/global/statistics-and-databases/standards-and-guidelines/resolutions-adopted-by-international-conferences-of-labour-statisticians/lang--en/index.htm</vt:lpwstr>
      </vt:variant>
      <vt:variant>
        <vt:lpwstr/>
      </vt:variant>
      <vt:variant>
        <vt:i4>2555981</vt:i4>
      </vt:variant>
      <vt:variant>
        <vt:i4>33</vt:i4>
      </vt:variant>
      <vt:variant>
        <vt:i4>0</vt:i4>
      </vt:variant>
      <vt:variant>
        <vt:i4>5</vt:i4>
      </vt:variant>
      <vt:variant>
        <vt:lpwstr>http://ec.europa.eu/eurostat/statistics-explained/index.php/EU_labour_force_survey</vt:lpwstr>
      </vt:variant>
      <vt:variant>
        <vt:lpwstr/>
      </vt:variant>
      <vt:variant>
        <vt:i4>2293876</vt:i4>
      </vt:variant>
      <vt:variant>
        <vt:i4>30</vt:i4>
      </vt:variant>
      <vt:variant>
        <vt:i4>0</vt:i4>
      </vt:variant>
      <vt:variant>
        <vt:i4>5</vt:i4>
      </vt:variant>
      <vt:variant>
        <vt:lpwstr>http://ec.europa.eu/eurostat/web/lfs/publications/quality-reporting</vt:lpwstr>
      </vt:variant>
      <vt:variant>
        <vt:lpwstr/>
      </vt:variant>
      <vt:variant>
        <vt:i4>2555981</vt:i4>
      </vt:variant>
      <vt:variant>
        <vt:i4>27</vt:i4>
      </vt:variant>
      <vt:variant>
        <vt:i4>0</vt:i4>
      </vt:variant>
      <vt:variant>
        <vt:i4>5</vt:i4>
      </vt:variant>
      <vt:variant>
        <vt:lpwstr>http://ec.europa.eu/eurostat/statistics-explained/index.php/EU_labour_force_survey</vt:lpwstr>
      </vt:variant>
      <vt:variant>
        <vt:lpwstr/>
      </vt:variant>
      <vt:variant>
        <vt:i4>5767186</vt:i4>
      </vt:variant>
      <vt:variant>
        <vt:i4>24</vt:i4>
      </vt:variant>
      <vt:variant>
        <vt:i4>0</vt:i4>
      </vt:variant>
      <vt:variant>
        <vt:i4>5</vt:i4>
      </vt:variant>
      <vt:variant>
        <vt:lpwstr>http://ec.europa.eu/eurostat/web/lfs/overview</vt:lpwstr>
      </vt:variant>
      <vt:variant>
        <vt:lpwstr/>
      </vt:variant>
      <vt:variant>
        <vt:i4>3145779</vt:i4>
      </vt:variant>
      <vt:variant>
        <vt:i4>18</vt:i4>
      </vt:variant>
      <vt:variant>
        <vt:i4>0</vt:i4>
      </vt:variant>
      <vt:variant>
        <vt:i4>5</vt:i4>
      </vt:variant>
      <vt:variant>
        <vt:lpwstr>http://ec.europa.eu/eurostat/web/europe-2020-indicators/europe-2020-strategy/headline-indicators-scoreboard</vt:lpwstr>
      </vt:variant>
      <vt:variant>
        <vt:lpwstr/>
      </vt:variant>
      <vt:variant>
        <vt:i4>2293876</vt:i4>
      </vt:variant>
      <vt:variant>
        <vt:i4>15</vt:i4>
      </vt:variant>
      <vt:variant>
        <vt:i4>0</vt:i4>
      </vt:variant>
      <vt:variant>
        <vt:i4>5</vt:i4>
      </vt:variant>
      <vt:variant>
        <vt:lpwstr>http://ec.europa.eu/eurostat/web/lfs/publications/quality-reporting</vt:lpwstr>
      </vt:variant>
      <vt:variant>
        <vt:lpwstr/>
      </vt:variant>
      <vt:variant>
        <vt:i4>5046283</vt:i4>
      </vt:variant>
      <vt:variant>
        <vt:i4>12</vt:i4>
      </vt:variant>
      <vt:variant>
        <vt:i4>0</vt:i4>
      </vt:variant>
      <vt:variant>
        <vt:i4>5</vt:i4>
      </vt:variant>
      <vt:variant>
        <vt:lpwstr>http://ec.europa.eu/eurostat/en/web/products-statistical-books/-/KS-81-08-398</vt:lpwstr>
      </vt:variant>
      <vt:variant>
        <vt:lpwstr/>
      </vt:variant>
      <vt:variant>
        <vt:i4>2228248</vt:i4>
      </vt:variant>
      <vt:variant>
        <vt:i4>9</vt:i4>
      </vt:variant>
      <vt:variant>
        <vt:i4>0</vt:i4>
      </vt:variant>
      <vt:variant>
        <vt:i4>5</vt:i4>
      </vt:variant>
      <vt:variant>
        <vt:lpwstr>https://ec.europa.eu/europeaid/policies/sustainable-development-goals_en</vt:lpwstr>
      </vt:variant>
      <vt:variant>
        <vt:lpwstr/>
      </vt:variant>
      <vt:variant>
        <vt:i4>1966167</vt:i4>
      </vt:variant>
      <vt:variant>
        <vt:i4>6</vt:i4>
      </vt:variant>
      <vt:variant>
        <vt:i4>0</vt:i4>
      </vt:variant>
      <vt:variant>
        <vt:i4>5</vt:i4>
      </vt:variant>
      <vt:variant>
        <vt:lpwstr>http://ec.europa.eu/eurostat/web/european-pillar-of-social-rights/indicators</vt:lpwstr>
      </vt:variant>
      <vt:variant>
        <vt:lpwstr/>
      </vt:variant>
      <vt:variant>
        <vt:i4>1704059</vt:i4>
      </vt:variant>
      <vt:variant>
        <vt:i4>3</vt:i4>
      </vt:variant>
      <vt:variant>
        <vt:i4>0</vt:i4>
      </vt:variant>
      <vt:variant>
        <vt:i4>5</vt:i4>
      </vt:variant>
      <vt:variant>
        <vt:lpwstr>http://ec.europa.eu/eurostat/statistics-explained/index.php/Europe_2020_headline_indicators</vt:lpwstr>
      </vt:variant>
      <vt:variant>
        <vt:lpwstr/>
      </vt:variant>
      <vt:variant>
        <vt:i4>3866740</vt:i4>
      </vt:variant>
      <vt:variant>
        <vt:i4>0</vt:i4>
      </vt:variant>
      <vt:variant>
        <vt:i4>0</vt:i4>
      </vt:variant>
      <vt:variant>
        <vt:i4>5</vt:i4>
      </vt:variant>
      <vt:variant>
        <vt:lpwstr>http://www.ilo.org/global/statistics-and-databases/standards-and-guidelines/resolutions-adopted-by-international-conferences-of-labour-statisticians/lang--en/index.htm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DIGIT/C6</cp:lastModifiedBy>
  <cp:revision>15</cp:revision>
  <cp:lastPrinted>2018-12-04T14:00:00Z</cp:lastPrinted>
  <dcterms:created xsi:type="dcterms:W3CDTF">2018-12-11T07:18:00Z</dcterms:created>
  <dcterms:modified xsi:type="dcterms:W3CDTF">2019-01-21T11:05:00Z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6.0.1, Build 20180503</vt:lpwstr>
  </property>
  <property fmtid="{D5CDD505-2E9C-101B-9397-08002B2CF9AE}" pid="3" name="Last edited using">
    <vt:lpwstr>LW 6.0.1, Build 20180503</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DocStatus">
    <vt:lpwstr>Green</vt:lpwstr>
  </property>
</Properties>
</file>