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D6" w:rsidRDefault="00061B11" w:rsidP="00061B1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B269D36-BE5A-41EB-B686-1F7B5E81D6C0" style="width:450.4pt;height:293.35pt">
            <v:imagedata r:id="rId8" o:title=""/>
          </v:shape>
        </w:pict>
      </w:r>
    </w:p>
    <w:bookmarkEnd w:id="0"/>
    <w:p w:rsidR="00AA0CD6" w:rsidRDefault="00AA0CD6">
      <w:pPr>
        <w:rPr>
          <w:noProof/>
        </w:rPr>
        <w:sectPr w:rsidR="00AA0CD6" w:rsidSect="00061B1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AA0CD6" w:rsidRDefault="00061B11">
      <w:pPr>
        <w:pStyle w:val="Title"/>
        <w:jc w:val="center"/>
        <w:rPr>
          <w:rFonts w:ascii="Times New Roman" w:hAnsi="Times New Roman" w:cs="Times New Roman"/>
          <w:b/>
          <w:noProof/>
          <w:sz w:val="24"/>
          <w:szCs w:val="24"/>
        </w:rPr>
      </w:pPr>
      <w:r>
        <w:rPr>
          <w:rFonts w:ascii="Times New Roman" w:hAnsi="Times New Roman"/>
          <w:b/>
          <w:noProof/>
          <w:sz w:val="24"/>
        </w:rPr>
        <w:lastRenderedPageBreak/>
        <w:t>Към устойчива Европа до 2030 г.</w:t>
      </w:r>
    </w:p>
    <w:sdt>
      <w:sdtPr>
        <w:rPr>
          <w:rFonts w:asciiTheme="minorHAnsi" w:eastAsiaTheme="minorHAnsi" w:hAnsiTheme="minorHAnsi" w:cstheme="minorBidi"/>
          <w:b w:val="0"/>
          <w:bCs w:val="0"/>
          <w:noProof/>
          <w:color w:val="auto"/>
          <w:sz w:val="22"/>
          <w:szCs w:val="22"/>
        </w:rPr>
        <w:id w:val="-1657907700"/>
        <w:docPartObj>
          <w:docPartGallery w:val="Table of Contents"/>
          <w:docPartUnique/>
        </w:docPartObj>
      </w:sdtPr>
      <w:sdtEndPr/>
      <w:sdtContent>
        <w:p w:rsidR="00AA0CD6" w:rsidRDefault="00061B11">
          <w:pPr>
            <w:pStyle w:val="TOCHeading"/>
            <w:rPr>
              <w:noProof/>
            </w:rPr>
          </w:pPr>
          <w:r>
            <w:rPr>
              <w:rFonts w:ascii="Times New Roman" w:hAnsi="Times New Roman" w:cs="Times New Roman"/>
              <w:noProof/>
              <w:sz w:val="24"/>
              <w:szCs w:val="24"/>
            </w:rPr>
            <w:t>Съдържание</w:t>
          </w:r>
        </w:p>
        <w:p w:rsidR="00AA0CD6" w:rsidRDefault="00061B11">
          <w:pPr>
            <w:pStyle w:val="TOC1"/>
            <w:rPr>
              <w:rFonts w:ascii="Times New Roman" w:eastAsiaTheme="minorEastAsia" w:hAnsi="Times New Roman" w:cs="Times New Roman"/>
              <w:noProof/>
              <w:sz w:val="24"/>
              <w:szCs w:val="24"/>
              <w:lang w:val="en-GB" w:eastAsia="en-GB" w:bidi="ar-SA"/>
            </w:rPr>
          </w:pPr>
          <w:r>
            <w:rPr>
              <w:noProof/>
            </w:rPr>
            <w:fldChar w:fldCharType="begin"/>
          </w:r>
          <w:r>
            <w:rPr>
              <w:noProof/>
            </w:rPr>
            <w:instrText xml:space="preserve"> TOC \o "1-3" \h \z \u </w:instrText>
          </w:r>
          <w:r>
            <w:rPr>
              <w:noProof/>
            </w:rPr>
            <w:fldChar w:fldCharType="separate"/>
          </w:r>
          <w:hyperlink w:anchor="_Toc536612059" w:history="1">
            <w:r>
              <w:rPr>
                <w:rStyle w:val="Hyperlink"/>
                <w:rFonts w:ascii="Times New Roman" w:hAnsi="Times New Roman" w:cs="Times New Roman"/>
                <w:noProof/>
                <w:sz w:val="24"/>
                <w:szCs w:val="24"/>
              </w:rPr>
              <w:t xml:space="preserve">Предговор от първия заместник-председател </w:t>
            </w:r>
            <w:r>
              <w:rPr>
                <w:rStyle w:val="Hyperlink"/>
                <w:rFonts w:ascii="Times New Roman" w:hAnsi="Times New Roman" w:cs="Times New Roman"/>
                <w:noProof/>
                <w:sz w:val="24"/>
                <w:szCs w:val="24"/>
              </w:rPr>
              <w:t>Тимерманс и заместник-председателя Катайнен</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_Toc536612059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Pr>
                <w:rFonts w:ascii="Times New Roman" w:hAnsi="Times New Roman" w:cs="Times New Roman"/>
                <w:noProof/>
                <w:webHidden/>
                <w:sz w:val="24"/>
                <w:szCs w:val="24"/>
              </w:rPr>
              <w:fldChar w:fldCharType="end"/>
            </w:r>
          </w:hyperlink>
        </w:p>
        <w:p w:rsidR="00AA0CD6" w:rsidRDefault="00061B11">
          <w:pPr>
            <w:pStyle w:val="TOC1"/>
            <w:ind w:left="435" w:hanging="435"/>
            <w:rPr>
              <w:rFonts w:ascii="Times New Roman" w:eastAsiaTheme="minorEastAsia" w:hAnsi="Times New Roman" w:cs="Times New Roman"/>
              <w:noProof/>
              <w:sz w:val="24"/>
              <w:szCs w:val="24"/>
              <w:lang w:val="en-GB" w:eastAsia="en-GB" w:bidi="ar-SA"/>
            </w:rPr>
          </w:pPr>
          <w:hyperlink w:anchor="_Toc536612060" w:history="1">
            <w:r>
              <w:rPr>
                <w:rStyle w:val="Hyperlink"/>
                <w:rFonts w:ascii="Times New Roman" w:eastAsia="Times New Roman" w:hAnsi="Times New Roman" w:cs="Times New Roman"/>
                <w:noProof/>
                <w:sz w:val="24"/>
                <w:szCs w:val="24"/>
              </w:rPr>
              <w:t>1</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 xml:space="preserve">Устойчивото развитие за по-добър поминък на хората: конкурентните предимства на </w:t>
            </w:r>
            <w:r>
              <w:rPr>
                <w:rStyle w:val="Hyperlink"/>
                <w:rFonts w:ascii="Times New Roman" w:hAnsi="Times New Roman" w:cs="Times New Roman"/>
                <w:noProof/>
                <w:sz w:val="24"/>
                <w:szCs w:val="24"/>
              </w:rPr>
              <w:t>Европа</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rsidR="00AA0CD6" w:rsidRDefault="00061B11">
          <w:pPr>
            <w:pStyle w:val="TOC1"/>
            <w:rPr>
              <w:rFonts w:ascii="Times New Roman" w:eastAsiaTheme="minorEastAsia" w:hAnsi="Times New Roman" w:cs="Times New Roman"/>
              <w:noProof/>
              <w:sz w:val="24"/>
              <w:szCs w:val="24"/>
              <w:lang w:val="en-GB" w:eastAsia="en-GB" w:bidi="ar-SA"/>
            </w:rPr>
          </w:pPr>
          <w:hyperlink w:anchor="_Toc536612061" w:history="1">
            <w:r>
              <w:rPr>
                <w:rStyle w:val="Hyperlink"/>
                <w:rFonts w:ascii="Times New Roman" w:eastAsia="Times New Roman" w:hAnsi="Times New Roman" w:cs="Times New Roman"/>
                <w:noProof/>
                <w:sz w:val="24"/>
                <w:szCs w:val="24"/>
              </w:rPr>
              <w:t>2</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ЕС и преодоляването на предизвикателствата на световно равнище</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rsidR="00AA0CD6" w:rsidRDefault="00061B11">
          <w:pPr>
            <w:pStyle w:val="TOC1"/>
            <w:rPr>
              <w:rFonts w:ascii="Times New Roman" w:eastAsiaTheme="minorEastAsia" w:hAnsi="Times New Roman" w:cs="Times New Roman"/>
              <w:noProof/>
              <w:sz w:val="24"/>
              <w:szCs w:val="24"/>
              <w:lang w:val="en-GB" w:eastAsia="en-GB" w:bidi="ar-SA"/>
            </w:rPr>
          </w:pPr>
          <w:hyperlink w:anchor="_Toc536612062" w:history="1">
            <w:r>
              <w:rPr>
                <w:rStyle w:val="Hyperlink"/>
                <w:rFonts w:ascii="Times New Roman" w:eastAsia="Times New Roman" w:hAnsi="Times New Roman" w:cs="Times New Roman"/>
                <w:noProof/>
                <w:sz w:val="24"/>
                <w:szCs w:val="24"/>
              </w:rPr>
              <w:t>3</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Към устойчива Европа до 2030 г.</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AA0CD6" w:rsidRDefault="00061B11">
          <w:pPr>
            <w:pStyle w:val="TOC2"/>
            <w:rPr>
              <w:rFonts w:ascii="Times New Roman" w:eastAsiaTheme="minorEastAsia" w:hAnsi="Times New Roman" w:cs="Times New Roman"/>
              <w:noProof/>
              <w:sz w:val="24"/>
              <w:szCs w:val="24"/>
              <w:lang w:val="en-GB" w:eastAsia="en-GB" w:bidi="ar-SA"/>
            </w:rPr>
          </w:pPr>
          <w:hyperlink w:anchor="_Toc536612063" w:history="1">
            <w:r>
              <w:rPr>
                <w:rStyle w:val="Hyperlink"/>
                <w:rFonts w:ascii="Times New Roman" w:hAnsi="Times New Roman" w:cs="Times New Roman"/>
                <w:noProof/>
                <w:sz w:val="24"/>
                <w:szCs w:val="24"/>
              </w:rPr>
              <w:t>3.1</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Основите на политиката за устойчиво бъдеще</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64" w:history="1">
            <w:r>
              <w:rPr>
                <w:rStyle w:val="Hyperlink"/>
                <w:rFonts w:ascii="Times New Roman" w:hAnsi="Times New Roman" w:cs="Times New Roman"/>
                <w:noProof/>
                <w:sz w:val="24"/>
                <w:szCs w:val="24"/>
              </w:rPr>
              <w:t>3.1.1</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От линейна към кръгова икономика</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65" w:history="1">
            <w:r>
              <w:rPr>
                <w:rStyle w:val="Hyperlink"/>
                <w:rFonts w:ascii="Times New Roman" w:hAnsi="Times New Roman" w:cs="Times New Roman"/>
                <w:noProof/>
                <w:sz w:val="24"/>
                <w:szCs w:val="24"/>
              </w:rPr>
              <w:t>3.1.2</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Устойчивост от фермата до трапезата</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66" w:history="1">
            <w:r>
              <w:rPr>
                <w:rStyle w:val="Hyperlink"/>
                <w:rFonts w:ascii="Times New Roman" w:hAnsi="Times New Roman" w:cs="Times New Roman"/>
                <w:noProof/>
                <w:sz w:val="24"/>
                <w:szCs w:val="24"/>
              </w:rPr>
              <w:t>3.1.3</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Енергетика, сгради и мобилност, ориентирани към бъдещето</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67" w:history="1">
            <w:r>
              <w:rPr>
                <w:rStyle w:val="Hyperlink"/>
                <w:rFonts w:ascii="Times New Roman" w:hAnsi="Times New Roman" w:cs="Times New Roman"/>
                <w:noProof/>
                <w:sz w:val="24"/>
                <w:szCs w:val="24"/>
              </w:rPr>
              <w:t>3.1.4</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Гарантиране на социално справедлив преход</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AA0CD6" w:rsidRDefault="00061B11">
          <w:pPr>
            <w:pStyle w:val="TOC2"/>
            <w:rPr>
              <w:rFonts w:ascii="Times New Roman" w:eastAsiaTheme="minorEastAsia" w:hAnsi="Times New Roman" w:cs="Times New Roman"/>
              <w:noProof/>
              <w:sz w:val="24"/>
              <w:szCs w:val="24"/>
              <w:lang w:val="en-GB" w:eastAsia="en-GB" w:bidi="ar-SA"/>
            </w:rPr>
          </w:pPr>
          <w:hyperlink w:anchor="_Toc536612068" w:history="1">
            <w:r>
              <w:rPr>
                <w:rStyle w:val="Hyperlink"/>
                <w:rFonts w:ascii="Times New Roman" w:hAnsi="Times New Roman" w:cs="Times New Roman"/>
                <w:noProof/>
                <w:sz w:val="24"/>
                <w:szCs w:val="24"/>
              </w:rPr>
              <w:t>3.2</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Хоризонтални способстващи фактори за</w:t>
            </w:r>
            <w:r>
              <w:rPr>
                <w:rStyle w:val="Hyperlink"/>
                <w:rFonts w:ascii="Times New Roman" w:hAnsi="Times New Roman" w:cs="Times New Roman"/>
                <w:noProof/>
                <w:sz w:val="24"/>
                <w:szCs w:val="24"/>
              </w:rPr>
              <w:t xml:space="preserve"> преход към устойчиво развитие</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ind w:left="442" w:hanging="2"/>
            <w:rPr>
              <w:rFonts w:ascii="Times New Roman" w:eastAsiaTheme="minorEastAsia" w:hAnsi="Times New Roman" w:cs="Times New Roman"/>
              <w:noProof/>
              <w:sz w:val="24"/>
              <w:szCs w:val="24"/>
              <w:lang w:val="en-GB" w:eastAsia="en-GB" w:bidi="ar-SA"/>
            </w:rPr>
          </w:pPr>
          <w:hyperlink w:anchor="_Toc536612069" w:history="1">
            <w:r>
              <w:rPr>
                <w:rStyle w:val="Hyperlink"/>
                <w:rFonts w:ascii="Times New Roman" w:hAnsi="Times New Roman" w:cs="Times New Roman"/>
                <w:noProof/>
                <w:sz w:val="24"/>
                <w:szCs w:val="24"/>
              </w:rPr>
              <w:t>3.2.1</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Образование, наука, технологии, научни изследвания, иновации и цифровизация</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w:instrText>
            </w:r>
            <w:r>
              <w:rPr>
                <w:rFonts w:ascii="Times New Roman" w:hAnsi="Times New Roman" w:cs="Times New Roman"/>
                <w:noProof/>
                <w:webHidden/>
                <w:sz w:val="24"/>
                <w:szCs w:val="24"/>
              </w:rPr>
              <w:instrText xml:space="preserve">36612069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70" w:history="1">
            <w:r>
              <w:rPr>
                <w:rStyle w:val="Hyperlink"/>
                <w:rFonts w:ascii="Times New Roman" w:hAnsi="Times New Roman" w:cs="Times New Roman"/>
                <w:noProof/>
                <w:sz w:val="24"/>
                <w:szCs w:val="24"/>
              </w:rPr>
              <w:t>3.2.2</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Финансиране, ценообразуване, данъчно облагане и конкуренция</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71" w:history="1">
            <w:r>
              <w:rPr>
                <w:rStyle w:val="Hyperlink"/>
                <w:rFonts w:ascii="Times New Roman" w:hAnsi="Times New Roman" w:cs="Times New Roman"/>
                <w:noProof/>
                <w:sz w:val="24"/>
                <w:szCs w:val="24"/>
              </w:rPr>
              <w:t>3.2.3</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Отговорно стопанско поведение, корпоративна социална отговорност и нови бизнес модели</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72" w:history="1">
            <w:r>
              <w:rPr>
                <w:rStyle w:val="Hyperlink"/>
                <w:rFonts w:ascii="Times New Roman" w:hAnsi="Times New Roman" w:cs="Times New Roman"/>
                <w:noProof/>
                <w:sz w:val="24"/>
                <w:szCs w:val="24"/>
              </w:rPr>
              <w:t>3.2.4</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Отворена и основана на правила търговия</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rsidR="00AA0CD6" w:rsidRDefault="00061B11">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2073" w:history="1">
            <w:r>
              <w:rPr>
                <w:rStyle w:val="Hyperlink"/>
                <w:rFonts w:ascii="Times New Roman" w:hAnsi="Times New Roman" w:cs="Times New Roman"/>
                <w:noProof/>
                <w:sz w:val="24"/>
                <w:szCs w:val="24"/>
              </w:rPr>
              <w:t>3.2.5</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Управление и гарантиране на съгласуваност на политиките на всички равнища</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rsidR="00AA0CD6" w:rsidRDefault="00061B11">
          <w:pPr>
            <w:pStyle w:val="TOC1"/>
            <w:rPr>
              <w:rFonts w:ascii="Times New Roman" w:eastAsiaTheme="minorEastAsia" w:hAnsi="Times New Roman" w:cs="Times New Roman"/>
              <w:noProof/>
              <w:sz w:val="24"/>
              <w:szCs w:val="24"/>
              <w:lang w:val="en-GB" w:eastAsia="en-GB" w:bidi="ar-SA"/>
            </w:rPr>
          </w:pPr>
          <w:hyperlink w:anchor="_Toc536612074" w:history="1">
            <w:r>
              <w:rPr>
                <w:rStyle w:val="Hyperlink"/>
                <w:rFonts w:ascii="Times New Roman" w:eastAsia="Times New Roman" w:hAnsi="Times New Roman" w:cs="Times New Roman"/>
                <w:noProof/>
                <w:sz w:val="24"/>
                <w:szCs w:val="24"/>
              </w:rPr>
              <w:t>4</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 xml:space="preserve">ЕС като глобален пионер в </w:t>
            </w:r>
            <w:r>
              <w:rPr>
                <w:rStyle w:val="Hyperlink"/>
                <w:rFonts w:ascii="Times New Roman" w:hAnsi="Times New Roman" w:cs="Times New Roman"/>
                <w:noProof/>
                <w:sz w:val="24"/>
                <w:szCs w:val="24"/>
              </w:rPr>
              <w:t>устойчивото развитие</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Pr>
                <w:rFonts w:ascii="Times New Roman" w:hAnsi="Times New Roman" w:cs="Times New Roman"/>
                <w:noProof/>
                <w:webHidden/>
                <w:sz w:val="24"/>
                <w:szCs w:val="24"/>
              </w:rPr>
              <w:fldChar w:fldCharType="end"/>
            </w:r>
          </w:hyperlink>
        </w:p>
        <w:p w:rsidR="00AA0CD6" w:rsidRDefault="00061B11">
          <w:pPr>
            <w:pStyle w:val="TOC1"/>
            <w:rPr>
              <w:rFonts w:eastAsiaTheme="minorEastAsia"/>
              <w:noProof/>
              <w:lang w:val="en-GB" w:eastAsia="en-GB" w:bidi="ar-SA"/>
            </w:rPr>
          </w:pPr>
          <w:hyperlink w:anchor="_Toc536612075" w:history="1">
            <w:r>
              <w:rPr>
                <w:rStyle w:val="Hyperlink"/>
                <w:rFonts w:ascii="Times New Roman" w:eastAsia="Times New Roman" w:hAnsi="Times New Roman" w:cs="Times New Roman"/>
                <w:noProof/>
                <w:sz w:val="24"/>
                <w:szCs w:val="24"/>
              </w:rPr>
              <w:t>5</w:t>
            </w:r>
            <w:r>
              <w:rPr>
                <w:rFonts w:ascii="Times New Roman" w:eastAsiaTheme="minorEastAsia" w:hAnsi="Times New Roman" w:cs="Times New Roman"/>
                <w:noProof/>
                <w:sz w:val="24"/>
                <w:szCs w:val="24"/>
                <w:lang w:val="en-GB" w:eastAsia="en-GB" w:bidi="ar-SA"/>
              </w:rPr>
              <w:tab/>
            </w:r>
            <w:r>
              <w:rPr>
                <w:rStyle w:val="Hyperlink"/>
                <w:rFonts w:ascii="Times New Roman" w:hAnsi="Times New Roman" w:cs="Times New Roman"/>
                <w:noProof/>
                <w:sz w:val="24"/>
                <w:szCs w:val="24"/>
              </w:rPr>
              <w:t>Сценарии за бъдещето</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_Toc536612075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rsidR="00AA0CD6" w:rsidRDefault="00061B11">
          <w:pPr>
            <w:rPr>
              <w:noProof/>
            </w:rPr>
          </w:pPr>
          <w:r>
            <w:rPr>
              <w:b/>
              <w:bCs/>
              <w:noProof/>
            </w:rPr>
            <w:fldChar w:fldCharType="end"/>
          </w:r>
        </w:p>
      </w:sdtContent>
    </w:sdt>
    <w:p w:rsidR="00AA0CD6" w:rsidRDefault="00AA0CD6">
      <w:pPr>
        <w:pStyle w:val="Heading1"/>
        <w:numPr>
          <w:ilvl w:val="0"/>
          <w:numId w:val="0"/>
        </w:numPr>
        <w:spacing w:before="240" w:after="240"/>
        <w:rPr>
          <w:rFonts w:ascii="Times New Roman" w:hAnsi="Times New Roman" w:cs="Times New Roman"/>
          <w:noProof/>
          <w:sz w:val="24"/>
          <w:szCs w:val="24"/>
        </w:rPr>
      </w:pPr>
    </w:p>
    <w:p w:rsidR="00AA0CD6" w:rsidRDefault="00AA0CD6">
      <w:pPr>
        <w:rPr>
          <w:rFonts w:ascii="Times New Roman" w:hAnsi="Times New Roman" w:cs="Times New Roman"/>
          <w:noProof/>
          <w:sz w:val="24"/>
          <w:szCs w:val="24"/>
        </w:rPr>
      </w:pPr>
    </w:p>
    <w:p w:rsidR="00AA0CD6" w:rsidRDefault="00AA0CD6">
      <w:pPr>
        <w:rPr>
          <w:rFonts w:ascii="Times New Roman" w:hAnsi="Times New Roman" w:cs="Times New Roman"/>
          <w:noProof/>
          <w:sz w:val="24"/>
          <w:szCs w:val="24"/>
        </w:rPr>
      </w:pPr>
    </w:p>
    <w:p w:rsidR="00AA0CD6" w:rsidRDefault="00061B11">
      <w:pPr>
        <w:rPr>
          <w:rFonts w:ascii="Times New Roman" w:hAnsi="Times New Roman" w:cs="Times New Roman"/>
          <w:noProof/>
          <w:sz w:val="24"/>
          <w:szCs w:val="24"/>
        </w:rPr>
      </w:pPr>
      <w:r>
        <w:rPr>
          <w:noProof/>
        </w:rPr>
        <w:br w:type="page"/>
      </w:r>
    </w:p>
    <w:p w:rsidR="00AA0CD6" w:rsidRDefault="00061B11">
      <w:pPr>
        <w:pStyle w:val="Heading1"/>
        <w:numPr>
          <w:ilvl w:val="0"/>
          <w:numId w:val="0"/>
        </w:numPr>
        <w:ind w:left="360"/>
        <w:rPr>
          <w:rFonts w:eastAsia="Times New Roman"/>
          <w:noProof/>
        </w:rPr>
      </w:pPr>
      <w:bookmarkStart w:id="1" w:name="_Toc536442036"/>
      <w:bookmarkStart w:id="2" w:name="_Toc536612059"/>
      <w:r>
        <w:rPr>
          <w:noProof/>
        </w:rPr>
        <w:lastRenderedPageBreak/>
        <w:t>Предговор от първия заместник-председател Тимерманс и заместник-председателя Катайнен</w:t>
      </w:r>
      <w:bookmarkEnd w:id="1"/>
      <w:bookmarkEnd w:id="2"/>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Ние, европейците можем да се гордеем с нашите резултати. Чрез интеграция и тясно сътрудничество създадохме безпрецедентно богатство, високи </w:t>
      </w:r>
      <w:r>
        <w:rPr>
          <w:rFonts w:ascii="Times New Roman" w:hAnsi="Times New Roman"/>
          <w:noProof/>
          <w:color w:val="000000"/>
          <w:sz w:val="24"/>
        </w:rPr>
        <w:t>социални стандарти и големи възможности за нашите граждани. Вплетохме нашите общи принципи и ценности на демокрацията, правата на човека и върховенството на закона в нашите Договори и изградихме един пълноценен и свободен Европейски съюз.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Този успех се дъ</w:t>
      </w:r>
      <w:r>
        <w:rPr>
          <w:rFonts w:ascii="Times New Roman" w:hAnsi="Times New Roman"/>
          <w:noProof/>
          <w:color w:val="000000"/>
          <w:sz w:val="24"/>
        </w:rPr>
        <w:t>лжи на факта, че европейците имат високи изисквания. Силната ни демократична култура стимулира разпалени дебати и така трябва и да бъде. Защото сега не е моментът да се отпуснем в самодоволство и да оставим историята да се развива. Необходимо е непрекъснат</w:t>
      </w:r>
      <w:r>
        <w:rPr>
          <w:rFonts w:ascii="Times New Roman" w:hAnsi="Times New Roman"/>
          <w:noProof/>
          <w:color w:val="000000"/>
          <w:sz w:val="24"/>
        </w:rPr>
        <w:t>о да подобряваме стандарта на живот на всички европейци, за да предпазим, защитим и да предоставим по-добри възможности на гражданите и да укрепваме сигурността на хората от различни заплахи, независимо дали идват от тероризма или от изменението на климата</w:t>
      </w:r>
      <w:r>
        <w:rPr>
          <w:rFonts w:ascii="Times New Roman" w:hAnsi="Times New Roman"/>
          <w:noProof/>
          <w:color w:val="000000"/>
          <w:sz w:val="24"/>
        </w:rPr>
        <w:t>.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Светът се намира в постоянно движение и сме в разгара на четвъртата индустриална революция. Всичко се променя за всички. Да се правим, че не е така, е равносилно на отричане от здравия разум. Въпросът е дали ще бъдем жертва на промяната или ще я прегърн</w:t>
      </w:r>
      <w:r>
        <w:rPr>
          <w:rFonts w:ascii="Times New Roman" w:hAnsi="Times New Roman"/>
          <w:noProof/>
          <w:color w:val="000000"/>
          <w:sz w:val="24"/>
        </w:rPr>
        <w:t xml:space="preserve">ем и направляваме. Европейците са изправени пред неотложни предизвикателства като замърсяването на околната среда и изменението на климата, демографския преход, миграцията, неравенството и натиска върху публичните финанси. Гражданите се тревожат за своето </w:t>
      </w:r>
      <w:r>
        <w:rPr>
          <w:rFonts w:ascii="Times New Roman" w:hAnsi="Times New Roman"/>
          <w:noProof/>
          <w:color w:val="000000"/>
          <w:sz w:val="24"/>
        </w:rPr>
        <w:t>бъдеще и за това на децата си. Върху нас тегне екологичен дълг, който засяга всичко. Ако не запрегнем ръкави, бъдещите поколения ще трябва да изплащат този дълг с огромна лихва.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Европейският съюз трябва да служи на гражданите, а не обратното. Европейският</w:t>
      </w:r>
      <w:r>
        <w:rPr>
          <w:rFonts w:ascii="Times New Roman" w:hAnsi="Times New Roman"/>
          <w:noProof/>
          <w:color w:val="000000"/>
          <w:sz w:val="24"/>
        </w:rPr>
        <w:t xml:space="preserve"> съюз трябва да помага на хората да преследват стремежите си и трябва да отговаря на тревогите им спешно и ефективно. Това започва с диагностициране на ситуацията и посрещане на действителността и неизменността на фактите. Тези факти обаче не трябва да ни </w:t>
      </w:r>
      <w:r>
        <w:rPr>
          <w:rFonts w:ascii="Times New Roman" w:hAnsi="Times New Roman"/>
          <w:noProof/>
          <w:color w:val="000000"/>
          <w:sz w:val="24"/>
        </w:rPr>
        <w:t>изпълват с безпокойство и страх, а вместо това да ни вдъхновяват да действаме.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Много от тези проблеми са свързани с предизвикателства, които не познават граници и застрашават работните места, благоденствието ни, жизнените ни стандарти, свободата и здравет</w:t>
      </w:r>
      <w:r>
        <w:rPr>
          <w:rFonts w:ascii="Times New Roman" w:hAnsi="Times New Roman"/>
          <w:noProof/>
          <w:color w:val="000000"/>
          <w:sz w:val="24"/>
        </w:rPr>
        <w:t>о ни. Никоя държава или нация не може ефективно да се справи сама с тези предизвикателства. Нуждаем се от мащаба на Европейския съюз, който, ако е единен и решителен, е световна сила, с която всички се съобразяват. Дори и европейски мащаб обаче в крайна см</w:t>
      </w:r>
      <w:r>
        <w:rPr>
          <w:rFonts w:ascii="Times New Roman" w:hAnsi="Times New Roman"/>
          <w:noProof/>
          <w:color w:val="000000"/>
          <w:sz w:val="24"/>
        </w:rPr>
        <w:t>етка не би бил достатъчен. Нуждаем се от програма със световно влияние и тази програма е най-добре отразена в 17-те цели за устойчиво развитие (ЦУР), под които се подписаха 193 държави, включително Европейския съюз и неговите държави членки. Тези ЦУР черта</w:t>
      </w:r>
      <w:r>
        <w:rPr>
          <w:rFonts w:ascii="Times New Roman" w:hAnsi="Times New Roman"/>
          <w:noProof/>
          <w:color w:val="000000"/>
          <w:sz w:val="24"/>
        </w:rPr>
        <w:t>ят пътя, по който да преодолеем предизвикателствата, пред които сме изправени, и да подобрим средата, в която живеем, икономиката и начина ни на живот.</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Устойчивото развитие е сложно понятие, но идеята му е проста: трябва да се гарантира, че нашият </w:t>
      </w:r>
      <w:r>
        <w:rPr>
          <w:rFonts w:ascii="Times New Roman" w:hAnsi="Times New Roman"/>
          <w:noProof/>
          <w:color w:val="000000"/>
          <w:sz w:val="24"/>
        </w:rPr>
        <w:t xml:space="preserve">икономически растеж ни позволява да запазим модел, създаващ справедливи резултати за цялото човечество; и да се гарантира, че хората </w:t>
      </w:r>
      <w:r>
        <w:rPr>
          <w:rFonts w:ascii="Times New Roman" w:hAnsi="Times New Roman"/>
          <w:noProof/>
          <w:color w:val="000000"/>
          <w:sz w:val="24"/>
        </w:rPr>
        <w:lastRenderedPageBreak/>
        <w:t>не консумират повече ресурси, отколкото Земята може да предложи. Това означава, че е необходимо да модернизираме икономикат</w:t>
      </w:r>
      <w:r>
        <w:rPr>
          <w:rFonts w:ascii="Times New Roman" w:hAnsi="Times New Roman"/>
          <w:noProof/>
          <w:color w:val="000000"/>
          <w:sz w:val="24"/>
        </w:rPr>
        <w:t>а си, за да премине към устойчиво потребление и производствени модели, да коригираме дисбалансите на нашата продоволствена система и да поставим на устойчива основа мобилността си, начина, по който произвеждаме, използваме енергия и проектиране сградите си</w:t>
      </w:r>
      <w:r>
        <w:rPr>
          <w:rFonts w:ascii="Times New Roman" w:hAnsi="Times New Roman"/>
          <w:noProof/>
          <w:color w:val="000000"/>
          <w:sz w:val="24"/>
        </w:rPr>
        <w:t>. За да постигнем това, трябва също да насочим цялата си наука, финансиране, данъчно облагане и управление в посока към постигането на ЦУР.</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Това не е въпрос на лява или дясна политика, а е въпрос на правилна или неправилна политика. За щастие Европейският </w:t>
      </w:r>
      <w:r>
        <w:rPr>
          <w:rFonts w:ascii="Times New Roman" w:hAnsi="Times New Roman"/>
          <w:noProof/>
          <w:color w:val="000000"/>
          <w:sz w:val="24"/>
        </w:rPr>
        <w:t>съюз е с добър старт поради силните си конкурентни предимства. Европа разработи някои от най-високите екологични стандарти в света, въведе амбициозни политики в областта на климата и подкрепи Парижкото споразумение относно изменението на климата. Чрез свои</w:t>
      </w:r>
      <w:r>
        <w:rPr>
          <w:rFonts w:ascii="Times New Roman" w:hAnsi="Times New Roman"/>
          <w:noProof/>
          <w:color w:val="000000"/>
          <w:sz w:val="24"/>
        </w:rPr>
        <w:t xml:space="preserve">те външни политики и отворената си и основана на правила програма за търговията, Европейският съюз споделяше и устойчиви решения с трети държави.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Европейският съюз е основан на предпоставката, че „световният мир не може да бъде запазен без съзидателни уси</w:t>
      </w:r>
      <w:r>
        <w:rPr>
          <w:rFonts w:ascii="Times New Roman" w:hAnsi="Times New Roman"/>
          <w:noProof/>
          <w:color w:val="000000"/>
          <w:sz w:val="24"/>
        </w:rPr>
        <w:t xml:space="preserve">лия, пропорционални на опасностите, които го грозят“, както го заяви толкова красноречиво Робер Шуман преди почти 70 години. Днес можем към „световния мир“ да добавим думите „благосъстоянието и оцеляването на хората“. </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Програмата за устойчивост е положител</w:t>
      </w:r>
      <w:r>
        <w:rPr>
          <w:rFonts w:ascii="Times New Roman" w:hAnsi="Times New Roman"/>
          <w:noProof/>
          <w:color w:val="000000"/>
          <w:sz w:val="24"/>
        </w:rPr>
        <w:t>на, целта ѝ е да се подобри животът на хората. Европа разполага с всичко необходимо, за да се бори с най-големите предизвикателства. Заедно можем да постигнем това. Това, от което се нуждаем, е общ ангажимент и политическа воля за действия. Докато други от</w:t>
      </w:r>
      <w:r>
        <w:rPr>
          <w:rFonts w:ascii="Times New Roman" w:hAnsi="Times New Roman"/>
          <w:noProof/>
          <w:color w:val="000000"/>
          <w:sz w:val="24"/>
        </w:rPr>
        <w:t>стъпват, Европа сега трябва да върви напред, да подобри конкурентоспособността си, да инвестира в устойчив растеж и да сочи посоката за останалия свят.</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Не е достатъчно да имаме визия, трябва и да се съгласим за конкретния начин, по който да я осъществим. Т</w:t>
      </w:r>
      <w:r>
        <w:rPr>
          <w:rFonts w:ascii="Times New Roman" w:hAnsi="Times New Roman"/>
          <w:noProof/>
          <w:color w:val="000000"/>
          <w:sz w:val="24"/>
        </w:rPr>
        <w:t>ози документ за размисъл е нашият принос към този дебат.</w:t>
      </w:r>
    </w:p>
    <w:p w:rsidR="00AA0CD6" w:rsidRDefault="00061B1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Не бихме могли да го завършим без безценния принос на заинтересованите страни в Европа. Гражданското общество, частният сектор и академичните среди участват в тази дискусия. Многостранната платформа </w:t>
      </w:r>
      <w:r>
        <w:rPr>
          <w:rFonts w:ascii="Times New Roman" w:hAnsi="Times New Roman"/>
          <w:noProof/>
          <w:color w:val="000000"/>
          <w:sz w:val="24"/>
        </w:rPr>
        <w:t>на високо равнище за изпълнението на ЦУР, създадена от Европейската комисия през 2017 г., беше много положителен опит за обединяване на хоризонтални идеи.</w:t>
      </w:r>
    </w:p>
    <w:p w:rsidR="00AA0CD6" w:rsidRDefault="00061B11">
      <w:pPr>
        <w:spacing w:before="100" w:beforeAutospacing="1" w:after="100" w:afterAutospacing="1" w:line="240" w:lineRule="auto"/>
        <w:ind w:left="360"/>
        <w:jc w:val="both"/>
        <w:rPr>
          <w:rFonts w:ascii="Times New Roman" w:hAnsi="Times New Roman"/>
          <w:noProof/>
          <w:color w:val="000000"/>
          <w:sz w:val="24"/>
        </w:rPr>
      </w:pPr>
      <w:r>
        <w:rPr>
          <w:rFonts w:ascii="Times New Roman" w:hAnsi="Times New Roman"/>
          <w:noProof/>
          <w:color w:val="000000"/>
          <w:sz w:val="24"/>
        </w:rPr>
        <w:t xml:space="preserve">Повдигнатите в настоящия документ въпроси имат за цел да информират дебат между заинтересованите </w:t>
      </w:r>
      <w:r>
        <w:rPr>
          <w:rFonts w:ascii="Times New Roman" w:hAnsi="Times New Roman"/>
          <w:noProof/>
          <w:color w:val="000000"/>
          <w:sz w:val="24"/>
        </w:rPr>
        <w:t>страни, гражданите, правителствата и институциите през следващите месеци, с цел да се вдъхновят дискусиите относно бъдещето на Европа, подготовката на стратегическата програма на Европейския съюз за периода 2019—2024 г. и определянето на приоритетите на сл</w:t>
      </w:r>
      <w:r>
        <w:rPr>
          <w:rFonts w:ascii="Times New Roman" w:hAnsi="Times New Roman"/>
          <w:noProof/>
          <w:color w:val="000000"/>
          <w:sz w:val="24"/>
        </w:rPr>
        <w:t>едващата Европейска комисия.</w:t>
      </w:r>
    </w:p>
    <w:p w:rsidR="00AA0CD6" w:rsidRDefault="00061B11">
      <w:pPr>
        <w:rPr>
          <w:rFonts w:ascii="Times New Roman" w:hAnsi="Times New Roman"/>
          <w:noProof/>
          <w:color w:val="000000"/>
          <w:sz w:val="24"/>
        </w:rPr>
      </w:pPr>
      <w:r>
        <w:rPr>
          <w:rFonts w:ascii="Times New Roman" w:hAnsi="Times New Roman"/>
          <w:noProof/>
          <w:color w:val="000000"/>
          <w:sz w:val="24"/>
        </w:rPr>
        <w:br w:type="page"/>
      </w:r>
    </w:p>
    <w:p w:rsidR="00AA0CD6" w:rsidRDefault="00061B11">
      <w:pPr>
        <w:pStyle w:val="Heading1"/>
        <w:rPr>
          <w:rFonts w:eastAsia="Times New Roman"/>
          <w:noProof/>
        </w:rPr>
      </w:pPr>
      <w:bookmarkStart w:id="3" w:name="_Toc536442037"/>
      <w:bookmarkStart w:id="4" w:name="_Toc536612060"/>
      <w:r>
        <w:rPr>
          <w:noProof/>
        </w:rPr>
        <w:t>Устойчивото развитие за по-добър поминък на хората: конкурентните предимства на Европа</w:t>
      </w:r>
      <w:bookmarkEnd w:id="3"/>
      <w:bookmarkEnd w:id="4"/>
    </w:p>
    <w:p w:rsidR="00AA0CD6" w:rsidRDefault="00AA0CD6">
      <w:pPr>
        <w:spacing w:line="240" w:lineRule="auto"/>
        <w:jc w:val="both"/>
        <w:rPr>
          <w:rFonts w:ascii="Times New Roman" w:hAnsi="Times New Roman" w:cs="Times New Roman"/>
          <w:noProof/>
          <w:sz w:val="14"/>
          <w:szCs w:val="1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През септември 2015 г. на Общото събрание на ООН редица страни от целия свят подписаха Програмата до 2030 г. за устойчиво развитие (Прогр</w:t>
      </w:r>
      <w:r>
        <w:rPr>
          <w:rFonts w:ascii="Times New Roman" w:hAnsi="Times New Roman"/>
          <w:noProof/>
          <w:sz w:val="24"/>
        </w:rPr>
        <w:t>амата на ООН до 2030 г.) и нейните 17 цели за устойчиво развитие (ЦУР), като се споразумяха относно конкретни „задачи за хората и планетата</w:t>
      </w:r>
      <w:r>
        <w:rPr>
          <w:rStyle w:val="FootnoteReference"/>
          <w:rFonts w:ascii="Times New Roman" w:hAnsi="Times New Roman"/>
          <w:noProof/>
          <w:sz w:val="24"/>
        </w:rPr>
        <w:footnoteReference w:id="1"/>
      </w:r>
      <w:r>
        <w:rPr>
          <w:rFonts w:ascii="Times New Roman" w:hAnsi="Times New Roman"/>
          <w:noProof/>
          <w:sz w:val="24"/>
        </w:rPr>
        <w:t>.“ Световните лидери поеха ангажимент за премахване на бедността, опазване на планетата и гарантиране, че всички хор</w:t>
      </w:r>
      <w:r>
        <w:rPr>
          <w:rFonts w:ascii="Times New Roman" w:hAnsi="Times New Roman"/>
          <w:noProof/>
          <w:sz w:val="24"/>
        </w:rPr>
        <w:t>а се радват на мир и просперитет. ЦУР, заедно с Парижкото споразумение относно изменението на климата, представляват пътната карта към един по-добър свят и глобалната рамка за международното сътрудничество в областта на устойчивото развитие и неговото икон</w:t>
      </w:r>
      <w:r>
        <w:rPr>
          <w:rFonts w:ascii="Times New Roman" w:hAnsi="Times New Roman"/>
          <w:noProof/>
          <w:sz w:val="24"/>
        </w:rPr>
        <w:t xml:space="preserve">омическо, социално, екологично и управленско измерение. ЕС бе една от водещите сили, движещи Програмата на ООН до 2030 г. и изцяло се ангажира с изпълнението ѝ.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Устойчивото развитие — развитието, което отговаря на потребностите на сегашното поколение, без</w:t>
      </w:r>
      <w:r>
        <w:rPr>
          <w:rFonts w:ascii="Times New Roman" w:hAnsi="Times New Roman"/>
          <w:noProof/>
          <w:sz w:val="24"/>
        </w:rPr>
        <w:t xml:space="preserve"> да се излага на риск способността на бъдещите поколения да посрещат собствените си нужди — е дълбоко вкоренено в европейския проект. Европейската интеграция и политиките на ЕС спомогнаха за преодоляване на следвоенната бедност и глад и доведоха до създава</w:t>
      </w:r>
      <w:r>
        <w:rPr>
          <w:rFonts w:ascii="Times New Roman" w:hAnsi="Times New Roman"/>
          <w:noProof/>
          <w:sz w:val="24"/>
        </w:rPr>
        <w:t>нето на пространство на свобода и демокрация, където европейските граждани могат да достигнат безпрецедентни равнища на просперитет и благополучие.</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ЕС непрекъснато се стремеше да изгради по-приобщаващи общества, основани на демокрацията и върховенството на</w:t>
      </w:r>
      <w:r>
        <w:rPr>
          <w:rFonts w:ascii="Times New Roman" w:hAnsi="Times New Roman"/>
          <w:noProof/>
          <w:sz w:val="24"/>
        </w:rPr>
        <w:t xml:space="preserve"> закона, както е посочено в член 2 от Договора за Европейския съюз</w:t>
      </w:r>
      <w:r>
        <w:rPr>
          <w:rStyle w:val="FootnoteReference"/>
          <w:rFonts w:ascii="Times New Roman" w:hAnsi="Times New Roman"/>
          <w:noProof/>
          <w:sz w:val="24"/>
        </w:rPr>
        <w:footnoteReference w:id="2"/>
      </w:r>
      <w:r>
        <w:rPr>
          <w:rFonts w:ascii="Times New Roman" w:hAnsi="Times New Roman"/>
          <w:noProof/>
          <w:sz w:val="24"/>
        </w:rPr>
        <w:t xml:space="preserve">. Социалните и здравните стандарти на ЕС са сред най-амбициозните в света и Европа е континентът с най-високата средна продължителност на живота. Социалната ни пазарна икономика е източник </w:t>
      </w:r>
      <w:r>
        <w:rPr>
          <w:rFonts w:ascii="Times New Roman" w:hAnsi="Times New Roman"/>
          <w:noProof/>
          <w:sz w:val="24"/>
        </w:rPr>
        <w:t xml:space="preserve">на просперитет и гарантира сигурност благодарение на силните системи за социална сигурност. Значителните инвестиции в научни изследвания и иновации допринесоха за нови технологии и модели на производство, позволяващи по-устойчиво използване на ресурсите и </w:t>
      </w:r>
      <w:r>
        <w:rPr>
          <w:rFonts w:ascii="Times New Roman" w:hAnsi="Times New Roman"/>
          <w:noProof/>
          <w:sz w:val="24"/>
        </w:rPr>
        <w:t>възприемане на цифрови решения. Солидните бюджети и модерните икономики са от основно значение. Напредъкът към стабилни фискални политики и структурни реформи доведе до намаляване на равнищата на дълга и стимулира създаването на работни места. През третото</w:t>
      </w:r>
      <w:r>
        <w:rPr>
          <w:rFonts w:ascii="Times New Roman" w:hAnsi="Times New Roman"/>
          <w:noProof/>
          <w:sz w:val="24"/>
        </w:rPr>
        <w:t xml:space="preserve"> тримесечие на 2018 г. равнището на заетостта на хората на възраст между 20 и 64 години се повиши до 73,5 %, което представлява най-високата стойност, достигана някога в ЕС. Това оказа положително въздействие върху производителността и икономическия растеж</w:t>
      </w:r>
      <w:r>
        <w:rPr>
          <w:rFonts w:ascii="Times New Roman" w:hAnsi="Times New Roman"/>
          <w:noProof/>
          <w:sz w:val="24"/>
        </w:rPr>
        <w:t xml:space="preserve"> в Европа. Въпреки че продължават да съществуват икономическите, социалните и териториалните различия между държавите — членки на ЕС, и между регионите</w:t>
      </w:r>
      <w:r>
        <w:rPr>
          <w:rStyle w:val="FootnoteReference"/>
          <w:rFonts w:ascii="Times New Roman" w:hAnsi="Times New Roman"/>
          <w:noProof/>
          <w:sz w:val="24"/>
        </w:rPr>
        <w:footnoteReference w:id="3"/>
      </w:r>
      <w:r>
        <w:rPr>
          <w:rFonts w:ascii="Times New Roman" w:hAnsi="Times New Roman"/>
          <w:noProof/>
          <w:sz w:val="24"/>
        </w:rPr>
        <w:t>, политиката на сближаване на ЕС спомогна на всички да отбележат растеж и да намалят тези различия в кон</w:t>
      </w:r>
      <w:r>
        <w:rPr>
          <w:rFonts w:ascii="Times New Roman" w:hAnsi="Times New Roman"/>
          <w:noProof/>
          <w:sz w:val="24"/>
        </w:rPr>
        <w:t>тинента (сближаване във възходяща посока). Освен това ЕС има едни от най-високите социални и екологични стандарти, въведе едни от най-амбициозните политики за защита на човешкото здраве и се превърна в световен лидер в борбата срещу изменението на климата.</w:t>
      </w:r>
      <w:r>
        <w:rPr>
          <w:rFonts w:ascii="Times New Roman" w:hAnsi="Times New Roman"/>
          <w:noProof/>
          <w:sz w:val="24"/>
        </w:rPr>
        <w:t xml:space="preserve"> Държавите — членки на ЕС, постигнаха забележителен напредък в много области от Програмата на ООН до 2030 г. и в резултат на това ЕС е едно от най-добрите места за живеене в света, вероятно най-доброто.</w:t>
      </w:r>
    </w:p>
    <w:p w:rsidR="00AA0CD6" w:rsidRDefault="00AA0CD6">
      <w:pPr>
        <w:spacing w:line="240" w:lineRule="auto"/>
        <w:jc w:val="both"/>
        <w:rPr>
          <w:rFonts w:ascii="Times New Roman" w:hAnsi="Times New Roman" w:cs="Times New Roman"/>
          <w:noProof/>
          <w:sz w:val="24"/>
          <w:szCs w:val="24"/>
        </w:rPr>
      </w:pPr>
    </w:p>
    <w:p w:rsidR="00AA0CD6" w:rsidRDefault="00061B11">
      <w:pPr>
        <w:spacing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2790768" cy="1892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0682" cy="1892168"/>
                    </a:xfrm>
                    <a:prstGeom prst="rect">
                      <a:avLst/>
                    </a:prstGeom>
                  </pic:spPr>
                </pic:pic>
              </a:graphicData>
            </a:graphic>
          </wp:inline>
        </w:drawing>
      </w:r>
    </w:p>
    <w:p w:rsidR="00AA0CD6" w:rsidRDefault="00AA0CD6">
      <w:pPr>
        <w:spacing w:line="240" w:lineRule="auto"/>
        <w:jc w:val="both"/>
        <w:rPr>
          <w:rFonts w:ascii="Times New Roman" w:hAnsi="Times New Roman" w:cs="Times New Roman"/>
          <w:i/>
          <w:noProof/>
          <w:sz w:val="24"/>
          <w:szCs w:val="24"/>
        </w:rPr>
      </w:pPr>
    </w:p>
    <w:p w:rsidR="00AA0CD6" w:rsidRDefault="00061B11">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 xml:space="preserve">Европейският съюз е едно от най-добрите места за </w:t>
      </w:r>
      <w:r>
        <w:rPr>
          <w:rFonts w:ascii="Times New Roman" w:hAnsi="Times New Roman"/>
          <w:b/>
          <w:noProof/>
          <w:sz w:val="24"/>
        </w:rPr>
        <w:t>живеене</w:t>
      </w:r>
    </w:p>
    <w:p w:rsidR="00AA0CD6" w:rsidRDefault="00061B1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Девет държави членки от ЕС-27 се нареждат сред 20-те държави с най-щастливите граждани в света, като на първо място е Финландия</w:t>
      </w:r>
      <w:r>
        <w:rPr>
          <w:rStyle w:val="FootnoteReference"/>
          <w:rFonts w:ascii="Times New Roman" w:hAnsi="Times New Roman"/>
          <w:noProof/>
          <w:sz w:val="24"/>
        </w:rPr>
        <w:footnoteReference w:id="4"/>
      </w:r>
      <w:r>
        <w:rPr>
          <w:rFonts w:ascii="Times New Roman" w:hAnsi="Times New Roman"/>
          <w:noProof/>
          <w:sz w:val="24"/>
        </w:rPr>
        <w:t>.</w:t>
      </w:r>
    </w:p>
    <w:p w:rsidR="00AA0CD6" w:rsidRDefault="00061B1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Цялостното удовлетворение от живота в ЕС въз основа на субективното благосъстояние на европейските граждани е в размер</w:t>
      </w:r>
      <w:r>
        <w:rPr>
          <w:rFonts w:ascii="Times New Roman" w:hAnsi="Times New Roman"/>
          <w:noProof/>
          <w:sz w:val="24"/>
        </w:rPr>
        <w:t xml:space="preserve"> на 70 %</w:t>
      </w:r>
      <w:r>
        <w:rPr>
          <w:rStyle w:val="FootnoteReference"/>
          <w:rFonts w:ascii="Times New Roman" w:hAnsi="Times New Roman"/>
          <w:noProof/>
          <w:sz w:val="24"/>
        </w:rPr>
        <w:footnoteReference w:id="5"/>
      </w:r>
      <w:r>
        <w:rPr>
          <w:rFonts w:ascii="Times New Roman" w:hAnsi="Times New Roman"/>
          <w:noProof/>
          <w:sz w:val="24"/>
        </w:rPr>
        <w:t>.</w:t>
      </w:r>
    </w:p>
    <w:p w:rsidR="00AA0CD6" w:rsidRDefault="00061B1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Единадесет държави членки от ЕС-27 са сред първите 20 държави от световния индекс за младежта</w:t>
      </w:r>
      <w:r>
        <w:rPr>
          <w:rStyle w:val="FootnoteReference"/>
          <w:rFonts w:ascii="Times New Roman" w:hAnsi="Times New Roman"/>
          <w:noProof/>
          <w:sz w:val="24"/>
        </w:rPr>
        <w:footnoteReference w:id="6"/>
      </w:r>
      <w:r>
        <w:rPr>
          <w:rFonts w:ascii="Times New Roman" w:hAnsi="Times New Roman"/>
          <w:noProof/>
          <w:sz w:val="24"/>
        </w:rPr>
        <w:t xml:space="preserve"> от Европейския младежки форум. Индексът за младежта е един от първите разработени инструменти, чиято цел е обрисуването на цялостната картина за това </w:t>
      </w:r>
      <w:r>
        <w:rPr>
          <w:rFonts w:ascii="Times New Roman" w:hAnsi="Times New Roman"/>
          <w:noProof/>
          <w:sz w:val="24"/>
        </w:rPr>
        <w:t>какъв е животът на младите хора днес, независимо от икономическите показатели. </w:t>
      </w:r>
    </w:p>
    <w:p w:rsidR="00AA0CD6" w:rsidRDefault="00AA0CD6">
      <w:pPr>
        <w:spacing w:line="240" w:lineRule="auto"/>
        <w:jc w:val="both"/>
        <w:rPr>
          <w:rFonts w:ascii="Times New Roman" w:hAnsi="Times New Roman" w:cs="Times New Roman"/>
          <w:noProof/>
          <w:sz w:val="24"/>
          <w:szCs w:val="24"/>
        </w:rPr>
      </w:pPr>
    </w:p>
    <w:p w:rsidR="00AA0CD6" w:rsidRDefault="00AA0CD6">
      <w:pPr>
        <w:spacing w:line="240" w:lineRule="auto"/>
        <w:jc w:val="both"/>
        <w:rPr>
          <w:rFonts w:ascii="Times New Roman" w:hAnsi="Times New Roman" w:cs="Times New Roman"/>
          <w:noProof/>
          <w:sz w:val="24"/>
          <w:szCs w:val="24"/>
        </w:rPr>
      </w:pPr>
    </w:p>
    <w:p w:rsidR="00AA0CD6" w:rsidRDefault="00061B11">
      <w:pPr>
        <w:spacing w:line="240" w:lineRule="auto"/>
        <w:jc w:val="center"/>
        <w:rPr>
          <w:rFonts w:ascii="Times New Roman" w:hAnsi="Times New Roman" w:cs="Times New Roman"/>
          <w:noProof/>
          <w:sz w:val="24"/>
          <w:szCs w:val="24"/>
          <w:lang w:val="fr-BE"/>
        </w:rPr>
      </w:pPr>
      <w:r>
        <w:rPr>
          <w:noProof/>
          <w:lang w:val="en-GB" w:eastAsia="en-GB" w:bidi="ar-SA"/>
        </w:rPr>
        <w:drawing>
          <wp:inline distT="0" distB="0" distL="0" distR="0">
            <wp:extent cx="357187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1875" cy="1800225"/>
                    </a:xfrm>
                    <a:prstGeom prst="rect">
                      <a:avLst/>
                    </a:prstGeom>
                  </pic:spPr>
                </pic:pic>
              </a:graphicData>
            </a:graphic>
          </wp:inline>
        </w:drawing>
      </w:r>
    </w:p>
    <w:p w:rsidR="00AA0CD6" w:rsidRDefault="00AA0CD6">
      <w:pPr>
        <w:spacing w:line="240" w:lineRule="auto"/>
        <w:jc w:val="center"/>
        <w:rPr>
          <w:rFonts w:ascii="Times New Roman" w:hAnsi="Times New Roman" w:cs="Times New Roman"/>
          <w:noProof/>
          <w:sz w:val="24"/>
          <w:szCs w:val="24"/>
        </w:rPr>
      </w:pPr>
    </w:p>
    <w:p w:rsidR="00AA0CD6" w:rsidRDefault="00061B1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943350" cy="788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43350" cy="7886700"/>
                    </a:xfrm>
                    <a:prstGeom prst="rect">
                      <a:avLst/>
                    </a:prstGeom>
                  </pic:spPr>
                </pic:pic>
              </a:graphicData>
            </a:graphic>
          </wp:inline>
        </w:drawing>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Нищо обаче не е окончателно завършено или постоянно установено. Нашата демокрация, нашата икономика и нашата околна среда се нуждаят от постоянни усилия, за да консолиди</w:t>
      </w:r>
      <w:r>
        <w:rPr>
          <w:rFonts w:ascii="Times New Roman" w:hAnsi="Times New Roman"/>
          <w:noProof/>
          <w:sz w:val="24"/>
        </w:rPr>
        <w:t>ране постиженията си, да преодолеем напълно отрицателните последици от икономическата и финансовата криза, да разрушим връзката между подобряването на нашето здраве, благоденствие и благосъстояние и влошаването на качеството на околната среда, да преодолее</w:t>
      </w:r>
      <w:r>
        <w:rPr>
          <w:rFonts w:ascii="Times New Roman" w:hAnsi="Times New Roman"/>
          <w:noProof/>
          <w:sz w:val="24"/>
        </w:rPr>
        <w:t>м социалните неравенства и да преодолеем предизвикателства, които не признават граници.</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Ние сме в разгара на четвъртата индустриална революция и промените ще засегнат всички. Въпросът е дали ще можем да ръководим и насочваме отговора им в съответствие с на</w:t>
      </w:r>
      <w:r>
        <w:rPr>
          <w:rFonts w:ascii="Times New Roman" w:hAnsi="Times New Roman"/>
          <w:noProof/>
          <w:sz w:val="24"/>
        </w:rPr>
        <w:t>шите ценности и интереси. ЕС и неговите държави членки имат значителни конкурентни предимства, които ни позволяват да поемем ръководна роля и да модернизираме нашите икономики, да гарантираме сигурността на околната ни среда и да подобрим здравето и благос</w:t>
      </w:r>
      <w:r>
        <w:rPr>
          <w:rFonts w:ascii="Times New Roman" w:hAnsi="Times New Roman"/>
          <w:noProof/>
          <w:sz w:val="24"/>
        </w:rPr>
        <w:t xml:space="preserve">ъстоянието на всички европейци. Това ще изисква ангажиране с ЦУР, като инвестираме в квалификациите, иновациите и нововъзникващите технологии, спомагащи за стимулиране на прехода на икономиката и обществото ни към устойчив път на развитие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Трябва да обмисл</w:t>
      </w:r>
      <w:r>
        <w:rPr>
          <w:rFonts w:ascii="Times New Roman" w:hAnsi="Times New Roman"/>
          <w:noProof/>
          <w:sz w:val="24"/>
        </w:rPr>
        <w:t>им как да развиваме нашите модели на производство и потребление. Ще трябва да действаме незабавно, за да се спре глобалното затопляне и загубата на екосистеми и биологично разнообразие, които застрашават благоденствието, перспективите ни за устойчив растеж</w:t>
      </w:r>
      <w:r>
        <w:rPr>
          <w:rFonts w:ascii="Times New Roman" w:hAnsi="Times New Roman"/>
          <w:noProof/>
          <w:sz w:val="24"/>
        </w:rPr>
        <w:t xml:space="preserve"> и самия живот на тази планета. Макар да разполагаме с необходимия капацитет, за да направим това, времето е лукс, който не притежаваме. Неравенство и териториалните различия продължават да са широко разпространени въпреки постигнатия напредък. Справянето </w:t>
      </w:r>
      <w:r>
        <w:rPr>
          <w:rFonts w:ascii="Times New Roman" w:hAnsi="Times New Roman"/>
          <w:noProof/>
          <w:sz w:val="24"/>
        </w:rPr>
        <w:t xml:space="preserve">с тези явления е важно за изграждането на справедливо общество, но и за запазването и укрепването на социалното сближаване и за гарантирането на социална и политическа стабилност в държавите — членки на ЕС, и между тях.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Освен това, в един анархичен свят с</w:t>
      </w:r>
      <w:r>
        <w:rPr>
          <w:rFonts w:ascii="Times New Roman" w:hAnsi="Times New Roman"/>
          <w:noProof/>
          <w:sz w:val="24"/>
        </w:rPr>
        <w:t xml:space="preserve"> ядрени оръжия, екстремизъм и ограничени ресурси най-добрият отговор на закона на джунглата е изграждането на уважаван и ефективен многостранен световен ред, основан на правила. Расте опасният националистически вирус, наречен „моята страна е на първо място</w:t>
      </w:r>
      <w:r>
        <w:rPr>
          <w:rFonts w:ascii="Times New Roman" w:hAnsi="Times New Roman"/>
          <w:noProof/>
          <w:sz w:val="24"/>
        </w:rPr>
        <w:t xml:space="preserve">“, което може да доведе до борби и конфликти. Няколко държави вече обръщат гръб на своите глобални ангажименти за човешко благоденствие, сигурност, защита на околната среда и действия в областта на климата, като нарушават реда, основан на правила. </w:t>
      </w:r>
    </w:p>
    <w:p w:rsidR="00AA0CD6" w:rsidRDefault="00061B11">
      <w:pPr>
        <w:spacing w:line="240" w:lineRule="auto"/>
        <w:jc w:val="both"/>
        <w:rPr>
          <w:rFonts w:ascii="Times New Roman" w:hAnsi="Times New Roman"/>
          <w:noProof/>
          <w:sz w:val="24"/>
        </w:rPr>
      </w:pPr>
      <w:r>
        <w:rPr>
          <w:rFonts w:ascii="Times New Roman" w:hAnsi="Times New Roman"/>
          <w:noProof/>
          <w:sz w:val="24"/>
        </w:rPr>
        <w:t xml:space="preserve">ЦУР не </w:t>
      </w:r>
      <w:r>
        <w:rPr>
          <w:rFonts w:ascii="Times New Roman" w:hAnsi="Times New Roman"/>
          <w:noProof/>
          <w:sz w:val="24"/>
        </w:rPr>
        <w:t>са цел сами по себе си, а ни служат за компас и карта. Те предлагат необходимата дългосрочна перспектива, която надхвърля изборните периоди и краткосрочните съображения за постигане на бързи резултати. Те ни помагат да държим курса по-добре, за да можем да</w:t>
      </w:r>
      <w:r>
        <w:rPr>
          <w:rFonts w:ascii="Times New Roman" w:hAnsi="Times New Roman"/>
          <w:noProof/>
          <w:sz w:val="24"/>
        </w:rPr>
        <w:t xml:space="preserve"> поддържаме стабилни демокрации, да изграждаме съвременни и динамични икономики и да допринесем за свят с подобрени стандарти на живот, с намаляващи неравенства; да гарантираме, че никой няма да бъде изоставен, като същевременно напълно спазваме ограничени</w:t>
      </w:r>
      <w:r>
        <w:rPr>
          <w:rFonts w:ascii="Times New Roman" w:hAnsi="Times New Roman"/>
          <w:noProof/>
          <w:sz w:val="24"/>
        </w:rPr>
        <w:t xml:space="preserve">ята на нашата планета и я предадем непокътната на бъдещите поколения. </w:t>
      </w:r>
    </w:p>
    <w:p w:rsidR="00AA0CD6" w:rsidRDefault="00AA0CD6">
      <w:pPr>
        <w:spacing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noProof/>
          <w:lang w:val="en-GB" w:eastAsia="en-GB" w:bidi="ar-SA"/>
        </w:rPr>
        <w:drawing>
          <wp:inline distT="0" distB="0" distL="0" distR="0">
            <wp:extent cx="5760720" cy="24773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77367"/>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noProof/>
          <w:sz w:val="24"/>
        </w:rPr>
      </w:pPr>
    </w:p>
    <w:p w:rsidR="00AA0CD6" w:rsidRDefault="00AA0CD6">
      <w:pPr>
        <w:autoSpaceDE w:val="0"/>
        <w:autoSpaceDN w:val="0"/>
        <w:adjustRightInd w:val="0"/>
        <w:spacing w:after="0" w:line="240" w:lineRule="auto"/>
        <w:jc w:val="both"/>
        <w:rPr>
          <w:rFonts w:ascii="Times New Roman" w:hAnsi="Times New Roman"/>
          <w:noProof/>
          <w:sz w:val="2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От началото на мандата си Комисията „Юнкер“ работи, за да включи устойчивото развитие в своите политики</w:t>
      </w:r>
      <w:r>
        <w:rPr>
          <w:rStyle w:val="FootnoteReference"/>
          <w:rFonts w:ascii="Times New Roman" w:hAnsi="Times New Roman"/>
          <w:noProof/>
          <w:sz w:val="24"/>
        </w:rPr>
        <w:footnoteReference w:id="7"/>
      </w:r>
      <w:r>
        <w:rPr>
          <w:rFonts w:ascii="Times New Roman" w:hAnsi="Times New Roman"/>
          <w:noProof/>
          <w:sz w:val="24"/>
        </w:rPr>
        <w:t xml:space="preserve"> и вече положи много от най-важните основи за следващото поколение устойчиви</w:t>
      </w:r>
      <w:r>
        <w:rPr>
          <w:rFonts w:ascii="Times New Roman" w:hAnsi="Times New Roman"/>
          <w:noProof/>
          <w:sz w:val="24"/>
        </w:rPr>
        <w:t xml:space="preserve"> политики: </w:t>
      </w:r>
      <w:r>
        <w:rPr>
          <w:rFonts w:ascii="Times New Roman" w:hAnsi="Times New Roman"/>
          <w:noProof/>
          <w:color w:val="000000"/>
          <w:sz w:val="24"/>
        </w:rPr>
        <w:t>от Европейския стълб на социалните права и новия Европейски консенсус за развитие до основаната на ценности стратегия „Търговията — за всички“, Стратегическия ангажимент за равенство между половете и изграждането на европейско пространство на об</w:t>
      </w:r>
      <w:r>
        <w:rPr>
          <w:rFonts w:ascii="Times New Roman" w:hAnsi="Times New Roman"/>
          <w:noProof/>
          <w:color w:val="000000"/>
          <w:sz w:val="24"/>
        </w:rPr>
        <w:t>разование</w:t>
      </w:r>
      <w:r>
        <w:rPr>
          <w:rFonts w:ascii="Times New Roman" w:hAnsi="Times New Roman"/>
          <w:noProof/>
          <w:sz w:val="24"/>
        </w:rPr>
        <w:t>;</w:t>
      </w:r>
      <w:r>
        <w:rPr>
          <w:rFonts w:ascii="Times New Roman" w:hAnsi="Times New Roman"/>
          <w:noProof/>
          <w:color w:val="000000"/>
          <w:sz w:val="24"/>
        </w:rPr>
        <w:t xml:space="preserve"> от пакета за кръговата икономика, пакетите „Европа в движение“ и енергийния съюз до стратегията за син растеж и стратегията за биоикономиката; и от Плана за инвестиции и Плана за действие за устойчиво финансиране до Програмата за градовете за ЕС</w:t>
      </w:r>
      <w:r>
        <w:rPr>
          <w:rFonts w:ascii="Times New Roman" w:hAnsi="Times New Roman"/>
          <w:noProof/>
          <w:color w:val="000000"/>
          <w:sz w:val="24"/>
        </w:rPr>
        <w:t xml:space="preserve"> и Плана за действие за опазване на природата. </w:t>
      </w: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Комисията „Юнкер“ предложи и финансите на ЕС да станат по-устойчиви чрез засилване на връзката между финансирането от ЕС и спазването на върховенството на закона, както и чрез приемането на по-амбициозна цел от 25 % за разходи в областта на климата в бъдещ</w:t>
      </w:r>
      <w:r>
        <w:rPr>
          <w:rFonts w:ascii="Times New Roman" w:hAnsi="Times New Roman"/>
          <w:noProof/>
          <w:color w:val="000000"/>
          <w:sz w:val="24"/>
        </w:rPr>
        <w:t xml:space="preserve">ия бюджет на ЕС.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Наскоро Комисията „Юнкер“ представи дългосрочна стратегическа визия за просперираща, модерна, конкурентоспособна и неутрална по отношение на климата икономика на ЕС до 2050</w:t>
      </w:r>
      <w:r>
        <w:rPr>
          <w:rStyle w:val="FootnoteReference"/>
          <w:rFonts w:ascii="Times New Roman" w:hAnsi="Times New Roman"/>
          <w:noProof/>
          <w:sz w:val="24"/>
        </w:rPr>
        <w:footnoteReference w:id="8"/>
      </w:r>
      <w:r>
        <w:rPr>
          <w:rFonts w:ascii="Times New Roman" w:hAnsi="Times New Roman"/>
          <w:noProof/>
          <w:sz w:val="24"/>
        </w:rPr>
        <w:t>. Тази визия полага основите за структурна промяна на европейска</w:t>
      </w:r>
      <w:r>
        <w:rPr>
          <w:rFonts w:ascii="Times New Roman" w:hAnsi="Times New Roman"/>
          <w:noProof/>
          <w:sz w:val="24"/>
        </w:rPr>
        <w:t xml:space="preserve">та икономика, водеща до устойчив растеж и работни места.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Всички тези стратегически политики ще трябва да бъдат изцяло и недвусмислено приложени на място. Също така, те ще трябва да бъдат допълнени от по-нататъшни действия, като се признае фактът, че всич</w:t>
      </w:r>
      <w:r>
        <w:rPr>
          <w:rFonts w:ascii="Times New Roman" w:hAnsi="Times New Roman"/>
          <w:noProof/>
          <w:sz w:val="24"/>
        </w:rPr>
        <w:t>ки политики са взаимозависими и си оказват взаимно влияние, като същевременно се вземат предвид новите предизвикателства и новите факти и доказателства, когато се появят. Социалният диалог и доброволните мерки на частния сектор също играят важна роля в тов</w:t>
      </w:r>
      <w:r>
        <w:rPr>
          <w:rFonts w:ascii="Times New Roman" w:hAnsi="Times New Roman"/>
          <w:noProof/>
          <w:sz w:val="24"/>
        </w:rPr>
        <w:t>а отношение.</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ЕС е в изключително добра позиция да заеме водеща роля. Образува се политически вакуум в резултат на политиките на отстъпление на други световни сили. Това е важна възможност за ЕС да покаже лидерство и да освети пътя, по който да последват </w:t>
      </w:r>
      <w:r>
        <w:rPr>
          <w:rFonts w:ascii="Times New Roman" w:hAnsi="Times New Roman"/>
          <w:noProof/>
          <w:sz w:val="24"/>
        </w:rPr>
        <w:t>останалите.</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rPr>
        <w:t>През май тази година гражданите на ЕС ще изберат нов Парламент. Нова Комисия трябва да встъпи в длъжност тази есен. Наближава бързо крайният срок на стратегията „Европа 2020“ за интелигентен, устойчив и приобщаващ растеж</w:t>
      </w:r>
      <w:r>
        <w:rPr>
          <w:rStyle w:val="FootnoteReference"/>
          <w:rFonts w:ascii="Times New Roman" w:hAnsi="Times New Roman"/>
          <w:noProof/>
          <w:sz w:val="24"/>
        </w:rPr>
        <w:footnoteReference w:id="9"/>
      </w:r>
      <w:r>
        <w:rPr>
          <w:rFonts w:ascii="Times New Roman" w:hAnsi="Times New Roman"/>
          <w:noProof/>
          <w:sz w:val="24"/>
        </w:rPr>
        <w:t>. Ето защо трябва да г</w:t>
      </w:r>
      <w:r>
        <w:rPr>
          <w:rFonts w:ascii="Times New Roman" w:hAnsi="Times New Roman"/>
          <w:noProof/>
          <w:sz w:val="24"/>
        </w:rPr>
        <w:t>ледаме напред към следващия петгодишен цикъл на политиката за Европа и следващата многогодишна финансова рамка за периода от 2012 до 2027 г. Европейският съвет</w:t>
      </w:r>
      <w:r>
        <w:rPr>
          <w:rStyle w:val="FootnoteReference"/>
          <w:rFonts w:ascii="Times New Roman" w:hAnsi="Times New Roman"/>
          <w:noProof/>
          <w:sz w:val="24"/>
        </w:rPr>
        <w:footnoteReference w:id="10"/>
      </w:r>
      <w:r>
        <w:rPr>
          <w:rFonts w:ascii="Times New Roman" w:hAnsi="Times New Roman"/>
          <w:noProof/>
          <w:sz w:val="24"/>
        </w:rPr>
        <w:t xml:space="preserve"> приветства намерението на Комисията да публикува този документ за размисъл, който следва да под</w:t>
      </w:r>
      <w:r>
        <w:rPr>
          <w:rFonts w:ascii="Times New Roman" w:hAnsi="Times New Roman"/>
          <w:noProof/>
          <w:sz w:val="24"/>
        </w:rPr>
        <w:t>готви почвата за цялостна стратегия за изпълнение през 2019 г. Този документ за размисъл дава началото на дебат относно по-нататъшното разработване на визията на ЕС за устойчиво развитие, както и относно акцента върху секторните политики след 2020 г., като</w:t>
      </w:r>
      <w:r>
        <w:rPr>
          <w:rFonts w:ascii="Times New Roman" w:hAnsi="Times New Roman"/>
          <w:noProof/>
          <w:sz w:val="24"/>
        </w:rPr>
        <w:t xml:space="preserve"> подготвя дългосрочното изпълнение на ЦУР</w:t>
      </w:r>
      <w:r>
        <w:rPr>
          <w:rStyle w:val="FootnoteReference"/>
          <w:rFonts w:ascii="Times New Roman" w:hAnsi="Times New Roman"/>
          <w:noProof/>
          <w:sz w:val="24"/>
        </w:rPr>
        <w:footnoteReference w:id="11"/>
      </w:r>
      <w:r>
        <w:rPr>
          <w:rFonts w:ascii="Times New Roman" w:hAnsi="Times New Roman"/>
          <w:noProof/>
          <w:sz w:val="24"/>
        </w:rPr>
        <w:t xml:space="preserve">. Комисията би желала да допринесе и за един наистина всеобхватен и ориентиран към бъдещето на Европа дебат, а устойчивото развитие е неразривно свързано с това бъдеще. </w:t>
      </w:r>
    </w:p>
    <w:p w:rsidR="00AA0CD6" w:rsidRDefault="00061B11">
      <w:pPr>
        <w:pStyle w:val="Heading1"/>
        <w:rPr>
          <w:rFonts w:eastAsia="Times New Roman"/>
          <w:noProof/>
        </w:rPr>
      </w:pPr>
      <w:bookmarkStart w:id="5" w:name="_Toc532469537"/>
      <w:bookmarkStart w:id="6" w:name="_Toc536442038"/>
      <w:bookmarkStart w:id="7" w:name="_Toc536612061"/>
      <w:bookmarkEnd w:id="5"/>
      <w:r>
        <w:rPr>
          <w:noProof/>
        </w:rPr>
        <w:t>ЕС и преодоляването на предизвикателствата н</w:t>
      </w:r>
      <w:r>
        <w:rPr>
          <w:noProof/>
        </w:rPr>
        <w:t>а световно равнище</w:t>
      </w:r>
      <w:bookmarkEnd w:id="6"/>
      <w:bookmarkEnd w:id="7"/>
    </w:p>
    <w:p w:rsidR="00AA0CD6" w:rsidRDefault="00AA0CD6">
      <w:pPr>
        <w:rPr>
          <w:noProof/>
          <w:sz w:val="4"/>
          <w:szCs w:val="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След положените усилия за реформи на всички равнища основите на икономиката на ЕС укрепнаха след икономическата и финансовата криза</w:t>
      </w:r>
      <w:r>
        <w:rPr>
          <w:rStyle w:val="FootnoteReference"/>
          <w:rFonts w:ascii="Times New Roman" w:hAnsi="Times New Roman"/>
          <w:noProof/>
          <w:sz w:val="24"/>
        </w:rPr>
        <w:footnoteReference w:id="12"/>
      </w:r>
      <w:r>
        <w:rPr>
          <w:rFonts w:ascii="Times New Roman" w:hAnsi="Times New Roman"/>
          <w:noProof/>
          <w:sz w:val="24"/>
        </w:rPr>
        <w:t xml:space="preserve">. </w:t>
      </w:r>
      <w:r>
        <w:rPr>
          <w:rFonts w:ascii="Times New Roman" w:hAnsi="Times New Roman"/>
          <w:noProof/>
          <w:color w:val="000000"/>
          <w:sz w:val="24"/>
        </w:rPr>
        <w:t>Последните прогнози</w:t>
      </w:r>
      <w:r>
        <w:rPr>
          <w:rStyle w:val="FootnoteReference"/>
          <w:rFonts w:ascii="Times New Roman" w:hAnsi="Times New Roman"/>
          <w:noProof/>
          <w:color w:val="000000"/>
          <w:sz w:val="24"/>
        </w:rPr>
        <w:footnoteReference w:id="13"/>
      </w:r>
      <w:r>
        <w:rPr>
          <w:rFonts w:ascii="Times New Roman" w:hAnsi="Times New Roman"/>
          <w:noProof/>
          <w:color w:val="000000"/>
          <w:sz w:val="24"/>
        </w:rPr>
        <w:t xml:space="preserve"> обаче сочат необходимостта от увеличаване на темповете на растеж, намаляване на р</w:t>
      </w:r>
      <w:r>
        <w:rPr>
          <w:rFonts w:ascii="Times New Roman" w:hAnsi="Times New Roman"/>
          <w:noProof/>
          <w:color w:val="000000"/>
          <w:sz w:val="24"/>
        </w:rPr>
        <w:t>авнищата на дълга и запазване на фискалната дисциплина, за да се предостави рамката за солидна икономика. Освен ако не предприемем стъпки за увеличаване на икономическата устойчивост и сближаване и преодоляване на структурните слабости, през следващите год</w:t>
      </w:r>
      <w:r>
        <w:rPr>
          <w:rFonts w:ascii="Times New Roman" w:hAnsi="Times New Roman"/>
          <w:noProof/>
          <w:color w:val="000000"/>
          <w:sz w:val="24"/>
        </w:rPr>
        <w:t>ини набраната инерция може да намалее при риск от икономически спад. От друга страна, ако предприемем необходимите структурни реформи, можем да постигнем по-голямо благосъстояние и да изградим по-стабилно бъдеще, включително чрез инвестиции в научните изсл</w:t>
      </w:r>
      <w:r>
        <w:rPr>
          <w:rFonts w:ascii="Times New Roman" w:hAnsi="Times New Roman"/>
          <w:noProof/>
          <w:color w:val="000000"/>
          <w:sz w:val="24"/>
        </w:rPr>
        <w:t>едвания и иновациите, обществените услуги, социалните системи и опазването на околната среда. Необходими са мерки както на равнището на ЕС, така и на равнището на държавите членки, за да се осигурят ориентирани към бъдещето данъчни и пенсионни системи, вкл</w:t>
      </w:r>
      <w:r>
        <w:rPr>
          <w:rFonts w:ascii="Times New Roman" w:hAnsi="Times New Roman"/>
          <w:noProof/>
          <w:color w:val="000000"/>
          <w:sz w:val="24"/>
        </w:rPr>
        <w:t>ючително стабилни данъчни постъпления в рамките на единния пазар.</w:t>
      </w: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Освен това съществуват много предизвикателства, които стават все по-неотложни, като застрашават нашето благоденствие и икономически просперитет. Всички тези предизвикателства са сложни и си</w:t>
      </w:r>
      <w:r>
        <w:rPr>
          <w:rFonts w:ascii="Times New Roman" w:hAnsi="Times New Roman"/>
          <w:noProof/>
          <w:color w:val="000000"/>
          <w:sz w:val="24"/>
        </w:rPr>
        <w:t xml:space="preserve">лно взаимосвързани, което означава, че справянето с едно предизвикателство може да има положителни последици за другите. </w:t>
      </w: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Най-сериозният дефицит на устойчивост и най-голямото ни предизвикателство е екологичният дълг, който сме поели в момента, чрез преком</w:t>
      </w:r>
      <w:r>
        <w:rPr>
          <w:rFonts w:ascii="Times New Roman" w:hAnsi="Times New Roman"/>
          <w:noProof/>
          <w:color w:val="000000"/>
          <w:sz w:val="24"/>
        </w:rPr>
        <w:t>ерното използване и изчерпване на природните ни ресурси, като по този начин на опасност е поставена способността ни да посрещнем нуждите на бъдещите поколения в пределите на нашата планета. В световен мащаб натискът върху жизнено важни ресурси — от пряснат</w:t>
      </w:r>
      <w:r>
        <w:rPr>
          <w:rFonts w:ascii="Times New Roman" w:hAnsi="Times New Roman"/>
          <w:noProof/>
          <w:color w:val="000000"/>
          <w:sz w:val="24"/>
        </w:rPr>
        <w:t xml:space="preserve">а вода до плодородната земя — излага човешкото съществуване на опасност. </w:t>
      </w:r>
      <w:r>
        <w:rPr>
          <w:rFonts w:ascii="Times New Roman" w:hAnsi="Times New Roman"/>
          <w:noProof/>
          <w:sz w:val="24"/>
        </w:rPr>
        <w:t>Днес човечеството използва ресурси, съответстващи на тези на Земята, умножени по 1,7</w:t>
      </w:r>
      <w:r>
        <w:rPr>
          <w:rStyle w:val="FootnoteReference"/>
          <w:rFonts w:ascii="Times New Roman" w:hAnsi="Times New Roman"/>
          <w:noProof/>
          <w:color w:val="000000"/>
          <w:sz w:val="24"/>
        </w:rPr>
        <w:footnoteReference w:id="14"/>
      </w:r>
      <w:r>
        <w:rPr>
          <w:rFonts w:ascii="Times New Roman" w:hAnsi="Times New Roman"/>
          <w:noProof/>
          <w:sz w:val="24"/>
        </w:rPr>
        <w:t>.</w:t>
      </w:r>
      <w:r>
        <w:rPr>
          <w:rFonts w:ascii="Times New Roman" w:hAnsi="Times New Roman"/>
          <w:noProof/>
          <w:color w:val="000000"/>
          <w:sz w:val="24"/>
        </w:rPr>
        <w:t xml:space="preserve"> С увеличаването от 14 пъти на световното потребление на материални ресурси между 1900 и 2015 г.,</w:t>
      </w:r>
      <w:r>
        <w:rPr>
          <w:rFonts w:ascii="Times New Roman" w:hAnsi="Times New Roman"/>
          <w:noProof/>
          <w:color w:val="000000"/>
          <w:sz w:val="24"/>
        </w:rPr>
        <w:t xml:space="preserve"> което се очаква да се удвои между 2015 и 2050 г.</w:t>
      </w:r>
      <w:r>
        <w:rPr>
          <w:rStyle w:val="FootnoteReference"/>
          <w:rFonts w:ascii="Times New Roman" w:hAnsi="Times New Roman"/>
          <w:noProof/>
          <w:color w:val="000000"/>
          <w:sz w:val="24"/>
        </w:rPr>
        <w:footnoteReference w:id="15"/>
      </w:r>
      <w:r>
        <w:rPr>
          <w:rFonts w:ascii="Times New Roman" w:hAnsi="Times New Roman"/>
          <w:noProof/>
          <w:color w:val="000000"/>
          <w:sz w:val="24"/>
        </w:rPr>
        <w:t xml:space="preserve">, светът бързо се движи към няколко критични точки. Освен екологичния натиск това представлява сериозно предизвикателство за икономиката на ЕС, която е зависима от суровини от международните пазари.  </w:t>
      </w:r>
    </w:p>
    <w:p w:rsidR="00AA0CD6" w:rsidRDefault="00AA0CD6">
      <w:pPr>
        <w:jc w:val="both"/>
        <w:rPr>
          <w:rFonts w:ascii="Times New Roman" w:hAnsi="Times New Roman" w:cs="Times New Roman"/>
          <w:i/>
          <w:noProof/>
          <w:sz w:val="24"/>
          <w:szCs w:val="24"/>
        </w:rPr>
      </w:pPr>
    </w:p>
    <w:p w:rsidR="00AA0CD6" w:rsidRDefault="00061B11">
      <w:pPr>
        <w:jc w:val="center"/>
        <w:rPr>
          <w:rFonts w:ascii="Times New Roman" w:hAnsi="Times New Roman" w:cs="Times New Roman"/>
          <w:i/>
          <w:noProof/>
          <w:sz w:val="24"/>
          <w:szCs w:val="24"/>
        </w:rPr>
      </w:pPr>
      <w:r>
        <w:rPr>
          <w:noProof/>
          <w:lang w:val="en-GB" w:eastAsia="en-GB" w:bidi="ar-SA"/>
        </w:rPr>
        <w:drawing>
          <wp:inline distT="0" distB="0" distL="0" distR="0">
            <wp:extent cx="4015409" cy="3745610"/>
            <wp:effectExtent l="0" t="0" r="444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8181" cy="3748196"/>
                    </a:xfrm>
                    <a:prstGeom prst="rect">
                      <a:avLst/>
                    </a:prstGeom>
                  </pic:spPr>
                </pic:pic>
              </a:graphicData>
            </a:graphic>
          </wp:inline>
        </w:drawing>
      </w:r>
    </w:p>
    <w:p w:rsidR="00AA0CD6" w:rsidRDefault="00AA0CD6">
      <w:pPr>
        <w:spacing w:line="240" w:lineRule="auto"/>
        <w:jc w:val="both"/>
        <w:rPr>
          <w:rFonts w:ascii="Times New Roman" w:hAnsi="Times New Roman" w:cs="Times New Roman"/>
          <w:noProof/>
          <w:sz w:val="24"/>
          <w:szCs w:val="24"/>
        </w:rPr>
      </w:pPr>
    </w:p>
    <w:p w:rsidR="00AA0CD6" w:rsidRDefault="00AA0CD6">
      <w:pPr>
        <w:spacing w:line="240" w:lineRule="auto"/>
        <w:jc w:val="center"/>
        <w:rPr>
          <w:rFonts w:ascii="Times New Roman" w:hAnsi="Times New Roman" w:cs="Times New Roman"/>
          <w:noProof/>
          <w:sz w:val="24"/>
          <w:szCs w:val="24"/>
          <w:lang w:val="fr-BE"/>
        </w:rPr>
      </w:pPr>
    </w:p>
    <w:p w:rsidR="00AA0CD6" w:rsidRDefault="00061B11">
      <w:pPr>
        <w:spacing w:line="240" w:lineRule="auto"/>
        <w:jc w:val="center"/>
        <w:rPr>
          <w:rFonts w:ascii="Times New Roman" w:hAnsi="Times New Roman" w:cs="Times New Roman"/>
          <w:noProof/>
          <w:sz w:val="24"/>
          <w:szCs w:val="24"/>
          <w:lang w:val="fr-BE"/>
        </w:rPr>
      </w:pPr>
      <w:r>
        <w:rPr>
          <w:noProof/>
          <w:lang w:val="en-GB" w:eastAsia="en-GB" w:bidi="ar-SA"/>
        </w:rPr>
        <w:drawing>
          <wp:inline distT="0" distB="0" distL="0" distR="0">
            <wp:extent cx="3764478" cy="295695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70462" cy="2961656"/>
                    </a:xfrm>
                    <a:prstGeom prst="rect">
                      <a:avLst/>
                    </a:prstGeom>
                  </pic:spPr>
                </pic:pic>
              </a:graphicData>
            </a:graphic>
          </wp:inline>
        </w:drawing>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Биологичното разнообразие и екосистемите са все по-застрашени от човешките действия; само за 40 години популациите от гръбначни животни в света са намалели средно с 60 %</w:t>
      </w:r>
      <w:r>
        <w:rPr>
          <w:rStyle w:val="FootnoteReference"/>
          <w:rFonts w:ascii="Times New Roman" w:hAnsi="Times New Roman"/>
          <w:noProof/>
          <w:sz w:val="24"/>
        </w:rPr>
        <w:footnoteReference w:id="16"/>
      </w:r>
      <w:r>
        <w:rPr>
          <w:rFonts w:ascii="Times New Roman" w:hAnsi="Times New Roman"/>
          <w:noProof/>
          <w:sz w:val="24"/>
        </w:rPr>
        <w:t>. Тропическите гори се унищожават с бързи темпове, като всяка година изчезва площ пр</w:t>
      </w:r>
      <w:r>
        <w:rPr>
          <w:rFonts w:ascii="Times New Roman" w:hAnsi="Times New Roman"/>
          <w:noProof/>
          <w:sz w:val="24"/>
        </w:rPr>
        <w:t>иблизително с размерите на Гърция.</w:t>
      </w:r>
      <w:r>
        <w:rPr>
          <w:rFonts w:ascii="Times New Roman" w:hAnsi="Times New Roman"/>
          <w:b/>
          <w:noProof/>
          <w:sz w:val="24"/>
        </w:rPr>
        <w:t xml:space="preserve"> </w:t>
      </w:r>
      <w:r>
        <w:rPr>
          <w:rFonts w:ascii="Times New Roman" w:hAnsi="Times New Roman"/>
          <w:noProof/>
          <w:sz w:val="24"/>
        </w:rPr>
        <w:t>Това не е проблем на „някой друг“. В ЕС само 23 % от видовете и 16 % от местообитанията са в добро здраве. За храните от животински произход се използва особено много земеделска земя</w:t>
      </w:r>
      <w:r>
        <w:rPr>
          <w:rStyle w:val="FootnoteReference"/>
          <w:rFonts w:ascii="Times New Roman" w:hAnsi="Times New Roman"/>
          <w:noProof/>
          <w:sz w:val="24"/>
        </w:rPr>
        <w:footnoteReference w:id="17"/>
      </w:r>
      <w:r>
        <w:rPr>
          <w:rFonts w:ascii="Times New Roman" w:hAnsi="Times New Roman"/>
          <w:noProof/>
          <w:sz w:val="24"/>
        </w:rPr>
        <w:t>, а нарастващото търсене на морски дар</w:t>
      </w:r>
      <w:r>
        <w:rPr>
          <w:rFonts w:ascii="Times New Roman" w:hAnsi="Times New Roman"/>
          <w:noProof/>
          <w:sz w:val="24"/>
        </w:rPr>
        <w:t>ове оказва значителен натиск върху морските екосистеми</w:t>
      </w:r>
      <w:r>
        <w:rPr>
          <w:rStyle w:val="FootnoteReference"/>
          <w:rFonts w:ascii="Times New Roman" w:hAnsi="Times New Roman"/>
          <w:noProof/>
          <w:sz w:val="24"/>
        </w:rPr>
        <w:footnoteReference w:id="18"/>
      </w:r>
      <w:r>
        <w:rPr>
          <w:rFonts w:ascii="Times New Roman" w:hAnsi="Times New Roman"/>
          <w:noProof/>
          <w:sz w:val="24"/>
        </w:rPr>
        <w:t>.</w:t>
      </w: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Глобалните емисии на парникови газове продължават да нарастват с тревожни темпове, като основна движеща сила за това са използването на енергия, но и свръхпотреблението на ресурси и разрушаването на </w:t>
      </w:r>
      <w:r>
        <w:rPr>
          <w:rFonts w:ascii="Times New Roman" w:hAnsi="Times New Roman"/>
          <w:noProof/>
          <w:color w:val="000000"/>
          <w:sz w:val="24"/>
        </w:rPr>
        <w:t>екосистемите.</w:t>
      </w:r>
      <w:r>
        <w:rPr>
          <w:rFonts w:ascii="Times New Roman" w:hAnsi="Times New Roman"/>
          <w:noProof/>
          <w:sz w:val="24"/>
        </w:rPr>
        <w:t xml:space="preserve"> Транспортът е отговорен за 27 % от емисиите на парникови газове в ЕС и много градски райони на ЕС са в нарушение на приетите ограничения за атмосферно замърсяване. Производството на храни все още е значителен потребител на вода и енергия и из</w:t>
      </w:r>
      <w:r>
        <w:rPr>
          <w:rFonts w:ascii="Times New Roman" w:hAnsi="Times New Roman"/>
          <w:noProof/>
          <w:sz w:val="24"/>
        </w:rPr>
        <w:t>точник на замърсители, като на него се падат приблизително 11,3 % от емисиите на парникови газове в ЕС. Изкопаемите горива в ЕС продължават да се ползват от държавни субсидии в размер на около 55 милиарда евро годишно, или около 20 % от разходите за внос н</w:t>
      </w:r>
      <w:r>
        <w:rPr>
          <w:rFonts w:ascii="Times New Roman" w:hAnsi="Times New Roman"/>
          <w:noProof/>
          <w:sz w:val="24"/>
        </w:rPr>
        <w:t>а горива в ЕС, въпреки амбициозните мерки за декарбонизация и ангажиментите за постепенна отмяна на субсидиите в рамките на Г-7 и Г-20</w:t>
      </w:r>
      <w:r>
        <w:rPr>
          <w:rStyle w:val="FootnoteReference"/>
          <w:rFonts w:ascii="Times New Roman" w:hAnsi="Times New Roman"/>
          <w:noProof/>
          <w:sz w:val="24"/>
        </w:rPr>
        <w:footnoteReference w:id="19"/>
      </w:r>
      <w:r>
        <w:rPr>
          <w:rFonts w:ascii="Times New Roman" w:hAnsi="Times New Roman"/>
          <w:noProof/>
          <w:sz w:val="24"/>
        </w:rPr>
        <w:t xml:space="preserve">.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Като цяло ЕС успя да намали собствените си емисии и да ги отдели от икономическия растеж, като по този начин даде </w:t>
      </w:r>
      <w:r>
        <w:rPr>
          <w:rFonts w:ascii="Times New Roman" w:hAnsi="Times New Roman"/>
          <w:noProof/>
          <w:sz w:val="24"/>
        </w:rPr>
        <w:t>солиден принос за общите усилия, като се вземат предвид и емисиите, съдържащи се във вноса и износа на ЕС</w:t>
      </w:r>
      <w:r>
        <w:rPr>
          <w:rStyle w:val="FootnoteReference"/>
          <w:rFonts w:ascii="Times New Roman" w:hAnsi="Times New Roman"/>
          <w:noProof/>
          <w:sz w:val="24"/>
        </w:rPr>
        <w:footnoteReference w:id="20"/>
      </w:r>
      <w:r>
        <w:rPr>
          <w:rFonts w:ascii="Times New Roman" w:hAnsi="Times New Roman"/>
          <w:noProof/>
          <w:sz w:val="24"/>
        </w:rPr>
        <w:t>. Необходими са обаче още усилия, както на равнище ЕС, така и в световен план.</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color w:val="000000"/>
          <w:sz w:val="24"/>
        </w:rPr>
        <w:t>Ако тези въпроси останат нерешени, унищожителното въздействие на измен</w:t>
      </w:r>
      <w:r>
        <w:rPr>
          <w:rFonts w:ascii="Times New Roman" w:hAnsi="Times New Roman"/>
          <w:noProof/>
          <w:color w:val="000000"/>
          <w:sz w:val="24"/>
        </w:rPr>
        <w:t>ението на климата и разрушаването на природния капитал ще окажат сериозно въздействие върху икономиката, ще понижат качеството на живот по цялата планета и ще се увеличат интензитетът и честотата на природните бедствия, което ще изложи на опасност живота н</w:t>
      </w:r>
      <w:r>
        <w:rPr>
          <w:rFonts w:ascii="Times New Roman" w:hAnsi="Times New Roman"/>
          <w:noProof/>
          <w:color w:val="000000"/>
          <w:sz w:val="24"/>
        </w:rPr>
        <w:t xml:space="preserve">а повече хора. </w:t>
      </w:r>
      <w:r>
        <w:rPr>
          <w:rFonts w:ascii="Times New Roman" w:hAnsi="Times New Roman"/>
          <w:noProof/>
          <w:sz w:val="24"/>
        </w:rPr>
        <w:t>Преобръщането на тези отрицателни тенденции изисква разходи и силно колективно усилие, но цената на бездействието и свързаните с това социални последици биха били много по-високи</w:t>
      </w:r>
      <w:r>
        <w:rPr>
          <w:rStyle w:val="FootnoteReference"/>
          <w:rFonts w:ascii="Times New Roman" w:hAnsi="Times New Roman"/>
          <w:noProof/>
          <w:sz w:val="24"/>
        </w:rPr>
        <w:footnoteReference w:id="21"/>
      </w:r>
      <w:r>
        <w:rPr>
          <w:rFonts w:ascii="Times New Roman" w:hAnsi="Times New Roman"/>
          <w:noProof/>
          <w:sz w:val="24"/>
        </w:rPr>
        <w:t xml:space="preserve">. </w:t>
      </w: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Подобно на планетарното предизвикателство социалният модел </w:t>
      </w:r>
      <w:r>
        <w:rPr>
          <w:rFonts w:ascii="Times New Roman" w:hAnsi="Times New Roman"/>
          <w:noProof/>
          <w:color w:val="000000"/>
          <w:sz w:val="24"/>
        </w:rPr>
        <w:t>на ЕС — крайъгълен камък на европейския проект — е подложен на нестабилност. Технологични, структурни и демографски промени в глобализирания свят променят естеството на труда и поставят под въпрос нашата солидарност, като подлагат на съмнение обещанието, ч</w:t>
      </w:r>
      <w:r>
        <w:rPr>
          <w:rFonts w:ascii="Times New Roman" w:hAnsi="Times New Roman"/>
          <w:noProof/>
          <w:color w:val="000000"/>
          <w:sz w:val="24"/>
        </w:rPr>
        <w:t xml:space="preserve">е всяко поколение може да се надява да наследи един по-добър свят от предишното поколение. Това може да увеличи заплахата и за основните ценности на ЕС — демокрацията, върховенството на закона и основните права. </w:t>
      </w: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848432" cy="462540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51089" cy="4628595"/>
                    </a:xfrm>
                    <a:prstGeom prst="rect">
                      <a:avLst/>
                    </a:prstGeom>
                  </pic:spPr>
                </pic:pic>
              </a:graphicData>
            </a:graphic>
          </wp:inline>
        </w:drawing>
      </w:r>
    </w:p>
    <w:p w:rsidR="00AA0CD6" w:rsidRDefault="00AA0CD6">
      <w:pPr>
        <w:autoSpaceDE w:val="0"/>
        <w:autoSpaceDN w:val="0"/>
        <w:adjustRightInd w:val="0"/>
        <w:spacing w:after="0" w:line="240" w:lineRule="auto"/>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Понастоящем приблизително 22,5 % от нас</w:t>
      </w:r>
      <w:r>
        <w:rPr>
          <w:rFonts w:ascii="Times New Roman" w:hAnsi="Times New Roman"/>
          <w:noProof/>
          <w:sz w:val="24"/>
        </w:rPr>
        <w:t>елението на ЕС е все още изложено на риск от бедност или социално изключване и 6,9 % от европейците все още страдат от сериозни материални лишения. През 2017 г. неравенството в доходите в държавите — членки на ЕС, намаля за първи път от началото на финансо</w:t>
      </w:r>
      <w:r>
        <w:rPr>
          <w:rFonts w:ascii="Times New Roman" w:hAnsi="Times New Roman"/>
          <w:noProof/>
          <w:sz w:val="24"/>
        </w:rPr>
        <w:t>вата криза. Това неравенство обаче все още е твърде голямо, като богатството остава концентрирано на върха на стълбицата на доходите. Това има многобройни социални последици, водещи до различия между благосъстоянието и качеството на живота.</w:t>
      </w:r>
      <w:r>
        <w:rPr>
          <w:rFonts w:ascii="Times New Roman" w:hAnsi="Times New Roman"/>
          <w:noProof/>
          <w:color w:val="000000"/>
          <w:sz w:val="24"/>
        </w:rPr>
        <w:t xml:space="preserve"> </w:t>
      </w:r>
      <w:r>
        <w:rPr>
          <w:rFonts w:ascii="Times New Roman" w:hAnsi="Times New Roman"/>
          <w:noProof/>
          <w:sz w:val="24"/>
        </w:rPr>
        <w:t>Освен това държ</w:t>
      </w:r>
      <w:r>
        <w:rPr>
          <w:rFonts w:ascii="Times New Roman" w:hAnsi="Times New Roman"/>
          <w:noProof/>
          <w:sz w:val="24"/>
        </w:rPr>
        <w:t>авите — членки на ЕС, са изправени пред редица предизвикателства при гарантирането на достъпни цени на енергията за всички европейци, като милиони хора не могат да отопляват добре домовете си</w:t>
      </w:r>
      <w:r>
        <w:rPr>
          <w:rStyle w:val="FootnoteReference"/>
          <w:rFonts w:ascii="Times New Roman" w:hAnsi="Times New Roman"/>
          <w:noProof/>
          <w:sz w:val="24"/>
        </w:rPr>
        <w:footnoteReference w:id="22"/>
      </w:r>
      <w:r>
        <w:rPr>
          <w:rFonts w:ascii="Times New Roman" w:hAnsi="Times New Roman"/>
          <w:noProof/>
          <w:sz w:val="24"/>
        </w:rPr>
        <w:t>. Около 43 милиона души в ЕС не могат да си позволят редовно кач</w:t>
      </w:r>
      <w:r>
        <w:rPr>
          <w:rFonts w:ascii="Times New Roman" w:hAnsi="Times New Roman"/>
          <w:noProof/>
          <w:sz w:val="24"/>
        </w:rPr>
        <w:t>ествено ястие половината от времето</w:t>
      </w:r>
      <w:r>
        <w:rPr>
          <w:rStyle w:val="FootnoteReference"/>
          <w:rFonts w:ascii="Times New Roman" w:hAnsi="Times New Roman"/>
          <w:noProof/>
          <w:sz w:val="24"/>
        </w:rPr>
        <w:footnoteReference w:id="23"/>
      </w:r>
      <w:r>
        <w:rPr>
          <w:rFonts w:ascii="Times New Roman" w:hAnsi="Times New Roman"/>
          <w:noProof/>
          <w:sz w:val="24"/>
        </w:rPr>
        <w:t>, а същевременно изхвърляме приблизително 20 % от произведените хранителни продукти</w:t>
      </w:r>
      <w:r>
        <w:rPr>
          <w:rStyle w:val="FootnoteReference"/>
          <w:rFonts w:ascii="Times New Roman" w:hAnsi="Times New Roman"/>
          <w:noProof/>
          <w:sz w:val="24"/>
        </w:rPr>
        <w:footnoteReference w:id="24"/>
      </w:r>
      <w:r>
        <w:rPr>
          <w:rFonts w:ascii="Times New Roman" w:hAnsi="Times New Roman"/>
          <w:noProof/>
          <w:sz w:val="24"/>
        </w:rPr>
        <w:t xml:space="preserve"> и повече от половината от възрастното население на ЕС е с наднормено тегло</w:t>
      </w:r>
      <w:r>
        <w:rPr>
          <w:rStyle w:val="FootnoteReference"/>
          <w:rFonts w:ascii="Times New Roman" w:hAnsi="Times New Roman"/>
          <w:noProof/>
          <w:sz w:val="24"/>
        </w:rPr>
        <w:footnoteReference w:id="25"/>
      </w:r>
      <w:r>
        <w:rPr>
          <w:rFonts w:ascii="Times New Roman" w:hAnsi="Times New Roman"/>
          <w:noProof/>
          <w:sz w:val="24"/>
        </w:rPr>
        <w:t>, което води до растящи сериозни рискове за здравето. Допълн</w:t>
      </w:r>
      <w:r>
        <w:rPr>
          <w:rFonts w:ascii="Times New Roman" w:hAnsi="Times New Roman"/>
          <w:noProof/>
          <w:sz w:val="24"/>
        </w:rPr>
        <w:t>ителен риск за здравето е антимикробната резистентност, която би могла да причини смъртта на над 10 милиона души годишно през следващите десетилетия</w:t>
      </w:r>
      <w:r>
        <w:rPr>
          <w:rStyle w:val="FootnoteReference"/>
          <w:rFonts w:ascii="Times New Roman" w:hAnsi="Times New Roman"/>
          <w:noProof/>
          <w:sz w:val="24"/>
        </w:rPr>
        <w:footnoteReference w:id="26"/>
      </w:r>
      <w:r>
        <w:rPr>
          <w:rFonts w:ascii="Times New Roman" w:hAnsi="Times New Roman"/>
          <w:noProof/>
          <w:sz w:val="24"/>
        </w:rPr>
        <w:t xml:space="preserve">. </w:t>
      </w:r>
    </w:p>
    <w:p w:rsidR="00AA0CD6" w:rsidRDefault="00061B11">
      <w:pPr>
        <w:autoSpaceDE w:val="0"/>
        <w:autoSpaceDN w:val="0"/>
        <w:adjustRightInd w:val="0"/>
        <w:spacing w:after="0" w:line="240" w:lineRule="auto"/>
        <w:jc w:val="both"/>
        <w:rPr>
          <w:rFonts w:ascii="Times New Roman" w:hAnsi="Times New Roman" w:cs="Times New Roman"/>
          <w:i/>
          <w:noProof/>
          <w:sz w:val="24"/>
          <w:szCs w:val="24"/>
        </w:rPr>
      </w:pPr>
      <w:r>
        <w:rPr>
          <w:noProof/>
        </w:rPr>
        <w:tab/>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AA0CD6">
      <w:pPr>
        <w:autoSpaceDE w:val="0"/>
        <w:autoSpaceDN w:val="0"/>
        <w:adjustRightInd w:val="0"/>
        <w:spacing w:after="0" w:line="240" w:lineRule="auto"/>
        <w:jc w:val="center"/>
        <w:rPr>
          <w:rFonts w:ascii="Times New Roman" w:hAnsi="Times New Roman" w:cs="Times New Roman"/>
          <w:i/>
          <w:noProof/>
          <w:sz w:val="24"/>
          <w:szCs w:val="24"/>
          <w:lang w:val="ru-RU"/>
        </w:rPr>
      </w:pPr>
    </w:p>
    <w:p w:rsidR="00AA0CD6" w:rsidRDefault="00061B11">
      <w:pPr>
        <w:autoSpaceDE w:val="0"/>
        <w:autoSpaceDN w:val="0"/>
        <w:adjustRightInd w:val="0"/>
        <w:spacing w:after="0"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3841668" cy="240475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42969" cy="2405567"/>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Понастоящем все още няма пълно равенство между жените и мъжете.</w:t>
      </w:r>
      <w:r>
        <w:rPr>
          <w:noProof/>
        </w:rPr>
        <w:t xml:space="preserve"> </w:t>
      </w:r>
      <w:r>
        <w:rPr>
          <w:rFonts w:ascii="Times New Roman" w:hAnsi="Times New Roman"/>
          <w:noProof/>
          <w:sz w:val="24"/>
        </w:rPr>
        <w:t>Независимо от факта, че процентът</w:t>
      </w:r>
      <w:r>
        <w:rPr>
          <w:rFonts w:ascii="Times New Roman" w:hAnsi="Times New Roman"/>
          <w:noProof/>
          <w:sz w:val="24"/>
        </w:rPr>
        <w:t xml:space="preserve"> на заетост на жените е на рекордно високо ниво и повече жени присъстват на властови позиции от всякога преди, напредъкът се забавя или дори се обръща в други области</w:t>
      </w:r>
      <w:r>
        <w:rPr>
          <w:rStyle w:val="FootnoteReference"/>
          <w:rFonts w:ascii="Times New Roman" w:hAnsi="Times New Roman"/>
          <w:noProof/>
          <w:sz w:val="24"/>
        </w:rPr>
        <w:footnoteReference w:id="27"/>
      </w:r>
      <w:r>
        <w:rPr>
          <w:rFonts w:ascii="Times New Roman" w:hAnsi="Times New Roman"/>
          <w:noProof/>
          <w:sz w:val="24"/>
        </w:rPr>
        <w:t>. През последните десет години дванадесет държави — членки на ЕС, се върнаха назад относн</w:t>
      </w:r>
      <w:r>
        <w:rPr>
          <w:rFonts w:ascii="Times New Roman" w:hAnsi="Times New Roman"/>
          <w:noProof/>
          <w:sz w:val="24"/>
        </w:rPr>
        <w:t>о баланса между половете за времето, прекарвано в полагане на грижи, домакинска работа и социални дейности. Продължават да съществуват разлики по отношение на заетостта и заплащането</w:t>
      </w:r>
      <w:r>
        <w:rPr>
          <w:rStyle w:val="FootnoteReference"/>
          <w:rFonts w:ascii="Times New Roman" w:hAnsi="Times New Roman"/>
          <w:noProof/>
          <w:sz w:val="24"/>
        </w:rPr>
        <w:footnoteReference w:id="28"/>
      </w:r>
      <w:r>
        <w:rPr>
          <w:noProof/>
        </w:rPr>
        <w:t>.</w:t>
      </w:r>
      <w:r>
        <w:rPr>
          <w:rFonts w:ascii="Times New Roman" w:hAnsi="Times New Roman"/>
          <w:noProof/>
          <w:sz w:val="24"/>
        </w:rPr>
        <w:t xml:space="preserve"> </w:t>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AA0CD6">
      <w:pPr>
        <w:autoSpaceDE w:val="0"/>
        <w:autoSpaceDN w:val="0"/>
        <w:adjustRightInd w:val="0"/>
        <w:spacing w:after="0" w:line="240" w:lineRule="auto"/>
        <w:jc w:val="center"/>
        <w:rPr>
          <w:rFonts w:ascii="Times New Roman" w:hAnsi="Times New Roman" w:cs="Times New Roman"/>
          <w:bCs/>
          <w:noProof/>
          <w:color w:val="000000"/>
          <w:sz w:val="24"/>
          <w:szCs w:val="24"/>
          <w:lang w:val="ru-RU"/>
        </w:rPr>
      </w:pPr>
    </w:p>
    <w:p w:rsidR="00AA0CD6" w:rsidRDefault="00061B11">
      <w:pPr>
        <w:autoSpaceDE w:val="0"/>
        <w:autoSpaceDN w:val="0"/>
        <w:adjustRightInd w:val="0"/>
        <w:spacing w:after="0" w:line="240" w:lineRule="auto"/>
        <w:jc w:val="center"/>
        <w:rPr>
          <w:rFonts w:ascii="Times New Roman" w:hAnsi="Times New Roman" w:cs="Times New Roman"/>
          <w:bCs/>
          <w:noProof/>
          <w:color w:val="000000"/>
          <w:sz w:val="24"/>
          <w:szCs w:val="24"/>
          <w:lang w:val="fr-BE"/>
        </w:rPr>
      </w:pPr>
      <w:r>
        <w:rPr>
          <w:noProof/>
          <w:lang w:val="en-GB" w:eastAsia="en-GB" w:bidi="ar-SA"/>
        </w:rPr>
        <w:drawing>
          <wp:inline distT="0" distB="0" distL="0" distR="0">
            <wp:extent cx="3619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1676400"/>
                    </a:xfrm>
                    <a:prstGeom prst="rect">
                      <a:avLst/>
                    </a:prstGeom>
                  </pic:spPr>
                </pic:pic>
              </a:graphicData>
            </a:graphic>
          </wp:inline>
        </w:drawing>
      </w: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Голямо постижение е, че Европа има най-високата средна продължителност на живота в света. Но растежът на броя на възрастните хора и намаляването на населението в трудоспособна възраст носят своите предизвикателства за нашия икономически и социален модел. </w:t>
      </w:r>
      <w:r>
        <w:rPr>
          <w:rFonts w:ascii="Times New Roman" w:hAnsi="Times New Roman"/>
          <w:noProof/>
          <w:sz w:val="24"/>
        </w:rPr>
        <w:t>З</w:t>
      </w:r>
      <w:r>
        <w:rPr>
          <w:rFonts w:ascii="Times New Roman" w:hAnsi="Times New Roman"/>
          <w:noProof/>
          <w:sz w:val="24"/>
        </w:rPr>
        <w:t>астаряването на населението, съчетано с увеличаването на продължителността на живота и вероятността от хронични заболявания, могат да окажат дълбоко въздействие върху публичните финанси, включително върху системите на здравеопазване.</w:t>
      </w:r>
      <w:r>
        <w:rPr>
          <w:rFonts w:ascii="Times New Roman" w:hAnsi="Times New Roman"/>
          <w:noProof/>
          <w:color w:val="000000"/>
          <w:sz w:val="24"/>
        </w:rPr>
        <w:t xml:space="preserve"> Това също така ще увел</w:t>
      </w:r>
      <w:r>
        <w:rPr>
          <w:rFonts w:ascii="Times New Roman" w:hAnsi="Times New Roman"/>
          <w:noProof/>
          <w:color w:val="000000"/>
          <w:sz w:val="24"/>
        </w:rPr>
        <w:t xml:space="preserve">ичи риска от неравенство между поколенията. </w:t>
      </w:r>
    </w:p>
    <w:p w:rsidR="00AA0CD6" w:rsidRDefault="00AA0CD6">
      <w:pPr>
        <w:autoSpaceDE w:val="0"/>
        <w:autoSpaceDN w:val="0"/>
        <w:adjustRightInd w:val="0"/>
        <w:spacing w:after="0" w:line="240" w:lineRule="auto"/>
        <w:jc w:val="both"/>
        <w:rPr>
          <w:rFonts w:ascii="Times New Roman" w:hAnsi="Times New Roman" w:cs="Times New Roman"/>
          <w:i/>
          <w:noProof/>
          <w:color w:val="000000"/>
          <w:sz w:val="24"/>
          <w:szCs w:val="24"/>
        </w:rPr>
      </w:pPr>
    </w:p>
    <w:p w:rsidR="00AA0CD6" w:rsidRDefault="00AA0CD6">
      <w:pPr>
        <w:autoSpaceDE w:val="0"/>
        <w:autoSpaceDN w:val="0"/>
        <w:adjustRightInd w:val="0"/>
        <w:spacing w:after="0" w:line="240" w:lineRule="auto"/>
        <w:jc w:val="both"/>
        <w:rPr>
          <w:rFonts w:ascii="Times New Roman" w:hAnsi="Times New Roman" w:cs="Times New Roman"/>
          <w:bCs/>
          <w:i/>
          <w:noProof/>
          <w:color w:val="000000"/>
          <w:sz w:val="24"/>
          <w:szCs w:val="24"/>
        </w:rPr>
      </w:pPr>
    </w:p>
    <w:p w:rsidR="00AA0CD6" w:rsidRDefault="00AA0CD6">
      <w:pPr>
        <w:autoSpaceDE w:val="0"/>
        <w:autoSpaceDN w:val="0"/>
        <w:adjustRightInd w:val="0"/>
        <w:spacing w:after="0" w:line="240" w:lineRule="auto"/>
        <w:jc w:val="both"/>
        <w:rPr>
          <w:rFonts w:ascii="Times New Roman" w:hAnsi="Times New Roman" w:cs="Times New Roman"/>
          <w:bCs/>
          <w:i/>
          <w:noProof/>
          <w:color w:val="000000"/>
          <w:sz w:val="24"/>
          <w:szCs w:val="24"/>
        </w:rPr>
      </w:pPr>
    </w:p>
    <w:p w:rsidR="00AA0CD6" w:rsidRDefault="00AA0CD6">
      <w:pPr>
        <w:autoSpaceDE w:val="0"/>
        <w:autoSpaceDN w:val="0"/>
        <w:adjustRightInd w:val="0"/>
        <w:spacing w:after="0" w:line="240" w:lineRule="auto"/>
        <w:jc w:val="both"/>
        <w:rPr>
          <w:rFonts w:ascii="Times New Roman" w:hAnsi="Times New Roman" w:cs="Times New Roman"/>
          <w:bCs/>
          <w:i/>
          <w:noProof/>
          <w:color w:val="000000"/>
          <w:sz w:val="24"/>
          <w:szCs w:val="24"/>
        </w:rPr>
      </w:pPr>
    </w:p>
    <w:p w:rsidR="00AA0CD6" w:rsidRDefault="00AA0CD6">
      <w:pPr>
        <w:autoSpaceDE w:val="0"/>
        <w:autoSpaceDN w:val="0"/>
        <w:adjustRightInd w:val="0"/>
        <w:spacing w:after="0" w:line="240" w:lineRule="auto"/>
        <w:jc w:val="center"/>
        <w:rPr>
          <w:rFonts w:ascii="Times New Roman" w:hAnsi="Times New Roman" w:cs="Times New Roman"/>
          <w:bCs/>
          <w:i/>
          <w:noProof/>
          <w:color w:val="000000"/>
          <w:sz w:val="24"/>
          <w:szCs w:val="24"/>
          <w:lang w:val="ru-RU"/>
        </w:rPr>
      </w:pPr>
    </w:p>
    <w:p w:rsidR="00AA0CD6" w:rsidRDefault="00061B11">
      <w:pPr>
        <w:autoSpaceDE w:val="0"/>
        <w:autoSpaceDN w:val="0"/>
        <w:adjustRightInd w:val="0"/>
        <w:spacing w:after="0" w:line="240" w:lineRule="auto"/>
        <w:jc w:val="center"/>
        <w:rPr>
          <w:rFonts w:ascii="Times New Roman" w:hAnsi="Times New Roman" w:cs="Times New Roman"/>
          <w:bCs/>
          <w:i/>
          <w:noProof/>
          <w:color w:val="000000"/>
          <w:sz w:val="24"/>
          <w:szCs w:val="24"/>
          <w:lang w:val="fr-BE"/>
        </w:rPr>
      </w:pPr>
      <w:r>
        <w:rPr>
          <w:noProof/>
          <w:lang w:val="en-GB" w:eastAsia="en-GB" w:bidi="ar-SA"/>
        </w:rPr>
        <w:drawing>
          <wp:inline distT="0" distB="0" distL="0" distR="0">
            <wp:extent cx="3140765" cy="3173821"/>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44417" cy="3177511"/>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bCs/>
          <w:i/>
          <w:noProof/>
          <w:color w:val="000000"/>
          <w:sz w:val="24"/>
          <w:szCs w:val="24"/>
        </w:rPr>
      </w:pP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noProof/>
          <w:sz w:val="24"/>
        </w:rPr>
        <w:t>Неравенствата и намаляващата социална мобилност представляват риск за общото икономическо развитие</w:t>
      </w:r>
      <w:r>
        <w:rPr>
          <w:rStyle w:val="FootnoteReference"/>
          <w:rFonts w:ascii="Times New Roman" w:hAnsi="Times New Roman"/>
          <w:noProof/>
          <w:sz w:val="24"/>
        </w:rPr>
        <w:footnoteReference w:id="29"/>
      </w:r>
      <w:r>
        <w:rPr>
          <w:rFonts w:ascii="Times New Roman" w:hAnsi="Times New Roman"/>
          <w:noProof/>
          <w:sz w:val="24"/>
        </w:rPr>
        <w:t xml:space="preserve"> и социалното сближаване. ЕС като цяло има относително добри резултати по отношение на неравенството в доходите, но не толкова добри по отношение на равните възможности. Неравенствата във възможностите могат да възпрепятстват части от населението от социал</w:t>
      </w:r>
      <w:r>
        <w:rPr>
          <w:rFonts w:ascii="Times New Roman" w:hAnsi="Times New Roman"/>
          <w:noProof/>
          <w:sz w:val="24"/>
        </w:rPr>
        <w:t>но приобщаване и интеграция на трудовия пазар, което пречи на перспективите за растеж.</w:t>
      </w:r>
      <w:r>
        <w:rPr>
          <w:b/>
          <w:noProof/>
          <w:sz w:val="24"/>
        </w:rPr>
        <w:t xml:space="preserve"> </w:t>
      </w:r>
      <w:r>
        <w:rPr>
          <w:rFonts w:ascii="Times New Roman" w:hAnsi="Times New Roman"/>
          <w:noProof/>
          <w:sz w:val="24"/>
        </w:rPr>
        <w:t>Преодоляването на неравенствата е от съществено значение, за да подкрепи обществеността прехода към устойчивост. Нарастващото изкушение на изолационизма и национализма м</w:t>
      </w:r>
      <w:r>
        <w:rPr>
          <w:rFonts w:ascii="Times New Roman" w:hAnsi="Times New Roman"/>
          <w:noProof/>
          <w:sz w:val="24"/>
        </w:rPr>
        <w:t>оже би е знак, че твърде много европейци все още смятат, че не са добре защитени в един свят, който им изглежда все по-несправедлив. Ясно е обаче, че сама по себе си нито една държава членка не е достатъчно голяма или силна, за да се справи с трансгранични</w:t>
      </w:r>
      <w:r>
        <w:rPr>
          <w:rFonts w:ascii="Times New Roman" w:hAnsi="Times New Roman"/>
          <w:noProof/>
          <w:sz w:val="24"/>
        </w:rPr>
        <w:t>те предизвикателства, но обединени в ЕС, ще можем да се защитим.</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Неравенствата в световен мащаб също са причина за сериозна загриженост. </w:t>
      </w:r>
      <w:r>
        <w:rPr>
          <w:rFonts w:ascii="Times New Roman" w:hAnsi="Times New Roman"/>
          <w:noProof/>
          <w:color w:val="000000"/>
          <w:sz w:val="24"/>
        </w:rPr>
        <w:t>При големите различия в нарастването на населението и жизнените стандарти в света и при продължаващото нарастване на т</w:t>
      </w:r>
      <w:r>
        <w:rPr>
          <w:rFonts w:ascii="Times New Roman" w:hAnsi="Times New Roman"/>
          <w:noProof/>
          <w:color w:val="000000"/>
          <w:sz w:val="24"/>
        </w:rPr>
        <w:t xml:space="preserve">емпературите на планетата ни и изчезващите екосистеми, неизбежно ще ставаме свидетели на увеличаване на принудителното разселване и миграция в целия свят. </w:t>
      </w:r>
      <w:r>
        <w:rPr>
          <w:rFonts w:ascii="Times New Roman" w:hAnsi="Times New Roman"/>
          <w:noProof/>
          <w:sz w:val="24"/>
        </w:rPr>
        <w:t>Например, предвижда се, че до 2050 г. стотици милиони хора ще напуснат домовете си в резултат на изме</w:t>
      </w:r>
      <w:r>
        <w:rPr>
          <w:rFonts w:ascii="Times New Roman" w:hAnsi="Times New Roman"/>
          <w:noProof/>
          <w:sz w:val="24"/>
        </w:rPr>
        <w:t>нението на климата и влошаването на състоянието на околната среда</w:t>
      </w:r>
      <w:r>
        <w:rPr>
          <w:rStyle w:val="FootnoteReference"/>
          <w:rFonts w:ascii="Times New Roman" w:hAnsi="Times New Roman"/>
          <w:noProof/>
          <w:color w:val="000000"/>
          <w:sz w:val="24"/>
        </w:rPr>
        <w:footnoteReference w:id="30"/>
      </w:r>
      <w:r>
        <w:rPr>
          <w:rFonts w:ascii="Times New Roman" w:hAnsi="Times New Roman"/>
          <w:noProof/>
          <w:sz w:val="24"/>
        </w:rPr>
        <w:t>.</w:t>
      </w:r>
      <w:r>
        <w:rPr>
          <w:rFonts w:ascii="Times New Roman" w:hAnsi="Times New Roman"/>
          <w:noProof/>
          <w:color w:val="000000"/>
          <w:sz w:val="24"/>
        </w:rPr>
        <w:t xml:space="preserve"> Това е ясен пример за това как множество различни сложни въпроси са свързани помежду си и за причината, по която те изискват всеобхватен отговор. Просто няма панацея или лесно решение на в</w:t>
      </w:r>
      <w:r>
        <w:rPr>
          <w:rFonts w:ascii="Times New Roman" w:hAnsi="Times New Roman"/>
          <w:noProof/>
          <w:color w:val="000000"/>
          <w:sz w:val="24"/>
        </w:rPr>
        <w:t xml:space="preserve">сяко от големите и сложни предизвикателства. </w:t>
      </w:r>
    </w:p>
    <w:p w:rsidR="00AA0CD6" w:rsidRDefault="00061B11">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noProof/>
          <w:color w:val="000000"/>
          <w:sz w:val="24"/>
        </w:rPr>
        <w:t>Огромно предизвикателство е да модернизираме икономическия си модел, да преодолеем социалните проблеми, пред които сме изправени, и да продължим да поддържаме и насърчаваме силно, основано на правила многостран</w:t>
      </w:r>
      <w:r>
        <w:rPr>
          <w:rFonts w:ascii="Times New Roman" w:hAnsi="Times New Roman"/>
          <w:noProof/>
          <w:color w:val="000000"/>
          <w:sz w:val="24"/>
        </w:rPr>
        <w:t>но сътрудничество. Това обаче са необходимите съставки, за да се гарантира социална стабилност, да се развиват икономиките ни и да се подобри здравето ни. Свободните общества изискват икономически динамизъм, непрестанни инвестиции в главни базови технологи</w:t>
      </w:r>
      <w:r>
        <w:rPr>
          <w:rFonts w:ascii="Times New Roman" w:hAnsi="Times New Roman"/>
          <w:noProof/>
          <w:color w:val="000000"/>
          <w:sz w:val="24"/>
        </w:rPr>
        <w:t>и и в образование. За да осигурим по-добро бъдеще за всички нас, ни е нужна подновена форма на устойчив растеж въз основа на разбирането, че условията на естествените граници на 21-ви век са съвсем различни от тези на миналия век. Приветстваме това предизв</w:t>
      </w:r>
      <w:r>
        <w:rPr>
          <w:rFonts w:ascii="Times New Roman" w:hAnsi="Times New Roman"/>
          <w:noProof/>
          <w:color w:val="000000"/>
          <w:sz w:val="24"/>
        </w:rPr>
        <w:t>икателство.</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center"/>
        <w:rPr>
          <w:rFonts w:ascii="Times New Roman" w:hAnsi="Times New Roman" w:cs="Times New Roman"/>
          <w:noProof/>
          <w:sz w:val="24"/>
          <w:szCs w:val="24"/>
          <w:lang w:val="fr-BE"/>
        </w:rPr>
      </w:pPr>
      <w:r>
        <w:rPr>
          <w:noProof/>
          <w:lang w:val="en-GB" w:eastAsia="en-GB" w:bidi="ar-SA"/>
        </w:rPr>
        <w:drawing>
          <wp:inline distT="0" distB="0" distL="0" distR="0">
            <wp:extent cx="3164619" cy="17016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63646" cy="1701133"/>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По дефиниция ЦУР са глобални цели, приложими за всички части на света, и трябва да ги разглеждаме по този начин. Трябва да работим с международна перспектива, като служим за пример, като определяме глобални стандарти и насърчаваме държави,</w:t>
      </w:r>
      <w:r>
        <w:rPr>
          <w:rFonts w:ascii="Times New Roman" w:hAnsi="Times New Roman"/>
          <w:noProof/>
          <w:sz w:val="24"/>
        </w:rPr>
        <w:t xml:space="preserve"> стопански отрасли и народи да се присъединят към тази цел. Като най-големия единен пазар в света, най-големия търговски блок и инвеститор и най-големия донор на помощ за развитие, ЕС може да окаже значително влияние върху успеха на Програмата до 2030 г. н</w:t>
      </w:r>
      <w:r>
        <w:rPr>
          <w:rFonts w:ascii="Times New Roman" w:hAnsi="Times New Roman"/>
          <w:noProof/>
          <w:sz w:val="24"/>
        </w:rPr>
        <w:t>а ООН. ЕС вече въведе много от най-модерните политики в света за укрепване на устойчивостта. Трябва да продължим в тази посока, но темповете трябва да бъдат ускорени, за да се гарантира устойчива Европа до 2030 г. Не можем да си позволим да прехвърлим отго</w:t>
      </w:r>
      <w:r>
        <w:rPr>
          <w:rFonts w:ascii="Times New Roman" w:hAnsi="Times New Roman"/>
          <w:noProof/>
          <w:sz w:val="24"/>
        </w:rPr>
        <w:t xml:space="preserve">ворността на следващите поколения, а времето ни е все по-оскъдно. Това дали вземаме или не решения през следващите години ще определи дали можем да обърнем тези тенденции. </w:t>
      </w:r>
    </w:p>
    <w:p w:rsidR="00AA0CD6" w:rsidRDefault="00061B11">
      <w:pPr>
        <w:pStyle w:val="Heading1"/>
        <w:rPr>
          <w:rFonts w:eastAsia="Times New Roman"/>
          <w:noProof/>
        </w:rPr>
      </w:pPr>
      <w:bookmarkStart w:id="8" w:name="_Toc536442039"/>
      <w:bookmarkStart w:id="9" w:name="_Toc536612062"/>
      <w:r>
        <w:rPr>
          <w:noProof/>
        </w:rPr>
        <w:t>Към устойчива Европа до 2030 г.</w:t>
      </w:r>
      <w:bookmarkEnd w:id="8"/>
      <w:bookmarkEnd w:id="9"/>
    </w:p>
    <w:p w:rsidR="00AA0CD6" w:rsidRDefault="00AA0CD6">
      <w:pPr>
        <w:rPr>
          <w:noProof/>
          <w:sz w:val="4"/>
          <w:szCs w:val="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Устойчивото развитие означава подобряване на жизне</w:t>
      </w:r>
      <w:r>
        <w:rPr>
          <w:rFonts w:ascii="Times New Roman" w:hAnsi="Times New Roman"/>
          <w:noProof/>
          <w:sz w:val="24"/>
        </w:rPr>
        <w:t>ния стандарт на хората чрез истински избор, създаване на благоприятна среда и разпространение на знания, както чрез и по-добра информация. Това трябва да доведе до положение, при което „живеем добре в пределите на нашата планета“</w:t>
      </w:r>
      <w:r>
        <w:rPr>
          <w:rStyle w:val="FootnoteReference"/>
          <w:rFonts w:ascii="Times New Roman" w:hAnsi="Times New Roman"/>
          <w:noProof/>
          <w:sz w:val="24"/>
        </w:rPr>
        <w:footnoteReference w:id="31"/>
      </w:r>
      <w:r>
        <w:rPr>
          <w:rFonts w:ascii="Times New Roman" w:hAnsi="Times New Roman"/>
          <w:noProof/>
          <w:sz w:val="24"/>
        </w:rPr>
        <w:t xml:space="preserve"> чрез по-интелигентно изпо</w:t>
      </w:r>
      <w:r>
        <w:rPr>
          <w:rFonts w:ascii="Times New Roman" w:hAnsi="Times New Roman"/>
          <w:noProof/>
          <w:sz w:val="24"/>
        </w:rPr>
        <w:t xml:space="preserve">лзване на ресурсите и модерна икономика, която служи на нашето здраве и благосъстояние.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Ето защо трябва да продължим по пътя, по който сме тръгнали — преход към нисковъглеродна икономика с ефективно използване на ресурсите и неутрална по отношение на клим</w:t>
      </w:r>
      <w:r>
        <w:rPr>
          <w:rFonts w:ascii="Times New Roman" w:hAnsi="Times New Roman"/>
          <w:noProof/>
          <w:sz w:val="24"/>
        </w:rPr>
        <w:t>ата, притежаваща биологично разнообразие и в пълно съответствие с Програмата на ООН до 2030 г. и 17-те ЦУР. Този преход трябва да бъде от полза за всички, без да бъде изоставян никой, като се гарантира равнопоставеност и приобщаване. Икономическият ни раст</w:t>
      </w:r>
      <w:r>
        <w:rPr>
          <w:rFonts w:ascii="Times New Roman" w:hAnsi="Times New Roman"/>
          <w:noProof/>
          <w:sz w:val="24"/>
        </w:rPr>
        <w:t xml:space="preserve">еж трябва да стане по-малко зависим от невъзобновяеми ресурси, така че да се оптимизира използването на устойчиво управляваните възобновяеми ресурси и екосистемните услуги.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ЕС вече се зае с осъществяването на този преход. Между 2000 и 2015 г. заетостта на</w:t>
      </w:r>
      <w:r>
        <w:rPr>
          <w:rFonts w:ascii="Times New Roman" w:hAnsi="Times New Roman"/>
          <w:noProof/>
          <w:sz w:val="24"/>
        </w:rPr>
        <w:t>расна с по-бързи темпове в сектора на околната среда, отколкото в икономиката като цяло</w:t>
      </w:r>
      <w:r>
        <w:rPr>
          <w:rStyle w:val="FootnoteReference"/>
          <w:rFonts w:ascii="Times New Roman" w:hAnsi="Times New Roman"/>
          <w:noProof/>
          <w:sz w:val="24"/>
        </w:rPr>
        <w:footnoteReference w:id="32"/>
      </w:r>
      <w:r>
        <w:rPr>
          <w:rFonts w:ascii="Times New Roman" w:hAnsi="Times New Roman"/>
          <w:noProof/>
          <w:sz w:val="24"/>
        </w:rPr>
        <w:t>. Технологиите с ниски въглеродни емисии се превръщат в основна търговска стока, а ЕС се радва на значително положително търговско салдо. През периода 2012—2015 г. изно</w:t>
      </w:r>
      <w:r>
        <w:rPr>
          <w:rFonts w:ascii="Times New Roman" w:hAnsi="Times New Roman"/>
          <w:noProof/>
          <w:sz w:val="24"/>
        </w:rPr>
        <w:t xml:space="preserve">сът от ЕС на технологии за чиста енергия достигна 71 милиарда евро, надхвърляйки вноса с 11 милиарда евро. ЕС вече показва, че е възможно да се развива икономиката, като едновременно с това се намаляват въглеродните емисии. </w:t>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061B11">
      <w:pPr>
        <w:autoSpaceDE w:val="0"/>
        <w:autoSpaceDN w:val="0"/>
        <w:adjustRightInd w:val="0"/>
        <w:spacing w:after="0"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3430692" cy="3148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39931" cy="3157197"/>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AA0CD6">
      <w:pPr>
        <w:autoSpaceDE w:val="0"/>
        <w:autoSpaceDN w:val="0"/>
        <w:adjustRightInd w:val="0"/>
        <w:spacing w:after="0" w:line="240" w:lineRule="auto"/>
        <w:jc w:val="center"/>
        <w:rPr>
          <w:rFonts w:ascii="Times New Roman" w:hAnsi="Times New Roman" w:cs="Times New Roman"/>
          <w:i/>
          <w:noProof/>
          <w:sz w:val="24"/>
          <w:szCs w:val="24"/>
          <w:lang w:val="fr-BE"/>
        </w:rPr>
      </w:pPr>
    </w:p>
    <w:p w:rsidR="00AA0CD6" w:rsidRDefault="00061B11">
      <w:pPr>
        <w:autoSpaceDE w:val="0"/>
        <w:autoSpaceDN w:val="0"/>
        <w:adjustRightInd w:val="0"/>
        <w:spacing w:after="0"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3363402" cy="322537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61897" cy="3223935"/>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i/>
          <w:noProof/>
          <w:sz w:val="24"/>
          <w:szCs w:val="24"/>
        </w:rPr>
      </w:pP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ЕС може да определя </w:t>
      </w:r>
      <w:r>
        <w:rPr>
          <w:rFonts w:ascii="Times New Roman" w:hAnsi="Times New Roman"/>
          <w:noProof/>
          <w:sz w:val="24"/>
        </w:rPr>
        <w:t>стандартите за останалата част от света, ако поеме водеща роля в изпълнението на ЦУР и прехода към устойчива икономика, включително чрез интелигентни инвестиции в иновациите и главните базови технологии. Тогава ЕС първи ще се възползва от предимствата на п</w:t>
      </w:r>
      <w:r>
        <w:rPr>
          <w:rFonts w:ascii="Times New Roman" w:hAnsi="Times New Roman"/>
          <w:noProof/>
          <w:sz w:val="24"/>
        </w:rPr>
        <w:t>рехода. Съюзът също така ще разполага с най-силното конкурентно предимство на световния пазар на утрешния ден. Това ще допринесе за изграждането на по-силни държави членки в един по-силен Съюз, като помага на хората да преследват своите цели в условията на</w:t>
      </w:r>
      <w:r>
        <w:rPr>
          <w:rFonts w:ascii="Times New Roman" w:hAnsi="Times New Roman"/>
          <w:noProof/>
          <w:sz w:val="24"/>
        </w:rPr>
        <w:t xml:space="preserve"> свобода и благоденствие и по този начин се постигне визията на Европа.</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color w:val="000000"/>
          <w:sz w:val="24"/>
          <w:szCs w:val="24"/>
        </w:rPr>
      </w:pPr>
      <w:r>
        <w:rPr>
          <w:rFonts w:ascii="Times New Roman" w:hAnsi="Times New Roman"/>
          <w:noProof/>
          <w:sz w:val="24"/>
        </w:rPr>
        <w:t>Екологосъобразният растеж ще е от полза всички</w:t>
      </w:r>
      <w:r>
        <w:rPr>
          <w:rStyle w:val="FootnoteReference"/>
          <w:rFonts w:ascii="Times New Roman" w:hAnsi="Times New Roman"/>
          <w:noProof/>
          <w:sz w:val="24"/>
        </w:rPr>
        <w:footnoteReference w:id="33"/>
      </w:r>
      <w:r>
        <w:rPr>
          <w:rFonts w:ascii="Times New Roman" w:hAnsi="Times New Roman"/>
          <w:noProof/>
          <w:sz w:val="24"/>
        </w:rPr>
        <w:t xml:space="preserve"> — както за производителите, така и за потребителите. Според прогнозите постигането на ЦУР в областта на храните, селското стопанство, е</w:t>
      </w:r>
      <w:r>
        <w:rPr>
          <w:rFonts w:ascii="Times New Roman" w:hAnsi="Times New Roman"/>
          <w:noProof/>
          <w:sz w:val="24"/>
        </w:rPr>
        <w:t>нергетиката, материалите, градовете, здравето и благосъстоянието може да отключи пазарни възможности за повече от 10 трилиона евро</w:t>
      </w:r>
      <w:r>
        <w:rPr>
          <w:rStyle w:val="FootnoteReference"/>
          <w:rFonts w:ascii="Times New Roman" w:hAnsi="Times New Roman"/>
          <w:noProof/>
          <w:sz w:val="24"/>
        </w:rPr>
        <w:footnoteReference w:id="34"/>
      </w:r>
      <w:r>
        <w:rPr>
          <w:rFonts w:ascii="Times New Roman" w:hAnsi="Times New Roman"/>
          <w:noProof/>
          <w:sz w:val="24"/>
        </w:rPr>
        <w:t xml:space="preserve">. Амбицията на ЕС за постигане на неутрална по отношение на климата икономика с ефективно използване на ресурсите ще покаже, </w:t>
      </w:r>
      <w:r>
        <w:rPr>
          <w:rFonts w:ascii="Times New Roman" w:hAnsi="Times New Roman"/>
          <w:noProof/>
          <w:sz w:val="24"/>
        </w:rPr>
        <w:t>че един екологосъобразен преход може да бъде съпровождан от по-голямо благоденствие. За да постигнат успех, ЕС и неговите държави членки трябва да играят водеща роля в науката, технологиите и модерната инфраструктура. Освен това е необходимо да се насърчав</w:t>
      </w:r>
      <w:r>
        <w:rPr>
          <w:rFonts w:ascii="Times New Roman" w:hAnsi="Times New Roman"/>
          <w:noProof/>
          <w:sz w:val="24"/>
        </w:rPr>
        <w:t xml:space="preserve">а появата на нови бизнес модели, да се намаляват пречките в единния пазар и да се възползваме от новите технологии като изкуствения интелект. Важни хоризонтални способстващи фактори като научните изследвания и иновациите, финансирането, ценообразуването и </w:t>
      </w:r>
      <w:r>
        <w:rPr>
          <w:rFonts w:ascii="Times New Roman" w:hAnsi="Times New Roman"/>
          <w:noProof/>
          <w:sz w:val="24"/>
        </w:rPr>
        <w:t>данъчното облагане, отговорното бизнес поведение и новите бизнес модели и образованието ще създадат необходимите условия за промяна към устойчивост, ако са ориентирани към новаторски, екологосъобразен, приобщаващ и социално справедлив икономически преход.</w:t>
      </w:r>
      <w:r>
        <w:rPr>
          <w:rFonts w:ascii="Times New Roman" w:hAnsi="Times New Roman"/>
          <w:noProof/>
          <w:color w:val="000000"/>
          <w:sz w:val="24"/>
        </w:rPr>
        <w:t xml:space="preserve"> </w:t>
      </w: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За да го постигнем, трябва да продължим да инвестираме в хората и в различните системи, които са в основата на нашето общество. </w:t>
      </w:r>
      <w:r>
        <w:rPr>
          <w:rFonts w:ascii="Times New Roman" w:hAnsi="Times New Roman"/>
          <w:noProof/>
          <w:color w:val="000000"/>
          <w:sz w:val="24"/>
        </w:rPr>
        <w:t>Изолираните, фрагментирани подходи показаха, че са неефективни. Трябва да формулираме стратегии, които са всеобхватни и интегри</w:t>
      </w:r>
      <w:r>
        <w:rPr>
          <w:rFonts w:ascii="Times New Roman" w:hAnsi="Times New Roman"/>
          <w:noProof/>
          <w:color w:val="000000"/>
          <w:sz w:val="24"/>
        </w:rPr>
        <w:t>рани. Така например въпросите, свързани с околната среда, не могат да бъдат решени само с политики в областта на околната среда, ако икономическите политики продължават да насърчават изкопаемите горива, неефективното използване на ресурсите или неустойчиво</w:t>
      </w:r>
      <w:r>
        <w:rPr>
          <w:rFonts w:ascii="Times New Roman" w:hAnsi="Times New Roman"/>
          <w:noProof/>
          <w:color w:val="000000"/>
          <w:sz w:val="24"/>
        </w:rPr>
        <w:t>то производство и потребление. По същия начин социалните политики не са достатъчни за придружаването на четвъртата индустриална революция и подкрепата на работниците, засегнати от преход към декарбонизация. Силните политики в областта на образованието и об</w:t>
      </w:r>
      <w:r>
        <w:rPr>
          <w:rFonts w:ascii="Times New Roman" w:hAnsi="Times New Roman"/>
          <w:noProof/>
          <w:color w:val="000000"/>
          <w:sz w:val="24"/>
        </w:rPr>
        <w:t>учението, както и научноизследователската и развойната дейност също ще бъдат от съществено значение за изграждане на необходимата устойчивост на обществата ни.</w:t>
      </w:r>
      <w:r>
        <w:rPr>
          <w:rFonts w:ascii="Times New Roman" w:hAnsi="Times New Roman"/>
          <w:noProof/>
          <w:sz w:val="24"/>
        </w:rPr>
        <w:t xml:space="preserve">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Необходими са действия на всички равнища. </w:t>
      </w:r>
      <w:r>
        <w:rPr>
          <w:rFonts w:ascii="Times New Roman" w:hAnsi="Times New Roman"/>
          <w:noProof/>
          <w:sz w:val="24"/>
        </w:rPr>
        <w:t>Ще трябва да участват институциите на ЕС, държавите</w:t>
      </w:r>
      <w:r>
        <w:rPr>
          <w:rFonts w:ascii="Times New Roman" w:hAnsi="Times New Roman"/>
          <w:noProof/>
          <w:sz w:val="24"/>
        </w:rPr>
        <w:t xml:space="preserve"> членки и регионите. Градовете, общините и селските райони трябва да се превърнат в движеща сила на промяната. Гражданите, предприятията, социалните партньори и изследователската и научната общност ще трябва да обединят усилията си. ЕС и неговите държави ч</w:t>
      </w:r>
      <w:r>
        <w:rPr>
          <w:rFonts w:ascii="Times New Roman" w:hAnsi="Times New Roman"/>
          <w:noProof/>
          <w:sz w:val="24"/>
        </w:rPr>
        <w:t xml:space="preserve">ленки ще трябва да работят съвместно с международните партньори. Ако искаме да постигнем успех, трябва да полагаме усилия в една и съща посока на всички равнища. </w:t>
      </w:r>
      <w:bookmarkStart w:id="10" w:name="_Toc529710464"/>
      <w:bookmarkStart w:id="11" w:name="_Toc529711035"/>
      <w:bookmarkStart w:id="12" w:name="_Toc529741350"/>
      <w:bookmarkStart w:id="13" w:name="_Toc529879840"/>
    </w:p>
    <w:p w:rsidR="00AA0CD6" w:rsidRDefault="00061B11">
      <w:pPr>
        <w:pStyle w:val="Heading2"/>
        <w:rPr>
          <w:noProof/>
        </w:rPr>
      </w:pPr>
      <w:bookmarkStart w:id="14" w:name="_Toc536442040"/>
      <w:bookmarkStart w:id="15" w:name="_Toc536612063"/>
      <w:r>
        <w:rPr>
          <w:noProof/>
        </w:rPr>
        <w:t>Основите на политиката за устойчиво бъдеще</w:t>
      </w:r>
      <w:bookmarkEnd w:id="14"/>
      <w:bookmarkEnd w:id="15"/>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Поради това е от изключително значение всички дейс</w:t>
      </w:r>
      <w:r>
        <w:rPr>
          <w:rFonts w:ascii="Times New Roman" w:hAnsi="Times New Roman"/>
          <w:noProof/>
          <w:sz w:val="24"/>
        </w:rPr>
        <w:t>тващи лица в ЕС да дадат приоритет на прехода към устойчивост. Те трябва да продължат разработването на междусекторните политики, приети на равнището на ЕС през последните години. Значителна част от политиките на ЕС вече са насочени към постигането на ЦУР,</w:t>
      </w:r>
      <w:r>
        <w:rPr>
          <w:rFonts w:ascii="Times New Roman" w:hAnsi="Times New Roman"/>
          <w:noProof/>
          <w:sz w:val="24"/>
        </w:rPr>
        <w:t xml:space="preserve"> но все още предстои те да бъдат приложени на практика по интегриран начин от държавите членки. Например, разходите, произтичащи от неприлагането на съществуващото законодателство на ЕС в областта на околната среда, се оценяват в общи рамки на около 50 мил</w:t>
      </w:r>
      <w:r>
        <w:rPr>
          <w:rFonts w:ascii="Times New Roman" w:hAnsi="Times New Roman"/>
          <w:noProof/>
          <w:sz w:val="24"/>
        </w:rPr>
        <w:t>иарда евро годишно в разходи за здравеопазване и преки разходи за околната среда. Постигането на пълно съответствие с правилата на ЕС в областта на околната среда ще донесе значителни ползи не само за околната среда и за здравето ни, но и ще доведе до създ</w:t>
      </w:r>
      <w:r>
        <w:rPr>
          <w:rFonts w:ascii="Times New Roman" w:hAnsi="Times New Roman"/>
          <w:noProof/>
          <w:sz w:val="24"/>
        </w:rPr>
        <w:t>аването на работни места</w:t>
      </w:r>
      <w:r>
        <w:rPr>
          <w:rStyle w:val="FootnoteReference"/>
          <w:rFonts w:ascii="Times New Roman" w:hAnsi="Times New Roman"/>
          <w:noProof/>
          <w:sz w:val="24"/>
        </w:rPr>
        <w:footnoteReference w:id="35"/>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В същия дух, не става въпрос само за ускоряването и разгръщането на мащаба на устойчивите решения, но и за изграждане на мостове и повишаването на съгласуваността между различните програми на всички равнища. Съгласуваността на </w:t>
      </w:r>
      <w:r>
        <w:rPr>
          <w:rFonts w:ascii="Times New Roman" w:hAnsi="Times New Roman"/>
          <w:noProof/>
          <w:sz w:val="24"/>
        </w:rPr>
        <w:t>политиките е ключово условие, за да можем да постигнем резултати по ЦУР и да осигурим дългосрочен екологосъобразен и приобщаващ растеж на ЕС.</w:t>
      </w:r>
    </w:p>
    <w:p w:rsidR="00AA0CD6" w:rsidRDefault="00061B11">
      <w:pPr>
        <w:spacing w:line="240" w:lineRule="auto"/>
        <w:jc w:val="both"/>
        <w:rPr>
          <w:rFonts w:ascii="Times New Roman" w:hAnsi="Times New Roman" w:cs="Times New Roman"/>
          <w:b/>
          <w:noProof/>
          <w:color w:val="4F81BD" w:themeColor="accent1"/>
          <w:sz w:val="24"/>
          <w:szCs w:val="24"/>
        </w:rPr>
      </w:pPr>
      <w:r>
        <w:rPr>
          <w:rFonts w:ascii="Times New Roman" w:hAnsi="Times New Roman"/>
          <w:noProof/>
          <w:sz w:val="24"/>
        </w:rPr>
        <w:t xml:space="preserve">В съответствие с голямата доказателствена база на ключовите предизвикателства пред устойчивостта и възможностите </w:t>
      </w:r>
      <w:r>
        <w:rPr>
          <w:rFonts w:ascii="Times New Roman" w:hAnsi="Times New Roman"/>
          <w:noProof/>
          <w:sz w:val="24"/>
        </w:rPr>
        <w:t>за ЕС, е важно да се постави акцент и върху производството и потреблението в областта на материалите и продуктите, храните, енергетиката, мобилността и застроената среда</w:t>
      </w:r>
      <w:r>
        <w:rPr>
          <w:rStyle w:val="FootnoteReference"/>
          <w:rFonts w:ascii="Times New Roman" w:hAnsi="Times New Roman"/>
          <w:noProof/>
          <w:sz w:val="24"/>
        </w:rPr>
        <w:footnoteReference w:id="36"/>
      </w:r>
      <w:r>
        <w:rPr>
          <w:rFonts w:ascii="Times New Roman" w:hAnsi="Times New Roman"/>
          <w:noProof/>
          <w:sz w:val="24"/>
        </w:rPr>
        <w:t>, като се вземат под внимание социалните последици от промените в тези области. Това с</w:t>
      </w:r>
      <w:r>
        <w:rPr>
          <w:rFonts w:ascii="Times New Roman" w:hAnsi="Times New Roman"/>
          <w:noProof/>
          <w:sz w:val="24"/>
        </w:rPr>
        <w:t>а областите, в които промените към устойчивост са най-необходими и са с потенциално най-голяма полза за икономиката на ЕС, обществото и околната среда, със силни положителни странични ефекти в световен мащаб. Тези области не функционират изолирано, а са тя</w:t>
      </w:r>
      <w:r>
        <w:rPr>
          <w:rFonts w:ascii="Times New Roman" w:hAnsi="Times New Roman"/>
          <w:noProof/>
          <w:sz w:val="24"/>
        </w:rPr>
        <w:t>сно свързани помежду си и взаимно се подсилват</w:t>
      </w:r>
      <w:bookmarkEnd w:id="10"/>
      <w:bookmarkEnd w:id="11"/>
      <w:bookmarkEnd w:id="12"/>
      <w:r>
        <w:rPr>
          <w:rFonts w:ascii="Times New Roman" w:hAnsi="Times New Roman"/>
          <w:noProof/>
          <w:sz w:val="24"/>
        </w:rPr>
        <w:t>.</w:t>
      </w:r>
      <w:bookmarkEnd w:id="13"/>
      <w:r>
        <w:rPr>
          <w:rFonts w:ascii="Times New Roman" w:hAnsi="Times New Roman"/>
          <w:noProof/>
          <w:sz w:val="24"/>
        </w:rPr>
        <w:t xml:space="preserve"> </w:t>
      </w:r>
    </w:p>
    <w:p w:rsidR="00AA0CD6" w:rsidRDefault="00061B11">
      <w:pPr>
        <w:pStyle w:val="Heading3"/>
        <w:rPr>
          <w:noProof/>
        </w:rPr>
      </w:pPr>
      <w:bookmarkStart w:id="16" w:name="_Toc536442041"/>
      <w:bookmarkStart w:id="17" w:name="_Toc536612064"/>
      <w:r>
        <w:rPr>
          <w:noProof/>
        </w:rPr>
        <w:t>От линейна към кръгова икономика</w:t>
      </w:r>
      <w:bookmarkEnd w:id="16"/>
      <w:bookmarkEnd w:id="17"/>
      <w:r>
        <w:rPr>
          <w:noProof/>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color w:val="000000"/>
          <w:sz w:val="24"/>
        </w:rPr>
        <w:t xml:space="preserve">Повишаването на наличността и достъпността на различни материали и продукти опростиха живота ни и допринесоха за повишаване на жизнения стандарт и на качеството на живота в </w:t>
      </w:r>
      <w:r>
        <w:rPr>
          <w:rFonts w:ascii="Times New Roman" w:hAnsi="Times New Roman"/>
          <w:noProof/>
          <w:color w:val="000000"/>
          <w:sz w:val="24"/>
        </w:rPr>
        <w:t>ЕС.</w:t>
      </w:r>
      <w:r>
        <w:rPr>
          <w:rFonts w:ascii="Times New Roman" w:hAnsi="Times New Roman"/>
          <w:noProof/>
          <w:sz w:val="24"/>
        </w:rPr>
        <w:t xml:space="preserve"> Културата ни на потребление обаче доведе до нарастващ натиск върху добива на природни ресурси и природния капитал и климата</w:t>
      </w:r>
      <w:r>
        <w:rPr>
          <w:rStyle w:val="FootnoteReference"/>
          <w:rFonts w:ascii="Times New Roman" w:hAnsi="Times New Roman"/>
          <w:noProof/>
          <w:sz w:val="24"/>
        </w:rPr>
        <w:footnoteReference w:id="37"/>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Трябва да гарантираме, че можем да продължим растежа на икономиката ни по устойчив начин и да подобряваме жизнения стандарт, </w:t>
      </w:r>
      <w:r>
        <w:rPr>
          <w:rFonts w:ascii="Times New Roman" w:hAnsi="Times New Roman"/>
          <w:noProof/>
          <w:sz w:val="24"/>
        </w:rPr>
        <w:t>както искат хората. Това ще изисква нови дизайни на материали и продукти, за да бъдем добре подготвени да използваме повторно, да ремонтираме и рециклираме все повече и повече. Това, на свой ред, ще доведе не само до намаляване на отпадъците, но и ще намал</w:t>
      </w:r>
      <w:r>
        <w:rPr>
          <w:rFonts w:ascii="Times New Roman" w:hAnsi="Times New Roman"/>
          <w:noProof/>
          <w:sz w:val="24"/>
        </w:rPr>
        <w:t>и необходимостта от извличането на нови ресурси, което причинява големи финансови и екологични разходи. Когато продукт — чифт дънки, смартфон, хранителен контейнер или мебел — достигне края на жизнения си цикъл, една действителна кръгова икономика гарантир</w:t>
      </w:r>
      <w:r>
        <w:rPr>
          <w:rFonts w:ascii="Times New Roman" w:hAnsi="Times New Roman"/>
          <w:noProof/>
          <w:sz w:val="24"/>
        </w:rPr>
        <w:t>а, че по-голямата част от материалната му стойност се запазва, така че това, което преди това е бил считано за отпадък, да може да се използва отново за производство на нови продукти.</w:t>
      </w:r>
    </w:p>
    <w:p w:rsidR="00AA0CD6" w:rsidRDefault="00AA0CD6">
      <w:pPr>
        <w:spacing w:line="240" w:lineRule="auto"/>
        <w:jc w:val="center"/>
        <w:rPr>
          <w:rFonts w:ascii="Times New Roman" w:hAnsi="Times New Roman" w:cs="Times New Roman"/>
          <w:i/>
          <w:noProof/>
          <w:sz w:val="24"/>
          <w:szCs w:val="24"/>
          <w:lang w:val="ru-RU"/>
        </w:rPr>
      </w:pPr>
    </w:p>
    <w:p w:rsidR="00AA0CD6" w:rsidRDefault="00061B11">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464905" cy="2612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69182" cy="2617238"/>
                    </a:xfrm>
                    <a:prstGeom prst="rect">
                      <a:avLst/>
                    </a:prstGeom>
                  </pic:spPr>
                </pic:pic>
              </a:graphicData>
            </a:graphic>
          </wp:inline>
        </w:drawing>
      </w:r>
    </w:p>
    <w:p w:rsidR="00AA0CD6" w:rsidRDefault="00AA0CD6">
      <w:pPr>
        <w:spacing w:line="240" w:lineRule="auto"/>
        <w:rPr>
          <w:rFonts w:ascii="Times New Roman" w:hAnsi="Times New Roman" w:cs="Times New Roman"/>
          <w:i/>
          <w:noProof/>
          <w:sz w:val="20"/>
          <w:szCs w:val="20"/>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b/>
          <w:noProof/>
          <w:sz w:val="24"/>
        </w:rPr>
        <w:t>Преходът към кръгова икономика</w:t>
      </w:r>
      <w:r>
        <w:rPr>
          <w:rFonts w:ascii="Times New Roman" w:hAnsi="Times New Roman"/>
          <w:noProof/>
          <w:sz w:val="24"/>
        </w:rPr>
        <w:t>, включително към кръгова биоикономика</w:t>
      </w:r>
      <w:r>
        <w:rPr>
          <w:rFonts w:ascii="Times New Roman" w:hAnsi="Times New Roman"/>
          <w:noProof/>
          <w:sz w:val="24"/>
        </w:rPr>
        <w:t>, е огромна възможност за създаване на конкурентни предимства на устойчива основа.</w:t>
      </w:r>
      <w:r>
        <w:rPr>
          <w:rFonts w:ascii="Times New Roman" w:hAnsi="Times New Roman"/>
          <w:b/>
          <w:noProof/>
          <w:sz w:val="24"/>
        </w:rPr>
        <w:t xml:space="preserve"> </w:t>
      </w:r>
      <w:r>
        <w:rPr>
          <w:rFonts w:ascii="Times New Roman" w:hAnsi="Times New Roman"/>
          <w:noProof/>
          <w:sz w:val="24"/>
        </w:rPr>
        <w:t>Прилагането на принципите на кръговата икономика във всички сектори и отрасли ще донесе екологични и социални ползи на Европа и освен това е с потенциал да генерира нетна ик</w:t>
      </w:r>
      <w:r>
        <w:rPr>
          <w:rFonts w:ascii="Times New Roman" w:hAnsi="Times New Roman"/>
          <w:noProof/>
          <w:sz w:val="24"/>
        </w:rPr>
        <w:t>ономическа полза, равна на 1,8 трилиона евро до 2030 г.</w:t>
      </w:r>
      <w:r>
        <w:rPr>
          <w:rStyle w:val="FootnoteReference"/>
          <w:rFonts w:ascii="Times New Roman" w:hAnsi="Times New Roman"/>
          <w:noProof/>
          <w:sz w:val="24"/>
        </w:rPr>
        <w:footnoteReference w:id="38"/>
      </w:r>
      <w:r>
        <w:rPr>
          <w:rFonts w:ascii="Times New Roman" w:hAnsi="Times New Roman"/>
          <w:noProof/>
          <w:sz w:val="24"/>
        </w:rPr>
        <w:t>, да доведе до над 1 милиона нови работни места в ЕС до 2030 г.</w:t>
      </w:r>
      <w:r>
        <w:rPr>
          <w:rStyle w:val="FootnoteReference"/>
          <w:rFonts w:ascii="Times New Roman" w:hAnsi="Times New Roman"/>
          <w:noProof/>
          <w:sz w:val="24"/>
        </w:rPr>
        <w:footnoteReference w:id="39"/>
      </w:r>
      <w:r>
        <w:rPr>
          <w:rFonts w:ascii="Times New Roman" w:hAnsi="Times New Roman"/>
          <w:noProof/>
          <w:sz w:val="24"/>
        </w:rPr>
        <w:t xml:space="preserve"> и да играе централна роля за намаляване на емисиите на парникови газове</w:t>
      </w:r>
      <w:r>
        <w:rPr>
          <w:rStyle w:val="FootnoteReference"/>
          <w:rFonts w:ascii="Times New Roman" w:hAnsi="Times New Roman"/>
          <w:noProof/>
          <w:sz w:val="24"/>
        </w:rPr>
        <w:footnoteReference w:id="40"/>
      </w:r>
      <w:r>
        <w:rPr>
          <w:rFonts w:ascii="Times New Roman" w:hAnsi="Times New Roman"/>
          <w:noProof/>
          <w:sz w:val="24"/>
        </w:rPr>
        <w:t>. Предвид това, че продуктите на ЕС разчитат в голяма степен на</w:t>
      </w:r>
      <w:r>
        <w:rPr>
          <w:rFonts w:ascii="Times New Roman" w:hAnsi="Times New Roman"/>
          <w:noProof/>
          <w:sz w:val="24"/>
        </w:rPr>
        <w:t xml:space="preserve"> ресурси от други части на света, преходът към кръгова икономика ще помогне също така на ЕС да намали екологичния, социалния и икономическия натиск в световен мащаб и да увеличи стратегическата автономност на Съюза. </w:t>
      </w:r>
    </w:p>
    <w:p w:rsidR="00AA0CD6" w:rsidRDefault="00AA0CD6">
      <w:pPr>
        <w:spacing w:line="240" w:lineRule="auto"/>
        <w:jc w:val="center"/>
        <w:rPr>
          <w:rFonts w:ascii="Times New Roman" w:hAnsi="Times New Roman" w:cs="Times New Roman"/>
          <w:noProof/>
          <w:sz w:val="24"/>
          <w:szCs w:val="24"/>
          <w:lang w:val="ru-RU"/>
        </w:rPr>
      </w:pPr>
    </w:p>
    <w:p w:rsidR="00AA0CD6" w:rsidRDefault="00061B11">
      <w:pPr>
        <w:spacing w:line="240" w:lineRule="auto"/>
        <w:jc w:val="center"/>
        <w:rPr>
          <w:rFonts w:ascii="Times New Roman" w:hAnsi="Times New Roman" w:cs="Times New Roman"/>
          <w:noProof/>
          <w:sz w:val="24"/>
          <w:szCs w:val="24"/>
          <w:lang w:val="fr-BE"/>
        </w:rPr>
      </w:pPr>
      <w:r>
        <w:rPr>
          <w:noProof/>
          <w:lang w:val="en-GB" w:eastAsia="en-GB" w:bidi="ar-SA"/>
        </w:rPr>
        <w:drawing>
          <wp:inline distT="0" distB="0" distL="0" distR="0">
            <wp:extent cx="3253838" cy="207818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3251" cy="2077806"/>
                    </a:xfrm>
                    <a:prstGeom prst="rect">
                      <a:avLst/>
                    </a:prstGeom>
                  </pic:spPr>
                </pic:pic>
              </a:graphicData>
            </a:graphic>
          </wp:inline>
        </w:drawing>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ЕС е икономиката в най-изгодна позиция да се възползва от прехода към кръговата икономика, като превърне производството на кръгови продукти в нея в една от основните си запазени марки, като генерира конкурентни предимства. За да запазим обаче това предимст</w:t>
      </w:r>
      <w:r>
        <w:rPr>
          <w:rFonts w:ascii="Times New Roman" w:hAnsi="Times New Roman"/>
          <w:noProof/>
          <w:sz w:val="24"/>
        </w:rPr>
        <w:t>во, ще е необходимо да задълбочим усилията си. В плана за действие за кръгова икономика, приет от Комисията „Юнкер“ през 2015 г., се установяват мерки за насочване на икономиката на ЕС по пътя към кръгова икономика и за подпомагане на ЕС да се превърне в с</w:t>
      </w:r>
      <w:r>
        <w:rPr>
          <w:rFonts w:ascii="Times New Roman" w:hAnsi="Times New Roman"/>
          <w:noProof/>
          <w:sz w:val="24"/>
        </w:rPr>
        <w:t>ветовен лидер в този преход. Планът включва и стъпки за промяна на моделите на потребление и производство чрез фокусиране върху проектирането на продуктите (трайност, пригодност за ремонтиране, повторна употреба и рециклиране), управление на отпадъците) (и</w:t>
      </w:r>
      <w:r>
        <w:rPr>
          <w:rFonts w:ascii="Times New Roman" w:hAnsi="Times New Roman"/>
          <w:noProof/>
          <w:sz w:val="24"/>
        </w:rPr>
        <w:t>збягване образуването на отпадъци, рециклиране на материали, оползотворяване на енергия и избягване на депонирането) и повишена осведоменост на потребителите. Почти всички елементи на плана за действие са вече изпълнени, но трябва да бъдат предприети допъл</w:t>
      </w:r>
      <w:r>
        <w:rPr>
          <w:rFonts w:ascii="Times New Roman" w:hAnsi="Times New Roman"/>
          <w:noProof/>
          <w:sz w:val="24"/>
        </w:rPr>
        <w:t xml:space="preserve">нителни стъпки за постигането на пълна кръгова европейската икономика. </w:t>
      </w:r>
    </w:p>
    <w:p w:rsidR="00AA0CD6" w:rsidRDefault="00061B11">
      <w:pPr>
        <w:spacing w:line="240" w:lineRule="auto"/>
        <w:jc w:val="both"/>
        <w:rPr>
          <w:rFonts w:ascii="Times New Roman" w:hAnsi="Times New Roman" w:cs="Times New Roman"/>
          <w:strike/>
          <w:noProof/>
          <w:sz w:val="24"/>
          <w:szCs w:val="24"/>
        </w:rPr>
      </w:pPr>
      <w:r>
        <w:rPr>
          <w:rFonts w:ascii="Times New Roman" w:hAnsi="Times New Roman"/>
          <w:noProof/>
          <w:sz w:val="24"/>
        </w:rPr>
        <w:t>Обновената стратегия на ЕС за биоикономика, представена през 2018 г., допълва плана за действие за кръговата икономика, като подобрява и разширява устойчивото използване на възобновяем</w:t>
      </w:r>
      <w:r>
        <w:rPr>
          <w:rFonts w:ascii="Times New Roman" w:hAnsi="Times New Roman"/>
          <w:noProof/>
          <w:sz w:val="24"/>
        </w:rPr>
        <w:t xml:space="preserve">и ресурси и като позволява възобновяемите суровини и страничните промишлени продукти да бъдат превърнати в продукти на биологична основа, като например горива, химикали, композитни материали, мебели и торове.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Сега е от съществено значение въведените вече </w:t>
      </w:r>
      <w:r>
        <w:rPr>
          <w:rFonts w:ascii="Times New Roman" w:hAnsi="Times New Roman"/>
          <w:noProof/>
          <w:sz w:val="24"/>
        </w:rPr>
        <w:t>политики да бъдат превърнати в действителност на място и да продължи да се отдава приоритет на нови действия на всички управленски равнища в ЕС. Например амбициозното модернизиране на правилата на ЕС относно отпадъците ще трябва да бъде приложено на практи</w:t>
      </w:r>
      <w:r>
        <w:rPr>
          <w:rFonts w:ascii="Times New Roman" w:hAnsi="Times New Roman"/>
          <w:noProof/>
          <w:sz w:val="24"/>
        </w:rPr>
        <w:t xml:space="preserve">ка от държавите членки. Оценките на жизнения цикъл на продуктите следва да се превърне в норма, рамката за екодизайна — </w:t>
      </w:r>
      <w:r>
        <w:rPr>
          <w:rStyle w:val="ilfuvd"/>
          <w:rFonts w:ascii="Times New Roman" w:hAnsi="Times New Roman"/>
          <w:noProof/>
          <w:sz w:val="24"/>
        </w:rPr>
        <w:t>създадена за повишаването на ефективността на продуктите, за да се намали потреблението на енергия и суровини</w:t>
      </w:r>
      <w:r>
        <w:rPr>
          <w:rFonts w:ascii="Times New Roman" w:hAnsi="Times New Roman"/>
          <w:noProof/>
          <w:sz w:val="24"/>
        </w:rPr>
        <w:t xml:space="preserve"> — следва да се разшири във</w:t>
      </w:r>
      <w:r>
        <w:rPr>
          <w:rFonts w:ascii="Times New Roman" w:hAnsi="Times New Roman"/>
          <w:noProof/>
          <w:sz w:val="24"/>
        </w:rPr>
        <w:t xml:space="preserve"> възможно най-голяма степен. Трябва да се ускори работата, започната по отношение на химикалите, нетоксичната околна среда, екомаркировката и екоиновациите, суровините от изключителна важност и торовете. Стимулирането на пазара на вторични суровини трябва </w:t>
      </w:r>
      <w:r>
        <w:rPr>
          <w:rFonts w:ascii="Times New Roman" w:hAnsi="Times New Roman"/>
          <w:noProof/>
          <w:sz w:val="24"/>
        </w:rPr>
        <w:t>да остане основен приоритет. Успешната работа по кръговата икономика на пластмасите ще трябва да продължи да бъде основна целева област и ще трябва да бъдат подкрепяни и насърчавани, за да станат кръгови, допълнителни отрасли с интензивно използване на рес</w:t>
      </w:r>
      <w:r>
        <w:rPr>
          <w:rFonts w:ascii="Times New Roman" w:hAnsi="Times New Roman"/>
          <w:noProof/>
          <w:sz w:val="24"/>
        </w:rPr>
        <w:t>урси и отпадъци, като производството на храни, текстила и електрониката. Секторите за продукти на биологична основа трябва да бъдат укрепени и разширени, като същевременно бъдат опазени нашите екосистеми и се избегне прекомерната експлоатация на природните</w:t>
      </w:r>
      <w:r>
        <w:rPr>
          <w:rFonts w:ascii="Times New Roman" w:hAnsi="Times New Roman"/>
          <w:noProof/>
          <w:sz w:val="24"/>
        </w:rPr>
        <w:t xml:space="preserve"> ресурси. Като вървим напред, трябва да превърнем кръговата икономика в гръбнака на индустриалната стратегия на ЕС, като въведем „кръговост“ в нови области и сектори, като дадем възможност на потребителите да правят информиран избор и като увеличим усилият</w:t>
      </w:r>
      <w:r>
        <w:rPr>
          <w:rFonts w:ascii="Times New Roman" w:hAnsi="Times New Roman"/>
          <w:noProof/>
          <w:sz w:val="24"/>
        </w:rPr>
        <w:t>а от страна на публичния сектор чрез устойчиви обществени поръчки. Моментът е подходящ и вълната от обществена подкрепа за стратегията на ЕС за пластмасите показва, че е налице нарастващо разбиране за това, че трябва да се продължи по този път.</w:t>
      </w:r>
    </w:p>
    <w:p w:rsidR="00AA0CD6" w:rsidRDefault="00061B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b/>
          <w:noProof/>
          <w:sz w:val="24"/>
        </w:rPr>
        <w:t xml:space="preserve">Кръгова икономика в действие: ЕС въведе първата в света всеобхватна стратегия за пластмасите </w:t>
      </w:r>
    </w:p>
    <w:p w:rsidR="00AA0CD6" w:rsidRDefault="00061B1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Стратегията на ЕС за пластмасите</w:t>
      </w:r>
      <w:r>
        <w:rPr>
          <w:rStyle w:val="FootnoteReference"/>
          <w:rFonts w:ascii="Times New Roman" w:hAnsi="Times New Roman"/>
          <w:noProof/>
          <w:sz w:val="24"/>
        </w:rPr>
        <w:footnoteReference w:id="41"/>
      </w:r>
      <w:r>
        <w:rPr>
          <w:rFonts w:ascii="Times New Roman" w:hAnsi="Times New Roman"/>
          <w:noProof/>
          <w:sz w:val="24"/>
        </w:rPr>
        <w:t xml:space="preserve"> и законодателството за пластмасовите изделия за еднократна употреба</w:t>
      </w:r>
      <w:r>
        <w:rPr>
          <w:rStyle w:val="FootnoteReference"/>
          <w:rFonts w:ascii="Times New Roman" w:hAnsi="Times New Roman"/>
          <w:noProof/>
          <w:sz w:val="24"/>
        </w:rPr>
        <w:footnoteReference w:id="42"/>
      </w:r>
      <w:r>
        <w:rPr>
          <w:rFonts w:ascii="Times New Roman" w:hAnsi="Times New Roman"/>
          <w:noProof/>
          <w:sz w:val="24"/>
        </w:rPr>
        <w:t xml:space="preserve"> ще защитават околната среда от замърсяване с пластмасови от</w:t>
      </w:r>
      <w:r>
        <w:rPr>
          <w:rFonts w:ascii="Times New Roman" w:hAnsi="Times New Roman"/>
          <w:noProof/>
          <w:sz w:val="24"/>
        </w:rPr>
        <w:t>падъци, като същевременно насърчават растежа и иновациите. Всички пластмасови опаковки, пуснати на пазара на ЕС, ще трябва да бъдат годни за рециклиране до 2030 г. по икономически рентабилен начин, ще бъдат забранени умишлено добавените пластмасови микроча</w:t>
      </w:r>
      <w:r>
        <w:rPr>
          <w:rFonts w:ascii="Times New Roman" w:hAnsi="Times New Roman"/>
          <w:noProof/>
          <w:sz w:val="24"/>
        </w:rPr>
        <w:t>стици и най-вредните пластмасови изделия за еднократна употреба, за които съществуват алтернативи, и за производството на нови продукти ще бъдат използвани все повече рециклирани пластмаси.</w:t>
      </w:r>
    </w:p>
    <w:p w:rsidR="00AA0CD6" w:rsidRDefault="00061B11">
      <w:pPr>
        <w:pStyle w:val="Heading3"/>
        <w:rPr>
          <w:noProof/>
        </w:rPr>
      </w:pPr>
      <w:bookmarkStart w:id="18" w:name="_Toc532469542"/>
      <w:bookmarkStart w:id="19" w:name="_Toc536442042"/>
      <w:bookmarkStart w:id="20" w:name="_Toc536612065"/>
      <w:bookmarkEnd w:id="18"/>
      <w:r>
        <w:rPr>
          <w:noProof/>
        </w:rPr>
        <w:t>Устойчивост от фермата до трапезата</w:t>
      </w:r>
      <w:bookmarkEnd w:id="19"/>
      <w:bookmarkEnd w:id="20"/>
      <w:r>
        <w:rPr>
          <w:noProof/>
        </w:rPr>
        <w:t xml:space="preserve"> </w:t>
      </w: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Селскостопанският сектор и се</w:t>
      </w:r>
      <w:r>
        <w:rPr>
          <w:rFonts w:ascii="Times New Roman" w:hAnsi="Times New Roman"/>
          <w:noProof/>
          <w:sz w:val="24"/>
        </w:rPr>
        <w:t>лските райони в ЕС са от решаващо значение за благосъстоянието на европейците. Чрез нашето селско стопанство и хранително-вкусова промишленост ЕС е един от водещите производители на храни в света, гарант за продоволствената сигурност и доставчик на милиони</w:t>
      </w:r>
      <w:r>
        <w:rPr>
          <w:rFonts w:ascii="Times New Roman" w:hAnsi="Times New Roman"/>
          <w:noProof/>
          <w:sz w:val="24"/>
        </w:rPr>
        <w:t xml:space="preserve"> работни места за европейците. Селскостопанските производители от ЕС са също и първите стопани на природната среда, тъй като се грижат за природните ресурси на 48 % от земите на ЕС, а горските стопани се грижат за още 40 %. Селските райони в ЕС са домакини</w:t>
      </w:r>
      <w:r>
        <w:rPr>
          <w:rFonts w:ascii="Times New Roman" w:hAnsi="Times New Roman"/>
          <w:noProof/>
          <w:sz w:val="24"/>
        </w:rPr>
        <w:t xml:space="preserve"> на иновативни сектори като биоикономиката. Освен това селските райони служат за основна база за отдих и туризъм. С продължаващото увеличаване на средните температури и влошаване на природната среда обаче, земеделските и горските стопани са най-пряко засег</w:t>
      </w:r>
      <w:r>
        <w:rPr>
          <w:rFonts w:ascii="Times New Roman" w:hAnsi="Times New Roman"/>
          <w:noProof/>
          <w:sz w:val="24"/>
        </w:rPr>
        <w:t>нати.</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Селското стопанство на ЕС постигна реален напредък по отношение на климата и околната среда, като намали емисиите на парникови газове с 20 %, а нивата на нитратите в реките с 17,7 % от 1990 г. насам. Въпреки това продължават да съществуват идентифиц</w:t>
      </w:r>
      <w:r>
        <w:rPr>
          <w:rFonts w:ascii="Times New Roman" w:hAnsi="Times New Roman"/>
          <w:noProof/>
          <w:sz w:val="24"/>
        </w:rPr>
        <w:t>ираните предизвикателства. Ако искаме да модернизираме нашата икономика, да опазваме околната среда и да подобряваме качеството на храната ни, дисбалансите в хранителната ни верига трябва да бъдат коригирани — от селското стопанство и риболова, до хранител</w:t>
      </w:r>
      <w:r>
        <w:rPr>
          <w:rFonts w:ascii="Times New Roman" w:hAnsi="Times New Roman"/>
          <w:noProof/>
          <w:sz w:val="24"/>
        </w:rPr>
        <w:t xml:space="preserve">но-вкусовата промишленост, транспорта, дистрибуцията и потреблението.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ЦУР сочат предстоящия път. Смята се, че световна продоволствена и селскостопанска система в съответствие с ЦУР би могла да създаде нова икономическа стойност в размер на над 1,8 трилион</w:t>
      </w:r>
      <w:r>
        <w:rPr>
          <w:rFonts w:ascii="Times New Roman" w:hAnsi="Times New Roman"/>
          <w:noProof/>
          <w:sz w:val="24"/>
        </w:rPr>
        <w:t>а евро до 2030 г</w:t>
      </w:r>
      <w:r>
        <w:rPr>
          <w:rStyle w:val="FootnoteReference"/>
          <w:rFonts w:ascii="Times New Roman" w:hAnsi="Times New Roman"/>
          <w:noProof/>
          <w:sz w:val="24"/>
        </w:rPr>
        <w:footnoteReference w:id="43"/>
      </w:r>
      <w:r>
        <w:rPr>
          <w:rFonts w:ascii="Times New Roman" w:hAnsi="Times New Roman"/>
          <w:noProof/>
          <w:sz w:val="24"/>
        </w:rPr>
        <w:t>. Тя би могла да осигури питателна храна на достъпна цена за нарастващото световно население, да генерира по-високи доходи, да помогне за възстановяване на горите, сладководните ресурси и екосистемите, както и да бъде много по-устойчива на</w:t>
      </w:r>
      <w:r>
        <w:rPr>
          <w:rFonts w:ascii="Times New Roman" w:hAnsi="Times New Roman"/>
          <w:noProof/>
          <w:sz w:val="24"/>
        </w:rPr>
        <w:t xml:space="preserve"> климатичните рискове</w:t>
      </w:r>
      <w:r>
        <w:rPr>
          <w:rStyle w:val="FootnoteReference"/>
          <w:rFonts w:ascii="Times New Roman" w:hAnsi="Times New Roman"/>
          <w:noProof/>
          <w:sz w:val="24"/>
        </w:rPr>
        <w:footnoteReference w:id="44"/>
      </w:r>
      <w:r>
        <w:rPr>
          <w:rFonts w:ascii="Times New Roman" w:hAnsi="Times New Roman"/>
          <w:noProof/>
          <w:sz w:val="24"/>
        </w:rPr>
        <w:t>. Очаква се устойчивите практики за селскостопанско и хранително производство да създадат над 200 милиона работни места на пълно работно време до 2050 г. в световен мащаб</w:t>
      </w:r>
      <w:r>
        <w:rPr>
          <w:rStyle w:val="FootnoteReference"/>
          <w:rFonts w:ascii="Times New Roman" w:hAnsi="Times New Roman"/>
          <w:noProof/>
          <w:sz w:val="24"/>
        </w:rPr>
        <w:footnoteReference w:id="45"/>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И в тази област се развива търсенето от страна на </w:t>
      </w:r>
      <w:r>
        <w:rPr>
          <w:rFonts w:ascii="Times New Roman" w:hAnsi="Times New Roman"/>
          <w:noProof/>
          <w:sz w:val="24"/>
        </w:rPr>
        <w:t>обществеността. Гражданите все повече ценят храните, произведени с по-широки ползи за обществото, като биологичните продукти, продуктите с географски указания, местните системи за производство на храни с по-малък въглероден отпечатък и новаторските решения</w:t>
      </w:r>
      <w:r>
        <w:rPr>
          <w:rFonts w:ascii="Times New Roman" w:hAnsi="Times New Roman"/>
          <w:noProof/>
          <w:sz w:val="24"/>
        </w:rPr>
        <w:t xml:space="preserve"> за производство на храни с ниски емисии. Биологичното земеделие с акцент върху опазването на околната среда и хуманното отношение към животните непрекъснато се увеличава във всички държави — членки на ЕС, от 2005 г. насам и се очаква да продължи да нараст</w:t>
      </w:r>
      <w:r>
        <w:rPr>
          <w:rFonts w:ascii="Times New Roman" w:hAnsi="Times New Roman"/>
          <w:noProof/>
          <w:sz w:val="24"/>
        </w:rPr>
        <w:t>ва</w:t>
      </w:r>
      <w:r>
        <w:rPr>
          <w:rStyle w:val="FootnoteReference"/>
          <w:rFonts w:ascii="Times New Roman" w:hAnsi="Times New Roman"/>
          <w:noProof/>
          <w:sz w:val="24"/>
        </w:rPr>
        <w:footnoteReference w:id="46"/>
      </w:r>
      <w:r>
        <w:rPr>
          <w:rFonts w:ascii="Times New Roman" w:hAnsi="Times New Roman"/>
          <w:noProof/>
          <w:sz w:val="24"/>
        </w:rPr>
        <w:t xml:space="preserve">.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AA0CD6">
      <w:pPr>
        <w:autoSpaceDE w:val="0"/>
        <w:autoSpaceDN w:val="0"/>
        <w:adjustRightInd w:val="0"/>
        <w:spacing w:after="0" w:line="240" w:lineRule="auto"/>
        <w:jc w:val="center"/>
        <w:rPr>
          <w:rFonts w:ascii="Times New Roman" w:hAnsi="Times New Roman" w:cs="Times New Roman"/>
          <w:noProof/>
          <w:sz w:val="24"/>
          <w:szCs w:val="24"/>
          <w:lang w:val="ru-RU"/>
        </w:rPr>
      </w:pPr>
    </w:p>
    <w:p w:rsidR="00AA0CD6" w:rsidRDefault="00061B11">
      <w:pPr>
        <w:autoSpaceDE w:val="0"/>
        <w:autoSpaceDN w:val="0"/>
        <w:adjustRightInd w:val="0"/>
        <w:spacing w:after="0" w:line="240" w:lineRule="auto"/>
        <w:jc w:val="center"/>
        <w:rPr>
          <w:rFonts w:ascii="Times New Roman" w:hAnsi="Times New Roman" w:cs="Times New Roman"/>
          <w:noProof/>
          <w:sz w:val="24"/>
          <w:szCs w:val="24"/>
          <w:lang w:val="fr-BE"/>
        </w:rPr>
      </w:pPr>
      <w:r>
        <w:rPr>
          <w:noProof/>
          <w:lang w:val="en-GB" w:eastAsia="en-GB" w:bidi="ar-SA"/>
        </w:rPr>
        <w:drawing>
          <wp:inline distT="0" distB="0" distL="0" distR="0">
            <wp:extent cx="2918128" cy="2321898"/>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8721" cy="2322370"/>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Като най-голям в света износител и вносител на продукти на хранително-вкусовата промишленост</w:t>
      </w:r>
      <w:r>
        <w:rPr>
          <w:rStyle w:val="FootnoteReference"/>
          <w:rFonts w:ascii="Times New Roman" w:hAnsi="Times New Roman"/>
          <w:noProof/>
          <w:sz w:val="24"/>
        </w:rPr>
        <w:footnoteReference w:id="47"/>
      </w:r>
      <w:r>
        <w:rPr>
          <w:rFonts w:ascii="Times New Roman" w:hAnsi="Times New Roman"/>
          <w:noProof/>
          <w:sz w:val="24"/>
        </w:rPr>
        <w:t>, ЕС е в добра позиция да се възползва от тези икономически възможности и да се превърне в световен лидер в производството на устойчиви храни. Това може</w:t>
      </w:r>
      <w:r>
        <w:rPr>
          <w:rFonts w:ascii="Times New Roman" w:hAnsi="Times New Roman"/>
          <w:noProof/>
          <w:sz w:val="24"/>
        </w:rPr>
        <w:t xml:space="preserve"> да се постигне. Необходим е всеобхватен подход, който води до реална промяна в начина, по който произвеждаме, потребяваме, трансформираме и доставяме храните, чрез ускоряване на прехода към </w:t>
      </w:r>
      <w:r>
        <w:rPr>
          <w:rFonts w:ascii="Times New Roman" w:hAnsi="Times New Roman"/>
          <w:b/>
          <w:noProof/>
          <w:sz w:val="24"/>
        </w:rPr>
        <w:t>устойчива продоволствена система</w:t>
      </w:r>
      <w:r>
        <w:rPr>
          <w:rFonts w:ascii="Times New Roman" w:hAnsi="Times New Roman"/>
          <w:noProof/>
          <w:sz w:val="24"/>
        </w:rPr>
        <w:t>, основана на принципите на кръго</w:t>
      </w:r>
      <w:r>
        <w:rPr>
          <w:rFonts w:ascii="Times New Roman" w:hAnsi="Times New Roman"/>
          <w:noProof/>
          <w:sz w:val="24"/>
        </w:rPr>
        <w:t xml:space="preserve">вата икономика, и чрез превръщането на иновативно, здравословно, щадящо околната среда и съдържащо хуманно отношение към животните производство на безопасна и питателна храна в една от нашите основни европейски търговски марки.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Комисията предложи модерни</w:t>
      </w:r>
      <w:r>
        <w:rPr>
          <w:rFonts w:ascii="Times New Roman" w:hAnsi="Times New Roman"/>
          <w:noProof/>
          <w:sz w:val="24"/>
        </w:rPr>
        <w:t>зирана обща селскостопанска политика (ОСП), при която националните планове на държавите членки ще трябва да отразяват принципите на силна устойчивост, вплетени в целите на общата селскостопанска политика. Общата политика в областта на рибарството доведе до</w:t>
      </w:r>
      <w:r>
        <w:rPr>
          <w:rFonts w:ascii="Times New Roman" w:hAnsi="Times New Roman"/>
          <w:noProof/>
          <w:sz w:val="24"/>
        </w:rPr>
        <w:t xml:space="preserve"> значителен напредък в подобряването на устойчивостта на европейското рибарство. Продължава да бъде от съществено значение обаче правилното прилагане на общата политика в областта на рибарството, включително устойчивото управление на всички рибни запаси, к</w:t>
      </w:r>
      <w:r>
        <w:rPr>
          <w:rFonts w:ascii="Times New Roman" w:hAnsi="Times New Roman"/>
          <w:noProof/>
          <w:sz w:val="24"/>
        </w:rPr>
        <w:t xml:space="preserve">акто и развитието на устойчиви аквакултури.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rPr>
      </w:pPr>
      <w:r>
        <w:rPr>
          <w:rFonts w:ascii="Times New Roman" w:hAnsi="Times New Roman"/>
          <w:b/>
          <w:noProof/>
          <w:sz w:val="24"/>
        </w:rPr>
        <w:t xml:space="preserve">Каре: Подкрепа за прехода към устойчиво селско стопанство чрез една модернизирана ОСП </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Бъдещата ОСП (2021—2027 г.)</w:t>
      </w:r>
      <w:r>
        <w:rPr>
          <w:rStyle w:val="FootnoteReference"/>
          <w:rFonts w:ascii="Times New Roman" w:hAnsi="Times New Roman"/>
          <w:noProof/>
          <w:sz w:val="24"/>
        </w:rPr>
        <w:footnoteReference w:id="48"/>
      </w:r>
      <w:r>
        <w:rPr>
          <w:rFonts w:ascii="Times New Roman" w:hAnsi="Times New Roman"/>
          <w:noProof/>
          <w:sz w:val="24"/>
        </w:rPr>
        <w:t xml:space="preserve"> ще продължи да гарантира достъп до висококачествени храни и силна подкрепа за уникалния европейски модел на селско стопанство, насочен в по-голяма степен към околната среда и климата, като подкрепя продължаващия преход към по-устойчив селскостопански сект</w:t>
      </w:r>
      <w:r>
        <w:rPr>
          <w:rFonts w:ascii="Times New Roman" w:hAnsi="Times New Roman"/>
          <w:noProof/>
          <w:sz w:val="24"/>
        </w:rPr>
        <w:t xml:space="preserve">ор и развитието на жизнеспособни селски райони. </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Style w:val="A2"/>
          <w:rFonts w:ascii="Times New Roman" w:hAnsi="Times New Roman" w:cs="Times New Roman"/>
          <w:noProof/>
          <w:sz w:val="24"/>
          <w:szCs w:val="24"/>
        </w:rPr>
      </w:pPr>
      <w:r>
        <w:rPr>
          <w:rStyle w:val="A2"/>
          <w:rFonts w:ascii="Times New Roman" w:hAnsi="Times New Roman"/>
          <w:noProof/>
          <w:sz w:val="24"/>
        </w:rPr>
        <w:t>Новите задължения включват опазване на богатите на въглерод почви чрез защита на влажните зони и торфищата; задължително въвеждане на инструмент за регулиране на хранителните вещества за подобряване на качес</w:t>
      </w:r>
      <w:r>
        <w:rPr>
          <w:rStyle w:val="A2"/>
          <w:rFonts w:ascii="Times New Roman" w:hAnsi="Times New Roman"/>
          <w:noProof/>
          <w:sz w:val="24"/>
        </w:rPr>
        <w:t xml:space="preserve">твото на водата и намаляване на равнищата на амоняк и двуазотен оксид; сеитбооборот вместо диверсификация на културите. Всички земеделски стопани, които се ползват от подкрепа в рамките на ОСП, ще трябва да спазват тези основни стандарти. </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
          <w:rFonts w:ascii="Times New Roman" w:hAnsi="Times New Roman"/>
          <w:noProof/>
          <w:sz w:val="24"/>
        </w:rPr>
        <w:t>Всяка държава чл</w:t>
      </w:r>
      <w:r>
        <w:rPr>
          <w:rStyle w:val="A2"/>
          <w:rFonts w:ascii="Times New Roman" w:hAnsi="Times New Roman"/>
          <w:noProof/>
          <w:sz w:val="24"/>
        </w:rPr>
        <w:t>енка ще трябва разработи екосхеми за подпомагане и/или стимулиране на земеделските производители да отдадат предпочитание на селскостопански практики, допринасящи полза за климата и околната среда, които са извън задължителните за тях изисквания. Освен тов</w:t>
      </w:r>
      <w:r>
        <w:rPr>
          <w:rStyle w:val="A2"/>
          <w:rFonts w:ascii="Times New Roman" w:hAnsi="Times New Roman"/>
          <w:noProof/>
          <w:sz w:val="24"/>
        </w:rPr>
        <w:t>а земеделските производители ще имат възможност да продължат да допринасят за повишена устойчивост, като получават допълнителна подкрепа чрез различни доброволни схеми.</w:t>
      </w: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В този контекст е важно да се използват по-разумно антимикробните средства, с цел да се</w:t>
      </w:r>
      <w:r>
        <w:rPr>
          <w:rFonts w:ascii="Times New Roman" w:hAnsi="Times New Roman"/>
          <w:noProof/>
          <w:sz w:val="24"/>
        </w:rPr>
        <w:t xml:space="preserve"> намали рискът от по-нататъшна антимикробна резистентност при животни и хора</w:t>
      </w:r>
      <w:r>
        <w:rPr>
          <w:rStyle w:val="FootnoteReference"/>
          <w:rFonts w:ascii="Times New Roman" w:hAnsi="Times New Roman"/>
          <w:noProof/>
          <w:sz w:val="24"/>
        </w:rPr>
        <w:footnoteReference w:id="49"/>
      </w:r>
      <w:r>
        <w:rPr>
          <w:rFonts w:ascii="Times New Roman" w:hAnsi="Times New Roman"/>
          <w:noProof/>
          <w:sz w:val="24"/>
        </w:rPr>
        <w:t>, да се изпълни планът за действие на ЕС за борба с разхищението на храни, да се постави по-силен акцент върху стандартите за хуманно отношение към животните, да се осигури устойч</w:t>
      </w:r>
      <w:r>
        <w:rPr>
          <w:rFonts w:ascii="Times New Roman" w:hAnsi="Times New Roman"/>
          <w:noProof/>
          <w:sz w:val="24"/>
        </w:rPr>
        <w:t>иво използване на пестициди и да се превърнат биологичните отпадъци, остатъците и непотребните неща в ценни ресурси. Създаването на прозрачност на веригите на стойността и стимулирането на производителите и супермаркетите да предлагат, а на потребителите —</w:t>
      </w:r>
      <w:r>
        <w:rPr>
          <w:rFonts w:ascii="Times New Roman" w:hAnsi="Times New Roman"/>
          <w:noProof/>
          <w:sz w:val="24"/>
        </w:rPr>
        <w:t xml:space="preserve"> да избират — устойчиви храни и здравословни хранителни режими могат да бъдат насърчени чрез подходящи и иновативни мерки, включително подобряване на образованието и информацията за потребителите, за да се предложи реален, достъпен, здравословен избор. Пре</w:t>
      </w:r>
      <w:r>
        <w:rPr>
          <w:rFonts w:ascii="Times New Roman" w:hAnsi="Times New Roman"/>
          <w:noProof/>
          <w:sz w:val="24"/>
        </w:rPr>
        <w:t>ходът към по-устойчиво потребление на продукти от животински произход ще донесе освен това значителни ползи за здравето на потребителите и ще окаже положително въздействие върху околната среда</w:t>
      </w:r>
      <w:r>
        <w:rPr>
          <w:rStyle w:val="FootnoteReference"/>
          <w:rFonts w:ascii="Times New Roman" w:hAnsi="Times New Roman"/>
          <w:noProof/>
          <w:sz w:val="24"/>
        </w:rPr>
        <w:footnoteReference w:id="50"/>
      </w:r>
      <w:r>
        <w:rPr>
          <w:rFonts w:ascii="Times New Roman" w:hAnsi="Times New Roman"/>
          <w:noProof/>
          <w:sz w:val="24"/>
        </w:rPr>
        <w:t xml:space="preserve">.  </w:t>
      </w:r>
    </w:p>
    <w:p w:rsidR="00AA0CD6" w:rsidRDefault="00061B11">
      <w:pPr>
        <w:pStyle w:val="Heading3"/>
        <w:rPr>
          <w:noProof/>
        </w:rPr>
      </w:pPr>
      <w:bookmarkStart w:id="21" w:name="_Toc536442043"/>
      <w:bookmarkStart w:id="22" w:name="_Toc536612066"/>
      <w:r>
        <w:rPr>
          <w:noProof/>
        </w:rPr>
        <w:t>Енергетика, сгради и мобилност, ориентирани към бъдещето</w:t>
      </w:r>
      <w:bookmarkEnd w:id="21"/>
      <w:bookmarkEnd w:id="22"/>
    </w:p>
    <w:p w:rsidR="00AA0CD6" w:rsidRDefault="00061B11">
      <w:pPr>
        <w:spacing w:line="240" w:lineRule="auto"/>
        <w:jc w:val="both"/>
        <w:rPr>
          <w:rFonts w:ascii="Times New Roman" w:hAnsi="Times New Roman" w:cs="Times New Roman"/>
          <w:noProof/>
          <w:sz w:val="24"/>
          <w:szCs w:val="24"/>
        </w:rPr>
      </w:pPr>
      <w:r>
        <w:rPr>
          <w:rFonts w:ascii="Times New Roman" w:hAnsi="Times New Roman"/>
          <w:b/>
          <w:noProof/>
          <w:color w:val="000000"/>
          <w:sz w:val="24"/>
        </w:rPr>
        <w:t>Чи</w:t>
      </w:r>
      <w:r>
        <w:rPr>
          <w:rFonts w:ascii="Times New Roman" w:hAnsi="Times New Roman"/>
          <w:b/>
          <w:noProof/>
          <w:color w:val="000000"/>
          <w:sz w:val="24"/>
        </w:rPr>
        <w:t>стата енергия</w:t>
      </w:r>
      <w:r>
        <w:rPr>
          <w:rFonts w:ascii="Times New Roman" w:hAnsi="Times New Roman"/>
          <w:noProof/>
          <w:color w:val="000000"/>
          <w:sz w:val="24"/>
        </w:rPr>
        <w:t xml:space="preserve"> е от ключово значение за постигане на устойчиво бъдеще. </w:t>
      </w:r>
      <w:r>
        <w:rPr>
          <w:rFonts w:ascii="Times New Roman" w:hAnsi="Times New Roman"/>
          <w:noProof/>
          <w:sz w:val="24"/>
        </w:rPr>
        <w:t xml:space="preserve">Трябва да произвеждаме, съхраняваме и използваме енергията по устойчив начин, за да намалим въздействието си върху околната среда и да защитим здравето на европейските граждани. </w:t>
      </w:r>
    </w:p>
    <w:p w:rsidR="00AA0CD6" w:rsidRDefault="00061B11">
      <w:pPr>
        <w:spacing w:line="240" w:lineRule="auto"/>
        <w:jc w:val="both"/>
        <w:rPr>
          <w:rFonts w:ascii="Times New Roman" w:hAnsi="Times New Roman"/>
          <w:noProof/>
          <w:color w:val="000000"/>
          <w:sz w:val="24"/>
        </w:rPr>
      </w:pPr>
      <w:r>
        <w:rPr>
          <w:rFonts w:ascii="Times New Roman" w:hAnsi="Times New Roman"/>
          <w:noProof/>
          <w:sz w:val="24"/>
        </w:rPr>
        <w:t>ЕС е ве</w:t>
      </w:r>
      <w:r>
        <w:rPr>
          <w:rFonts w:ascii="Times New Roman" w:hAnsi="Times New Roman"/>
          <w:noProof/>
          <w:sz w:val="24"/>
        </w:rPr>
        <w:t>че една от икономиките с най-добра въглеродна ефективност в света.</w:t>
      </w:r>
      <w:r>
        <w:rPr>
          <w:rFonts w:ascii="Times New Roman" w:hAnsi="Times New Roman"/>
          <w:noProof/>
          <w:color w:val="000000"/>
          <w:sz w:val="24"/>
        </w:rPr>
        <w:t xml:space="preserve"> </w:t>
      </w:r>
      <w:r>
        <w:rPr>
          <w:rFonts w:ascii="Times New Roman" w:hAnsi="Times New Roman"/>
          <w:noProof/>
          <w:sz w:val="24"/>
        </w:rPr>
        <w:t xml:space="preserve">Енергията от възобновяеми източници е неразделна част от енергийния микс в Европа и повече от половината от доставките на електроенергия в ЕС са неутрални по отношение на климата. </w:t>
      </w:r>
      <w:r>
        <w:rPr>
          <w:rFonts w:ascii="Times New Roman" w:hAnsi="Times New Roman"/>
          <w:noProof/>
          <w:color w:val="000000"/>
          <w:sz w:val="24"/>
        </w:rPr>
        <w:t>Мерките з</w:t>
      </w:r>
      <w:r>
        <w:rPr>
          <w:rFonts w:ascii="Times New Roman" w:hAnsi="Times New Roman"/>
          <w:noProof/>
          <w:color w:val="000000"/>
          <w:sz w:val="24"/>
        </w:rPr>
        <w:t>а енергийна ефективност, включително енергийното етикетиране, намалиха потреблението на енергия през последните години</w:t>
      </w:r>
      <w:r>
        <w:rPr>
          <w:rStyle w:val="FootnoteReference"/>
          <w:rFonts w:ascii="Times New Roman" w:hAnsi="Times New Roman"/>
          <w:noProof/>
          <w:color w:val="000000"/>
          <w:sz w:val="24"/>
        </w:rPr>
        <w:footnoteReference w:id="51"/>
      </w:r>
      <w:r>
        <w:rPr>
          <w:rFonts w:ascii="Times New Roman" w:hAnsi="Times New Roman"/>
          <w:noProof/>
          <w:color w:val="000000"/>
          <w:sz w:val="24"/>
        </w:rPr>
        <w:t>. При закупуване на уреди хората все повече избират енергийно ефективния вариант. Близо 1,5 милиона работни места в Европа се падат на об</w:t>
      </w:r>
      <w:r>
        <w:rPr>
          <w:rFonts w:ascii="Times New Roman" w:hAnsi="Times New Roman"/>
          <w:noProof/>
          <w:color w:val="000000"/>
          <w:sz w:val="24"/>
        </w:rPr>
        <w:t xml:space="preserve">ластта на енергията от възобновяеми източници и енергийната ефективност. </w:t>
      </w:r>
    </w:p>
    <w:p w:rsidR="00AA0CD6" w:rsidRDefault="00AA0CD6">
      <w:pPr>
        <w:spacing w:after="120" w:line="240" w:lineRule="auto"/>
        <w:jc w:val="both"/>
        <w:rPr>
          <w:rFonts w:ascii="Times New Roman" w:hAnsi="Times New Roman" w:cs="Times New Roman"/>
          <w:noProof/>
          <w:color w:val="000000"/>
          <w:sz w:val="24"/>
          <w:szCs w:val="24"/>
        </w:rPr>
      </w:pPr>
    </w:p>
    <w:p w:rsidR="00AA0CD6" w:rsidRDefault="00061B11">
      <w:pPr>
        <w:spacing w:after="12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350030" cy="357013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55145" cy="3575586"/>
                    </a:xfrm>
                    <a:prstGeom prst="rect">
                      <a:avLst/>
                    </a:prstGeom>
                  </pic:spPr>
                </pic:pic>
              </a:graphicData>
            </a:graphic>
          </wp:inline>
        </w:drawing>
      </w:r>
    </w:p>
    <w:p w:rsidR="00AA0CD6" w:rsidRDefault="00AA0CD6">
      <w:pPr>
        <w:spacing w:after="120" w:line="240" w:lineRule="auto"/>
        <w:rPr>
          <w:rFonts w:ascii="Times New Roman" w:hAnsi="Times New Roman" w:cs="Times New Roman"/>
          <w:noProof/>
          <w:color w:val="000000"/>
          <w:sz w:val="18"/>
          <w:szCs w:val="18"/>
        </w:rPr>
      </w:pPr>
    </w:p>
    <w:p w:rsidR="00AA0CD6" w:rsidRDefault="00061B11">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С енергийния съюз Европейската комисия въведе една от най-всеобхватните рамки за глобална политика в областта на енергийния преход и модернизирането на икономиката, която обединя</w:t>
      </w:r>
      <w:r>
        <w:rPr>
          <w:rFonts w:ascii="Times New Roman" w:hAnsi="Times New Roman"/>
          <w:noProof/>
          <w:color w:val="000000"/>
          <w:sz w:val="24"/>
        </w:rPr>
        <w:t xml:space="preserve">ва климата, енергетиката, транспорта, научните изследвания и други политики. </w:t>
      </w:r>
      <w:r>
        <w:rPr>
          <w:rFonts w:ascii="Times New Roman" w:hAnsi="Times New Roman"/>
          <w:noProof/>
          <w:sz w:val="24"/>
        </w:rPr>
        <w:t>Като част от уредбата на енергийния съюз целите на равнище ЕС за постигане на енергия от възобновяеми източници в размер на поне 32 % от общото потребление на енергия и за повишав</w:t>
      </w:r>
      <w:r>
        <w:rPr>
          <w:rFonts w:ascii="Times New Roman" w:hAnsi="Times New Roman"/>
          <w:noProof/>
          <w:sz w:val="24"/>
        </w:rPr>
        <w:t xml:space="preserve">ане на енергийната ефективност с поне 32,5 % през 2030 г. ще ни позволят да отидем отвъд ангажимента ни по Парижкото споразумение относно изменението на климата за намаляване на емисиите на парникови газове с най-малко 40 % до 2030 г. в сравнение с нивата </w:t>
      </w:r>
      <w:r>
        <w:rPr>
          <w:rFonts w:ascii="Times New Roman" w:hAnsi="Times New Roman"/>
          <w:noProof/>
          <w:sz w:val="24"/>
        </w:rPr>
        <w:t>от 1990 г.</w:t>
      </w:r>
    </w:p>
    <w:p w:rsidR="00AA0CD6" w:rsidRDefault="00061B1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Каре: Чистата енергия е възможност за създаване на работни места и растеж</w:t>
      </w:r>
    </w:p>
    <w:p w:rsidR="00AA0CD6" w:rsidRDefault="00061B1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 xml:space="preserve">Между 2008 и 2014 г. броят на работните места в технологиите за енергия от възобновяеми източници се увеличи с 70 %. Съществува потенциал за създаване на 900 000 </w:t>
      </w:r>
      <w:r>
        <w:rPr>
          <w:rFonts w:ascii="Times New Roman" w:hAnsi="Times New Roman"/>
          <w:noProof/>
          <w:sz w:val="24"/>
        </w:rPr>
        <w:t>допълнителни работни места до 2030 г., при условие че се мобилизират публични и частни инвестиции. До 400 000 допълнителни работни места на местно равнище могат да се създадат от сектора на енергийната ефективност.</w:t>
      </w:r>
    </w:p>
    <w:p w:rsidR="00AA0CD6" w:rsidRDefault="00AA0CD6">
      <w:pPr>
        <w:spacing w:after="0" w:line="240" w:lineRule="auto"/>
        <w:jc w:val="both"/>
        <w:rPr>
          <w:rFonts w:ascii="Times New Roman" w:hAnsi="Times New Roman" w:cs="Times New Roman"/>
          <w:noProof/>
          <w:sz w:val="24"/>
          <w:szCs w:val="24"/>
        </w:rPr>
      </w:pPr>
    </w:p>
    <w:p w:rsidR="00AA0CD6" w:rsidRDefault="00061B11">
      <w:pPr>
        <w:pStyle w:val="Body"/>
        <w:rPr>
          <w:rFonts w:ascii="Times New Roman" w:hAnsi="Times New Roman" w:cs="Times New Roman"/>
          <w:noProof/>
          <w:spacing w:val="-4"/>
        </w:rPr>
      </w:pPr>
      <w:r>
        <w:rPr>
          <w:rFonts w:ascii="Times New Roman" w:hAnsi="Times New Roman"/>
          <w:noProof/>
          <w:spacing w:val="-4"/>
        </w:rPr>
        <w:t>За да се отговори на буквата и на духа н</w:t>
      </w:r>
      <w:r>
        <w:rPr>
          <w:rFonts w:ascii="Times New Roman" w:hAnsi="Times New Roman"/>
          <w:noProof/>
          <w:spacing w:val="-4"/>
        </w:rPr>
        <w:t xml:space="preserve">а Парижкото споразумение за климата след 2030 г., са необходими повече усилия, като се използва пълният икономически потенциал на енергийния преход. ЕС може значително да намали скъпоструващата си зависимост от изкопаемите горива, да снижи разходите си за </w:t>
      </w:r>
      <w:r>
        <w:rPr>
          <w:rFonts w:ascii="Times New Roman" w:hAnsi="Times New Roman"/>
          <w:noProof/>
          <w:spacing w:val="-4"/>
        </w:rPr>
        <w:t>внос на изкопаеми горива с около 260 милиарда евро, да увеличи енергийната си автономност и да допринесе за по-справедлив енергиен пазар.</w:t>
      </w:r>
      <w:r>
        <w:rPr>
          <w:rFonts w:ascii="Times New Roman" w:hAnsi="Times New Roman"/>
          <w:b/>
          <w:noProof/>
          <w:spacing w:val="-4"/>
        </w:rPr>
        <w:t xml:space="preserve"> </w:t>
      </w:r>
      <w:r>
        <w:rPr>
          <w:rFonts w:ascii="Times New Roman" w:hAnsi="Times New Roman"/>
          <w:noProof/>
          <w:spacing w:val="-4"/>
        </w:rPr>
        <w:t>Изключително важно е да продължим интегрирането на енергийния пазар чрез изграждане на липсващите междусистемни връзки</w:t>
      </w:r>
      <w:r>
        <w:rPr>
          <w:rFonts w:ascii="Times New Roman" w:hAnsi="Times New Roman"/>
          <w:noProof/>
          <w:spacing w:val="-4"/>
        </w:rPr>
        <w:t xml:space="preserve"> и улесняване на трансграничната търговия с енергия. Преходът към чиста енергия може също да бъде подпомогнат от океанската енергия и вятърната енергия от разположени в морето инсталации. Като лидер в тази област ЕС следва да продължи да се ползва от старт</w:t>
      </w:r>
      <w:r>
        <w:rPr>
          <w:rFonts w:ascii="Times New Roman" w:hAnsi="Times New Roman"/>
          <w:noProof/>
          <w:spacing w:val="-4"/>
        </w:rPr>
        <w:t xml:space="preserve">овото си предимство. </w:t>
      </w:r>
    </w:p>
    <w:p w:rsidR="00AA0CD6" w:rsidRDefault="00061B11">
      <w:pPr>
        <w:pStyle w:val="Body"/>
        <w:rPr>
          <w:rFonts w:ascii="Times New Roman" w:hAnsi="Times New Roman" w:cs="Times New Roman"/>
          <w:noProof/>
        </w:rPr>
      </w:pPr>
      <w:r>
        <w:rPr>
          <w:rFonts w:ascii="Times New Roman" w:hAnsi="Times New Roman"/>
          <w:noProof/>
        </w:rPr>
        <w:t xml:space="preserve">Тъй като </w:t>
      </w:r>
      <w:r>
        <w:rPr>
          <w:rFonts w:ascii="Times New Roman" w:hAnsi="Times New Roman"/>
          <w:b/>
          <w:noProof/>
        </w:rPr>
        <w:t>сградите</w:t>
      </w:r>
      <w:r>
        <w:rPr>
          <w:rFonts w:ascii="Times New Roman" w:hAnsi="Times New Roman"/>
          <w:noProof/>
        </w:rPr>
        <w:t xml:space="preserve"> са отговорни за около 40 % от енергийното потребление, е необходимо да се насърчи подобряването на енергийната ефективност на сградите чрез реновиране и модернизиране. Това вече започна. Например, екологичните индуст</w:t>
      </w:r>
      <w:r>
        <w:rPr>
          <w:rFonts w:ascii="Times New Roman" w:hAnsi="Times New Roman"/>
          <w:noProof/>
        </w:rPr>
        <w:t>рии, свързани по-специално с ремонтиране и преустройство на сградите, представляват повече от 3,4 милиона работни места в Европа. Намаляването на енергопотреблението в сградите изисква засилено използване на ефикасно и чисто електрическо отопление, но и по</w:t>
      </w:r>
      <w:r>
        <w:rPr>
          <w:rFonts w:ascii="Times New Roman" w:hAnsi="Times New Roman"/>
          <w:noProof/>
        </w:rPr>
        <w:t>-интелигентни сгради и уреди и усъвършенствани изолационни материали, в пълно съответствие с принципите на кръговата икономика. Директивата относно енергийните характеристики на сградите има за цел да се подобри качеството на живот, като къщите ни станат п</w:t>
      </w:r>
      <w:r>
        <w:rPr>
          <w:rFonts w:ascii="Times New Roman" w:hAnsi="Times New Roman"/>
          <w:noProof/>
        </w:rPr>
        <w:t>о-добре изолирани и вентилирани и по този начин се превърнат в по-добри места за живеене, като същевременно декарбонизираме сградния си фонд до 2050 г. Тези действия ще доведат до по-ниски разходи за живот и по този начин хората ще разполагат с повече сред</w:t>
      </w:r>
      <w:r>
        <w:rPr>
          <w:rFonts w:ascii="Times New Roman" w:hAnsi="Times New Roman"/>
          <w:noProof/>
        </w:rPr>
        <w:t>ства. Трябва обаче да се намерят начини и средства, за да се помогне на хората да осъществят най-напред този преход.</w:t>
      </w:r>
    </w:p>
    <w:p w:rsidR="00AA0CD6" w:rsidRDefault="00061B11">
      <w:pPr>
        <w:spacing w:line="240" w:lineRule="auto"/>
        <w:jc w:val="both"/>
        <w:rPr>
          <w:rFonts w:ascii="Times New Roman" w:hAnsi="Times New Roman" w:cs="Times New Roman"/>
          <w:noProof/>
        </w:rPr>
      </w:pPr>
      <w:r>
        <w:rPr>
          <w:rFonts w:ascii="Times New Roman" w:hAnsi="Times New Roman"/>
          <w:noProof/>
          <w:sz w:val="24"/>
        </w:rPr>
        <w:t xml:space="preserve">Друга основна движеща сила за прехода към чисто, ефективно по отношение на ресурсите и въглеродно неутрално бъдеще е секторът на </w:t>
      </w:r>
      <w:r>
        <w:rPr>
          <w:rFonts w:ascii="Times New Roman" w:hAnsi="Times New Roman"/>
          <w:b/>
          <w:noProof/>
          <w:sz w:val="24"/>
        </w:rPr>
        <w:t>мобилностт</w:t>
      </w:r>
      <w:r>
        <w:rPr>
          <w:rFonts w:ascii="Times New Roman" w:hAnsi="Times New Roman"/>
          <w:b/>
          <w:noProof/>
          <w:sz w:val="24"/>
        </w:rPr>
        <w:t>а</w:t>
      </w:r>
      <w:r>
        <w:rPr>
          <w:rFonts w:ascii="Times New Roman" w:hAnsi="Times New Roman"/>
          <w:noProof/>
          <w:sz w:val="24"/>
        </w:rPr>
        <w:t>, от градската мобилност до трансевропейските мрежи, автомобилния транспорт, както и морския и въздушния транспорт. Услугите в областта на транспорта и мобилността осигуряват работа на около 11 милиона души, а търсенето на мобилност днес е високо. Транспо</w:t>
      </w:r>
      <w:r>
        <w:rPr>
          <w:rFonts w:ascii="Times New Roman" w:hAnsi="Times New Roman"/>
          <w:noProof/>
          <w:sz w:val="24"/>
        </w:rPr>
        <w:t xml:space="preserve">ртът днес обаче води до замърсяване на въздуха, шум, задръствания и пътнотранспортни произшествия. Секторът вече отговаря за почти една четвърт от емисиите на парникови газове в Европа и въглеродният му отпечатък нараства. В представения от Комисията през </w:t>
      </w:r>
      <w:r>
        <w:rPr>
          <w:rFonts w:ascii="Times New Roman" w:hAnsi="Times New Roman"/>
          <w:noProof/>
          <w:sz w:val="24"/>
        </w:rPr>
        <w:t>2016 г. план за действие за мобилност с ниски емисии и последвалите предложения за „Европа в движение“ се предвиждат редица мерки за подобряване на устойчивостта на транспортната ни система. Тези действия са насочени към намаляване на емисиите на парникови</w:t>
      </w:r>
      <w:r>
        <w:rPr>
          <w:rFonts w:ascii="Times New Roman" w:hAnsi="Times New Roman"/>
          <w:noProof/>
          <w:sz w:val="24"/>
        </w:rPr>
        <w:t xml:space="preserve"> газове и сигнализират на предприятията в ЕС да инвестират в чист транспорт. Това също ще допринесе за създаването на работни места и растеж. Трябва да издигнем в приоритет чистите и достъпни алтернативи, с цел да разполагаме по пътищата в ЕС само с превоз</w:t>
      </w:r>
      <w:r>
        <w:rPr>
          <w:rFonts w:ascii="Times New Roman" w:hAnsi="Times New Roman"/>
          <w:noProof/>
          <w:sz w:val="24"/>
        </w:rPr>
        <w:t>ни средства с нулеви емисии, и да се възползваме възможно най-добре от цифровите технологии, за спомогнем за намаляване на разхода на гориво. По подобен начин, навигационните спътникови системи на ЕС допринасят за намаляване на емисиите, например в областт</w:t>
      </w:r>
      <w:r>
        <w:rPr>
          <w:rFonts w:ascii="Times New Roman" w:hAnsi="Times New Roman"/>
          <w:noProof/>
          <w:sz w:val="24"/>
        </w:rPr>
        <w:t>а на въздушния и автомобилния транспорт.</w:t>
      </w:r>
    </w:p>
    <w:p w:rsidR="00AA0CD6" w:rsidRDefault="00AA0CD6">
      <w:pPr>
        <w:pStyle w:val="Body"/>
        <w:rPr>
          <w:rFonts w:ascii="Times New Roman" w:hAnsi="Times New Roman" w:cs="Times New Roman"/>
          <w:i/>
          <w:noProof/>
        </w:rPr>
      </w:pPr>
    </w:p>
    <w:p w:rsidR="00AA0CD6" w:rsidRDefault="00061B11">
      <w:pPr>
        <w:pStyle w:val="Body"/>
        <w:jc w:val="center"/>
        <w:rPr>
          <w:rFonts w:ascii="Times New Roman" w:hAnsi="Times New Roman" w:cs="Times New Roman"/>
          <w:i/>
          <w:noProof/>
          <w:lang w:val="fr-BE"/>
        </w:rPr>
      </w:pPr>
      <w:r>
        <w:rPr>
          <w:noProof/>
          <w:lang w:val="en-GB" w:eastAsia="en-GB" w:bidi="ar-SA"/>
        </w:rPr>
        <w:drawing>
          <wp:inline distT="0" distB="0" distL="0" distR="0">
            <wp:extent cx="3010395" cy="17575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23729" cy="1765333"/>
                    </a:xfrm>
                    <a:prstGeom prst="rect">
                      <a:avLst/>
                    </a:prstGeom>
                  </pic:spPr>
                </pic:pic>
              </a:graphicData>
            </a:graphic>
          </wp:inline>
        </w:drawing>
      </w:r>
    </w:p>
    <w:p w:rsidR="00AA0CD6" w:rsidRDefault="00061B11">
      <w:pPr>
        <w:pStyle w:val="Body"/>
        <w:rPr>
          <w:rFonts w:ascii="Times New Roman" w:hAnsi="Times New Roman" w:cs="Times New Roman"/>
          <w:noProof/>
        </w:rPr>
      </w:pPr>
      <w:r>
        <w:rPr>
          <w:rFonts w:ascii="Times New Roman" w:hAnsi="Times New Roman"/>
          <w:noProof/>
        </w:rPr>
        <w:t>Градовете са в авангарда на прехода към устойчива мобилност. Чрез устойчиво градско планиране, интегриране на пространственото планиране и решаване на въпроса с потребностите от мобилност и инфраструктура, градов</w:t>
      </w:r>
      <w:r>
        <w:rPr>
          <w:rFonts w:ascii="Times New Roman" w:hAnsi="Times New Roman"/>
          <w:noProof/>
        </w:rPr>
        <w:t>ете играят важна роля. Градските зони трябва също да бъдат подпомагани в цифровизацията, автоматизацията и други новаторски решения и трябва да се стремят към активен и споделен транспорт, от придвижване пеш и колоездене до услуги за съвместно ползване и с</w:t>
      </w:r>
      <w:r>
        <w:rPr>
          <w:rFonts w:ascii="Times New Roman" w:hAnsi="Times New Roman"/>
          <w:noProof/>
        </w:rPr>
        <w:t xml:space="preserve">поделяне на автомобили. </w:t>
      </w:r>
    </w:p>
    <w:p w:rsidR="00AA0CD6" w:rsidRDefault="00061B11">
      <w:pPr>
        <w:pStyle w:val="Body"/>
        <w:rPr>
          <w:rFonts w:ascii="Times New Roman" w:hAnsi="Times New Roman" w:cs="Times New Roman"/>
          <w:noProof/>
        </w:rPr>
      </w:pPr>
      <w:r>
        <w:rPr>
          <w:rFonts w:ascii="Times New Roman" w:hAnsi="Times New Roman"/>
          <w:noProof/>
        </w:rPr>
        <w:t>Освен това е важно да се разгледат проектирането и излезлите от употреба превозни средства, както и транспортната инфраструктура, за да се гарантира, че възможностите на прехода към кръгова икономика се използват в максимална степе</w:t>
      </w:r>
      <w:r>
        <w:rPr>
          <w:rFonts w:ascii="Times New Roman" w:hAnsi="Times New Roman"/>
          <w:noProof/>
        </w:rPr>
        <w:t xml:space="preserve">н. Излезлите от употреба превозни средства все още съдържат много ценни материали. Законодателната рамка на ЕС за излезлите от употреба превозни средства задължава производителите да проектират и произвеждат нови превозни средства без опасни вещества и по </w:t>
      </w:r>
      <w:r>
        <w:rPr>
          <w:rFonts w:ascii="Times New Roman" w:hAnsi="Times New Roman"/>
          <w:noProof/>
        </w:rPr>
        <w:t xml:space="preserve">такъв начин, че да се улесняват повторното използване и рециклирането на материалите на старото превозно средство, за да се произвеждат нови продукти. </w:t>
      </w:r>
    </w:p>
    <w:p w:rsidR="00AA0CD6" w:rsidRDefault="00061B11">
      <w:pPr>
        <w:pStyle w:val="Body"/>
        <w:rPr>
          <w:rFonts w:ascii="Times New Roman" w:hAnsi="Times New Roman" w:cs="Times New Roman"/>
          <w:noProof/>
        </w:rPr>
      </w:pPr>
      <w:r>
        <w:rPr>
          <w:rFonts w:ascii="Times New Roman" w:hAnsi="Times New Roman"/>
          <w:noProof/>
        </w:rPr>
        <w:t>Могат и трябва да се положат повече усилия — от използването на рециклирани материали в превозните средс</w:t>
      </w:r>
      <w:r>
        <w:rPr>
          <w:rFonts w:ascii="Times New Roman" w:hAnsi="Times New Roman"/>
          <w:noProof/>
        </w:rPr>
        <w:t xml:space="preserve">тва и транспортната инфраструктура до постигането на по-ефективно рециклиране. </w:t>
      </w:r>
      <w:r>
        <w:rPr>
          <w:rStyle w:val="Strong"/>
          <w:rFonts w:ascii="Times New Roman" w:hAnsi="Times New Roman"/>
          <w:b w:val="0"/>
          <w:noProof/>
        </w:rPr>
        <w:t xml:space="preserve">Например, увеличаването на нивата на събиране и рециклиране на акумулатори за електрически автомобили в ЕС би могло да доведе до намаляване на зависимостта от вносни суровини и </w:t>
      </w:r>
      <w:r>
        <w:rPr>
          <w:rStyle w:val="Strong"/>
          <w:rFonts w:ascii="Times New Roman" w:hAnsi="Times New Roman"/>
          <w:b w:val="0"/>
          <w:noProof/>
        </w:rPr>
        <w:t>да спомогне да се запази стойността на възстановените материали в икономиката на ЕС</w:t>
      </w:r>
      <w:r>
        <w:rPr>
          <w:rFonts w:ascii="Times New Roman" w:hAnsi="Times New Roman"/>
          <w:noProof/>
        </w:rPr>
        <w:t>. Допълнителни стимули, както регулаторни, така и финансови, ще бъдат от важно значение, за да се оползотвори максимално потенциалът на кръговата икономика в транспортния се</w:t>
      </w:r>
      <w:r>
        <w:rPr>
          <w:rFonts w:ascii="Times New Roman" w:hAnsi="Times New Roman"/>
          <w:noProof/>
        </w:rPr>
        <w:t>ктор.</w:t>
      </w:r>
    </w:p>
    <w:p w:rsidR="00AA0CD6" w:rsidRDefault="00061B11">
      <w:pPr>
        <w:pStyle w:val="Heading3"/>
        <w:rPr>
          <w:noProof/>
        </w:rPr>
      </w:pPr>
      <w:bookmarkStart w:id="23" w:name="_Toc536442044"/>
      <w:bookmarkStart w:id="24" w:name="_Toc536612067"/>
      <w:r>
        <w:rPr>
          <w:noProof/>
        </w:rPr>
        <w:t>Гарантиране на социално справедлив преход</w:t>
      </w:r>
      <w:bookmarkEnd w:id="23"/>
      <w:bookmarkEnd w:id="24"/>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Солидарността и просперитетът са добродетели сами по себе си и съставляват самата основа на нашите свободни и демократични общества. Преходът към екологично устойчив икономически растеж и конкурентоспособност</w:t>
      </w:r>
      <w:r>
        <w:rPr>
          <w:rFonts w:ascii="Times New Roman" w:hAnsi="Times New Roman"/>
          <w:noProof/>
          <w:sz w:val="24"/>
        </w:rPr>
        <w:t xml:space="preserve"> може да бъде успешен само ако едновременно с това е приобщаващ. Ето защо промяната към устойчивост е свързана и с </w:t>
      </w:r>
      <w:r>
        <w:rPr>
          <w:rFonts w:ascii="Times New Roman" w:hAnsi="Times New Roman"/>
          <w:b/>
          <w:noProof/>
          <w:sz w:val="24"/>
        </w:rPr>
        <w:t>насърчаването на социалните права и благосъстоянието</w:t>
      </w:r>
      <w:r>
        <w:rPr>
          <w:rFonts w:ascii="Times New Roman" w:hAnsi="Times New Roman"/>
          <w:noProof/>
          <w:sz w:val="24"/>
        </w:rPr>
        <w:t xml:space="preserve"> за всички и на свой ред допринася за социалното сближаване в държавите членки и в ЕС като цяло.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Преходът към устойчивост може да окаже силно положително въздействие върху социалното благосъстояние. Освен осигуряването на база за достойни работни места, </w:t>
      </w:r>
      <w:r>
        <w:rPr>
          <w:rFonts w:ascii="Times New Roman" w:hAnsi="Times New Roman"/>
          <w:noProof/>
          <w:sz w:val="24"/>
        </w:rPr>
        <w:t>той също може да донесе значителни ползи за здравето. Широко признато е, че доброто здраве е тясно свързано със състоянието на околната ни среда. Вредното въздействие на замърсяването на въздуха и водата са добър пример в това отношение. Устойчивите продов</w:t>
      </w:r>
      <w:r>
        <w:rPr>
          <w:rFonts w:ascii="Times New Roman" w:hAnsi="Times New Roman"/>
          <w:noProof/>
          <w:sz w:val="24"/>
        </w:rPr>
        <w:t>олствени системи могат да осигурят висококачествена питателна храна за всички граждани.</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Каре:</w:t>
      </w:r>
      <w:r>
        <w:rPr>
          <w:rFonts w:ascii="Times New Roman" w:hAnsi="Times New Roman"/>
          <w:noProof/>
          <w:sz w:val="24"/>
        </w:rPr>
        <w:t xml:space="preserve"> Законодателството на ЕС относно химикалите допринесе значително за гарантиране на високо равнище на защита на човешкото здраве. През последните четири десетилетия значително намаля излагането на хората и на околната среда на опасни вещества. Законодателст</w:t>
      </w:r>
      <w:r>
        <w:rPr>
          <w:rFonts w:ascii="Times New Roman" w:hAnsi="Times New Roman"/>
          <w:noProof/>
          <w:sz w:val="24"/>
        </w:rPr>
        <w:t>вото на ЕС спомогна също за намаляване на експозицията на някои канцерогени на работното място и доведе до предотвратяване на приблизително един милион нови случая на ракови заболявания в ЕС през последните 20 години.</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Създаването на синергии и модернизация</w:t>
      </w:r>
      <w:r>
        <w:rPr>
          <w:rFonts w:ascii="Times New Roman" w:hAnsi="Times New Roman"/>
          <w:noProof/>
          <w:sz w:val="24"/>
        </w:rPr>
        <w:t xml:space="preserve">та на нашата икономика понякога изискват трудни компромиси. В прехода към устойчивост ще бъдат създадени нови работни места, но традиционни работни места могат да изчезнат или да бъдат преобразувани, включително чрез цифровизация и автоматизация, което ще </w:t>
      </w:r>
      <w:r>
        <w:rPr>
          <w:rFonts w:ascii="Times New Roman" w:hAnsi="Times New Roman"/>
          <w:noProof/>
          <w:sz w:val="24"/>
        </w:rPr>
        <w:t xml:space="preserve">създаде временно напрежение на пазара на труда. По отношение на пазара на труда например понастоящем не е ясно какво точно ще бъде въздействието на изкуствения интелект.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Въпреки факта, че много домакинства изпитват трудности, налице е все по-голямо общест</w:t>
      </w:r>
      <w:r>
        <w:rPr>
          <w:rFonts w:ascii="Times New Roman" w:hAnsi="Times New Roman"/>
          <w:noProof/>
          <w:sz w:val="24"/>
        </w:rPr>
        <w:t xml:space="preserve">вено разбиране, че трябва да променим начина си на производство и потребление. Тези предизвикателства обаче не само може да засегнат групите със средни и по-ниски доходи сравнително по-тежко, но и разходите за модернизиране на техните къщи, автомобили или </w:t>
      </w:r>
      <w:r>
        <w:rPr>
          <w:rFonts w:ascii="Times New Roman" w:hAnsi="Times New Roman"/>
          <w:noProof/>
          <w:sz w:val="24"/>
        </w:rPr>
        <w:t xml:space="preserve">умения, например, могат също да представляват по-голяма тежест за тях.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Този преход води до последици за работещите в засегнатите предприятия, а понякога и за цели региони. За да се позволи преходът, основен принцип е никой да не бъде изоставен. Просто не </w:t>
      </w:r>
      <w:r>
        <w:rPr>
          <w:rFonts w:ascii="Times New Roman" w:hAnsi="Times New Roman"/>
          <w:noProof/>
          <w:sz w:val="24"/>
        </w:rPr>
        <w:t>можем да постигнем успех в прехода към устойчивост за сметка на групи от хора, общности, сектори или региони. Всички членове на обществото ни ще трябва да получат равни възможности да допринесат за устойчиво европейско бъдеще и да извлекат полза от прехода</w:t>
      </w:r>
      <w:r>
        <w:rPr>
          <w:rFonts w:ascii="Times New Roman" w:hAnsi="Times New Roman"/>
          <w:noProof/>
          <w:sz w:val="24"/>
        </w:rPr>
        <w:t>. В по-конкретен план, трябва да овластим жените да навлязат на пазара на труда и да се стремят към икономическа независимост.</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За да успеем да насочим обществото си по пътя на устойчивостта, трябва да гарантираме, че политиките ни ще помогнат на всички евр</w:t>
      </w:r>
      <w:r>
        <w:rPr>
          <w:rFonts w:ascii="Times New Roman" w:hAnsi="Times New Roman"/>
          <w:noProof/>
          <w:sz w:val="24"/>
        </w:rPr>
        <w:t>опейци да направят тази промяна, включително като им предоставим необходимите умения. Комисията стартира например инициативата за въгледобивните региони в преход, която спомага за разработването на стратегии и проекти за жизнеспособни социални, икономическ</w:t>
      </w:r>
      <w:r>
        <w:rPr>
          <w:rFonts w:ascii="Times New Roman" w:hAnsi="Times New Roman"/>
          <w:noProof/>
          <w:sz w:val="24"/>
        </w:rPr>
        <w:t>и и технологични промени в някои региони в ЕС, и която ще бъде разширена, за да обхване регионите с високи въглеродни емисии. Тези първи инициативи, които предвиждат предизвикателствата на прехода, трябва да бъдат засилени и разпространени в други сектори,</w:t>
      </w:r>
      <w:r>
        <w:rPr>
          <w:rFonts w:ascii="Times New Roman" w:hAnsi="Times New Roman"/>
          <w:noProof/>
          <w:sz w:val="24"/>
        </w:rPr>
        <w:t xml:space="preserve"> където е необходимо трансформиране. Секторите на автомобилостроенето и някои сектори на хранително-вкусовата промишленост биха могли да бъдат пример. </w:t>
      </w:r>
    </w:p>
    <w:p w:rsidR="00AA0CD6" w:rsidRDefault="00061B11">
      <w:pPr>
        <w:spacing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4611757" cy="51706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24427" cy="5184905"/>
                    </a:xfrm>
                    <a:prstGeom prst="rect">
                      <a:avLst/>
                    </a:prstGeom>
                  </pic:spPr>
                </pic:pic>
              </a:graphicData>
            </a:graphic>
          </wp:inline>
        </w:drawing>
      </w:r>
    </w:p>
    <w:p w:rsidR="00AA0CD6" w:rsidRDefault="00AA0CD6">
      <w:pPr>
        <w:spacing w:line="240" w:lineRule="auto"/>
        <w:jc w:val="center"/>
        <w:rPr>
          <w:rFonts w:ascii="Times New Roman" w:hAnsi="Times New Roman" w:cs="Times New Roman"/>
          <w:i/>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Гарантирането на социално приобщаващ, справедлив и честен преход също ще бъде от решаващо значение за</w:t>
      </w:r>
      <w:r>
        <w:rPr>
          <w:rFonts w:ascii="Times New Roman" w:hAnsi="Times New Roman"/>
          <w:noProof/>
          <w:sz w:val="24"/>
        </w:rPr>
        <w:t xml:space="preserve"> приемането от страна на обществеността на необходимите стъпки и за превръщането на прехода в успех за всички. Това означава по-широко и по-справедливо участие на пазара на труда, като същевременно се поставя акцент върху качеството на работните места и ус</w:t>
      </w:r>
      <w:r>
        <w:rPr>
          <w:rFonts w:ascii="Times New Roman" w:hAnsi="Times New Roman"/>
          <w:noProof/>
          <w:sz w:val="24"/>
        </w:rPr>
        <w:t xml:space="preserve">ловията на труд. Това предполага и зачитане на правата на малцинствата.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В този контекст, организираната, законна и добре управлявана миграция може да създаде възможности за европейската икономика, като допринесе за справяне с демографските промени както в</w:t>
      </w:r>
      <w:r>
        <w:rPr>
          <w:rFonts w:ascii="Times New Roman" w:hAnsi="Times New Roman"/>
          <w:noProof/>
          <w:sz w:val="24"/>
        </w:rPr>
        <w:t xml:space="preserve"> държавите на произход, така и в държавите на дестинация на мигрантите. Интегрирането и пълноправното участие в обществото — в културен, социален или икономически план — на всички мигранти, пребиваващи правомерно и законно в ЕС, е обща отговорност и е от к</w:t>
      </w:r>
      <w:r>
        <w:rPr>
          <w:rFonts w:ascii="Times New Roman" w:hAnsi="Times New Roman"/>
          <w:noProof/>
          <w:sz w:val="24"/>
        </w:rPr>
        <w:t>лючово значение за постигане на социално сближаване</w:t>
      </w:r>
      <w:r>
        <w:rPr>
          <w:rStyle w:val="FootnoteReference"/>
          <w:rFonts w:ascii="Times New Roman" w:hAnsi="Times New Roman"/>
          <w:noProof/>
          <w:sz w:val="24"/>
        </w:rPr>
        <w:footnoteReference w:id="52"/>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Преходът към устойчивост изисква също инвестиции в ефективни и интегрирани системи за социална закрила, включително качествени услуги като образование, обучение, учене през целия живот, грижи за деца, </w:t>
      </w:r>
      <w:r>
        <w:rPr>
          <w:rFonts w:ascii="Times New Roman" w:hAnsi="Times New Roman"/>
          <w:noProof/>
          <w:sz w:val="24"/>
        </w:rPr>
        <w:t>извънучилищни грижи, здравни и дългосрочни грижи. Това е от съществено значение, за да се гарантират равни възможности за всички и да се насърчават икономическото и социалното сближаване. Особено здравните системи трябва да се развиват, така че да са лесно</w:t>
      </w:r>
      <w:r>
        <w:rPr>
          <w:rFonts w:ascii="Times New Roman" w:hAnsi="Times New Roman"/>
          <w:noProof/>
          <w:sz w:val="24"/>
        </w:rPr>
        <w:t xml:space="preserve"> достъпни и на приемливи цени за всички, включително чрез подобряване на достъпа до лекарствени продукти, насочени в по-голяма степен към пациентите, и трябва да бъдат силно ориентирани към насърчаването на здравето и профилактиката на заболяванията. Те тр</w:t>
      </w:r>
      <w:r>
        <w:rPr>
          <w:rFonts w:ascii="Times New Roman" w:hAnsi="Times New Roman"/>
          <w:noProof/>
          <w:sz w:val="24"/>
        </w:rPr>
        <w:t>ябва също така да разполагат с повече и по-добро планиране и прогнозиране на работната сила в сектора на здравеопазването и да използват по-широко ефективни по отношение на разходите цифрови технологии</w:t>
      </w:r>
      <w:r>
        <w:rPr>
          <w:rStyle w:val="FootnoteReference"/>
          <w:rFonts w:ascii="Times New Roman" w:hAnsi="Times New Roman"/>
          <w:noProof/>
          <w:sz w:val="24"/>
        </w:rPr>
        <w:footnoteReference w:id="53"/>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Ето защо социалните инвестиции трябва да продължат </w:t>
      </w:r>
      <w:r>
        <w:rPr>
          <w:rFonts w:ascii="Times New Roman" w:hAnsi="Times New Roman"/>
          <w:noProof/>
          <w:sz w:val="24"/>
        </w:rPr>
        <w:t>да бъдат сред водещите приоритети на ЕС и неговите държави членки. Документът за размисъл за социална Европа</w:t>
      </w:r>
      <w:r>
        <w:rPr>
          <w:rStyle w:val="FootnoteReference"/>
          <w:rFonts w:ascii="Times New Roman" w:hAnsi="Times New Roman"/>
          <w:noProof/>
          <w:sz w:val="24"/>
        </w:rPr>
        <w:footnoteReference w:id="54"/>
      </w:r>
      <w:r>
        <w:rPr>
          <w:rFonts w:ascii="Times New Roman" w:hAnsi="Times New Roman"/>
          <w:noProof/>
          <w:sz w:val="24"/>
        </w:rPr>
        <w:t xml:space="preserve"> е важна отправна точка и в него подробно се изследват възможностите за адаптиране на социалните ни модели към предизвикателствата, пред които сме </w:t>
      </w:r>
      <w:r>
        <w:rPr>
          <w:rFonts w:ascii="Times New Roman" w:hAnsi="Times New Roman"/>
          <w:noProof/>
          <w:sz w:val="24"/>
        </w:rPr>
        <w:t>изправени. Основната рамка за ЕС при пътя напред е европейският стълб на социалните права, провъзгласен от институциите на ЕС през ноември 2017 г. Целта на стълба е ръководенето на подновения процес за подобряване на условията на труд и живот. В него се оп</w:t>
      </w:r>
      <w:r>
        <w:rPr>
          <w:rFonts w:ascii="Times New Roman" w:hAnsi="Times New Roman"/>
          <w:noProof/>
          <w:sz w:val="24"/>
        </w:rPr>
        <w:t>ределят ключови принципи и права в областта на заетостта и в социалната област. Акцентът ни сега трябва да бъде насочен върху изпълнението на европейския стълб на социалните права. При пътя ни напред трябва също така да гарантираме, че изпълнението на стъл</w:t>
      </w:r>
      <w:r>
        <w:rPr>
          <w:rFonts w:ascii="Times New Roman" w:hAnsi="Times New Roman"/>
          <w:noProof/>
          <w:sz w:val="24"/>
        </w:rPr>
        <w:t xml:space="preserve">ба ще помогне на хората да придобият подходящите умения за подходящите работни места, които са ориентирани към екологосъобразен икономически преход.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Преходът към устойчивост трябва също да продължи да помага на държавите членки и регионите да постигат рас</w:t>
      </w:r>
      <w:r>
        <w:rPr>
          <w:rFonts w:ascii="Times New Roman" w:hAnsi="Times New Roman"/>
          <w:noProof/>
          <w:sz w:val="24"/>
        </w:rPr>
        <w:t xml:space="preserve">теж, който води и до сближаване между тях, като същевременно се избягва по-широката регионална несправедливост и неравенство в ЕС в рамките на градските и селските райони и между тях. </w:t>
      </w:r>
    </w:p>
    <w:p w:rsidR="00AA0CD6" w:rsidRDefault="00061B11">
      <w:pPr>
        <w:spacing w:line="240" w:lineRule="auto"/>
        <w:jc w:val="both"/>
        <w:rPr>
          <w:rFonts w:ascii="Times New Roman" w:hAnsi="Times New Roman" w:cs="Times New Roman"/>
          <w:b/>
          <w:i/>
          <w:noProof/>
          <w:sz w:val="24"/>
          <w:szCs w:val="24"/>
          <w:u w:val="single"/>
        </w:rPr>
      </w:pPr>
      <w:r>
        <w:rPr>
          <w:rFonts w:ascii="Times New Roman" w:hAnsi="Times New Roman"/>
          <w:noProof/>
          <w:color w:val="000000"/>
          <w:sz w:val="24"/>
        </w:rPr>
        <w:t>Докато 75 % от територията на ЕС са селски райони, в градските райони ж</w:t>
      </w:r>
      <w:r>
        <w:rPr>
          <w:rFonts w:ascii="Times New Roman" w:hAnsi="Times New Roman"/>
          <w:noProof/>
          <w:color w:val="000000"/>
          <w:sz w:val="24"/>
        </w:rPr>
        <w:t>ивеят над две трети от населението на ЕС.</w:t>
      </w:r>
      <w:r>
        <w:rPr>
          <w:rFonts w:ascii="Times New Roman" w:hAnsi="Times New Roman"/>
          <w:noProof/>
          <w:sz w:val="24"/>
        </w:rPr>
        <w:t xml:space="preserve"> Те създават до 85 % от БВП на ЕС, на тях се падат около 60—80 % от потреблението на енергия и често са изправени пред предизвикателства като задръствания, недостиг на подходящи жилища, замърсяване на въздуха и влош</w:t>
      </w:r>
      <w:r>
        <w:rPr>
          <w:rFonts w:ascii="Times New Roman" w:hAnsi="Times New Roman"/>
          <w:noProof/>
          <w:sz w:val="24"/>
        </w:rPr>
        <w:t>аваща се инфраструктура</w:t>
      </w:r>
      <w:r>
        <w:rPr>
          <w:rStyle w:val="FootnoteReference"/>
          <w:rFonts w:ascii="Times New Roman" w:hAnsi="Times New Roman"/>
          <w:noProof/>
          <w:sz w:val="24"/>
        </w:rPr>
        <w:footnoteReference w:id="55"/>
      </w:r>
      <w:r>
        <w:rPr>
          <w:rFonts w:ascii="Times New Roman" w:hAnsi="Times New Roman"/>
          <w:noProof/>
          <w:sz w:val="24"/>
        </w:rPr>
        <w:t xml:space="preserve">. Прилагането и развитието на Програмата на ЕС за градовете трябва да остане приоритет и синергиите между различните политики за устойчивост и други инструменти трябва да бъдат засилени.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Селските райони са и основните доставчици на</w:t>
      </w:r>
      <w:r>
        <w:rPr>
          <w:rFonts w:ascii="Times New Roman" w:hAnsi="Times New Roman"/>
          <w:noProof/>
          <w:sz w:val="24"/>
        </w:rPr>
        <w:t xml:space="preserve"> храните, енергията и материалите, които потребяваме, и следователно са от съществено значение за прехода към устойчивост. Биоикономиката е пример за област, при която може да се даде важен принос за декарбонизацията на икономиката ни при създаването на ра</w:t>
      </w:r>
      <w:r>
        <w:rPr>
          <w:rFonts w:ascii="Times New Roman" w:hAnsi="Times New Roman"/>
          <w:noProof/>
          <w:sz w:val="24"/>
        </w:rPr>
        <w:t xml:space="preserve">ботни места в селските райони. Устойчивият туризъм и продоволствени системи също са добри примери на икономически възможности в селските региони, което включва опазването и подобряването на културното и природното наследство. </w:t>
      </w:r>
    </w:p>
    <w:p w:rsidR="00AA0CD6" w:rsidRDefault="00061B11">
      <w:pPr>
        <w:pStyle w:val="CommentText"/>
        <w:jc w:val="both"/>
        <w:rPr>
          <w:rFonts w:ascii="Times New Roman" w:hAnsi="Times New Roman" w:cs="Times New Roman"/>
          <w:noProof/>
          <w:sz w:val="24"/>
          <w:szCs w:val="24"/>
        </w:rPr>
      </w:pPr>
      <w:r>
        <w:rPr>
          <w:rFonts w:ascii="Times New Roman" w:hAnsi="Times New Roman"/>
          <w:noProof/>
          <w:sz w:val="24"/>
        </w:rPr>
        <w:t>Сами по себе си, мерките на ЕС, като например политиката на сближаване и политиката за развитие на селските райони, включително действието на ЕС за интелигентни селища, няма да бъдат достатъчни и всички участници, включително национални и регионални, ще тр</w:t>
      </w:r>
      <w:r>
        <w:rPr>
          <w:rFonts w:ascii="Times New Roman" w:hAnsi="Times New Roman"/>
          <w:noProof/>
          <w:sz w:val="24"/>
        </w:rPr>
        <w:t xml:space="preserve">ябва да дадат своя принос, за да се ускори преходът към устойчивост, и да приложат подходящи регулаторни и други подходи, които укрепват селските райони и гарантират равни условия на живот. </w:t>
      </w:r>
    </w:p>
    <w:p w:rsidR="00AA0CD6" w:rsidRDefault="00061B11">
      <w:pPr>
        <w:pStyle w:val="Heading2"/>
        <w:rPr>
          <w:noProof/>
        </w:rPr>
      </w:pPr>
      <w:bookmarkStart w:id="25" w:name="_Toc532469546"/>
      <w:bookmarkStart w:id="26" w:name="_Toc532469547"/>
      <w:bookmarkStart w:id="27" w:name="_Toc536442045"/>
      <w:bookmarkStart w:id="28" w:name="_Toc536612068"/>
      <w:bookmarkEnd w:id="25"/>
      <w:bookmarkEnd w:id="26"/>
      <w:r>
        <w:rPr>
          <w:noProof/>
        </w:rPr>
        <w:t>Хоризонтални способстващи фактори за преход към устойчиво развити</w:t>
      </w:r>
      <w:r>
        <w:rPr>
          <w:noProof/>
        </w:rPr>
        <w:t>е</w:t>
      </w:r>
      <w:bookmarkEnd w:id="27"/>
      <w:bookmarkEnd w:id="28"/>
    </w:p>
    <w:p w:rsidR="00AA0CD6" w:rsidRDefault="00061B11">
      <w:pPr>
        <w:pStyle w:val="Heading3"/>
        <w:rPr>
          <w:noProof/>
        </w:rPr>
      </w:pPr>
      <w:bookmarkStart w:id="29" w:name="_Toc536442046"/>
      <w:bookmarkStart w:id="30" w:name="_Toc536612069"/>
      <w:r>
        <w:rPr>
          <w:noProof/>
        </w:rPr>
        <w:t>Образование, наука, технологии, научни изследвания, иновации и цифровизация</w:t>
      </w:r>
      <w:bookmarkEnd w:id="29"/>
      <w:bookmarkEnd w:id="30"/>
      <w:r>
        <w:rPr>
          <w:noProof/>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Образованието, науката, технологиите, научните изследвания и иновациите са предусловие за постигането на устойчива икономика на ЕС, съответстваща на ЦУР</w:t>
      </w:r>
      <w:r>
        <w:rPr>
          <w:rStyle w:val="FootnoteReference"/>
          <w:rFonts w:ascii="Times New Roman" w:hAnsi="Times New Roman"/>
          <w:noProof/>
          <w:sz w:val="24"/>
        </w:rPr>
        <w:footnoteReference w:id="56"/>
      </w:r>
      <w:r>
        <w:rPr>
          <w:noProof/>
        </w:rPr>
        <w:t>.</w:t>
      </w:r>
      <w:r>
        <w:rPr>
          <w:rFonts w:ascii="Times New Roman" w:hAnsi="Times New Roman"/>
          <w:noProof/>
          <w:sz w:val="24"/>
        </w:rPr>
        <w:t xml:space="preserve"> Трябва да продължим да</w:t>
      </w:r>
      <w:r>
        <w:rPr>
          <w:rFonts w:ascii="Times New Roman" w:hAnsi="Times New Roman"/>
          <w:noProof/>
          <w:sz w:val="24"/>
        </w:rPr>
        <w:t xml:space="preserve"> повишаваме осведомеността, да разширяваме нашите знания и да усъвършенстваме уменията си. Трябва да инвестираме повече в тези области, като ги съобразяваме с ЦУР.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Образованието, обучението и ученето през целия живот са абсолютно необходими за създаването</w:t>
      </w:r>
      <w:r>
        <w:rPr>
          <w:rFonts w:ascii="Times New Roman" w:hAnsi="Times New Roman"/>
          <w:noProof/>
          <w:sz w:val="24"/>
        </w:rPr>
        <w:t xml:space="preserve"> на култура на устойчиво развитие. Лидерите на ЕС се споразумяха да работят за изграждането на европейско пространство на образованието до 2025 г. с цел да се реализира</w:t>
      </w:r>
      <w:r>
        <w:rPr>
          <w:rStyle w:val="Strong"/>
          <w:rFonts w:ascii="Times New Roman" w:hAnsi="Times New Roman"/>
          <w:b w:val="0"/>
          <w:noProof/>
          <w:sz w:val="24"/>
        </w:rPr>
        <w:t xml:space="preserve"> целият потенциал на образованието, обучението и културата като двигатели на създаването</w:t>
      </w:r>
      <w:r>
        <w:rPr>
          <w:rStyle w:val="Strong"/>
          <w:rFonts w:ascii="Times New Roman" w:hAnsi="Times New Roman"/>
          <w:b w:val="0"/>
          <w:noProof/>
          <w:sz w:val="24"/>
        </w:rPr>
        <w:t xml:space="preserve"> на работни места, на икономически растеж и на социална справедливост</w:t>
      </w:r>
      <w:r>
        <w:rPr>
          <w:rFonts w:ascii="Times New Roman" w:hAnsi="Times New Roman"/>
          <w:noProof/>
          <w:sz w:val="24"/>
        </w:rPr>
        <w:t xml:space="preserve">. Образованието е ценност само по себе си, но представлява и незаменимо средство за постигане на устойчиво развитие. Следователно една от основните насоки трябва да бъде подобряването на </w:t>
      </w:r>
      <w:r>
        <w:rPr>
          <w:rFonts w:ascii="Times New Roman" w:hAnsi="Times New Roman"/>
          <w:noProof/>
          <w:sz w:val="24"/>
        </w:rPr>
        <w:t>равния достъп до приобщаващо качествено образование и обучение през всеки жизнен етап — от ранна детска възраст до висшето образование и образованието за възрастни. Образователните институции на всички нива следва да бъдат насърчавани да приемат ЦУР като о</w:t>
      </w:r>
      <w:r>
        <w:rPr>
          <w:rFonts w:ascii="Times New Roman" w:hAnsi="Times New Roman"/>
          <w:noProof/>
          <w:sz w:val="24"/>
        </w:rPr>
        <w:t>риентир за своите дейности и да се превърнат в места, където уменията за устойчивост не само се преподават, но и активно се практикуват. Следва също така да се работи за реформа и модернизация на системите за образование — от изграждането на зелени училища</w:t>
      </w:r>
      <w:r>
        <w:rPr>
          <w:rFonts w:ascii="Times New Roman" w:hAnsi="Times New Roman"/>
          <w:noProof/>
          <w:sz w:val="24"/>
        </w:rPr>
        <w:t xml:space="preserve"> и университети до развитието на нови умения за цифровата икономика.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Засилването на уменията в областта на ИКТ и основните цифровите компетентности, в съответствие с Плана на ЕС за действие в областта на цифровото образование </w:t>
      </w:r>
      <w:r>
        <w:rPr>
          <w:rStyle w:val="FootnoteReference"/>
          <w:rFonts w:ascii="Times New Roman" w:hAnsi="Times New Roman"/>
          <w:noProof/>
          <w:sz w:val="24"/>
        </w:rPr>
        <w:footnoteReference w:id="57"/>
      </w:r>
      <w:r>
        <w:rPr>
          <w:rFonts w:ascii="Times New Roman" w:hAnsi="Times New Roman"/>
          <w:noProof/>
          <w:sz w:val="24"/>
        </w:rPr>
        <w:t xml:space="preserve">, и съсредоточаването върху </w:t>
      </w:r>
      <w:r>
        <w:rPr>
          <w:rFonts w:ascii="Times New Roman" w:hAnsi="Times New Roman"/>
          <w:noProof/>
          <w:sz w:val="24"/>
        </w:rPr>
        <w:t>изкуствения интелект</w:t>
      </w:r>
      <w:r>
        <w:rPr>
          <w:rStyle w:val="FootnoteReference"/>
          <w:rFonts w:ascii="Times New Roman" w:hAnsi="Times New Roman"/>
          <w:noProof/>
          <w:sz w:val="24"/>
        </w:rPr>
        <w:footnoteReference w:id="58"/>
      </w:r>
      <w:r>
        <w:rPr>
          <w:rFonts w:ascii="Times New Roman" w:hAnsi="Times New Roman"/>
          <w:noProof/>
          <w:sz w:val="24"/>
        </w:rPr>
        <w:t xml:space="preserve"> следва да бъдат сред приоритетите по пътя напред. Ясен приоритет е оползотворяването на потенциала на цифровата трансформация за постигането на ЦУР. ЕС е изцяло ангажиран с развитието на капацитет и експертен опит в ключови цифрови те</w:t>
      </w:r>
      <w:r>
        <w:rPr>
          <w:rFonts w:ascii="Times New Roman" w:hAnsi="Times New Roman"/>
          <w:noProof/>
          <w:sz w:val="24"/>
        </w:rPr>
        <w:t xml:space="preserve">хнологии, например свързаност, „интернет на нещата“, киберсигурност, високопроизводителни изчислителни технологии или технология на блок-веригата, като същевременно обръща внимание на потенциалните отрицателни външни ефекти от цифровите инфраструктури.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Из</w:t>
      </w:r>
      <w:r>
        <w:rPr>
          <w:rFonts w:ascii="Times New Roman" w:hAnsi="Times New Roman"/>
          <w:noProof/>
          <w:sz w:val="24"/>
        </w:rPr>
        <w:t>куственият интелект е област, в която ЕС изостава от Китай и Съединените щати</w:t>
      </w:r>
      <w:r>
        <w:rPr>
          <w:rStyle w:val="FootnoteReference"/>
          <w:rFonts w:ascii="Times New Roman" w:hAnsi="Times New Roman"/>
          <w:noProof/>
          <w:sz w:val="24"/>
        </w:rPr>
        <w:footnoteReference w:id="59"/>
      </w:r>
      <w:r>
        <w:rPr>
          <w:noProof/>
        </w:rPr>
        <w:t>.</w:t>
      </w:r>
      <w:r>
        <w:rPr>
          <w:rFonts w:ascii="Times New Roman" w:hAnsi="Times New Roman"/>
          <w:noProof/>
          <w:sz w:val="24"/>
        </w:rPr>
        <w:t xml:space="preserve"> ЕС трябва да навакса бързо в това отношение с цел да извлече икономическите ползи, като същевременно поеме водеща роля при оформянето на съответната нова етика, която следва да</w:t>
      </w:r>
      <w:r>
        <w:rPr>
          <w:rFonts w:ascii="Times New Roman" w:hAnsi="Times New Roman"/>
          <w:noProof/>
          <w:sz w:val="24"/>
        </w:rPr>
        <w:t xml:space="preserve"> придружава тази нова технология. По този начин ЕС може да спомогне да се гарантира, че изкуственият интелект носи нетна полза за живота и работата на хората. Тъй като е в състояние да обработва големи обеми данни мигновено, изкуственият интелект може да д</w:t>
      </w:r>
      <w:r>
        <w:rPr>
          <w:rFonts w:ascii="Times New Roman" w:hAnsi="Times New Roman"/>
          <w:noProof/>
          <w:sz w:val="24"/>
        </w:rPr>
        <w:t>оведе до значително увеличение на производителността в много области, като здравеопазване, енергетика, селско стопанство, образование и опазване на околната среда. Например в сектора на селското стопанство изследователите понастоящем използват изкуствен ин</w:t>
      </w:r>
      <w:r>
        <w:rPr>
          <w:rFonts w:ascii="Times New Roman" w:hAnsi="Times New Roman"/>
          <w:noProof/>
          <w:sz w:val="24"/>
        </w:rPr>
        <w:t xml:space="preserve">телект и големи информационни масиви за прогнозиране на реколтите няколко месеца преди тяхното прибиране, като по този начин потенциално подпомагат земеделските стопани за увеличаване на производителността, вземане на информирани решения за засаждане и, в </w:t>
      </w:r>
      <w:r>
        <w:rPr>
          <w:rFonts w:ascii="Times New Roman" w:hAnsi="Times New Roman"/>
          <w:noProof/>
          <w:sz w:val="24"/>
        </w:rPr>
        <w:t>крайна сметка, за подобряване на продоволствената сигурност</w:t>
      </w:r>
      <w:r>
        <w:rPr>
          <w:rStyle w:val="FootnoteReference"/>
          <w:rFonts w:ascii="Times New Roman" w:hAnsi="Times New Roman"/>
          <w:noProof/>
          <w:sz w:val="24"/>
        </w:rPr>
        <w:footnoteReference w:id="60"/>
      </w:r>
      <w:r>
        <w:rPr>
          <w:noProof/>
        </w:rPr>
        <w:t>.</w:t>
      </w:r>
    </w:p>
    <w:p w:rsidR="00AA0CD6" w:rsidRDefault="00061B11">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Научните изследвания и иновациите имат важна роля като катализатор на промяна. Те са инструмент за анализ на въздействието на промяната и средство да се гарантира, че всеки преход води до нарастване на нашето благосъстояние. Освен това те ни дават възможно</w:t>
      </w:r>
      <w:r>
        <w:rPr>
          <w:rFonts w:ascii="Times New Roman" w:hAnsi="Times New Roman"/>
          <w:noProof/>
          <w:color w:val="000000"/>
          <w:sz w:val="24"/>
          <w:u w:color="000000"/>
          <w:bdr w:val="nil"/>
        </w:rPr>
        <w:t xml:space="preserve">ст за спестяване на средства. </w:t>
      </w:r>
      <w:r>
        <w:rPr>
          <w:rFonts w:ascii="Times New Roman" w:hAnsi="Times New Roman"/>
          <w:noProof/>
          <w:sz w:val="24"/>
        </w:rPr>
        <w:t>Повече инвестиции в областта на иновациите и технологичната развойна дейност днес ще ни подпомогнат в по-далечна перспектива да намалим разходите за постигане на нашите дългосрочни цели на политиката, като например целите, свъ</w:t>
      </w:r>
      <w:r>
        <w:rPr>
          <w:rFonts w:ascii="Times New Roman" w:hAnsi="Times New Roman"/>
          <w:noProof/>
          <w:sz w:val="24"/>
        </w:rPr>
        <w:t xml:space="preserve">рзани с изменението на климата и околната среда. </w:t>
      </w:r>
      <w:r>
        <w:rPr>
          <w:rFonts w:ascii="Times New Roman" w:hAnsi="Times New Roman"/>
          <w:noProof/>
          <w:color w:val="000000"/>
          <w:sz w:val="24"/>
          <w:u w:color="000000"/>
          <w:bdr w:val="nil"/>
        </w:rPr>
        <w:t>Европа разполага със специалисти, умения и вродени творчески способности. Като се осланя на своята мощна общност от научни изследователи и иноватори, ЕС е в силна позиция да играе водеща роля в разработванет</w:t>
      </w:r>
      <w:r>
        <w:rPr>
          <w:rFonts w:ascii="Times New Roman" w:hAnsi="Times New Roman"/>
          <w:noProof/>
          <w:color w:val="000000"/>
          <w:sz w:val="24"/>
          <w:u w:color="000000"/>
          <w:bdr w:val="nil"/>
        </w:rPr>
        <w:t xml:space="preserve">о и внедряването на революционни решения за „зелен“ и приобщаващ растеж, които да могат да се прилагат както в ЕС, така и в световен мащаб. </w:t>
      </w:r>
    </w:p>
    <w:p w:rsidR="00AA0CD6" w:rsidRDefault="00061B11">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За да могат обаче напълно да оползотворят този потенциал, държавите — членки на ЕС, трябва да увеличат своите разхо</w:t>
      </w:r>
      <w:r>
        <w:rPr>
          <w:rFonts w:ascii="Times New Roman" w:hAnsi="Times New Roman"/>
          <w:noProof/>
          <w:color w:val="000000"/>
          <w:sz w:val="24"/>
          <w:u w:color="000000"/>
          <w:bdr w:val="nil"/>
        </w:rPr>
        <w:t>ди за научни изследвания. ЕС постигна съгласие, че до 2020 г. 3 % от БВП на държавите — членки на ЕС, следва да се инвестират в научни изследвания, развойна дейност и иновации, но все още сме далеч от постигането на тази цел.</w:t>
      </w:r>
    </w:p>
    <w:p w:rsidR="00AA0CD6" w:rsidRDefault="00AA0CD6">
      <w:pPr>
        <w:spacing w:line="240" w:lineRule="auto"/>
        <w:jc w:val="center"/>
        <w:rPr>
          <w:rFonts w:ascii="Times New Roman" w:eastAsia="Helvetica" w:hAnsi="Times New Roman" w:cs="Times New Roman"/>
          <w:noProof/>
          <w:color w:val="000000"/>
          <w:sz w:val="24"/>
          <w:szCs w:val="24"/>
          <w:u w:color="000000"/>
          <w:bdr w:val="nil"/>
          <w:lang w:val="ru-RU"/>
        </w:rPr>
      </w:pPr>
    </w:p>
    <w:p w:rsidR="00AA0CD6" w:rsidRDefault="00061B11">
      <w:pPr>
        <w:spacing w:line="240" w:lineRule="auto"/>
        <w:jc w:val="center"/>
        <w:rPr>
          <w:rFonts w:ascii="Times New Roman" w:eastAsia="Helvetica" w:hAnsi="Times New Roman" w:cs="Times New Roman"/>
          <w:noProof/>
          <w:color w:val="000000"/>
          <w:sz w:val="24"/>
          <w:szCs w:val="24"/>
          <w:u w:color="000000"/>
          <w:bdr w:val="nil"/>
          <w:lang w:val="fr-BE"/>
        </w:rPr>
      </w:pPr>
      <w:r>
        <w:rPr>
          <w:noProof/>
          <w:lang w:val="en-GB" w:eastAsia="en-GB" w:bidi="ar-SA"/>
        </w:rPr>
        <w:drawing>
          <wp:inline distT="0" distB="0" distL="0" distR="0">
            <wp:extent cx="4532244" cy="4224827"/>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35373" cy="4227744"/>
                    </a:xfrm>
                    <a:prstGeom prst="rect">
                      <a:avLst/>
                    </a:prstGeom>
                  </pic:spPr>
                </pic:pic>
              </a:graphicData>
            </a:graphic>
          </wp:inline>
        </w:drawing>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color w:val="000000"/>
          <w:sz w:val="24"/>
          <w:u w:color="000000"/>
          <w:bdr w:val="nil"/>
        </w:rPr>
        <w:t xml:space="preserve">На равнището на ЕС </w:t>
      </w:r>
      <w:r>
        <w:rPr>
          <w:rFonts w:ascii="Times New Roman" w:hAnsi="Times New Roman"/>
          <w:noProof/>
          <w:color w:val="000000"/>
          <w:sz w:val="24"/>
          <w:u w:color="000000"/>
          <w:bdr w:val="nil"/>
        </w:rPr>
        <w:t>рамковите програми за научни изследвания и иновации са катализатор на устойчива конкурентоспособност, растеж и инвестиции. За ускоряване на прехода към устойчиво развитие необходимото финансиране на научните изследвания и иновациите трябва да бъдат допълне</w:t>
      </w:r>
      <w:r>
        <w:rPr>
          <w:rFonts w:ascii="Times New Roman" w:hAnsi="Times New Roman"/>
          <w:noProof/>
          <w:color w:val="000000"/>
          <w:sz w:val="24"/>
          <w:u w:color="000000"/>
          <w:bdr w:val="nil"/>
        </w:rPr>
        <w:t>но със стратегически подход към инвестициите, което да позволява на иновативните решения да достигат пазара, тъй като те</w:t>
      </w:r>
      <w:r>
        <w:rPr>
          <w:rFonts w:ascii="Times New Roman" w:hAnsi="Times New Roman"/>
          <w:noProof/>
          <w:sz w:val="24"/>
        </w:rPr>
        <w:t xml:space="preserve"> често изискват капиталоемки и високорискови инвестиции. Бяха създадени инструменти, като Европейският фонд за стратегически инвестиции,</w:t>
      </w:r>
      <w:r>
        <w:rPr>
          <w:rFonts w:ascii="Times New Roman" w:hAnsi="Times New Roman"/>
          <w:noProof/>
          <w:sz w:val="24"/>
        </w:rPr>
        <w:t xml:space="preserve"> с цел да се допринесе за понижаването на риска при такива инвестиции и по този начин те да станат по-привлекателни за частни заинтересовани страни. Неотдавна предложеният Европейски съвет по иновациите може също да бъде от помощ в това отношение, като ока</w:t>
      </w:r>
      <w:r>
        <w:rPr>
          <w:rFonts w:ascii="Times New Roman" w:hAnsi="Times New Roman"/>
          <w:noProof/>
          <w:sz w:val="24"/>
        </w:rPr>
        <w:t>зва подкрепа на водещи иноватори, стартиращи предприятия, малки дружества и научни изследователи, за да успеят с високорискови иновационни проекти, да се разрастват в международен план и да се възползват от възможностите за обмен на идеи и решения.</w:t>
      </w:r>
      <w:r>
        <w:rPr>
          <w:rFonts w:ascii="Times New Roman" w:hAnsi="Times New Roman"/>
          <w:noProof/>
          <w:color w:val="000000"/>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ЕС и н</w:t>
      </w:r>
      <w:r>
        <w:rPr>
          <w:rFonts w:ascii="Times New Roman" w:hAnsi="Times New Roman"/>
          <w:noProof/>
          <w:sz w:val="24"/>
        </w:rPr>
        <w:t>еговите държави членки биха могли да се съсредоточат върху финансирането на авангардни и революционни технологии и иновативни дружества, които имат потенциал да станат пазарни лидери в ЕС и в световен мащаб по отношение на прехода към устойчиво развитие, а</w:t>
      </w:r>
      <w:r>
        <w:rPr>
          <w:rFonts w:ascii="Times New Roman" w:hAnsi="Times New Roman"/>
          <w:noProof/>
          <w:sz w:val="24"/>
        </w:rPr>
        <w:t xml:space="preserve"> също така и върху ефективното и навременно усвояване на тези иновации. Следва да се обърне специално внимание на устойчивите и иновативни земеделие и продоволствени системи, на чистите технологии, на човешкото здраве и здравето на животните, на решенията </w:t>
      </w:r>
      <w:r>
        <w:rPr>
          <w:rFonts w:ascii="Times New Roman" w:hAnsi="Times New Roman"/>
          <w:noProof/>
          <w:sz w:val="24"/>
        </w:rPr>
        <w:t>за екосистеми и на ефективните по отношение на ресурсите продукти и методи на производство. Наред с това е необходима благоприятна регулаторна рамка, която да стимулира ефективното усвояване на иновациите за устойчиво развитие.</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ЕС и неговите държави членки</w:t>
      </w:r>
      <w:r>
        <w:rPr>
          <w:rFonts w:ascii="Times New Roman" w:hAnsi="Times New Roman"/>
          <w:noProof/>
          <w:sz w:val="24"/>
        </w:rPr>
        <w:t xml:space="preserve"> би трябвало да насърчават укрепването на връзките между научните изследователи и предприятията. Европейските научноизследователски, развойни и иновационни центрове и инкубатори са от значение за подпомагането на устойчивото развитие, така че изследователи</w:t>
      </w:r>
      <w:r>
        <w:rPr>
          <w:rFonts w:ascii="Times New Roman" w:hAnsi="Times New Roman"/>
          <w:noProof/>
          <w:sz w:val="24"/>
        </w:rPr>
        <w:t>те и предприятията да могат да се срещат, да обменят най-добри практики и да поощряват иновациите. Макар че големите дружества могат да разполагат със средствата за развитие на собствени научноизследователски дейности в рамките на предприятието, това често</w:t>
      </w:r>
      <w:r>
        <w:rPr>
          <w:rFonts w:ascii="Times New Roman" w:hAnsi="Times New Roman"/>
          <w:noProof/>
          <w:sz w:val="24"/>
        </w:rPr>
        <w:t xml:space="preserve"> не е така при малките и средните предприятия. По-здравите и преки връзки с научноизследователската общност имат потенциала за преодоляването на тази слабост.</w:t>
      </w:r>
    </w:p>
    <w:p w:rsidR="00AA0CD6" w:rsidRDefault="00061B11">
      <w:pPr>
        <w:pStyle w:val="CommentText"/>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noProof/>
          <w:sz w:val="24"/>
        </w:rPr>
        <w:t>Каре: В Европейския институт за иновации и технологии (EIT) с 40 центъра за иновации в целия ЕС с</w:t>
      </w:r>
      <w:r>
        <w:rPr>
          <w:rFonts w:ascii="Times New Roman" w:hAnsi="Times New Roman"/>
          <w:noProof/>
          <w:sz w:val="24"/>
        </w:rPr>
        <w:t xml:space="preserve">е срещат страните на триъгълника на знанието — висше образование, научни изследвания и стопанска дейност. Бяха стартирани няколко </w:t>
      </w:r>
      <w:r>
        <w:rPr>
          <w:rFonts w:ascii="Times New Roman" w:hAnsi="Times New Roman"/>
          <w:b/>
          <w:noProof/>
          <w:sz w:val="24"/>
        </w:rPr>
        <w:t>общности на знание и иновации</w:t>
      </w:r>
      <w:r>
        <w:rPr>
          <w:rFonts w:ascii="Times New Roman" w:hAnsi="Times New Roman"/>
          <w:noProof/>
          <w:sz w:val="24"/>
        </w:rPr>
        <w:t xml:space="preserve"> (ОЗИ), като те ще бъдат последвани от други. Тези общности се </w:t>
      </w:r>
      <w:r>
        <w:rPr>
          <w:rFonts w:ascii="Times New Roman" w:hAnsi="Times New Roman"/>
          <w:b/>
          <w:noProof/>
          <w:sz w:val="24"/>
        </w:rPr>
        <w:t>занимават с основни обществени пре</w:t>
      </w:r>
      <w:r>
        <w:rPr>
          <w:rFonts w:ascii="Times New Roman" w:hAnsi="Times New Roman"/>
          <w:b/>
          <w:noProof/>
          <w:sz w:val="24"/>
        </w:rPr>
        <w:t>дизвикателства на ЕС, свързани с ЦУР</w:t>
      </w:r>
      <w:r>
        <w:rPr>
          <w:rFonts w:ascii="Times New Roman" w:hAnsi="Times New Roman"/>
          <w:noProof/>
          <w:sz w:val="24"/>
        </w:rPr>
        <w:t>, като например климат, енергетика, продоволствено осигуряване, здравеопазване, суровини, цифрови технологии, градска мобилност и авангардни производствени технологии. Повече от 1 200 партньори от бизнеса, научните изсле</w:t>
      </w:r>
      <w:r>
        <w:rPr>
          <w:rFonts w:ascii="Times New Roman" w:hAnsi="Times New Roman"/>
          <w:noProof/>
          <w:sz w:val="24"/>
        </w:rPr>
        <w:t xml:space="preserve">двания и образованието обединяват усилията си за справяне с тези предизвикателства. </w:t>
      </w:r>
    </w:p>
    <w:p w:rsidR="00AA0CD6" w:rsidRDefault="00061B11">
      <w:pPr>
        <w:pStyle w:val="Heading3"/>
        <w:rPr>
          <w:noProof/>
        </w:rPr>
      </w:pPr>
      <w:bookmarkStart w:id="31" w:name="_Toc536442047"/>
      <w:bookmarkStart w:id="32" w:name="_Toc536612070"/>
      <w:r>
        <w:rPr>
          <w:noProof/>
        </w:rPr>
        <w:t>Финансиране, ценообразуване, данъчно облагане и конкуренция</w:t>
      </w:r>
      <w:bookmarkEnd w:id="31"/>
      <w:bookmarkEnd w:id="32"/>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Разходите от бездействието са огромни в средносрочен и дългосрочен план. Същевременно преходът към устойчиво ра</w:t>
      </w:r>
      <w:r>
        <w:rPr>
          <w:rFonts w:ascii="Times New Roman" w:hAnsi="Times New Roman"/>
          <w:noProof/>
          <w:sz w:val="24"/>
        </w:rPr>
        <w:t>звитие предполага значителни инвестиции в краткосрочен план и всеобхватна промяна в начина, по който функционира финансовата система. За постигането на ЦУР се очаква да са необходими между 4,5 и 6 трилиона евро в световен мащаб</w:t>
      </w:r>
      <w:r>
        <w:rPr>
          <w:rStyle w:val="FootnoteReference"/>
          <w:rFonts w:ascii="Times New Roman" w:hAnsi="Times New Roman"/>
          <w:noProof/>
          <w:sz w:val="24"/>
        </w:rPr>
        <w:footnoteReference w:id="61"/>
      </w:r>
      <w:r>
        <w:rPr>
          <w:noProof/>
        </w:rPr>
        <w:t>.</w:t>
      </w:r>
      <w:r>
        <w:rPr>
          <w:rFonts w:ascii="Times New Roman" w:hAnsi="Times New Roman"/>
          <w:noProof/>
          <w:sz w:val="24"/>
        </w:rPr>
        <w:t xml:space="preserve"> За да се постигнат целите </w:t>
      </w:r>
      <w:r>
        <w:rPr>
          <w:rFonts w:ascii="Times New Roman" w:hAnsi="Times New Roman"/>
          <w:noProof/>
          <w:sz w:val="24"/>
        </w:rPr>
        <w:t xml:space="preserve">на ЕС за 2030 г., договорени в Париж, включително 40-процентното намаление на емисиите на парникови газове, са необходими допълнителни инвестиции на приблизителна стойност 180 милиарда евро. В стремежа за осъществяване на ЦУР публичните средства трябва да </w:t>
      </w:r>
      <w:r>
        <w:rPr>
          <w:rFonts w:ascii="Times New Roman" w:hAnsi="Times New Roman"/>
          <w:noProof/>
          <w:sz w:val="24"/>
        </w:rPr>
        <w:t>бъдат по-добре и по-рационално насочвани, но ние не можем да постигнем това, от което се нуждаем, без пренасочването и на частния сектор към устойчиво развитие. Мобилизирането на средства за финансиране на прехода трябва да върви ръка за ръка с постепеннот</w:t>
      </w:r>
      <w:r>
        <w:rPr>
          <w:rFonts w:ascii="Times New Roman" w:hAnsi="Times New Roman"/>
          <w:noProof/>
          <w:sz w:val="24"/>
        </w:rPr>
        <w:t xml:space="preserve">о преустановяване на финансирането на проекти, които са в ущърб на екологосъобразния и приобщаващ икономически растеж.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Планът за инвестиции за Европа цели да мобилизира частно финансиране за общественото благо. Стартиран през 2015 г., неговият инструмент </w:t>
      </w:r>
      <w:r>
        <w:rPr>
          <w:rFonts w:ascii="Times New Roman" w:hAnsi="Times New Roman"/>
          <w:noProof/>
          <w:sz w:val="24"/>
        </w:rPr>
        <w:t>за финансиране, Европейският фонд за стратегически инвестиции, до момента е мобилизирал общо 370 милиарда евро инвестиции в ключови области, необходими за модернизирането на европейската икономика. Това включва възобновяемите енергийни източници, енергийна</w:t>
      </w:r>
      <w:r>
        <w:rPr>
          <w:rFonts w:ascii="Times New Roman" w:hAnsi="Times New Roman"/>
          <w:noProof/>
          <w:sz w:val="24"/>
        </w:rPr>
        <w:t>та ефективност, научните изследвания, развойната дейност и иновациите, както и социалната инфраструктура, като например социалното жилищно настаняване или жилищното настаняване на достъпна цена. За следващата бюджетна рамка за периода 2021—2027 г. Комисият</w:t>
      </w:r>
      <w:r>
        <w:rPr>
          <w:rFonts w:ascii="Times New Roman" w:hAnsi="Times New Roman"/>
          <w:noProof/>
          <w:sz w:val="24"/>
        </w:rPr>
        <w:t>а предлага удвояване на бюджетните средства за социалния сектор, включително на социалното предприемачество, и финансиране единствено на устойчиви инфраструктури. Групата на Европейската инвестиционна банка е вече най-големият многостранен източник на фина</w:t>
      </w:r>
      <w:r>
        <w:rPr>
          <w:rFonts w:ascii="Times New Roman" w:hAnsi="Times New Roman"/>
          <w:noProof/>
          <w:sz w:val="24"/>
        </w:rPr>
        <w:t xml:space="preserve">нсиране на борбата с изменението на климата в световен мащаб, като заделя не по-малко от 25 % от своите инвестиции за смекчаване на последиците от изменението на климата и адаптирането към него.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Комисията — въз основа на препоръки от експертна група на ви</w:t>
      </w:r>
      <w:r>
        <w:rPr>
          <w:rFonts w:ascii="Times New Roman" w:hAnsi="Times New Roman"/>
          <w:noProof/>
          <w:sz w:val="24"/>
        </w:rPr>
        <w:t>соко равнище — очерта също пътна карта за укрепване на ролята на финансирането за създаването на добре функционираща икономика, която осигурява постигането на екологични и социални цели. Планът за действие за устойчиво финансиране</w:t>
      </w:r>
      <w:r>
        <w:rPr>
          <w:rStyle w:val="FootnoteReference"/>
          <w:rFonts w:ascii="Times New Roman" w:hAnsi="Times New Roman"/>
          <w:noProof/>
          <w:sz w:val="24"/>
        </w:rPr>
        <w:footnoteReference w:id="62"/>
      </w:r>
      <w:r>
        <w:rPr>
          <w:rFonts w:ascii="Times New Roman" w:hAnsi="Times New Roman"/>
          <w:noProof/>
          <w:sz w:val="24"/>
        </w:rPr>
        <w:t xml:space="preserve"> и последвалите го законо</w:t>
      </w:r>
      <w:r>
        <w:rPr>
          <w:rFonts w:ascii="Times New Roman" w:hAnsi="Times New Roman"/>
          <w:noProof/>
          <w:sz w:val="24"/>
        </w:rPr>
        <w:t>дателни предложения ще подпомагат инвеститорите да вземат информирани инвестиционни решения, основани на ясни критерии за това, какво представляват устойчивите инвестиции. Това следва да способства за ускоряването и увеличаването на обема на инвестициите в</w:t>
      </w:r>
      <w:r>
        <w:rPr>
          <w:rFonts w:ascii="Times New Roman" w:hAnsi="Times New Roman"/>
          <w:noProof/>
          <w:sz w:val="24"/>
        </w:rPr>
        <w:t xml:space="preserve"> устойчиви проекти както в ЕС, така и в световен мащаб, а също и да стимулира инвеститорите да се оттеглят от инвестиции, които са неустойчиви. </w:t>
      </w:r>
    </w:p>
    <w:p w:rsidR="00AA0CD6" w:rsidRDefault="00AA0CD6">
      <w:pPr>
        <w:autoSpaceDE w:val="0"/>
        <w:autoSpaceDN w:val="0"/>
        <w:adjustRightInd w:val="0"/>
        <w:spacing w:after="0" w:line="240" w:lineRule="auto"/>
        <w:jc w:val="both"/>
        <w:rPr>
          <w:rFonts w:ascii="Times New Roman" w:hAnsi="Times New Roman" w:cs="Times New Roman"/>
          <w:i/>
          <w:noProof/>
          <w:color w:val="000000"/>
          <w:sz w:val="24"/>
          <w:szCs w:val="24"/>
        </w:rPr>
      </w:pPr>
    </w:p>
    <w:p w:rsidR="00AA0CD6" w:rsidRDefault="00AA0CD6">
      <w:pPr>
        <w:autoSpaceDE w:val="0"/>
        <w:autoSpaceDN w:val="0"/>
        <w:adjustRightInd w:val="0"/>
        <w:spacing w:after="0" w:line="240" w:lineRule="auto"/>
        <w:jc w:val="center"/>
        <w:rPr>
          <w:rFonts w:ascii="Times New Roman" w:hAnsi="Times New Roman" w:cs="Times New Roman"/>
          <w:i/>
          <w:noProof/>
          <w:color w:val="000000"/>
          <w:sz w:val="24"/>
          <w:szCs w:val="24"/>
          <w:lang w:val="ru-RU"/>
        </w:rPr>
      </w:pPr>
    </w:p>
    <w:p w:rsidR="00AA0CD6" w:rsidRDefault="00061B11">
      <w:pPr>
        <w:autoSpaceDE w:val="0"/>
        <w:autoSpaceDN w:val="0"/>
        <w:adjustRightInd w:val="0"/>
        <w:spacing w:after="0" w:line="240" w:lineRule="auto"/>
        <w:jc w:val="center"/>
        <w:rPr>
          <w:rFonts w:ascii="Times New Roman" w:hAnsi="Times New Roman" w:cs="Times New Roman"/>
          <w:i/>
          <w:noProof/>
          <w:color w:val="000000"/>
          <w:sz w:val="24"/>
          <w:szCs w:val="24"/>
          <w:lang w:val="fr-BE"/>
        </w:rPr>
      </w:pPr>
      <w:r>
        <w:rPr>
          <w:noProof/>
          <w:lang w:val="en-GB" w:eastAsia="en-GB" w:bidi="ar-SA"/>
        </w:rPr>
        <w:drawing>
          <wp:inline distT="0" distB="0" distL="0" distR="0">
            <wp:extent cx="2956754" cy="28068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62906" cy="2812651"/>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i/>
          <w:noProof/>
          <w:color w:val="000000"/>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Допълнително внимание следва да се обърне на свързването на устойчивото финансиране с реалната икономика, </w:t>
      </w:r>
      <w:r>
        <w:rPr>
          <w:rFonts w:ascii="Times New Roman" w:hAnsi="Times New Roman"/>
          <w:noProof/>
          <w:sz w:val="24"/>
        </w:rPr>
        <w:t>така че увеличеното търсене от инвеститорите на устойчиви продукти и услуги да бъде съчетано с увеличаване на предлагането. Ефективното определяне на цената на външните фактори ще бъде от ключово значение в това отношение. Трябва да бъдат положени също так</w:t>
      </w:r>
      <w:r>
        <w:rPr>
          <w:rFonts w:ascii="Times New Roman" w:hAnsi="Times New Roman"/>
          <w:noProof/>
          <w:sz w:val="24"/>
        </w:rPr>
        <w:t>а допълнителни усилия за информиране на европейските граждани относно финансовата система, така че да са по-добре запознати с корпоративната дейност, която финансират, и това, как да държат сметка на управителите на фондове, в случай че парите им не се упр</w:t>
      </w:r>
      <w:r>
        <w:rPr>
          <w:rFonts w:ascii="Times New Roman" w:hAnsi="Times New Roman"/>
          <w:noProof/>
          <w:sz w:val="24"/>
        </w:rPr>
        <w:t>авляват по устойчив начин.</w:t>
      </w:r>
    </w:p>
    <w:p w:rsidR="00AA0CD6" w:rsidRDefault="00061B1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ЕС е водещ по отношение на всеобхватното преориентиране на финансовата система в посока на устойчивото развитие чрез:</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Установяването на общ език</w:t>
      </w:r>
      <w:r>
        <w:rPr>
          <w:rFonts w:ascii="Times New Roman" w:hAnsi="Times New Roman"/>
          <w:noProof/>
          <w:sz w:val="24"/>
        </w:rPr>
        <w:t xml:space="preserve">: единна система за класификация на ЕС („таксономия“) с цел определяне на това, кои от стопанските дейности са устойчиви, и набелязване на областите, в които устойчивите инвестициите могат да имат най-голямо въздействие. </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 xml:space="preserve">Намаляването на риска от „зелени“ </w:t>
      </w:r>
      <w:r>
        <w:rPr>
          <w:rFonts w:ascii="Times New Roman" w:hAnsi="Times New Roman"/>
          <w:b/>
          <w:noProof/>
          <w:sz w:val="24"/>
        </w:rPr>
        <w:t>заблуди (greenwashing)</w:t>
      </w:r>
      <w:r>
        <w:rPr>
          <w:rFonts w:ascii="Times New Roman" w:hAnsi="Times New Roman"/>
          <w:noProof/>
          <w:sz w:val="24"/>
        </w:rPr>
        <w:t xml:space="preserve">: създаване на стандарти и </w:t>
      </w:r>
      <w:r>
        <w:rPr>
          <w:rStyle w:val="Strong"/>
          <w:rFonts w:ascii="Times New Roman" w:hAnsi="Times New Roman"/>
          <w:b w:val="0"/>
          <w:noProof/>
          <w:sz w:val="24"/>
        </w:rPr>
        <w:t>етикети</w:t>
      </w:r>
      <w:r>
        <w:rPr>
          <w:rFonts w:ascii="Times New Roman" w:hAnsi="Times New Roman"/>
          <w:noProof/>
          <w:sz w:val="24"/>
        </w:rPr>
        <w:t xml:space="preserve"> за зелени финансови продукти, които позволяват на инвеститорите лесно да идентифицират инвестиции, съответстващи на „зелени“ или „нисковъглеродни“ критерии. </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Включването на устойчивостта в инвестицио</w:t>
      </w:r>
      <w:r>
        <w:rPr>
          <w:rFonts w:ascii="Times New Roman" w:hAnsi="Times New Roman"/>
          <w:b/>
          <w:noProof/>
          <w:sz w:val="24"/>
        </w:rPr>
        <w:t>нните консултации</w:t>
      </w:r>
      <w:r>
        <w:rPr>
          <w:rFonts w:ascii="Times New Roman" w:hAnsi="Times New Roman"/>
          <w:noProof/>
          <w:sz w:val="24"/>
        </w:rPr>
        <w:t>: изискване застрахователните дружества и инвестиционните посредници да консултират клиентите си въз основа на техните предпочитания относно устойчивото развитие.</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Разработването на критерии за устойчивост и насърчаване на тяхната прозрачно</w:t>
      </w:r>
      <w:r>
        <w:rPr>
          <w:rFonts w:ascii="Times New Roman" w:hAnsi="Times New Roman"/>
          <w:b/>
          <w:noProof/>
          <w:sz w:val="24"/>
        </w:rPr>
        <w:t>ст.</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Изясняването на задълженията на институционалните инвеститори и на лицата, управляващи активи</w:t>
      </w:r>
      <w:r>
        <w:rPr>
          <w:rFonts w:ascii="Times New Roman" w:hAnsi="Times New Roman"/>
          <w:noProof/>
          <w:sz w:val="24"/>
        </w:rPr>
        <w:t>: да се гарантира, че те вземат предвид устойчивостта в своите инвестиционни решения, и да се повишат техните изисквания за оповестяване.</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Повишаването на прозр</w:t>
      </w:r>
      <w:r>
        <w:rPr>
          <w:rFonts w:ascii="Times New Roman" w:hAnsi="Times New Roman"/>
          <w:b/>
          <w:noProof/>
          <w:sz w:val="24"/>
        </w:rPr>
        <w:t>ачността в</w:t>
      </w:r>
      <w:r>
        <w:rPr>
          <w:rFonts w:ascii="Times New Roman" w:hAnsi="Times New Roman"/>
          <w:noProof/>
          <w:sz w:val="24"/>
        </w:rPr>
        <w:t xml:space="preserve"> </w:t>
      </w:r>
      <w:r>
        <w:rPr>
          <w:rStyle w:val="Strong"/>
          <w:rFonts w:ascii="Times New Roman" w:hAnsi="Times New Roman"/>
          <w:noProof/>
          <w:sz w:val="24"/>
        </w:rPr>
        <w:t>корпоративната отчетност</w:t>
      </w:r>
      <w:r>
        <w:rPr>
          <w:rFonts w:ascii="Times New Roman" w:hAnsi="Times New Roman"/>
          <w:noProof/>
          <w:sz w:val="24"/>
        </w:rPr>
        <w:t xml:space="preserve">: преразглеждане на насоките за оповестяване на нефинансова информация. </w:t>
      </w:r>
    </w:p>
    <w:p w:rsidR="00AA0CD6" w:rsidRDefault="00061B1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b/>
          <w:noProof/>
          <w:sz w:val="24"/>
        </w:rPr>
        <w:t>Включването на устойчивото развитие в пруденциалните изисквания</w:t>
      </w:r>
      <w:r>
        <w:rPr>
          <w:rFonts w:ascii="Times New Roman" w:hAnsi="Times New Roman"/>
          <w:noProof/>
          <w:sz w:val="24"/>
        </w:rPr>
        <w:t xml:space="preserve">: включване на фактор в подкрепа на екологосъобразността, когато това е оправдано от </w:t>
      </w:r>
      <w:r>
        <w:rPr>
          <w:rFonts w:ascii="Times New Roman" w:hAnsi="Times New Roman"/>
          <w:noProof/>
          <w:sz w:val="24"/>
        </w:rPr>
        <w:t>гледна точка на риска с цел запазване на финансовата стабилност.</w:t>
      </w:r>
    </w:p>
    <w:p w:rsidR="00AA0CD6" w:rsidRDefault="00AA0CD6">
      <w:pPr>
        <w:spacing w:line="240" w:lineRule="auto"/>
        <w:jc w:val="both"/>
        <w:rPr>
          <w:rFonts w:ascii="Times New Roman" w:hAnsi="Times New Roman" w:cs="Times New Roman"/>
          <w:noProof/>
          <w:sz w:val="24"/>
          <w:szCs w:val="24"/>
        </w:rPr>
      </w:pPr>
    </w:p>
    <w:p w:rsidR="00AA0CD6" w:rsidRDefault="00061B11">
      <w:pPr>
        <w:spacing w:after="0" w:line="240" w:lineRule="auto"/>
        <w:jc w:val="both"/>
        <w:rPr>
          <w:rFonts w:ascii="Times New Roman" w:hAnsi="Times New Roman" w:cs="Times New Roman"/>
          <w:noProof/>
          <w:sz w:val="24"/>
          <w:szCs w:val="24"/>
        </w:rPr>
      </w:pPr>
      <w:r>
        <w:rPr>
          <w:rFonts w:ascii="Times New Roman" w:hAnsi="Times New Roman"/>
          <w:noProof/>
          <w:sz w:val="24"/>
        </w:rPr>
        <w:t>С цел запазване на финансовия капацитет на публичните органи да инвестират в прехода към устойчиво развитие е необходимо също така предприемането на действия за осъществяване на устойчиви фи</w:t>
      </w:r>
      <w:r>
        <w:rPr>
          <w:rFonts w:ascii="Times New Roman" w:hAnsi="Times New Roman"/>
          <w:noProof/>
          <w:sz w:val="24"/>
        </w:rPr>
        <w:t>скални реформи на всички равнища. Следва да се засили борбата срещу отклонението от данъчно облагане и избягването на корпоративни данъци. Необходимо е транснационално сътрудничество за справяне с проблема с данъчните убежища, които подкопават данъчната ос</w:t>
      </w:r>
      <w:r>
        <w:rPr>
          <w:rFonts w:ascii="Times New Roman" w:hAnsi="Times New Roman"/>
          <w:noProof/>
          <w:sz w:val="24"/>
        </w:rPr>
        <w:t xml:space="preserve">нова както на ЕС, така и на развиващите се държави. </w:t>
      </w:r>
    </w:p>
    <w:p w:rsidR="00AA0CD6" w:rsidRDefault="00AA0CD6">
      <w:pPr>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В по-общ план данъчните системи и ценообразуването в ЕС следва да бъдат структурирани така, че да отразяват реалните разходи, да са насочени към разрешаване на нашите основни социални и екологични въпро</w:t>
      </w:r>
      <w:r>
        <w:rPr>
          <w:rFonts w:ascii="Times New Roman" w:hAnsi="Times New Roman"/>
          <w:noProof/>
          <w:sz w:val="24"/>
        </w:rPr>
        <w:t>си, както и да предизвикват промяна на поведението в цялата икономика. Устойчивата конкуренция зависи от това, цените да отразяват реалните разходи за производство и употреба — интернализиране на външните разходи</w:t>
      </w:r>
      <w:r>
        <w:rPr>
          <w:rStyle w:val="FootnoteReference"/>
          <w:rFonts w:ascii="Times New Roman" w:hAnsi="Times New Roman"/>
          <w:noProof/>
          <w:sz w:val="24"/>
        </w:rPr>
        <w:footnoteReference w:id="63"/>
      </w:r>
      <w:r>
        <w:rPr>
          <w:noProof/>
        </w:rPr>
        <w:t>.</w:t>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Регулаторните органи, стопанските лидери</w:t>
      </w:r>
      <w:r>
        <w:rPr>
          <w:rFonts w:ascii="Times New Roman" w:hAnsi="Times New Roman"/>
          <w:noProof/>
          <w:sz w:val="24"/>
        </w:rPr>
        <w:t xml:space="preserve"> и гражданското общество трябва да работят заедно, за да осигурят еднакви условия на конкуренция в съответствие с ЦУР, и за да стимулират развитие, което води до това, устойчивите продукти и услуги да бъдат най-достъпните като цена.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Това следва да включва</w:t>
      </w:r>
      <w:r>
        <w:rPr>
          <w:rFonts w:ascii="Times New Roman" w:hAnsi="Times New Roman"/>
          <w:noProof/>
          <w:sz w:val="24"/>
        </w:rPr>
        <w:t xml:space="preserve"> промени в данъчните системи, така че държавите членки да намалят данъците върху труда, а да ги увеличат по отношение на капитала, замърсяването, ресурсите със занижена цена и други външни фактори в областта на околната среда</w:t>
      </w:r>
      <w:r>
        <w:rPr>
          <w:rStyle w:val="FootnoteReference"/>
          <w:rFonts w:ascii="Times New Roman" w:hAnsi="Times New Roman"/>
          <w:noProof/>
          <w:sz w:val="24"/>
        </w:rPr>
        <w:footnoteReference w:id="64"/>
      </w:r>
      <w:r>
        <w:rPr>
          <w:noProof/>
        </w:rPr>
        <w:t>.</w:t>
      </w:r>
      <w:r>
        <w:rPr>
          <w:rFonts w:ascii="Times New Roman" w:hAnsi="Times New Roman"/>
          <w:noProof/>
          <w:sz w:val="24"/>
        </w:rPr>
        <w:t xml:space="preserve"> Принципите „ползвателят плащ</w:t>
      </w:r>
      <w:r>
        <w:rPr>
          <w:rFonts w:ascii="Times New Roman" w:hAnsi="Times New Roman"/>
          <w:noProof/>
          <w:sz w:val="24"/>
        </w:rPr>
        <w:t>а“ и „замърсителят плаща“ трябва да се прилагат за предотвратяването и коригирането на влошаването на околната среда, както и за да се избегне прехвърлянето на тежестта върху данъкоплатците. Понастоящем приходите от облагането на труда продължават да са ос</w:t>
      </w:r>
      <w:r>
        <w:rPr>
          <w:rFonts w:ascii="Times New Roman" w:hAnsi="Times New Roman"/>
          <w:noProof/>
          <w:sz w:val="24"/>
        </w:rPr>
        <w:t>ем пъти по-високи от приходите, генерирани от екологичните данъци в ЕС, и през годините само ограничен брой държави — членки на ЕС, са намалили дела на данъчното облагане на труда, като в същото време са увеличили дела на данъците, свързани с околната сред</w:t>
      </w:r>
      <w:r>
        <w:rPr>
          <w:rFonts w:ascii="Times New Roman" w:hAnsi="Times New Roman"/>
          <w:noProof/>
          <w:sz w:val="24"/>
        </w:rPr>
        <w:t xml:space="preserve">а. </w:t>
      </w:r>
    </w:p>
    <w:p w:rsidR="00AA0CD6" w:rsidRDefault="00AA0CD6">
      <w:pPr>
        <w:spacing w:line="240" w:lineRule="auto"/>
        <w:jc w:val="both"/>
        <w:rPr>
          <w:rFonts w:ascii="Times New Roman" w:hAnsi="Times New Roman" w:cs="Times New Roman"/>
          <w:noProof/>
          <w:sz w:val="24"/>
          <w:szCs w:val="24"/>
        </w:rPr>
      </w:pPr>
    </w:p>
    <w:p w:rsidR="00AA0CD6" w:rsidRDefault="00061B11">
      <w:pPr>
        <w:spacing w:line="240" w:lineRule="auto"/>
        <w:jc w:val="center"/>
        <w:rPr>
          <w:rFonts w:ascii="Times New Roman" w:hAnsi="Times New Roman" w:cs="Times New Roman"/>
          <w:noProof/>
          <w:sz w:val="20"/>
          <w:szCs w:val="20"/>
        </w:rPr>
      </w:pPr>
      <w:r>
        <w:rPr>
          <w:noProof/>
          <w:lang w:val="en-GB" w:eastAsia="en-GB" w:bidi="ar-SA"/>
        </w:rPr>
        <w:drawing>
          <wp:inline distT="0" distB="0" distL="0" distR="0">
            <wp:extent cx="3148717" cy="14884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0069" cy="1489123"/>
                    </a:xfrm>
                    <a:prstGeom prst="rect">
                      <a:avLst/>
                    </a:prstGeom>
                  </pic:spPr>
                </pic:pic>
              </a:graphicData>
            </a:graphic>
          </wp:inline>
        </w:drawing>
      </w:r>
    </w:p>
    <w:p w:rsidR="00AA0CD6" w:rsidRDefault="00AA0CD6">
      <w:pPr>
        <w:spacing w:line="240" w:lineRule="auto"/>
        <w:rPr>
          <w:rFonts w:ascii="Times New Roman" w:hAnsi="Times New Roman" w:cs="Times New Roman"/>
          <w:noProof/>
          <w:sz w:val="16"/>
          <w:szCs w:val="16"/>
        </w:rPr>
      </w:pPr>
    </w:p>
    <w:p w:rsidR="00AA0CD6" w:rsidRDefault="00061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rPr>
      </w:pPr>
      <w:r>
        <w:rPr>
          <w:rFonts w:ascii="Times New Roman" w:hAnsi="Times New Roman"/>
          <w:b/>
          <w:noProof/>
          <w:color w:val="000000"/>
          <w:sz w:val="24"/>
        </w:rPr>
        <w:t>Външните разходи на транспорта в ЕС са много големи</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Европейската комисия предприе проучване относно интернализацията на външните разходи за всички видове транспорт, обхващащо задръстванията, произшествията, емисиите на CO</w:t>
      </w:r>
      <w:r>
        <w:rPr>
          <w:rFonts w:ascii="Times New Roman" w:hAnsi="Times New Roman"/>
          <w:noProof/>
          <w:sz w:val="24"/>
          <w:vertAlign w:val="subscript"/>
        </w:rPr>
        <w:t>2</w:t>
      </w:r>
      <w:r>
        <w:rPr>
          <w:rFonts w:ascii="Times New Roman" w:hAnsi="Times New Roman"/>
          <w:noProof/>
          <w:sz w:val="24"/>
        </w:rPr>
        <w:t xml:space="preserve">, шума, замърсяването на въздуха и увреждането на местообитанията и съпоставящо тези разходи с разходите, плащани от ползвателите. Целта е да се оцени до каква степен в ЕС се прилагат принципите „ползвателят плаща“ и „замърсителят плаща“ и да се определят </w:t>
      </w:r>
      <w:r>
        <w:rPr>
          <w:rFonts w:ascii="Times New Roman" w:hAnsi="Times New Roman"/>
          <w:noProof/>
          <w:sz w:val="24"/>
        </w:rPr>
        <w:t>възможности за допълнително интернализиране на отрицателните външни ефекти. Предварителните резултати сочат, че общото равнище на външните разходи в транспорта в държавите — членки на ЕС, се оценява на около 1 000 милиарда евро годишно, което съответства н</w:t>
      </w:r>
      <w:r>
        <w:rPr>
          <w:rFonts w:ascii="Times New Roman" w:hAnsi="Times New Roman"/>
          <w:noProof/>
          <w:sz w:val="24"/>
        </w:rPr>
        <w:t xml:space="preserve">а почти 7 % от БВП. Констатациите от това проучване, което се очаква да бъде приключено до средата на 2019 г., ще представляват важен принос към предстоящите дебати относно бъдещето на политиките на ЕС в областта на транспорта.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Освен това трябва да се гар</w:t>
      </w:r>
      <w:r>
        <w:rPr>
          <w:rFonts w:ascii="Times New Roman" w:hAnsi="Times New Roman"/>
          <w:noProof/>
          <w:sz w:val="24"/>
        </w:rPr>
        <w:t>антира, че преходът е справедлив от социална гледна точка, че разходите, свързани с прехода, са справедливо разпределени между данъкоплатците и че всеки плаща полагащия му се дял. Необходимото пренасочване на данъци и премахване на противопоказните финансо</w:t>
      </w:r>
      <w:r>
        <w:rPr>
          <w:rFonts w:ascii="Times New Roman" w:hAnsi="Times New Roman"/>
          <w:noProof/>
          <w:sz w:val="24"/>
        </w:rPr>
        <w:t>ви стимули, като например субсидии за изкопаеми горива, може да има неблагоприятно отражение върху бедните и ги засегне по-сериозно. Политиците трябва да задействат всички лостове в тази връзка, като в допълнение към например активните мерки за пазара на т</w:t>
      </w:r>
      <w:r>
        <w:rPr>
          <w:rFonts w:ascii="Times New Roman" w:hAnsi="Times New Roman"/>
          <w:noProof/>
          <w:sz w:val="24"/>
        </w:rPr>
        <w:t>руда и образованието и обучението да гарантират, че преходът е придружен от мерки, които застъпват по-изразено прогресивно облагане в данъчните системи и данъчните приходи и вземат предвид най-уязвимите групи</w:t>
      </w:r>
      <w:r>
        <w:rPr>
          <w:rStyle w:val="FootnoteReference"/>
          <w:rFonts w:ascii="Times New Roman" w:hAnsi="Times New Roman"/>
          <w:noProof/>
          <w:sz w:val="24"/>
        </w:rPr>
        <w:footnoteReference w:id="65"/>
      </w:r>
      <w:r>
        <w:rPr>
          <w:noProof/>
        </w:rPr>
        <w:t>.</w:t>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През следващите етапи хармонизираното данъчн</w:t>
      </w:r>
      <w:r>
        <w:rPr>
          <w:rFonts w:ascii="Times New Roman" w:hAnsi="Times New Roman"/>
          <w:noProof/>
          <w:sz w:val="24"/>
        </w:rPr>
        <w:t>о облагане на отрицателните социални и екологични външни ефекти в рамките на единния пазар на ЕС ще бъде също така от значение, за да има възможност ЕС да премине към по-ефективна и устойчива икономика и да гарантира еднакви условия на конкуренция за предп</w:t>
      </w:r>
      <w:r>
        <w:rPr>
          <w:rFonts w:ascii="Times New Roman" w:hAnsi="Times New Roman"/>
          <w:noProof/>
          <w:sz w:val="24"/>
        </w:rPr>
        <w:t>риятията</w:t>
      </w:r>
      <w:r>
        <w:rPr>
          <w:rStyle w:val="FootnoteReference"/>
          <w:rFonts w:ascii="Times New Roman" w:hAnsi="Times New Roman"/>
          <w:noProof/>
          <w:sz w:val="24"/>
        </w:rPr>
        <w:footnoteReference w:id="66"/>
      </w:r>
      <w:r>
        <w:rPr>
          <w:noProof/>
        </w:rPr>
        <w:t>.</w:t>
      </w:r>
      <w:r>
        <w:rPr>
          <w:rFonts w:ascii="Times New Roman" w:hAnsi="Times New Roman"/>
          <w:noProof/>
          <w:sz w:val="24"/>
        </w:rPr>
        <w:t xml:space="preserve"> Например понастоящем правната рамка на ЕС за данъчно облагане на енергийните продукти все още е в противоречие с целите на ЕС, свързани с околната среда и изменението на климата</w:t>
      </w:r>
      <w:r>
        <w:rPr>
          <w:rStyle w:val="FootnoteReference"/>
          <w:rFonts w:ascii="Times New Roman" w:hAnsi="Times New Roman"/>
          <w:noProof/>
          <w:sz w:val="24"/>
        </w:rPr>
        <w:footnoteReference w:id="67"/>
      </w:r>
      <w:r>
        <w:rPr>
          <w:rFonts w:ascii="Times New Roman" w:hAnsi="Times New Roman"/>
          <w:noProof/>
          <w:sz w:val="24"/>
        </w:rPr>
        <w:t xml:space="preserve">, като това има отрицателно въздействие върху договорените цели на </w:t>
      </w:r>
      <w:r>
        <w:rPr>
          <w:rFonts w:ascii="Times New Roman" w:hAnsi="Times New Roman"/>
          <w:noProof/>
          <w:sz w:val="24"/>
        </w:rPr>
        <w:t>политиката. Прекратяването на използването на гласуване с единодушие в Съвета в съответствие със съобщението на Комисията „Към по-ефективен и демократичен процес на вземане на решения в данъчната политика на ЕС“</w:t>
      </w:r>
      <w:r>
        <w:rPr>
          <w:rStyle w:val="FootnoteReference"/>
          <w:rFonts w:ascii="Times New Roman" w:hAnsi="Times New Roman"/>
          <w:noProof/>
          <w:sz w:val="24"/>
        </w:rPr>
        <w:footnoteReference w:id="68"/>
      </w:r>
      <w:r>
        <w:rPr>
          <w:rFonts w:ascii="Times New Roman" w:hAnsi="Times New Roman"/>
          <w:noProof/>
          <w:sz w:val="24"/>
        </w:rPr>
        <w:t xml:space="preserve"> ще бъде необходима предпоставка за промяна.</w:t>
      </w:r>
      <w:r>
        <w:rPr>
          <w:rFonts w:ascii="Times New Roman" w:hAnsi="Times New Roman"/>
          <w:noProof/>
          <w:sz w:val="24"/>
        </w:rPr>
        <w:t xml:space="preserve">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color w:val="000000"/>
          <w:sz w:val="24"/>
        </w:rPr>
        <w:t>Редом с това важна част от цялостния набор от политики, както и от прехода към устойчивото развитие е конкуренцията. Политиката в областта на конкуренцията допринася за „икономическата демокрация“ и равенството. Тя способства за достъпни цени, качество и</w:t>
      </w:r>
      <w:r>
        <w:rPr>
          <w:rFonts w:ascii="Times New Roman" w:hAnsi="Times New Roman"/>
          <w:noProof/>
          <w:color w:val="000000"/>
          <w:sz w:val="24"/>
        </w:rPr>
        <w:t xml:space="preserve"> избор, както и не позволява запазването на неоспорвани икономически позиции, които нямат съответното покритие. Данните</w:t>
      </w:r>
      <w:r>
        <w:rPr>
          <w:rStyle w:val="FootnoteReference"/>
          <w:rFonts w:ascii="Times New Roman" w:hAnsi="Times New Roman"/>
          <w:noProof/>
          <w:color w:val="000000"/>
          <w:sz w:val="24"/>
        </w:rPr>
        <w:footnoteReference w:id="69"/>
      </w:r>
      <w:r>
        <w:rPr>
          <w:rFonts w:ascii="Times New Roman" w:hAnsi="Times New Roman"/>
          <w:noProof/>
          <w:color w:val="000000"/>
          <w:sz w:val="24"/>
        </w:rPr>
        <w:t xml:space="preserve"> сочат, че политиката на конкуренция, относително погледнато, благоприятства по-бедните в сравнение с по-богатите домакинства и води до </w:t>
      </w:r>
      <w:r>
        <w:rPr>
          <w:rFonts w:ascii="Times New Roman" w:hAnsi="Times New Roman"/>
          <w:noProof/>
          <w:color w:val="000000"/>
          <w:sz w:val="24"/>
        </w:rPr>
        <w:t xml:space="preserve">по-ефикасно разпределение на ресурсите, както и насърчава иновациите, особено при най-напредналите технологии. </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Style w:val="SubtleEmphasis"/>
          <w:rFonts w:ascii="Times New Roman" w:hAnsi="Times New Roman" w:cs="Times New Roman"/>
          <w:i w:val="0"/>
          <w:iCs w:val="0"/>
          <w:noProof/>
          <w:color w:val="auto"/>
          <w:sz w:val="24"/>
          <w:szCs w:val="24"/>
        </w:rPr>
      </w:pPr>
      <w:r>
        <w:rPr>
          <w:rFonts w:ascii="Times New Roman" w:hAnsi="Times New Roman"/>
          <w:b/>
          <w:noProof/>
          <w:color w:val="000000"/>
          <w:sz w:val="24"/>
        </w:rPr>
        <w:t>Каре:</w:t>
      </w:r>
      <w:r>
        <w:rPr>
          <w:rFonts w:ascii="Times New Roman" w:hAnsi="Times New Roman"/>
          <w:noProof/>
          <w:color w:val="000000"/>
          <w:sz w:val="24"/>
        </w:rPr>
        <w:t xml:space="preserve"> Политиката на ЕС за държавните помощи, особено след нейното модернизиране през последните години, беше ориентирана към устойчивостта. 94 %</w:t>
      </w:r>
      <w:r>
        <w:rPr>
          <w:rFonts w:ascii="Times New Roman" w:hAnsi="Times New Roman"/>
          <w:noProof/>
          <w:color w:val="000000"/>
          <w:sz w:val="24"/>
        </w:rPr>
        <w:t xml:space="preserve"> от общата държавна помощ в ЕС бяха насочени към хоризонтални цели от общ интерес, като опазване на околната среда, научни изследвания, развитие, иновации и регионално развитие. 54 % от общите разходи бяха в подкрепа на икономии в областите на околната сре</w:t>
      </w:r>
      <w:r>
        <w:rPr>
          <w:rFonts w:ascii="Times New Roman" w:hAnsi="Times New Roman"/>
          <w:noProof/>
          <w:color w:val="000000"/>
          <w:sz w:val="24"/>
        </w:rPr>
        <w:t>да и енергията</w:t>
      </w:r>
      <w:r>
        <w:rPr>
          <w:rStyle w:val="FootnoteReference"/>
          <w:rFonts w:ascii="Times New Roman" w:hAnsi="Times New Roman"/>
          <w:noProof/>
          <w:color w:val="000000"/>
          <w:sz w:val="24"/>
        </w:rPr>
        <w:footnoteReference w:id="70"/>
      </w:r>
      <w:r>
        <w:rPr>
          <w:noProof/>
        </w:rPr>
        <w:t>.</w:t>
      </w:r>
      <w:bookmarkStart w:id="33" w:name="_Toc532469551"/>
      <w:bookmarkEnd w:id="33"/>
    </w:p>
    <w:p w:rsidR="00AA0CD6" w:rsidRDefault="00061B11">
      <w:pPr>
        <w:pStyle w:val="Heading3"/>
        <w:rPr>
          <w:noProof/>
        </w:rPr>
      </w:pPr>
      <w:bookmarkStart w:id="34" w:name="_Toc536442048"/>
      <w:bookmarkStart w:id="35" w:name="_Toc536612071"/>
      <w:r>
        <w:rPr>
          <w:noProof/>
        </w:rPr>
        <w:t>Отговорно стопанско поведение, корпоративна социална отговорност и нови бизнес модели</w:t>
      </w:r>
      <w:bookmarkEnd w:id="34"/>
      <w:bookmarkEnd w:id="35"/>
      <w:r>
        <w:rPr>
          <w:noProof/>
        </w:rPr>
        <w:t xml:space="preserve"> </w:t>
      </w: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Предприятията играят жизненоважна роля в прехода към устойчиво развитие. През последните десетилетия, както на доброволна основа, така и подбуждани от п</w:t>
      </w:r>
      <w:r>
        <w:rPr>
          <w:rFonts w:ascii="Times New Roman" w:hAnsi="Times New Roman"/>
          <w:noProof/>
          <w:sz w:val="24"/>
        </w:rPr>
        <w:t>убличните органи, все по-голям брой предприятия направиха екологичната и социалната отговорност основна част от своята корпоративна мисия. Все повече предприятия гледат на ЦУР като на неразделна част от своята стратегия за конкурентоспособност и растеж. Те</w:t>
      </w:r>
      <w:r>
        <w:rPr>
          <w:rFonts w:ascii="Times New Roman" w:hAnsi="Times New Roman"/>
          <w:noProof/>
          <w:sz w:val="24"/>
        </w:rPr>
        <w:t xml:space="preserve"> разбраха, че отговорният бизнес може да доведе до по-устойчиви печалби и растеж, нови пазарни възможности и стойност в дългосрочен план за акционерите. </w:t>
      </w:r>
    </w:p>
    <w:p w:rsidR="00AA0CD6" w:rsidRDefault="00061B11">
      <w:pPr>
        <w:autoSpaceDE w:val="0"/>
        <w:autoSpaceDN w:val="0"/>
        <w:adjustRightInd w:val="0"/>
        <w:spacing w:after="0" w:line="240" w:lineRule="auto"/>
        <w:jc w:val="center"/>
        <w:rPr>
          <w:rFonts w:ascii="Times New Roman" w:hAnsi="Times New Roman" w:cs="Times New Roman"/>
          <w:noProof/>
          <w:color w:val="000000"/>
          <w:sz w:val="24"/>
          <w:szCs w:val="24"/>
          <w:lang w:val="fr-BE"/>
        </w:rPr>
      </w:pPr>
      <w:r>
        <w:rPr>
          <w:noProof/>
          <w:lang w:val="en-GB" w:eastAsia="en-GB" w:bidi="ar-SA"/>
        </w:rPr>
        <w:drawing>
          <wp:inline distT="0" distB="0" distL="0" distR="0">
            <wp:extent cx="3040083" cy="1555668"/>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3470" cy="1557401"/>
                    </a:xfrm>
                    <a:prstGeom prst="rect">
                      <a:avLst/>
                    </a:prstGeom>
                  </pic:spPr>
                </pic:pic>
              </a:graphicData>
            </a:graphic>
          </wp:inline>
        </w:drawing>
      </w: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AA0CD6">
      <w:pPr>
        <w:autoSpaceDE w:val="0"/>
        <w:autoSpaceDN w:val="0"/>
        <w:adjustRightInd w:val="0"/>
        <w:spacing w:after="0" w:line="240" w:lineRule="auto"/>
        <w:jc w:val="both"/>
        <w:rPr>
          <w:rFonts w:ascii="Times New Roman" w:hAnsi="Times New Roman" w:cs="Times New Roman"/>
          <w:noProof/>
          <w:color w:val="000000"/>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Като се има предвид нарастващата сложност и глобализация на веригите за доставки, е важно да се насърчи прилагането на високи стандарти за устойчивост също и в трети държави. Бизнес практиките, както и моделите на потребление и производство на предприятият</w:t>
      </w:r>
      <w:r>
        <w:rPr>
          <w:rFonts w:ascii="Times New Roman" w:hAnsi="Times New Roman"/>
          <w:noProof/>
          <w:sz w:val="24"/>
        </w:rPr>
        <w:t xml:space="preserve">а и потребителите в ЕС не трябва да допринасят косвено за нарушения на правата на човека или влошаване на околната среда другаде по света.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spacing w:after="240" w:line="240" w:lineRule="auto"/>
        <w:jc w:val="both"/>
        <w:rPr>
          <w:rFonts w:ascii="Times New Roman" w:hAnsi="Times New Roman" w:cs="Times New Roman"/>
          <w:noProof/>
          <w:sz w:val="24"/>
          <w:szCs w:val="24"/>
        </w:rPr>
      </w:pPr>
      <w:r>
        <w:rPr>
          <w:rFonts w:ascii="Times New Roman" w:hAnsi="Times New Roman"/>
          <w:noProof/>
          <w:sz w:val="24"/>
        </w:rPr>
        <w:t>През последните две години ЕС засили правата на акционерите</w:t>
      </w:r>
      <w:r>
        <w:rPr>
          <w:rFonts w:ascii="Times New Roman" w:hAnsi="Times New Roman"/>
          <w:noProof/>
          <w:sz w:val="24"/>
          <w:vertAlign w:val="superscript"/>
        </w:rPr>
        <w:footnoteReference w:id="71"/>
      </w:r>
      <w:r>
        <w:rPr>
          <w:rFonts w:ascii="Times New Roman" w:hAnsi="Times New Roman"/>
          <w:noProof/>
          <w:sz w:val="24"/>
        </w:rPr>
        <w:t xml:space="preserve"> и инвеститорите</w:t>
      </w:r>
      <w:r>
        <w:rPr>
          <w:rStyle w:val="FootnoteReference"/>
          <w:rFonts w:ascii="Times New Roman" w:hAnsi="Times New Roman"/>
          <w:noProof/>
          <w:sz w:val="24"/>
        </w:rPr>
        <w:footnoteReference w:id="72"/>
      </w:r>
      <w:r>
        <w:rPr>
          <w:rFonts w:ascii="Times New Roman" w:hAnsi="Times New Roman"/>
          <w:noProof/>
          <w:sz w:val="24"/>
        </w:rPr>
        <w:t xml:space="preserve">, с което ги подпомага за разбирането </w:t>
      </w:r>
      <w:r>
        <w:rPr>
          <w:rFonts w:ascii="Times New Roman" w:hAnsi="Times New Roman"/>
          <w:noProof/>
          <w:sz w:val="24"/>
        </w:rPr>
        <w:t xml:space="preserve">на финансовите и нефинансовите аспекти на резултатите на дружествата и им дава по-голяма възможност да изискват отчетност от тях. Освен това ЕС прилага нови екологични и социални критерии в законодателството си в областта на обществените поръчки, за да се </w:t>
      </w:r>
      <w:r>
        <w:rPr>
          <w:rFonts w:ascii="Times New Roman" w:hAnsi="Times New Roman"/>
          <w:noProof/>
          <w:sz w:val="24"/>
        </w:rPr>
        <w:t>насърчат дружествата да разработват социално отговорни финансови продукти и услуги. ЕС прие Регламент за полезните изкопаеми от засегнати от конфликти зони</w:t>
      </w:r>
      <w:r>
        <w:rPr>
          <w:rFonts w:ascii="Times New Roman" w:hAnsi="Times New Roman"/>
          <w:noProof/>
          <w:sz w:val="24"/>
          <w:vertAlign w:val="superscript"/>
        </w:rPr>
        <w:footnoteReference w:id="73"/>
      </w:r>
      <w:r>
        <w:rPr>
          <w:rFonts w:ascii="Times New Roman" w:hAnsi="Times New Roman"/>
          <w:noProof/>
          <w:sz w:val="24"/>
        </w:rPr>
        <w:t xml:space="preserve"> с цел да се гарантира, че дружествата от ЕС внасят някои полезни изкопаеми и метали единствено от о</w:t>
      </w:r>
      <w:r>
        <w:rPr>
          <w:rFonts w:ascii="Times New Roman" w:hAnsi="Times New Roman"/>
          <w:noProof/>
          <w:sz w:val="24"/>
        </w:rPr>
        <w:t>тговорни източници, които не използват печалбите за финансиране на въоръжени конфликти. В тази връзка неотдавна приетият План за действие за устойчиво финансиране е също от значение, тъй като свързва финансовата системата с по-устойчиви проекти</w:t>
      </w:r>
      <w:r>
        <w:rPr>
          <w:rStyle w:val="FootnoteReference"/>
          <w:rFonts w:ascii="Times New Roman" w:hAnsi="Times New Roman"/>
          <w:noProof/>
          <w:sz w:val="24"/>
        </w:rPr>
        <w:footnoteReference w:id="74"/>
      </w:r>
      <w:r>
        <w:rPr>
          <w:noProof/>
        </w:rPr>
        <w:t>.</w:t>
      </w:r>
    </w:p>
    <w:p w:rsidR="00AA0CD6" w:rsidRDefault="00061B11">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Очевидно </w:t>
      </w:r>
      <w:r>
        <w:rPr>
          <w:rFonts w:ascii="Times New Roman" w:hAnsi="Times New Roman"/>
          <w:noProof/>
          <w:sz w:val="24"/>
        </w:rPr>
        <w:t xml:space="preserve">е обаче, че има възможности да се направи повече на всички равнища. На равнището на ЕС — като се работи за идентифицирането на подходящи мерки и конкретни начини, по които по-устойчивото поведение на предприятията може да бъде насърчавано, ще се стигне до </w:t>
      </w:r>
      <w:r>
        <w:rPr>
          <w:rFonts w:ascii="Times New Roman" w:hAnsi="Times New Roman"/>
          <w:noProof/>
          <w:sz w:val="24"/>
        </w:rPr>
        <w:t>допълнителни резултати и ще засилят конкурентните предимства на дружествата от ЕС в тази област. Ще трябва да обмислим различни форми на допълнителни стимули за предприятията да интегрират ЦУР в своите операции, включително проучване на потенциала на новит</w:t>
      </w:r>
      <w:r>
        <w:rPr>
          <w:rFonts w:ascii="Times New Roman" w:hAnsi="Times New Roman"/>
          <w:noProof/>
          <w:sz w:val="24"/>
        </w:rPr>
        <w:t>е технологии и кръговата икономика. Както във вътрешната си, така и във външната си дейност ЕС ще трябва да продължи да насърчава прилагането на международно признати насоки и принципи за отговорно бизнес поведение, като например ръководните принципи на ОО</w:t>
      </w:r>
      <w:r>
        <w:rPr>
          <w:rFonts w:ascii="Times New Roman" w:hAnsi="Times New Roman"/>
          <w:noProof/>
          <w:sz w:val="24"/>
        </w:rPr>
        <w:t>Н относно бизнеса и правата на човека. Това е важно и с оглед на осигуряването на равнопоставеност на международно равнище.</w:t>
      </w:r>
    </w:p>
    <w:p w:rsidR="00AA0CD6" w:rsidRDefault="00061B11">
      <w:pPr>
        <w:spacing w:after="240" w:line="240" w:lineRule="auto"/>
        <w:jc w:val="both"/>
        <w:rPr>
          <w:rFonts w:ascii="Times New Roman" w:hAnsi="Times New Roman" w:cs="Times New Roman"/>
          <w:noProof/>
          <w:sz w:val="24"/>
          <w:szCs w:val="24"/>
        </w:rPr>
      </w:pPr>
      <w:r>
        <w:rPr>
          <w:rFonts w:ascii="Times New Roman" w:hAnsi="Times New Roman"/>
          <w:noProof/>
          <w:sz w:val="24"/>
        </w:rPr>
        <w:t>С поглед напред икономиката на сътрудничеството — в която потребителите могат да влизат в отношения пряко помежду си — може да допри</w:t>
      </w:r>
      <w:r>
        <w:rPr>
          <w:rFonts w:ascii="Times New Roman" w:hAnsi="Times New Roman"/>
          <w:noProof/>
          <w:sz w:val="24"/>
        </w:rPr>
        <w:t>несе значително за постигането на устойчив растеж и създаването на по-устойчиви бизнес модели, ако бъдат насърчавана и развивана по отговорен начин. Понастоящем обаче мозайката от различни регулаторни подходи в целия ЕС създава несигурност еднакво у традиц</w:t>
      </w:r>
      <w:r>
        <w:rPr>
          <w:rFonts w:ascii="Times New Roman" w:hAnsi="Times New Roman"/>
          <w:noProof/>
          <w:sz w:val="24"/>
        </w:rPr>
        <w:t xml:space="preserve">ионните оператори, новите доставчици на услуги и потребителите и пречи на развитието на икономиката на сътрудничеството в ЕС и на новите и иновативни услуги, свързани с нея. </w:t>
      </w:r>
    </w:p>
    <w:p w:rsidR="00AA0CD6" w:rsidRDefault="00061B11">
      <w:pPr>
        <w:spacing w:after="240" w:line="240" w:lineRule="auto"/>
        <w:jc w:val="both"/>
        <w:rPr>
          <w:rFonts w:ascii="Times New Roman" w:hAnsi="Times New Roman" w:cs="Times New Roman"/>
          <w:noProof/>
          <w:sz w:val="24"/>
          <w:szCs w:val="24"/>
        </w:rPr>
      </w:pPr>
      <w:r>
        <w:rPr>
          <w:rFonts w:ascii="Times New Roman" w:hAnsi="Times New Roman"/>
          <w:noProof/>
          <w:sz w:val="24"/>
        </w:rPr>
        <w:t>Социалното предприемачество — насочено към решаването на проблеми в рамките на да</w:t>
      </w:r>
      <w:r>
        <w:rPr>
          <w:rFonts w:ascii="Times New Roman" w:hAnsi="Times New Roman"/>
          <w:noProof/>
          <w:sz w:val="24"/>
        </w:rPr>
        <w:t>дена общност, може също да играе важна роля при справянето с предизвикателствата, свързани с устойчивостта, като същевременно насърчава приобщаващ растеж и създаване на работни места на местно равнище, споделяне на благоденствието и социално приобщаване. С</w:t>
      </w:r>
      <w:r>
        <w:rPr>
          <w:rFonts w:ascii="Times New Roman" w:hAnsi="Times New Roman"/>
          <w:noProof/>
          <w:sz w:val="24"/>
        </w:rPr>
        <w:t>оциалните предприятия често са концентрирани в определени ниши, по-специално в местни условия, и изпитват трудности да се разрастват в ЕС. Финансирането продължава да бъде значителен проблем, поради което ЕС отделя повече финансиране за социалните предприя</w:t>
      </w:r>
      <w:r>
        <w:rPr>
          <w:rFonts w:ascii="Times New Roman" w:hAnsi="Times New Roman"/>
          <w:noProof/>
          <w:sz w:val="24"/>
        </w:rPr>
        <w:t>тия. Както и при икономиката на сътрудничеството, сложността или липсата на регулаторна рамка и ограниченията на местно равнище могат да бъдат пречка. Във Франция например в специална правна рамка, въведена през 2014 г., бяха отчетени особеностите на секто</w:t>
      </w:r>
      <w:r>
        <w:rPr>
          <w:rFonts w:ascii="Times New Roman" w:hAnsi="Times New Roman"/>
          <w:noProof/>
          <w:sz w:val="24"/>
        </w:rPr>
        <w:t xml:space="preserve">ра и бе даден нов тласък на тези предприятия. </w:t>
      </w:r>
    </w:p>
    <w:p w:rsidR="00AA0CD6" w:rsidRDefault="00061B11">
      <w:pPr>
        <w:pStyle w:val="Heading3"/>
        <w:rPr>
          <w:noProof/>
        </w:rPr>
      </w:pPr>
      <w:bookmarkStart w:id="36" w:name="_Toc536442049"/>
      <w:bookmarkStart w:id="37" w:name="_Toc536612072"/>
      <w:r>
        <w:rPr>
          <w:noProof/>
        </w:rPr>
        <w:t>Отворена и основана на правила търговия</w:t>
      </w:r>
      <w:bookmarkEnd w:id="36"/>
      <w:bookmarkEnd w:id="37"/>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Отворената и основана на правила търговия е един от най-добрите инструменти за засилване на нашето благосъстояние и това на нашите партньори, за повишаване на нашия стан</w:t>
      </w:r>
      <w:r>
        <w:rPr>
          <w:rFonts w:ascii="Times New Roman" w:hAnsi="Times New Roman"/>
          <w:noProof/>
          <w:sz w:val="24"/>
        </w:rPr>
        <w:t>дарт на живот и за устойчивостта на нашата планета и нашите демокрации. Ако искаме да постигнем успех в постигането на устойчива Европа в един устойчив свят, е от значение да използваме многостранни институции и двустранни и многостранни търговски споразум</w:t>
      </w:r>
      <w:r>
        <w:rPr>
          <w:rFonts w:ascii="Times New Roman" w:hAnsi="Times New Roman"/>
          <w:noProof/>
          <w:sz w:val="24"/>
        </w:rPr>
        <w:t xml:space="preserve">ения, с които да се формират световни стандарти.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 xml:space="preserve">Протекционистичните тенденции и подходът „моята страна е на първо място“ нерядко предизвикат конфликти. Освен това те са големи пречки пред изграждането на устойчива планета — образец за цел, която изисква </w:t>
      </w:r>
      <w:r>
        <w:rPr>
          <w:rFonts w:ascii="Times New Roman" w:hAnsi="Times New Roman"/>
          <w:noProof/>
          <w:sz w:val="24"/>
        </w:rPr>
        <w:t xml:space="preserve">международно сътрудничество. По много причини от жизненоважен интерес за ЕС е да подкрепя енергично и да поддържа многостранната система.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В контекста на прехода към устойчиво развитие трябва да работим още по-активно с единомислещи партньори за договаряне</w:t>
      </w:r>
      <w:r>
        <w:rPr>
          <w:rFonts w:ascii="Times New Roman" w:hAnsi="Times New Roman"/>
          <w:noProof/>
          <w:sz w:val="24"/>
        </w:rPr>
        <w:t>то на прогресивни нови правила, съобразени с Програмата до 2030 г. на ООН. В нея се признава ключовата роля на основаната на правила многостранна търговска система, в центъра на която е Световната търговска организация (СТО), по отношение на даването прино</w:t>
      </w:r>
      <w:r>
        <w:rPr>
          <w:rFonts w:ascii="Times New Roman" w:hAnsi="Times New Roman"/>
          <w:noProof/>
          <w:sz w:val="24"/>
        </w:rPr>
        <w:t xml:space="preserve">с за ЦУР. Ето защо текущите конструктивни усилия на ЕС за модернизиране на СТО са от първостепенно значение.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Когато някои правителства днес не изпълняват задълженията си по международни търговски споразумения, изникнат възможности за ЕС. Съюзът с най-силн</w:t>
      </w:r>
      <w:r>
        <w:rPr>
          <w:rFonts w:ascii="Times New Roman" w:hAnsi="Times New Roman"/>
          <w:noProof/>
          <w:sz w:val="24"/>
        </w:rPr>
        <w:t xml:space="preserve">о развит вътрешен пазар в света и с почти половин милиард потребители може да се намесва там, където други са се оттеглили, и вече го е правил. Освен това той поставя търговията на нова, по-устойчива основа. В момента всички нови търговски и инвестиционни </w:t>
      </w:r>
      <w:r>
        <w:rPr>
          <w:rFonts w:ascii="Times New Roman" w:hAnsi="Times New Roman"/>
          <w:noProof/>
          <w:sz w:val="24"/>
        </w:rPr>
        <w:t>споразумения на ЕС включват глава за устойчивото развитие, която подкрепя и насърчава социалните и екологичните стандарти. Споразумението за икономическо партньорство, подписано с Япония през юли 2018 г., е първото споразумение, в което са доразвити ангажи</w:t>
      </w:r>
      <w:r>
        <w:rPr>
          <w:rFonts w:ascii="Times New Roman" w:hAnsi="Times New Roman"/>
          <w:noProof/>
          <w:sz w:val="24"/>
        </w:rPr>
        <w:t>ментите, поети в рамките на Парижкото споразумение за климата. През септември 2018 г. ЕС и Канада се договориха да работят по отношение на търговията и изменението на климата в рамките на Всеобхватното икономическо и търговско споразумение (ВИТС). ЕС е в п</w:t>
      </w:r>
      <w:r>
        <w:rPr>
          <w:rFonts w:ascii="Times New Roman" w:hAnsi="Times New Roman"/>
          <w:noProof/>
          <w:sz w:val="24"/>
        </w:rPr>
        <w:t>роцес на договаряне на специфични за пола разпоредби в модернизирането на нашето споразумение за асоцииране с Чили.</w:t>
      </w:r>
    </w:p>
    <w:p w:rsidR="00AA0CD6" w:rsidRDefault="00061B1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Каре:</w:t>
      </w:r>
      <w:r>
        <w:rPr>
          <w:rFonts w:ascii="Times New Roman" w:hAnsi="Times New Roman"/>
          <w:noProof/>
          <w:sz w:val="24"/>
        </w:rPr>
        <w:t xml:space="preserve"> Комисията „Юнкер“ одобри или започна да прилага осем търговски споразумения с 15 държави, сред които Канада, Сингапур, Виетнам, Украйн</w:t>
      </w:r>
      <w:r>
        <w:rPr>
          <w:rFonts w:ascii="Times New Roman" w:hAnsi="Times New Roman"/>
          <w:noProof/>
          <w:sz w:val="24"/>
        </w:rPr>
        <w:t>а, Япония и няколко африкански и тихоокеански държави</w:t>
      </w:r>
      <w:r>
        <w:rPr>
          <w:rStyle w:val="FootnoteReference"/>
          <w:rFonts w:ascii="Times New Roman" w:hAnsi="Times New Roman"/>
          <w:noProof/>
          <w:sz w:val="24"/>
        </w:rPr>
        <w:footnoteReference w:id="75"/>
      </w:r>
      <w:r>
        <w:rPr>
          <w:rFonts w:ascii="Times New Roman" w:hAnsi="Times New Roman"/>
          <w:noProof/>
          <w:sz w:val="24"/>
        </w:rPr>
        <w:t>. Сега ЕС има 39 търговски споразумения със 70 държави по света. Разпоредбите относно търговията и устойчивото развитие са в центъра на споразуменията за свободна търговия на ЕС от 2010 г. насам.</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Комиси</w:t>
      </w:r>
      <w:r>
        <w:rPr>
          <w:rFonts w:ascii="Times New Roman" w:hAnsi="Times New Roman"/>
          <w:noProof/>
          <w:sz w:val="24"/>
        </w:rPr>
        <w:t>ята предложи 15 точки за подобряване на изпълнението и прилагането на главите за търговия и устойчиво развитие в търговските споразумения на ЕС</w:t>
      </w:r>
      <w:r>
        <w:rPr>
          <w:rStyle w:val="FootnoteReference"/>
          <w:rFonts w:ascii="Times New Roman" w:hAnsi="Times New Roman"/>
          <w:noProof/>
          <w:sz w:val="24"/>
        </w:rPr>
        <w:footnoteReference w:id="76"/>
      </w:r>
      <w:r>
        <w:rPr>
          <w:noProof/>
        </w:rPr>
        <w:t>.</w:t>
      </w:r>
      <w:r>
        <w:rPr>
          <w:rFonts w:ascii="Times New Roman" w:hAnsi="Times New Roman"/>
          <w:noProof/>
          <w:sz w:val="24"/>
        </w:rPr>
        <w:t xml:space="preserve"> Акцентът е поставен върху по-тясното сътрудничество с различни участници, по-ефективното прилагане, включителн</w:t>
      </w:r>
      <w:r>
        <w:rPr>
          <w:rFonts w:ascii="Times New Roman" w:hAnsi="Times New Roman"/>
          <w:noProof/>
          <w:sz w:val="24"/>
        </w:rPr>
        <w:t xml:space="preserve">о по-настоятелното използване на главите относно устойчивостта в съществуващия механизъм за разрешаване на спорове, както и подобрената комуникация и прозрачност. </w:t>
      </w: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Като част от усилията си за подкрепа на развиващите се страни ЕС предоставя едностранно търг</w:t>
      </w:r>
      <w:r>
        <w:rPr>
          <w:rFonts w:ascii="Times New Roman" w:hAnsi="Times New Roman"/>
          <w:noProof/>
          <w:sz w:val="24"/>
        </w:rPr>
        <w:t>овски преференции по общата схема от преференции. Преференциите зависят от това, доколко държавите бенефициери спазват основните международни конвенции и споразумения относно правата на човека и трудовите права, както и относно опазването на околната среда</w:t>
      </w:r>
      <w:r>
        <w:rPr>
          <w:rFonts w:ascii="Times New Roman" w:hAnsi="Times New Roman"/>
          <w:noProof/>
          <w:sz w:val="24"/>
        </w:rPr>
        <w:t xml:space="preserve"> и доброто управление, и така създават стимул за развиващите се държави да градят своите икономически модели на растеж на устойчива основа. В случай на сериозни и системни нарушения на принципите на тези конвенции Комисията може да оттегли временно тези пр</w:t>
      </w:r>
      <w:r>
        <w:rPr>
          <w:rFonts w:ascii="Times New Roman" w:hAnsi="Times New Roman"/>
          <w:noProof/>
          <w:sz w:val="24"/>
        </w:rPr>
        <w:t>еференции.</w:t>
      </w:r>
    </w:p>
    <w:p w:rsidR="00AA0CD6" w:rsidRDefault="00061B11">
      <w:pPr>
        <w:pStyle w:val="Heading3"/>
        <w:rPr>
          <w:noProof/>
        </w:rPr>
      </w:pPr>
      <w:bookmarkStart w:id="38" w:name="_Toc536442050"/>
      <w:bookmarkStart w:id="39" w:name="_Toc536612073"/>
      <w:r>
        <w:rPr>
          <w:noProof/>
        </w:rPr>
        <w:t>Управление и гарантиране на съгласуваност на политиките на всички равнища</w:t>
      </w:r>
      <w:bookmarkEnd w:id="38"/>
      <w:bookmarkEnd w:id="39"/>
      <w:r>
        <w:rPr>
          <w:noProof/>
        </w:rPr>
        <w:t xml:space="preserve"> </w:t>
      </w:r>
    </w:p>
    <w:p w:rsidR="00AA0CD6" w:rsidRDefault="00061B11">
      <w:pPr>
        <w:spacing w:after="0" w:line="240" w:lineRule="auto"/>
        <w:jc w:val="both"/>
        <w:rPr>
          <w:rFonts w:ascii="Times New Roman" w:hAnsi="Times New Roman" w:cs="Times New Roman"/>
          <w:noProof/>
          <w:sz w:val="24"/>
          <w:szCs w:val="24"/>
        </w:rPr>
      </w:pPr>
      <w:r>
        <w:rPr>
          <w:rFonts w:ascii="Times New Roman" w:hAnsi="Times New Roman"/>
          <w:noProof/>
          <w:sz w:val="24"/>
        </w:rPr>
        <w:t>Действителната промяна към устойчиво развитие в полза на всички европейци чрез постигането на ЦУР изисква цялостен подход. ЕС, неговите държави членки и неговите партньор</w:t>
      </w:r>
      <w:r>
        <w:rPr>
          <w:rFonts w:ascii="Times New Roman" w:hAnsi="Times New Roman"/>
          <w:noProof/>
          <w:sz w:val="24"/>
        </w:rPr>
        <w:t xml:space="preserve">и трябва да отчитат взаимовръзките между различните възможности и предизвикателства, свързани с устойчивостта, и да подкрепят съгласуваността между различните области, сектори и равнища на вземане на решения във връзка с политиките. </w:t>
      </w:r>
    </w:p>
    <w:p w:rsidR="00AA0CD6" w:rsidRDefault="00AA0CD6">
      <w:pPr>
        <w:spacing w:after="0" w:line="240" w:lineRule="auto"/>
        <w:jc w:val="both"/>
        <w:rPr>
          <w:rFonts w:ascii="Times New Roman" w:hAnsi="Times New Roman" w:cs="Times New Roman"/>
          <w:i/>
          <w:noProof/>
          <w:sz w:val="24"/>
          <w:szCs w:val="24"/>
        </w:rPr>
      </w:pPr>
    </w:p>
    <w:p w:rsidR="00AA0CD6" w:rsidRDefault="00AA0CD6">
      <w:pPr>
        <w:spacing w:after="0" w:line="240" w:lineRule="auto"/>
        <w:jc w:val="center"/>
        <w:rPr>
          <w:rFonts w:ascii="Times New Roman" w:hAnsi="Times New Roman" w:cs="Times New Roman"/>
          <w:i/>
          <w:noProof/>
          <w:sz w:val="24"/>
          <w:szCs w:val="24"/>
          <w:lang w:val="ru-RU"/>
        </w:rPr>
      </w:pPr>
    </w:p>
    <w:p w:rsidR="00AA0CD6" w:rsidRDefault="00061B11">
      <w:pPr>
        <w:spacing w:after="0" w:line="240" w:lineRule="auto"/>
        <w:jc w:val="center"/>
        <w:rPr>
          <w:rFonts w:ascii="Times New Roman" w:hAnsi="Times New Roman" w:cs="Times New Roman"/>
          <w:i/>
          <w:noProof/>
          <w:sz w:val="24"/>
          <w:szCs w:val="24"/>
          <w:lang w:val="fr-BE"/>
        </w:rPr>
      </w:pPr>
      <w:r>
        <w:rPr>
          <w:noProof/>
          <w:lang w:val="en-GB" w:eastAsia="en-GB" w:bidi="ar-SA"/>
        </w:rPr>
        <w:drawing>
          <wp:inline distT="0" distB="0" distL="0" distR="0">
            <wp:extent cx="3129148" cy="2731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35032" cy="2736461"/>
                    </a:xfrm>
                    <a:prstGeom prst="rect">
                      <a:avLst/>
                    </a:prstGeom>
                  </pic:spPr>
                </pic:pic>
              </a:graphicData>
            </a:graphic>
          </wp:inline>
        </w:drawing>
      </w:r>
    </w:p>
    <w:p w:rsidR="00AA0CD6" w:rsidRDefault="00AA0CD6">
      <w:pPr>
        <w:spacing w:after="0" w:line="240" w:lineRule="auto"/>
        <w:jc w:val="both"/>
        <w:rPr>
          <w:rFonts w:ascii="Times New Roman" w:hAnsi="Times New Roman" w:cs="Times New Roman"/>
          <w:noProof/>
          <w:sz w:val="24"/>
          <w:szCs w:val="24"/>
        </w:rPr>
      </w:pPr>
    </w:p>
    <w:p w:rsidR="00AA0CD6" w:rsidRDefault="00061B11">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Зачитането на </w:t>
      </w:r>
      <w:r>
        <w:rPr>
          <w:rFonts w:ascii="Times New Roman" w:hAnsi="Times New Roman"/>
          <w:noProof/>
          <w:sz w:val="24"/>
        </w:rPr>
        <w:t>принципите на правовата държава, демокрацията и основните права е еднозначно с нас. Това са неподлежащи на обсъждане принципи и ценности, заложени в Договорите на ЕС, и са основите, върху които градим. Те са също така установени като неразделна част от Про</w:t>
      </w:r>
      <w:r>
        <w:rPr>
          <w:rFonts w:ascii="Times New Roman" w:hAnsi="Times New Roman"/>
          <w:noProof/>
          <w:sz w:val="24"/>
        </w:rPr>
        <w:t>грамата на ООН до 2030 г. и ЦУР. Същото важи за принципите на мир, справедливост и силни институции, които винаги да били енергично застъпвани от ЕС. Тези принципи и общи ценности не се реализират от само себе си и ЕС, неговите държави членки и всъщност вс</w:t>
      </w:r>
      <w:r>
        <w:rPr>
          <w:rFonts w:ascii="Times New Roman" w:hAnsi="Times New Roman"/>
          <w:noProof/>
          <w:sz w:val="24"/>
        </w:rPr>
        <w:t>ички европейци трябва да ги защитават, поддържат и укрепват. Значителен може да бъде и приносът на социалните партньори. Необходимо е това партньорство да бъде поддържано и укрепвано, така че да се гарантират както ефективно управление, така и съответна съ</w:t>
      </w:r>
      <w:r>
        <w:rPr>
          <w:rFonts w:ascii="Times New Roman" w:hAnsi="Times New Roman"/>
          <w:noProof/>
          <w:sz w:val="24"/>
        </w:rPr>
        <w:t>гласуваност на политиките.</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 xml:space="preserve">Освен тези основни принципи от съществено значение е съгласуването на политиките във всички области, като в основата му са заложени планиране, основани на факти политики, приобщаване, ефективност, зачитане на принципите на </w:t>
      </w:r>
      <w:r>
        <w:rPr>
          <w:rFonts w:ascii="Times New Roman" w:hAnsi="Times New Roman"/>
          <w:noProof/>
          <w:sz w:val="24"/>
        </w:rPr>
        <w:t xml:space="preserve">субсидиарност и пропорционалност, както и измерване и наблюдение. По-доброто регулиране и по-доброто управление на всички равнища са изключително важни в това отношение. Необходими са задълбочени оценки на въздействието за всички варианти на политиката, а </w:t>
      </w:r>
      <w:r>
        <w:rPr>
          <w:rFonts w:ascii="Times New Roman" w:hAnsi="Times New Roman"/>
          <w:noProof/>
          <w:sz w:val="24"/>
        </w:rPr>
        <w:t>компромисите между икономическите, социалните и екологичните цели на политиката трябва да бъдат сведени до минимум и смекчени. Също следва да се подходи по ефективен и структуриран начин към свързаните с това пропуски в прилагането, които застрашава съглас</w:t>
      </w:r>
      <w:r>
        <w:rPr>
          <w:rFonts w:ascii="Times New Roman" w:hAnsi="Times New Roman"/>
          <w:noProof/>
          <w:sz w:val="24"/>
        </w:rPr>
        <w:t>уваността на политиката за устойчиво развитие.</w:t>
      </w:r>
    </w:p>
    <w:p w:rsidR="00AA0CD6" w:rsidRDefault="00AA0CD6">
      <w:pPr>
        <w:autoSpaceDE w:val="0"/>
        <w:autoSpaceDN w:val="0"/>
        <w:adjustRightInd w:val="0"/>
        <w:spacing w:after="0" w:line="240" w:lineRule="auto"/>
        <w:jc w:val="both"/>
        <w:rPr>
          <w:rFonts w:ascii="Times New Roman" w:hAnsi="Times New Roman"/>
          <w:noProof/>
          <w:sz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Неделимостта е отличителен белег на ЦУР и повечето от тях обхващат няколко области на политиката. Поради това по-доброто сътрудничество между отделните администрации трябва да бъде придружено от по-добра съгл</w:t>
      </w:r>
      <w:r>
        <w:rPr>
          <w:rFonts w:ascii="Times New Roman" w:hAnsi="Times New Roman"/>
          <w:noProof/>
          <w:sz w:val="24"/>
        </w:rPr>
        <w:t>асуваност между различните области на политиката. Продоволствените, енергийните и водните ресурси са тясно свързани. Същото се отнася например и за транспорта, качеството на въздуха и здравето. Така нареченият подход на „взаимовръзката“ изисква многосектор</w:t>
      </w:r>
      <w:r>
        <w:rPr>
          <w:rFonts w:ascii="Times New Roman" w:hAnsi="Times New Roman"/>
          <w:noProof/>
          <w:sz w:val="24"/>
        </w:rPr>
        <w:t xml:space="preserve">ни проекти на всички равнища, които отчитат преплитанията между ЦУР. Комисията следваше този подход чрез приемането на вътрешен метод на работа, при който комисарите и всички служители на Европейската комисия скъсват с тясното ведомствено мислене.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Съглас</w:t>
      </w:r>
      <w:r>
        <w:rPr>
          <w:rFonts w:ascii="Times New Roman" w:hAnsi="Times New Roman"/>
          <w:noProof/>
          <w:sz w:val="24"/>
        </w:rPr>
        <w:t>уваността на политиката е приложима не само във вътрешен план, но и към въздействието на вътрешните политики върху външното измерение, и обратно. Трябва да се погрижим да не изнасяме нашия екологичен отпечатък или да генерираме бедност, неравенство и неста</w:t>
      </w:r>
      <w:r>
        <w:rPr>
          <w:rFonts w:ascii="Times New Roman" w:hAnsi="Times New Roman"/>
          <w:noProof/>
          <w:sz w:val="24"/>
        </w:rPr>
        <w:t xml:space="preserve">билност в други части на света. Като европейци ние сме напълно наясно, че негативното въздействие другаде, на свой ред, ще има ефект на бумеранг върху нашата икономика и общество, например чрез влошаване на причините за миграцията. ЕС е поел ангажимент за </w:t>
      </w:r>
      <w:r>
        <w:rPr>
          <w:rFonts w:ascii="Times New Roman" w:hAnsi="Times New Roman"/>
          <w:noProof/>
          <w:sz w:val="24"/>
        </w:rPr>
        <w:t>съгласуваност на политиките за развитие, което гарантира, че въздействието на вътрешните политики на ЕС върху развиващите се страни се взема систематично под внимание. В последващите действия на Комисията като цяло във връзка с Програмата на ООН до 2030 г.</w:t>
      </w:r>
      <w:r>
        <w:rPr>
          <w:rFonts w:ascii="Times New Roman" w:hAnsi="Times New Roman"/>
          <w:noProof/>
          <w:sz w:val="24"/>
        </w:rPr>
        <w:t xml:space="preserve"> е интегриран съответен мониторинг</w:t>
      </w:r>
      <w:r>
        <w:rPr>
          <w:noProof/>
          <w:vertAlign w:val="superscript"/>
        </w:rPr>
        <w:footnoteReference w:id="77"/>
      </w:r>
      <w:r>
        <w:rPr>
          <w:rFonts w:ascii="Times New Roman" w:hAnsi="Times New Roman"/>
          <w:noProof/>
          <w:sz w:val="24"/>
        </w:rPr>
        <w:t xml:space="preserve">. </w:t>
      </w:r>
    </w:p>
    <w:p w:rsidR="00AA0CD6" w:rsidRDefault="00AA0CD6">
      <w:pPr>
        <w:spacing w:after="0" w:line="240" w:lineRule="auto"/>
        <w:jc w:val="both"/>
        <w:rPr>
          <w:rFonts w:ascii="Times New Roman" w:hAnsi="Times New Roman"/>
          <w:noProof/>
          <w:sz w:val="24"/>
        </w:rPr>
      </w:pP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rPr>
        <w:t>За успеха на политиките се нуждаем от определянето на ясни и измерими цели, така че напредъкът да може да бъде проследен и резултатите да се направят публично достъпни. Постигането на споразумение по такива цели и сис</w:t>
      </w:r>
      <w:r>
        <w:rPr>
          <w:rFonts w:ascii="Times New Roman" w:hAnsi="Times New Roman"/>
          <w:noProof/>
          <w:sz w:val="24"/>
        </w:rPr>
        <w:t xml:space="preserve">тема за мониторинг може да представлява следващата стъпка на равнището на ЕС. Европейският съвет приветства намерението на Комисията да публикува настоящия документ за размисъл с цел през 2019 г. да се проправи пътят за цялостна стратегия за изпълнение на </w:t>
      </w:r>
      <w:r>
        <w:rPr>
          <w:rFonts w:ascii="Times New Roman" w:hAnsi="Times New Roman"/>
          <w:noProof/>
          <w:sz w:val="24"/>
        </w:rPr>
        <w:t>Програмата на ООН до 2030 г., в която би могло да се включат изводите от настоящия документ.</w:t>
      </w:r>
    </w:p>
    <w:p w:rsidR="00AA0CD6" w:rsidRDefault="00061B11">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Изпълнението на ЦУР изисква също така ефективно сътрудничество както на равнището на ЕС, така и на национално, регионално и местно равнище. Препоръките на съобщени</w:t>
      </w:r>
      <w:r>
        <w:rPr>
          <w:rFonts w:ascii="Times New Roman" w:hAnsi="Times New Roman"/>
          <w:noProof/>
          <w:sz w:val="24"/>
        </w:rPr>
        <w:t>ето на Комисията „Принципите на субсидиарност и пропорционалност: засилване на тяхната роля в изготвянето на политиките на ЕС“, които следваха Работната група по въпросите на субсидиарността, пропорционалността и принципа „правим по-малко, но по-ефективно“</w:t>
      </w:r>
      <w:r>
        <w:rPr>
          <w:rFonts w:ascii="Times New Roman" w:hAnsi="Times New Roman"/>
          <w:noProof/>
          <w:sz w:val="24"/>
        </w:rPr>
        <w:t>, осигуриха пътна карта за постигането на тази цел</w:t>
      </w:r>
      <w:r>
        <w:rPr>
          <w:rStyle w:val="FootnoteReference"/>
          <w:rFonts w:ascii="Times New Roman" w:hAnsi="Times New Roman"/>
          <w:noProof/>
          <w:sz w:val="24"/>
        </w:rPr>
        <w:footnoteReference w:id="78"/>
      </w:r>
      <w:r>
        <w:rPr>
          <w:noProof/>
        </w:rPr>
        <w:t>.</w:t>
      </w:r>
      <w:r>
        <w:rPr>
          <w:rFonts w:ascii="Times New Roman" w:hAnsi="Times New Roman"/>
          <w:noProof/>
          <w:sz w:val="24"/>
        </w:rPr>
        <w:t xml:space="preserve"> Комисията и другите органи на ЕС биха могли по-специално да улеснят обмена на най-добри практики между градовете и регионите и да определят параметрите за трансграничен териториален подход към изпълнение</w:t>
      </w:r>
      <w:r>
        <w:rPr>
          <w:rFonts w:ascii="Times New Roman" w:hAnsi="Times New Roman"/>
          <w:noProof/>
          <w:sz w:val="24"/>
        </w:rPr>
        <w:t xml:space="preserve">то на ЦУР. </w:t>
      </w:r>
    </w:p>
    <w:p w:rsidR="00AA0CD6" w:rsidRDefault="00AA0CD6">
      <w:pPr>
        <w:widowControl w:val="0"/>
        <w:spacing w:after="0" w:line="240" w:lineRule="auto"/>
        <w:jc w:val="both"/>
        <w:rPr>
          <w:rFonts w:ascii="Times New Roman" w:hAnsi="Times New Roman" w:cs="Times New Roman"/>
          <w:noProof/>
          <w:sz w:val="24"/>
          <w:szCs w:val="24"/>
        </w:rPr>
      </w:pPr>
    </w:p>
    <w:p w:rsidR="00AA0CD6" w:rsidRDefault="00061B11">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Гражданското общество, частния сектор и академичните среди несъмнено също трябва да бъде част от водения разговор и мерките за изпълнение. Многостранната платформа на високо равнище относно ЦУР, създадена от Европейската комисия през 2017 г.</w:t>
      </w:r>
      <w:r>
        <w:rPr>
          <w:rStyle w:val="FootnoteReference"/>
          <w:rFonts w:ascii="Times New Roman" w:hAnsi="Times New Roman"/>
          <w:noProof/>
          <w:sz w:val="24"/>
        </w:rPr>
        <w:footnoteReference w:id="79"/>
      </w:r>
      <w:r>
        <w:rPr>
          <w:rFonts w:ascii="Times New Roman" w:hAnsi="Times New Roman"/>
          <w:noProof/>
          <w:sz w:val="24"/>
        </w:rPr>
        <w:t>,</w:t>
      </w:r>
      <w:r>
        <w:rPr>
          <w:rFonts w:ascii="Times New Roman" w:hAnsi="Times New Roman"/>
          <w:noProof/>
          <w:sz w:val="24"/>
        </w:rPr>
        <w:t xml:space="preserve"> послужи положително за обединяването на хоризонтални идеи. Приносът на платформата бе изключително ценен за работата на Комисията и е приложен към настоящия документ за размисъл. Експертната група на високо равнище по въпросите на устойчивото финансиране </w:t>
      </w:r>
      <w:r>
        <w:rPr>
          <w:rFonts w:ascii="Times New Roman" w:hAnsi="Times New Roman"/>
          <w:noProof/>
          <w:sz w:val="24"/>
        </w:rPr>
        <w:t>е друг положителен пример за междусекторното сътрудничество, което беше от основно значение за подготовката на плана за действие на Комисията за устойчиво финансиране.</w:t>
      </w:r>
    </w:p>
    <w:p w:rsidR="00AA0CD6" w:rsidRDefault="00AA0CD6">
      <w:pPr>
        <w:widowControl w:val="0"/>
        <w:spacing w:after="0" w:line="240" w:lineRule="auto"/>
        <w:jc w:val="both"/>
        <w:rPr>
          <w:rFonts w:ascii="Times New Roman" w:hAnsi="Times New Roman" w:cs="Times New Roman"/>
          <w:noProof/>
          <w:sz w:val="24"/>
          <w:szCs w:val="24"/>
        </w:rPr>
      </w:pPr>
    </w:p>
    <w:p w:rsidR="00AA0CD6" w:rsidRDefault="00061B11">
      <w:pPr>
        <w:spacing w:after="0" w:line="240" w:lineRule="auto"/>
        <w:jc w:val="both"/>
        <w:rPr>
          <w:rFonts w:ascii="Times New Roman" w:hAnsi="Times New Roman" w:cs="Times New Roman"/>
          <w:noProof/>
          <w:sz w:val="24"/>
          <w:szCs w:val="24"/>
        </w:rPr>
      </w:pPr>
      <w:r>
        <w:rPr>
          <w:rFonts w:ascii="Times New Roman" w:hAnsi="Times New Roman"/>
          <w:noProof/>
          <w:sz w:val="24"/>
        </w:rPr>
        <w:t>При сложни предизвикателства с широка гама от конкуриращи се интереси партньорствата ме</w:t>
      </w:r>
      <w:r>
        <w:rPr>
          <w:rFonts w:ascii="Times New Roman" w:hAnsi="Times New Roman"/>
          <w:noProof/>
          <w:sz w:val="24"/>
        </w:rPr>
        <w:t xml:space="preserve">жду множество заинтересовани страни могат да бъдат допълнително насърчавани с цел да се вземе предвид взаимозависимостта между различните ЦУР. </w:t>
      </w:r>
    </w:p>
    <w:p w:rsidR="00AA0CD6" w:rsidRDefault="00AA0CD6">
      <w:pPr>
        <w:spacing w:after="0" w:line="240" w:lineRule="auto"/>
        <w:jc w:val="both"/>
        <w:rPr>
          <w:rFonts w:ascii="Times New Roman" w:hAnsi="Times New Roman" w:cs="Times New Roman"/>
          <w:noProof/>
          <w:sz w:val="24"/>
          <w:szCs w:val="24"/>
        </w:rPr>
      </w:pPr>
    </w:p>
    <w:p w:rsidR="00AA0CD6" w:rsidRDefault="00061B11">
      <w:pPr>
        <w:spacing w:line="240" w:lineRule="auto"/>
        <w:jc w:val="both"/>
        <w:rPr>
          <w:rFonts w:ascii="Times New Roman" w:hAnsi="Times New Roman" w:cs="Times New Roman"/>
          <w:noProof/>
          <w:sz w:val="24"/>
          <w:szCs w:val="24"/>
        </w:rPr>
      </w:pPr>
      <w:r>
        <w:rPr>
          <w:rFonts w:ascii="Times New Roman" w:hAnsi="Times New Roman"/>
          <w:noProof/>
          <w:sz w:val="24"/>
        </w:rPr>
        <w:t>От друга страна, подходът на многостепенно управление изисква усилията на ЕС да са добре организирани на равнищ</w:t>
      </w:r>
      <w:r>
        <w:rPr>
          <w:rFonts w:ascii="Times New Roman" w:hAnsi="Times New Roman"/>
          <w:noProof/>
          <w:sz w:val="24"/>
        </w:rPr>
        <w:t xml:space="preserve">ето на глобалното управление. При изпълнението на ЦУР трябва да се справим с много предизвикателства, които не признават граници. Ето защо е необходима по-силна „насочена навън“ ориентация в тясно сътрудничество с партньорите на ЕС от целия свят на всички </w:t>
      </w:r>
      <w:r>
        <w:rPr>
          <w:rFonts w:ascii="Times New Roman" w:hAnsi="Times New Roman"/>
          <w:noProof/>
          <w:sz w:val="24"/>
        </w:rPr>
        <w:t>равнища. В рамките на ООН е ключова ролята на Политическия форум на високо равнище, по-специално при проследяването на напредъка. ЕС, като силен поддръжник на многостранното сътрудничество, може да играе водеща роля както при гарантирането на точно докладв</w:t>
      </w:r>
      <w:r>
        <w:rPr>
          <w:rFonts w:ascii="Times New Roman" w:hAnsi="Times New Roman"/>
          <w:noProof/>
          <w:sz w:val="24"/>
        </w:rPr>
        <w:t>ане на напредъка по ЦУР, така и при застъпването за строго прилагане и мониторинг от страна на всички партньори.</w:t>
      </w:r>
    </w:p>
    <w:p w:rsidR="00AA0CD6" w:rsidRDefault="00061B11">
      <w:pPr>
        <w:pStyle w:val="Heading1"/>
        <w:rPr>
          <w:rFonts w:eastAsia="Times New Roman"/>
          <w:noProof/>
        </w:rPr>
      </w:pPr>
      <w:bookmarkStart w:id="40" w:name="_Toc536442051"/>
      <w:bookmarkStart w:id="41" w:name="_Toc536612074"/>
      <w:r>
        <w:rPr>
          <w:noProof/>
        </w:rPr>
        <w:t>ЕС като глобален пионер в устойчивото развитие</w:t>
      </w:r>
      <w:bookmarkEnd w:id="40"/>
      <w:bookmarkEnd w:id="41"/>
    </w:p>
    <w:p w:rsidR="00AA0CD6" w:rsidRDefault="00AA0CD6">
      <w:pPr>
        <w:rPr>
          <w:noProof/>
          <w:sz w:val="4"/>
          <w:szCs w:val="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ЕС и ООН са естествени партньори в усилията за изграждане на по-сигурен и по-добър свят за всички. Ние не се нуждаем от повече стени, а от световни правила, спазвани от всички. Основаната на правила система е най-силният гарант за устойчивостта на нашите и</w:t>
      </w:r>
      <w:r>
        <w:rPr>
          <w:rFonts w:ascii="Times New Roman" w:hAnsi="Times New Roman"/>
          <w:noProof/>
          <w:sz w:val="24"/>
        </w:rPr>
        <w:t>кономика и общество. Единствено многостранната дипломация може да доведе до решения на международните предизвикателства. В Глобалната стратегия за външната политика и политиката на сигурност на ЕС се признава значението на ЦУР като приоритет във всички обл</w:t>
      </w:r>
      <w:r>
        <w:rPr>
          <w:rFonts w:ascii="Times New Roman" w:hAnsi="Times New Roman"/>
          <w:noProof/>
          <w:sz w:val="24"/>
        </w:rPr>
        <w:t xml:space="preserve">асти, като в отношенията на ЕС и неговите държави членки с останалия свят са необходими техните съгласувани усилия.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С възобновяването на конфликтите, съпроводени с насилие, по света, особено през последните пет години, ни се напомня отново, че мирът и си</w:t>
      </w:r>
      <w:r>
        <w:rPr>
          <w:rFonts w:ascii="Times New Roman" w:hAnsi="Times New Roman"/>
          <w:noProof/>
          <w:sz w:val="24"/>
        </w:rPr>
        <w:t>гурността в ЕС зависят също така от способността на ЕС да допринесе за изграждането и поддържането на мира в други части на света. Опитът на ЕС в изграждането на мира у дома му дава меката сила и доверието в него като глобален фактор за устойчив мир и прос</w:t>
      </w:r>
      <w:r>
        <w:rPr>
          <w:rFonts w:ascii="Times New Roman" w:hAnsi="Times New Roman"/>
          <w:noProof/>
          <w:sz w:val="24"/>
        </w:rPr>
        <w:t xml:space="preserve">перитет.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ЕС трябва също така да продължи да споделя устойчиви решения на глобалните проблеми, тъй като нашата политика ще има само ограничено въздействие върху планетата, ако други преследват противоположни политики. С оказването на помощ и поощряването </w:t>
      </w:r>
      <w:r>
        <w:rPr>
          <w:rFonts w:ascii="Times New Roman" w:hAnsi="Times New Roman"/>
          <w:noProof/>
          <w:sz w:val="24"/>
        </w:rPr>
        <w:t>на други да следват нашите действия ЕС може да даде импулс за равнопоставеност при конкуренцията, така че всички да се конкурират при едни и същи условия. Освен това споделянето на решенията на ЕС в чужбина води до повече работни места и устойчив растеж не</w:t>
      </w:r>
      <w:r>
        <w:rPr>
          <w:rFonts w:ascii="Times New Roman" w:hAnsi="Times New Roman"/>
          <w:noProof/>
          <w:sz w:val="24"/>
        </w:rPr>
        <w:t xml:space="preserve"> само в държавите партньори, но и в рамките на самия ЕС.</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В крайна сметка, за да сме най-успешни в „зеления“ и приобщаващ икономически преход, трябва да привлечем към идеята нашите световни партньори и да се аргументираме успешно, че моделът на глобалното </w:t>
      </w:r>
      <w:r>
        <w:rPr>
          <w:rFonts w:ascii="Times New Roman" w:hAnsi="Times New Roman"/>
          <w:noProof/>
          <w:sz w:val="24"/>
        </w:rPr>
        <w:t>устойчиво развитие, основан на нашите основни ценности и принципи, е най-добрият начин за постигане на споделен просперитет и устойчив свят. Следователно работата в рамките на ЕС по ЦУР и нейното външно измерение са двете страни на една и съща монета. В ин</w:t>
      </w:r>
      <w:r>
        <w:rPr>
          <w:rFonts w:ascii="Times New Roman" w:hAnsi="Times New Roman"/>
          <w:noProof/>
          <w:sz w:val="24"/>
        </w:rPr>
        <w:t xml:space="preserve">терес на ЕС е също чрез своята външна дейност да играе водеща роля в изпълнението на Програмата на ООН до 2030 г. в световен мащаб.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pStyle w:val="PlainText"/>
        <w:jc w:val="both"/>
        <w:rPr>
          <w:rFonts w:ascii="Times New Roman" w:hAnsi="Times New Roman" w:cs="Times New Roman"/>
          <w:noProof/>
          <w:sz w:val="24"/>
          <w:szCs w:val="24"/>
        </w:rPr>
      </w:pPr>
      <w:r>
        <w:rPr>
          <w:rFonts w:ascii="Times New Roman" w:hAnsi="Times New Roman"/>
          <w:noProof/>
          <w:sz w:val="24"/>
        </w:rPr>
        <w:t xml:space="preserve">ЕС и неговите държави членки са най-големият донор в света в областта на развитието и хуманитарната помощ. ЕС е поел </w:t>
      </w:r>
      <w:r>
        <w:rPr>
          <w:rFonts w:ascii="Times New Roman" w:hAnsi="Times New Roman"/>
          <w:noProof/>
          <w:sz w:val="24"/>
        </w:rPr>
        <w:t>колективен ангажимент да увеличи своя принос за официалната помощ за развитие до поне 0,7 % от годишния брутен национален доход на ЕС. Чрез сътрудничество с 150 държави партньори по целия свят сътрудничеството за развитие на ЕС е както средство за извеждан</w:t>
      </w:r>
      <w:r>
        <w:rPr>
          <w:rFonts w:ascii="Times New Roman" w:hAnsi="Times New Roman"/>
          <w:noProof/>
          <w:sz w:val="24"/>
        </w:rPr>
        <w:t>ето на хората от бедността и за осигуряването на достойнство и равенство, така и за изграждането на мирни, справедливи и приобщаващи общества. Поради продължителния характер на кризите е наложително ЕС да не спира да полага съгласувани усилия с цел едновре</w:t>
      </w:r>
      <w:r>
        <w:rPr>
          <w:rFonts w:ascii="Times New Roman" w:hAnsi="Times New Roman"/>
          <w:noProof/>
          <w:sz w:val="24"/>
        </w:rPr>
        <w:t>менно да се отговори на хуманитарните нужди и да се води борба с първопричините за бедността, разселването, несигурността и нестабилността.</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Новият Европейски консенсус за развитие изрично насочва действията на ЕС към изпълнението на Програмата на ООН до 2</w:t>
      </w:r>
      <w:r>
        <w:rPr>
          <w:rFonts w:ascii="Times New Roman" w:hAnsi="Times New Roman"/>
          <w:noProof/>
          <w:sz w:val="24"/>
        </w:rPr>
        <w:t>030 г. с основна цел изкореняване на бедността. Едно от неговите ключови предимства е, че той представлява съвместен ангажимент на ЕС и всички негови държави членки да работят по-добре заедно, включително чрез по-висока степен на съвместно планиране и по-е</w:t>
      </w:r>
      <w:r>
        <w:rPr>
          <w:rFonts w:ascii="Times New Roman" w:hAnsi="Times New Roman"/>
          <w:noProof/>
          <w:sz w:val="24"/>
        </w:rPr>
        <w:t xml:space="preserve">фективно координиране на място. Тази нова ориентация следва допълнително да се подобри с бъдещия външен финансов инструмент на ЕС, изрично предназначен за подкрепа на изпълнението на ЦУР.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Ние ще продължим активното си взаимодействие с държавите партньори</w:t>
      </w:r>
      <w:r>
        <w:rPr>
          <w:rFonts w:ascii="Times New Roman" w:hAnsi="Times New Roman"/>
          <w:noProof/>
          <w:sz w:val="24"/>
        </w:rPr>
        <w:t xml:space="preserve"> чрез политически диалози на основата на ЦУР, придружени от нашата финансова помощ и сътрудничество за развитие. Новото партньорство на ЕС с държавите от Африка, Карибите и Тихоокеанския басейн, което ще бъде правоприемник на настоящото Споразумение от Кот</w:t>
      </w:r>
      <w:r>
        <w:rPr>
          <w:rFonts w:ascii="Times New Roman" w:hAnsi="Times New Roman"/>
          <w:noProof/>
          <w:sz w:val="24"/>
        </w:rPr>
        <w:t>ону, следва да работи за постигането на по-голямо благоденствие чрез изпълнението на ЦУР. В етапите напред изграждането на силно партньорство и сътрудничество с Африка на равна основа следва да бъде от особено значение за ЕС и неговите държави членки. ЕС е</w:t>
      </w:r>
      <w:r>
        <w:rPr>
          <w:rFonts w:ascii="Times New Roman" w:hAnsi="Times New Roman"/>
          <w:noProof/>
          <w:sz w:val="24"/>
        </w:rPr>
        <w:t xml:space="preserve"> силно заинтересован африканският континент да процъфтява политически и икономически, както и да предлага по-големи възможности за растеж, местни работни места, нови бизнес модели и взаимно изгодни търговски отношения с Европа. Успоредно с това взаимодейст</w:t>
      </w:r>
      <w:r>
        <w:rPr>
          <w:rFonts w:ascii="Times New Roman" w:hAnsi="Times New Roman"/>
          <w:noProof/>
          <w:sz w:val="24"/>
        </w:rPr>
        <w:t>вието на ЕС с по-напредналите развиващи се държави в широк кръг сектори може да има значително въздействие върху глобалното устойчиво развитие.</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Цялостното включване на частния сектор и стимулирането на устойчиви инвестиции също отвъд границите на ЕС остав</w:t>
      </w:r>
      <w:r>
        <w:rPr>
          <w:rFonts w:ascii="Times New Roman" w:hAnsi="Times New Roman"/>
          <w:noProof/>
          <w:sz w:val="24"/>
        </w:rPr>
        <w:t>ат приоритет. С Европейския план за външни инвестиции бе създаден нов стандарт в използването на публични средства за привличане на частни инвестиции за устойчиво развитие в партньорските държави, като се започне от Африка и съседните на ЕС държави</w:t>
      </w:r>
      <w:r>
        <w:rPr>
          <w:rStyle w:val="FootnoteReference"/>
          <w:rFonts w:ascii="Times New Roman" w:hAnsi="Times New Roman"/>
          <w:noProof/>
          <w:sz w:val="24"/>
        </w:rPr>
        <w:footnoteReference w:id="80"/>
      </w:r>
      <w:r>
        <w:rPr>
          <w:noProof/>
        </w:rPr>
        <w:t>.</w:t>
      </w:r>
      <w:r>
        <w:rPr>
          <w:rFonts w:ascii="Times New Roman" w:hAnsi="Times New Roman"/>
          <w:noProof/>
          <w:sz w:val="24"/>
        </w:rPr>
        <w:t xml:space="preserve"> Новия</w:t>
      </w:r>
      <w:r>
        <w:rPr>
          <w:rFonts w:ascii="Times New Roman" w:hAnsi="Times New Roman"/>
          <w:noProof/>
          <w:sz w:val="24"/>
        </w:rPr>
        <w:t xml:space="preserve">т алианс между Африка и Европа за устойчиви инвестиции и работни места, стартирал през септември 2018 г., има голям потенциал за генериране на устойчиви инвестиции с перспектива за създаване на до 10 милиона работни места в Африка само през следващите пет </w:t>
      </w:r>
      <w:r>
        <w:rPr>
          <w:rFonts w:ascii="Times New Roman" w:hAnsi="Times New Roman"/>
          <w:noProof/>
          <w:sz w:val="24"/>
        </w:rPr>
        <w:t xml:space="preserve">години.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Тъй като развиващите се държави се сблъскват по-специално с трудности по отношение на достъпа до съответно финансиране за техните потребности от устойчива инфраструктура и енергийна ефективност, глобалният характер на финансовите пазари може да о</w:t>
      </w:r>
      <w:r>
        <w:rPr>
          <w:rFonts w:ascii="Times New Roman" w:hAnsi="Times New Roman"/>
          <w:noProof/>
          <w:sz w:val="24"/>
        </w:rPr>
        <w:t>сигури големи възможности в подкрепа на всички държави при извършването на техния преход, като създава връзка между местните потребности и глобални източници на финансиране. Обединяването на устойчиви финансови инициативи и инструменти между отделните юрис</w:t>
      </w:r>
      <w:r>
        <w:rPr>
          <w:rFonts w:ascii="Times New Roman" w:hAnsi="Times New Roman"/>
          <w:noProof/>
          <w:sz w:val="24"/>
        </w:rPr>
        <w:t>дикции ще гарантира съвместими пазари за устойчиви финансови активи през границите, като се постигат икономии от мащаба и се избягва фрагментирането. Това ще доведе до значими нови инвестиционни възможности за предприятията и финансовия сектор в целия свят</w:t>
      </w:r>
      <w:r>
        <w:rPr>
          <w:rFonts w:ascii="Times New Roman" w:hAnsi="Times New Roman"/>
          <w:noProof/>
          <w:sz w:val="24"/>
        </w:rPr>
        <w:t xml:space="preserve">.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ЕС се стреми да бъде начело на координирането на международните усилия за изграждане на финансова система, която подкрепя устойчивото развитие в световен мащаб. С цел да се засили сътрудничеството и да се използват синергиите би било подходящо да се съ</w:t>
      </w:r>
      <w:r>
        <w:rPr>
          <w:rFonts w:ascii="Times New Roman" w:hAnsi="Times New Roman"/>
          <w:noProof/>
          <w:sz w:val="24"/>
        </w:rPr>
        <w:t xml:space="preserve">здаде международна мрежа от юрисдикции от страна както на развитите, така и на развиващите се държави, които са се ангажирали за постигането на напредък в областта на устойчивите финанси. Съгласувани международна стратегия и структура биха умножили ефекта </w:t>
      </w:r>
      <w:r>
        <w:rPr>
          <w:rFonts w:ascii="Times New Roman" w:hAnsi="Times New Roman"/>
          <w:noProof/>
          <w:sz w:val="24"/>
        </w:rPr>
        <w:t>от усилията на институции като Световната банка, Организацията за икономическо сътрудничество и развитие, Европейската инвестиционна банка и Европейската банка за възстановяване и развитие и биха допринесли за значителното увеличаване на устойчивото финанс</w:t>
      </w:r>
      <w:r>
        <w:rPr>
          <w:rFonts w:ascii="Times New Roman" w:hAnsi="Times New Roman"/>
          <w:noProof/>
          <w:sz w:val="24"/>
        </w:rPr>
        <w:t>иране и за мобилизирането на международните инвеститори към устойчиви инвестиции в целия свят. Новите финансови технологии и иновативните решения за финансиране предлагат допълнителни големи възможности за свързването на глобални инвеститори с устойчиви пр</w:t>
      </w:r>
      <w:r>
        <w:rPr>
          <w:rFonts w:ascii="Times New Roman" w:hAnsi="Times New Roman"/>
          <w:noProof/>
          <w:sz w:val="24"/>
        </w:rPr>
        <w:t>оекти.</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Изменението на климата и влошаването на околната среда са във все по-висока степен една от най-големите заплахи за мира и сигурността в света и без решителни действия ще се превърнат в още по-силен източник на глобален риск, включително принудителн</w:t>
      </w:r>
      <w:r>
        <w:rPr>
          <w:rFonts w:ascii="Times New Roman" w:hAnsi="Times New Roman"/>
          <w:noProof/>
          <w:sz w:val="24"/>
        </w:rPr>
        <w:t xml:space="preserve">о разселване и миграция. ЕС трябва да поеме водеща роля, включително за строгото прилагане на Парижкото споразумение относно изменението на климата и за постигането на напредък в международните усилия за декарбонизиране на транспортния сектор. ЕС би могъл </w:t>
      </w:r>
      <w:r>
        <w:rPr>
          <w:rFonts w:ascii="Times New Roman" w:hAnsi="Times New Roman"/>
          <w:noProof/>
          <w:sz w:val="24"/>
        </w:rPr>
        <w:t xml:space="preserve">също така да инициира правно обвързващи глобални споразумения в областта на кръговата икономика, използването на ресурсите и биологичното разнообразие. </w:t>
      </w:r>
    </w:p>
    <w:p w:rsidR="00AA0CD6" w:rsidRDefault="00AA0CD6">
      <w:pPr>
        <w:autoSpaceDE w:val="0"/>
        <w:autoSpaceDN w:val="0"/>
        <w:adjustRightInd w:val="0"/>
        <w:spacing w:after="0" w:line="240" w:lineRule="auto"/>
        <w:jc w:val="both"/>
        <w:rPr>
          <w:rFonts w:ascii="Times New Roman" w:hAnsi="Times New Roman" w:cs="Times New Roman"/>
          <w:noProof/>
          <w:sz w:val="24"/>
          <w:szCs w:val="24"/>
        </w:rPr>
      </w:pPr>
    </w:p>
    <w:p w:rsidR="00AA0CD6" w:rsidRDefault="00061B1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В качеството ни на пионер в областта на „зеления“ и приобщаващ икономически преход, съчетано със силно</w:t>
      </w:r>
      <w:r>
        <w:rPr>
          <w:rFonts w:ascii="Times New Roman" w:hAnsi="Times New Roman"/>
          <w:noProof/>
          <w:sz w:val="24"/>
        </w:rPr>
        <w:t xml:space="preserve"> застъпничество за международни правила, ще имаме възможност да определяме стандартите за света и ще си осигурим значително конкурентно предимство на световния пазар. </w:t>
      </w:r>
    </w:p>
    <w:p w:rsidR="00AA0CD6" w:rsidRDefault="00061B11">
      <w:pPr>
        <w:pStyle w:val="Heading1"/>
        <w:rPr>
          <w:rFonts w:eastAsia="Times New Roman"/>
          <w:noProof/>
        </w:rPr>
      </w:pPr>
      <w:bookmarkStart w:id="42" w:name="_Toc536442052"/>
      <w:bookmarkStart w:id="43" w:name="_Toc536612075"/>
      <w:r>
        <w:rPr>
          <w:noProof/>
        </w:rPr>
        <w:t>Сценарии за бъдещето</w:t>
      </w:r>
      <w:bookmarkEnd w:id="42"/>
      <w:bookmarkEnd w:id="43"/>
    </w:p>
    <w:p w:rsidR="00AA0CD6" w:rsidRDefault="00061B11">
      <w:pPr>
        <w:rPr>
          <w:noProof/>
          <w:sz w:val="4"/>
          <w:szCs w:val="4"/>
        </w:rPr>
      </w:pPr>
      <w:r>
        <w:rPr>
          <w:noProof/>
        </w:rPr>
        <w:t xml:space="preserve">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ЕС е напълно решен да допринесе за изпълнението на Програмата на </w:t>
      </w:r>
      <w:r>
        <w:rPr>
          <w:rFonts w:ascii="Times New Roman" w:hAnsi="Times New Roman"/>
          <w:noProof/>
          <w:sz w:val="24"/>
          <w:u w:color="000000"/>
        </w:rPr>
        <w:t>ООН до 2030 г. и за нейното прилагане. С новия петгодишен цикъл на политиката на хоризонта сега е моментът да постигнем съгласие относно начините да бъде спазен нашият колективен ангажимент. Институциите на ЕС трябва да решат какви структури, инструменти и</w:t>
      </w:r>
      <w:r>
        <w:rPr>
          <w:rFonts w:ascii="Times New Roman" w:hAnsi="Times New Roman"/>
          <w:noProof/>
          <w:sz w:val="24"/>
          <w:u w:color="000000"/>
        </w:rPr>
        <w:t xml:space="preserve"> политики ще бъдат приведени в действие за изпълнението и постигането на ЦУР, както и за да бъдат подпомагани и напътствани нашите партньори. Съществуват различни идеи как да постигнем това по най-добрия начин, като всяка институция — Парламентът, Съветът </w:t>
      </w:r>
      <w:r>
        <w:rPr>
          <w:rFonts w:ascii="Times New Roman" w:hAnsi="Times New Roman"/>
          <w:noProof/>
          <w:sz w:val="24"/>
          <w:u w:color="000000"/>
        </w:rPr>
        <w:t>и Комисията, има своята отговорност в съответствие с Договорите и с международните ни ангажименти.</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През октомври 2018 г. Европейският съвет приветства намерението на Комисията да публикува документ за размисъл с цел да се проправи пътят за цялостна стратег</w:t>
      </w:r>
      <w:r>
        <w:rPr>
          <w:rFonts w:ascii="Times New Roman" w:hAnsi="Times New Roman"/>
          <w:noProof/>
          <w:sz w:val="24"/>
          <w:u w:color="000000"/>
        </w:rPr>
        <w:t>ия за изпълнение през 2019 г.</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В настоящия документ за размисъл се предлагат три различни сценария в съответствие с насоките на Европейския съвет за провеждането на дискусия относно най-добрите начини за изпълнение на ЦУР, както и относно най-ефективното ра</w:t>
      </w:r>
      <w:r>
        <w:rPr>
          <w:rFonts w:ascii="Times New Roman" w:hAnsi="Times New Roman"/>
          <w:noProof/>
          <w:sz w:val="24"/>
          <w:u w:color="000000"/>
        </w:rPr>
        <w:t xml:space="preserve">зпределение на ролите. Размисълът има за цел да се даде облик на дебата между заинтересованите страни, гражданите, правителствата и институциите през следващите месеци с оглед изготвянето на </w:t>
      </w:r>
      <w:r>
        <w:rPr>
          <w:rFonts w:ascii="Times New Roman" w:hAnsi="Times New Roman"/>
          <w:noProof/>
          <w:sz w:val="24"/>
        </w:rPr>
        <w:t>стратегическата програма на ЕС за периода 2019—2024 г. и определя</w:t>
      </w:r>
      <w:r>
        <w:rPr>
          <w:rFonts w:ascii="Times New Roman" w:hAnsi="Times New Roman"/>
          <w:noProof/>
          <w:sz w:val="24"/>
        </w:rPr>
        <w:t>нето на приоритети на следващия председател на Европейската комисия.</w:t>
      </w:r>
    </w:p>
    <w:p w:rsidR="00AA0CD6" w:rsidRDefault="00061B11">
      <w:pPr>
        <w:spacing w:line="240" w:lineRule="auto"/>
        <w:jc w:val="both"/>
        <w:rPr>
          <w:rFonts w:ascii="Times New Roman" w:hAnsi="Times New Roman" w:cs="Times New Roman"/>
          <w:noProof/>
          <w:sz w:val="24"/>
          <w:szCs w:val="24"/>
          <w:u w:color="000000"/>
        </w:rPr>
      </w:pPr>
      <w:bookmarkStart w:id="44" w:name="_Toc519260826"/>
      <w:bookmarkEnd w:id="44"/>
      <w:r>
        <w:rPr>
          <w:rFonts w:ascii="Times New Roman" w:hAnsi="Times New Roman"/>
          <w:noProof/>
          <w:sz w:val="24"/>
          <w:u w:color="000000"/>
        </w:rPr>
        <w:t>Трите сценария се основават на общата презумпция, че е налице широко признание от страна на държавите — членки на ЕС, предприятията и гражданското общество относно необходимостта от засил</w:t>
      </w:r>
      <w:r>
        <w:rPr>
          <w:rFonts w:ascii="Times New Roman" w:hAnsi="Times New Roman"/>
          <w:noProof/>
          <w:sz w:val="24"/>
          <w:u w:color="000000"/>
        </w:rPr>
        <w:t>ен ангажимент — необходим, за да бъдат ЕС и светът в състояние да осигурят устойчиво бъдещо развитие и постигане на ЦУР до 2030 г. и след това в интерес на съвременната икономика, чистата околна среда и благосъстоянието на нашите граждани, като същевременн</w:t>
      </w:r>
      <w:r>
        <w:rPr>
          <w:rFonts w:ascii="Times New Roman" w:hAnsi="Times New Roman"/>
          <w:noProof/>
          <w:sz w:val="24"/>
          <w:u w:color="000000"/>
        </w:rPr>
        <w:t xml:space="preserve">о гарантираме и обитаемостта на планетата.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Също така е налице съгласие, че макар устойчивостта да изисква действия в европейски мащаб, в крайна сметка можем наистина да успеем единствено чрез глобален подход. Освен това, за да може ЕС да продължи да процъ</w:t>
      </w:r>
      <w:r>
        <w:rPr>
          <w:rFonts w:ascii="Times New Roman" w:hAnsi="Times New Roman"/>
          <w:noProof/>
          <w:sz w:val="24"/>
          <w:u w:color="000000"/>
        </w:rPr>
        <w:t>фтява като проспериращ континент, значителна част от развиващите се държави се нуждаят от подкрепа, за да наваксат развитието в икономически и социален план. В същия дух подкрепата на икономическото развитие на развиващите се държави за постигане на ЦУР до</w:t>
      </w:r>
      <w:r>
        <w:rPr>
          <w:rFonts w:ascii="Times New Roman" w:hAnsi="Times New Roman"/>
          <w:noProof/>
          <w:sz w:val="24"/>
          <w:u w:color="000000"/>
        </w:rPr>
        <w:t>принася и за широк спектър от стратегически интереси на ЕС, като например намаляване на незаконната миграция. Целите за устойчиво развитие, под които са се подписали 193 държави, предлагат най-добрата и най-съвременната глобална и всеобхватна рамка, на коя</w:t>
      </w:r>
      <w:r>
        <w:rPr>
          <w:rFonts w:ascii="Times New Roman" w:hAnsi="Times New Roman"/>
          <w:noProof/>
          <w:sz w:val="24"/>
          <w:u w:color="000000"/>
        </w:rPr>
        <w:t xml:space="preserve">то да се основава нашата работа.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Понастоящем се води европейски дебат за това какво да направим и как. Трите сценария, описват три различни отговора, но изхождат от идеята, че ЕС има силно конкурентно предимство с водещата си роля в световен мащаб и с усп</w:t>
      </w:r>
      <w:r>
        <w:rPr>
          <w:rFonts w:ascii="Times New Roman" w:hAnsi="Times New Roman"/>
          <w:noProof/>
          <w:sz w:val="24"/>
          <w:u w:color="000000"/>
        </w:rPr>
        <w:t>еха си на инициатор. Тези сценарии нямат нито ограничителен, нито предписателен характер. Те имат за цел</w:t>
      </w:r>
      <w:r>
        <w:rPr>
          <w:rFonts w:ascii="Times New Roman" w:hAnsi="Times New Roman"/>
          <w:noProof/>
          <w:sz w:val="24"/>
        </w:rPr>
        <w:t xml:space="preserve"> да предложат различни идеи и да стимулира дебат и размисъл. Окончателният резултат вероятно ще бъде съчетание на елементи от всеки един от тях. </w:t>
      </w:r>
    </w:p>
    <w:p w:rsidR="00AA0CD6" w:rsidRDefault="00AA0CD6">
      <w:pPr>
        <w:spacing w:line="240" w:lineRule="auto"/>
        <w:jc w:val="both"/>
        <w:rPr>
          <w:rFonts w:ascii="Times New Roman" w:hAnsi="Times New Roman" w:cs="Times New Roman"/>
          <w:noProof/>
          <w:sz w:val="24"/>
          <w:szCs w:val="24"/>
          <w:u w:color="000000"/>
        </w:rPr>
        <w:sectPr w:rsidR="00AA0CD6">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pPr>
    </w:p>
    <w:p w:rsidR="00AA0CD6" w:rsidRDefault="00061B11">
      <w:pPr>
        <w:rPr>
          <w:rFonts w:ascii="Times New Roman" w:hAnsi="Times New Roman" w:cs="Times New Roman"/>
          <w:b/>
          <w:noProof/>
          <w:color w:val="4F81BD" w:themeColor="accent1"/>
          <w:sz w:val="24"/>
          <w:szCs w:val="24"/>
          <w:u w:color="000000"/>
        </w:rPr>
      </w:pPr>
      <w:bookmarkStart w:id="45" w:name="_Toc529790807"/>
      <w:r>
        <w:rPr>
          <w:rFonts w:ascii="Times New Roman" w:hAnsi="Times New Roman"/>
          <w:b/>
          <w:noProof/>
          <w:color w:val="4F81BD" w:themeColor="accent1"/>
          <w:sz w:val="24"/>
          <w:u w:color="000000"/>
        </w:rPr>
        <w:t>Сценарий 1: Цялостна стратегия на ЕС по отношение на ЦУР, която да насочва действията на ЕС и неговите държави членки</w:t>
      </w:r>
      <w:bookmarkEnd w:id="45"/>
    </w:p>
    <w:p w:rsidR="00AA0CD6" w:rsidRDefault="00AA0CD6">
      <w:pPr>
        <w:spacing w:after="0" w:line="240" w:lineRule="auto"/>
        <w:jc w:val="both"/>
        <w:rPr>
          <w:rFonts w:ascii="Times New Roman" w:hAnsi="Times New Roman" w:cs="Times New Roman"/>
          <w:noProof/>
          <w:sz w:val="24"/>
          <w:szCs w:val="24"/>
          <w:u w:color="000000"/>
        </w:rPr>
        <w:sectPr w:rsidR="00AA0CD6">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Възможна мярка в отговор </w:t>
      </w:r>
      <w:r>
        <w:rPr>
          <w:rFonts w:ascii="Times New Roman" w:hAnsi="Times New Roman"/>
          <w:noProof/>
          <w:sz w:val="24"/>
          <w:u w:color="000000"/>
        </w:rPr>
        <w:t>на предизвикателствата, пред които сме изправени, е глобално одобрените ЦУР да се приемат на най-високо политическо равнище в ЕС като цялостни стратегически цели на политиката за ЕС и неговите държави членки. Такъв подход би бил в съответствие с препоръкат</w:t>
      </w:r>
      <w:r>
        <w:rPr>
          <w:rFonts w:ascii="Times New Roman" w:hAnsi="Times New Roman"/>
          <w:noProof/>
          <w:sz w:val="24"/>
          <w:u w:color="000000"/>
        </w:rPr>
        <w:t>а на многостранната платформа на високо равнище за изпълнението на ЦУР.</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При този сценарий Програмата на ООН до 2030 г. и ЦУР ще бъдат нашите компас и карта и така ще определят стратегическата рамка на ЕС и неговите държави членки.</w:t>
      </w:r>
    </w:p>
    <w:p w:rsidR="00AA0CD6" w:rsidRDefault="00061B11">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Ще бъдат извършени и ефек</w:t>
      </w:r>
      <w:r>
        <w:rPr>
          <w:rFonts w:ascii="Times New Roman" w:hAnsi="Times New Roman"/>
          <w:noProof/>
          <w:sz w:val="24"/>
          <w:u w:color="000000"/>
        </w:rPr>
        <w:t>тивно координирани стратегически действия от страна на ЕС и държавите членки, включително регионалните и местните органи. Ще се поощрява съвместен подход на всички равнища на управление в тясно сътрудничество с всички заинтересовани страни. Това ще включва</w:t>
      </w:r>
      <w:r>
        <w:rPr>
          <w:rFonts w:ascii="Times New Roman" w:hAnsi="Times New Roman"/>
          <w:noProof/>
          <w:sz w:val="24"/>
          <w:u w:color="000000"/>
        </w:rPr>
        <w:t xml:space="preserve"> силен компонент в отношенията на ЕС с трети държави, с който да се способства за международни действия за устойчивост. </w:t>
      </w:r>
    </w:p>
    <w:p w:rsidR="00AA0CD6" w:rsidRDefault="00AA0CD6">
      <w:pPr>
        <w:spacing w:after="0" w:line="240" w:lineRule="auto"/>
        <w:jc w:val="both"/>
        <w:rPr>
          <w:rFonts w:ascii="Times New Roman" w:hAnsi="Times New Roman" w:cs="Times New Roman"/>
          <w:noProof/>
          <w:sz w:val="24"/>
          <w:szCs w:val="24"/>
          <w:u w:color="000000"/>
        </w:rPr>
      </w:pPr>
    </w:p>
    <w:p w:rsidR="00AA0CD6" w:rsidRDefault="00061B11">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Също така това предполага създаването на „европейски процес за координация на политиките относно ЦУР“ с цел редовна оценка и наблюдени</w:t>
      </w:r>
      <w:r>
        <w:rPr>
          <w:rFonts w:ascii="Times New Roman" w:hAnsi="Times New Roman"/>
          <w:noProof/>
          <w:sz w:val="24"/>
          <w:u w:color="000000"/>
        </w:rPr>
        <w:t xml:space="preserve">е на напредъка при изпълнението, който да отразява хоризонталния характер и взаимосвързаността на ЦУР, включително във вътрешното управление на Европейската комисия. </w:t>
      </w:r>
    </w:p>
    <w:p w:rsidR="00AA0CD6" w:rsidRDefault="00AA0CD6">
      <w:pPr>
        <w:spacing w:after="0" w:line="240" w:lineRule="auto"/>
        <w:jc w:val="both"/>
        <w:rPr>
          <w:rFonts w:ascii="Times New Roman" w:hAnsi="Times New Roman" w:cs="Times New Roman"/>
          <w:noProof/>
          <w:sz w:val="24"/>
          <w:szCs w:val="24"/>
          <w:u w:color="000000"/>
        </w:rPr>
      </w:pPr>
    </w:p>
    <w:p w:rsidR="00AA0CD6" w:rsidRDefault="00AA0CD6">
      <w:pPr>
        <w:spacing w:after="0" w:line="240" w:lineRule="auto"/>
        <w:jc w:val="both"/>
        <w:rPr>
          <w:rFonts w:ascii="Times New Roman" w:hAnsi="Times New Roman" w:cs="Times New Roman"/>
          <w:noProof/>
          <w:sz w:val="24"/>
          <w:szCs w:val="24"/>
          <w:u w:color="000000"/>
        </w:rPr>
      </w:pPr>
    </w:p>
    <w:p w:rsidR="00AA0CD6" w:rsidRDefault="00AA0CD6">
      <w:pPr>
        <w:spacing w:after="0" w:line="240" w:lineRule="auto"/>
        <w:jc w:val="both"/>
        <w:rPr>
          <w:rFonts w:ascii="Times New Roman" w:hAnsi="Times New Roman" w:cs="Times New Roman"/>
          <w:noProof/>
          <w:sz w:val="24"/>
          <w:szCs w:val="24"/>
          <w:u w:color="000000"/>
        </w:rPr>
      </w:pPr>
    </w:p>
    <w:p w:rsidR="00AA0CD6" w:rsidRDefault="00AA0CD6">
      <w:pPr>
        <w:spacing w:after="0" w:line="240" w:lineRule="auto"/>
        <w:jc w:val="both"/>
        <w:rPr>
          <w:rFonts w:ascii="Times New Roman" w:hAnsi="Times New Roman" w:cs="Times New Roman"/>
          <w:noProof/>
          <w:sz w:val="24"/>
          <w:szCs w:val="24"/>
          <w:u w:color="000000"/>
        </w:rPr>
      </w:pPr>
    </w:p>
    <w:p w:rsidR="00AA0CD6" w:rsidRDefault="00AA0CD6">
      <w:pPr>
        <w:autoSpaceDE w:val="0"/>
        <w:autoSpaceDN w:val="0"/>
        <w:adjustRightInd w:val="0"/>
        <w:spacing w:after="0" w:line="240" w:lineRule="auto"/>
        <w:jc w:val="both"/>
        <w:rPr>
          <w:rFonts w:ascii="Times New Roman" w:hAnsi="Times New Roman" w:cs="Times New Roman"/>
          <w:noProof/>
          <w:sz w:val="24"/>
          <w:szCs w:val="24"/>
          <w:u w:color="000000"/>
        </w:rPr>
        <w:sectPr w:rsidR="00AA0CD6">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17" w:right="1417" w:bottom="1417" w:left="1417" w:header="708" w:footer="708" w:gutter="0"/>
          <w:cols w:num="2" w:space="708"/>
          <w:docGrid w:linePitch="360"/>
        </w:sectPr>
      </w:pPr>
    </w:p>
    <w:p w:rsidR="00AA0CD6" w:rsidRDefault="00AA0CD6">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AA0CD6">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 xml:space="preserve">Какво би означавало </w:t>
            </w:r>
            <w:r>
              <w:rPr>
                <w:rFonts w:ascii="Times New Roman" w:hAnsi="Times New Roman"/>
                <w:b/>
                <w:noProof/>
                <w:color w:val="548DD4" w:themeColor="text2" w:themeTint="99"/>
                <w:sz w:val="24"/>
                <w:u w:color="000000"/>
              </w:rPr>
              <w:t>това на практика</w:t>
            </w:r>
          </w:p>
        </w:tc>
      </w:tr>
      <w:tr w:rsidR="00AA0CD6">
        <w:tc>
          <w:tcPr>
            <w:tcW w:w="5000" w:type="pct"/>
            <w:tcBorders>
              <w:top w:val="single" w:sz="4" w:space="0" w:color="auto"/>
              <w:left w:val="single" w:sz="4" w:space="0" w:color="auto"/>
              <w:bottom w:val="single" w:sz="4" w:space="0" w:color="auto"/>
              <w:right w:val="single" w:sz="4" w:space="0" w:color="auto"/>
            </w:tcBorders>
          </w:tcPr>
          <w:p w:rsidR="00AA0CD6" w:rsidRDefault="00061B1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Определяне на равнището на ЕС на конкретни цели за изпълнението на ЦУР, както и прилагане на цялостна стратегия на ЕС за устойчиво развитие от Комисията, Европейския парламент и Съвета;</w:t>
            </w:r>
          </w:p>
          <w:p w:rsidR="00AA0CD6" w:rsidRDefault="00061B1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Разработване на всеобхватни национални стратегии отн</w:t>
            </w:r>
            <w:r>
              <w:rPr>
                <w:rFonts w:ascii="Times New Roman" w:hAnsi="Times New Roman"/>
                <w:noProof/>
                <w:sz w:val="24"/>
                <w:u w:color="000000"/>
              </w:rPr>
              <w:t>осно ЦУР на национално равнище;</w:t>
            </w:r>
          </w:p>
          <w:p w:rsidR="00AA0CD6" w:rsidRDefault="00061B1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Конкретни и обвързани със срокове цели за 2030 г., предложени от Комисията и подкрепени от Европейския съвет;</w:t>
            </w:r>
          </w:p>
          <w:p w:rsidR="00AA0CD6" w:rsidRDefault="00061B1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Интегриране на принципа „устойчивостта на първо място“ в програмите за по-добро регулиране на ЕС и на неговите дър</w:t>
            </w:r>
            <w:r>
              <w:rPr>
                <w:rFonts w:ascii="Times New Roman" w:hAnsi="Times New Roman"/>
                <w:noProof/>
                <w:sz w:val="24"/>
                <w:u w:color="000000"/>
              </w:rPr>
              <w:t>жави членки;</w:t>
            </w:r>
          </w:p>
          <w:p w:rsidR="00AA0CD6" w:rsidRDefault="00061B1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Създаване и координиране на механизъм за наблюдение и докладване на напредъка по ЦУР на равнището на ЕС и на държавите членки, например в контекста на европейския семестър;</w:t>
            </w:r>
          </w:p>
          <w:p w:rsidR="00AA0CD6" w:rsidRDefault="00061B11">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 xml:space="preserve">Засилване на ролята на многостранната платформа относно ЦУР с </w:t>
            </w:r>
            <w:r>
              <w:rPr>
                <w:rFonts w:ascii="Times New Roman" w:hAnsi="Times New Roman"/>
                <w:noProof/>
                <w:sz w:val="24"/>
                <w:u w:color="000000"/>
              </w:rPr>
              <w:t>конкретна роля в мониторинга на изпълнението на ЦУР;</w:t>
            </w:r>
          </w:p>
          <w:p w:rsidR="00AA0CD6" w:rsidRDefault="00061B11">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Допълнително укрепване от страна на ЕС на външната дейност относно устойчивото развитие и ориентиране на всички външни действия на политиката към изпълнение на ЦУР.</w:t>
            </w:r>
          </w:p>
        </w:tc>
      </w:tr>
    </w:tbl>
    <w:p w:rsidR="00AA0CD6" w:rsidRDefault="00AA0CD6">
      <w:pPr>
        <w:autoSpaceDE w:val="0"/>
        <w:autoSpaceDN w:val="0"/>
        <w:adjustRightInd w:val="0"/>
        <w:spacing w:after="0" w:line="240" w:lineRule="auto"/>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AA0CD6">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Предимства и недостатъци</w:t>
            </w:r>
          </w:p>
        </w:tc>
      </w:tr>
      <w:tr w:rsidR="00AA0CD6">
        <w:trPr>
          <w:trHeight w:val="476"/>
        </w:trPr>
        <w:tc>
          <w:tcPr>
            <w:tcW w:w="5000" w:type="pct"/>
            <w:tcBorders>
              <w:top w:val="single" w:sz="4" w:space="0" w:color="auto"/>
              <w:left w:val="single" w:sz="4" w:space="0" w:color="auto"/>
              <w:right w:val="single" w:sz="4" w:space="0" w:color="auto"/>
            </w:tcBorders>
          </w:tcPr>
          <w:p w:rsidR="00AA0CD6" w:rsidRDefault="00AA0CD6">
            <w:pPr>
              <w:pStyle w:val="ListParagraph"/>
              <w:autoSpaceDE w:val="0"/>
              <w:autoSpaceDN w:val="0"/>
              <w:adjustRightInd w:val="0"/>
              <w:ind w:left="360"/>
              <w:jc w:val="both"/>
              <w:rPr>
                <w:rFonts w:ascii="Times New Roman" w:hAnsi="Times New Roman" w:cs="Times New Roman"/>
                <w:noProof/>
                <w:sz w:val="24"/>
                <w:szCs w:val="24"/>
                <w:u w:color="000000"/>
              </w:rPr>
            </w:pP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Създаване</w:t>
            </w:r>
            <w:r>
              <w:rPr>
                <w:rFonts w:ascii="Times New Roman" w:hAnsi="Times New Roman"/>
                <w:noProof/>
                <w:sz w:val="24"/>
                <w:u w:color="000000"/>
              </w:rPr>
              <w:t xml:space="preserve"> на силна обща положителна визия за устойчивото бъдеще на Европа в целия ЕС;</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pacing w:val="-6"/>
                <w:sz w:val="24"/>
                <w:szCs w:val="24"/>
                <w:u w:color="000000"/>
              </w:rPr>
            </w:pPr>
            <w:r>
              <w:rPr>
                <w:rFonts w:ascii="Times New Roman" w:hAnsi="Times New Roman"/>
                <w:noProof/>
                <w:spacing w:val="-6"/>
                <w:sz w:val="24"/>
                <w:u w:color="000000"/>
              </w:rPr>
              <w:t>Засилване на политическия ангажимент и повишаване на координацията между всички равнища на управлението в рамките на ЕС и, като се има предвид трансграничното естество на установе</w:t>
            </w:r>
            <w:r>
              <w:rPr>
                <w:rFonts w:ascii="Times New Roman" w:hAnsi="Times New Roman"/>
                <w:noProof/>
                <w:spacing w:val="-6"/>
                <w:sz w:val="24"/>
                <w:u w:color="000000"/>
              </w:rPr>
              <w:t>ните предизвикателства пред ЕС, по-добра възможност за реализиране на Програмата на ООН до 2030 г. и на „зелен“ и приобщаващ растеж в ЕС;</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Силен сигнал на международно равнище, че ЕС е изцяло ангажиран с международните си задължения и Програмата на ООН до 2</w:t>
            </w:r>
            <w:r>
              <w:rPr>
                <w:rFonts w:ascii="Times New Roman" w:hAnsi="Times New Roman"/>
                <w:noProof/>
                <w:sz w:val="24"/>
                <w:u w:color="000000"/>
              </w:rPr>
              <w:t>030 г. и ЦУР както във вътрешен, така и във външен план;</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Ясна и прозрачна комуникация и сътрудничество със заинтересованите страни;</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Риск, че този подход не отчита в достатъчна степен особеностите и предизвикателствата на отделните държави членки, тъй като </w:t>
            </w:r>
            <w:r>
              <w:rPr>
                <w:rFonts w:ascii="Times New Roman" w:hAnsi="Times New Roman"/>
                <w:noProof/>
                <w:sz w:val="24"/>
                <w:u w:color="000000"/>
              </w:rPr>
              <w:t>стратегическата рамка не може да вземе под внимание всички различия;</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Като се има предвид колко е сложно да се постигне съгласие по конкретни резултати в целия ЕС във всички различни области на ЦУР, риск от отделянето на много време за стратегия за развитие</w:t>
            </w:r>
            <w:r>
              <w:rPr>
                <w:rFonts w:ascii="Times New Roman" w:hAnsi="Times New Roman"/>
                <w:noProof/>
                <w:sz w:val="24"/>
                <w:u w:color="000000"/>
              </w:rPr>
              <w:t>, вместо да се напредва в конкретни области на политиките на всички равнища, които могат да доведат до промяна.</w:t>
            </w:r>
          </w:p>
        </w:tc>
      </w:tr>
    </w:tbl>
    <w:p w:rsidR="00AA0CD6" w:rsidRDefault="00061B11">
      <w:pPr>
        <w:rPr>
          <w:rFonts w:ascii="Times New Roman" w:hAnsi="Times New Roman" w:cs="Times New Roman"/>
          <w:b/>
          <w:noProof/>
          <w:sz w:val="24"/>
          <w:szCs w:val="24"/>
          <w:u w:color="000000"/>
        </w:rPr>
        <w:sectPr w:rsidR="00AA0CD6">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17" w:right="1417" w:bottom="1417" w:left="1417" w:header="708" w:footer="708" w:gutter="0"/>
          <w:cols w:space="708"/>
          <w:docGrid w:linePitch="360"/>
        </w:sectPr>
      </w:pPr>
      <w:bookmarkStart w:id="46" w:name="_Toc524344290"/>
      <w:bookmarkStart w:id="47" w:name="_Toc529790808"/>
      <w:r>
        <w:rPr>
          <w:rFonts w:ascii="Times New Roman" w:hAnsi="Times New Roman"/>
          <w:b/>
          <w:noProof/>
          <w:color w:val="4F81BD" w:themeColor="accent1"/>
          <w:sz w:val="24"/>
          <w:u w:color="000000"/>
        </w:rPr>
        <w:t xml:space="preserve">Сценарий 2: Продължаване на интегрирането на ЦУР във всички съответни политики на </w:t>
      </w:r>
      <w:r>
        <w:rPr>
          <w:rFonts w:ascii="Times New Roman" w:hAnsi="Times New Roman"/>
          <w:b/>
          <w:noProof/>
          <w:color w:val="4F81BD" w:themeColor="accent1"/>
          <w:sz w:val="24"/>
          <w:u w:color="000000"/>
        </w:rPr>
        <w:t>ЕС</w:t>
      </w:r>
      <w:bookmarkEnd w:id="46"/>
      <w:bookmarkEnd w:id="47"/>
      <w:r>
        <w:rPr>
          <w:rFonts w:ascii="Times New Roman" w:hAnsi="Times New Roman"/>
          <w:b/>
          <w:noProof/>
          <w:color w:val="4F81BD" w:themeColor="accent1"/>
          <w:sz w:val="24"/>
          <w:u w:color="000000"/>
        </w:rPr>
        <w:t xml:space="preserve"> от Комисията, без да се налагат обаче действия на държавите членки</w:t>
      </w:r>
    </w:p>
    <w:p w:rsidR="00AA0CD6" w:rsidRDefault="00061B11">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При този сценарий ЦУР ще продължат да вдъхновят нашите политически решения при определянето на политиките на ЕС и да насочват разработването на стратегия за растеж на ЕС за периода след </w:t>
      </w:r>
      <w:r>
        <w:rPr>
          <w:rFonts w:ascii="Times New Roman" w:hAnsi="Times New Roman"/>
          <w:noProof/>
          <w:sz w:val="24"/>
          <w:u w:color="000000"/>
        </w:rPr>
        <w:t>2020 г., но за държавите членки на ЕС няма да е задължително колективното изпълнение на ангажиментите по ЦУР в ЕС.</w:t>
      </w:r>
    </w:p>
    <w:p w:rsidR="00AA0CD6" w:rsidRDefault="00AA0CD6">
      <w:pPr>
        <w:autoSpaceDE w:val="0"/>
        <w:autoSpaceDN w:val="0"/>
        <w:adjustRightInd w:val="0"/>
        <w:spacing w:after="0" w:line="240" w:lineRule="auto"/>
        <w:jc w:val="both"/>
        <w:rPr>
          <w:rFonts w:ascii="Times New Roman" w:hAnsi="Times New Roman" w:cs="Times New Roman"/>
          <w:noProof/>
          <w:sz w:val="24"/>
          <w:szCs w:val="24"/>
          <w:u w:color="000000"/>
        </w:rPr>
      </w:pP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В Европейската комисия това може да означава, че на определен член на колегиума се предоставя широка отговорност за „устойчивостта“. Този член на Комисията би могъл да продължи да работи заедно с другите комисари в специална проектна група с участието на в</w:t>
      </w:r>
      <w:r>
        <w:rPr>
          <w:rFonts w:ascii="Times New Roman" w:hAnsi="Times New Roman"/>
          <w:noProof/>
          <w:sz w:val="24"/>
          <w:u w:color="000000"/>
        </w:rPr>
        <w:t xml:space="preserve">сички комисари. За осигуряването на съгласуваност на политиките ще трябва да се търси тясно сътрудничество с други проектни групи с участието на комисари.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Чрез своята програма за по-добро регулиране Комисията ще продължи да следва приобщаващ и основан на </w:t>
      </w:r>
      <w:r>
        <w:rPr>
          <w:rFonts w:ascii="Times New Roman" w:hAnsi="Times New Roman"/>
          <w:noProof/>
          <w:sz w:val="24"/>
          <w:u w:color="000000"/>
        </w:rPr>
        <w:t xml:space="preserve">доказателства процес на вземане на решения. С по-дълбокото интегриране на ЦУР в европейския семестър в съответствие със стратегията за растеж на ЕС след 2020 г. се подсилва съгласуваността на политиките на ЕС и се гарантира, че ЕС се приближава към ЦУР.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Т</w:t>
      </w:r>
      <w:r>
        <w:rPr>
          <w:rFonts w:ascii="Times New Roman" w:hAnsi="Times New Roman"/>
          <w:noProof/>
          <w:sz w:val="24"/>
          <w:u w:color="000000"/>
        </w:rPr>
        <w:t>ози подход обаче ще остави повече свобода на държавите членки и регионалните и местни органи относно това, дали и как да адаптират своята работа за последователно постигане на резултати по ЦУР.</w:t>
      </w: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sectPr w:rsidR="00AA0CD6">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417" w:right="1417" w:bottom="1417" w:left="1417" w:header="708" w:footer="708" w:gutter="0"/>
          <w:cols w:num="2" w:space="708"/>
          <w:docGrid w:linePitch="360"/>
        </w:sectPr>
      </w:pPr>
    </w:p>
    <w:tbl>
      <w:tblPr>
        <w:tblStyle w:val="TableGrid"/>
        <w:tblW w:w="5000" w:type="pct"/>
        <w:tblLook w:val="04A0" w:firstRow="1" w:lastRow="0" w:firstColumn="1" w:lastColumn="0" w:noHBand="0" w:noVBand="1"/>
      </w:tblPr>
      <w:tblGrid>
        <w:gridCol w:w="9288"/>
      </w:tblGrid>
      <w:tr w:rsidR="00AA0CD6">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Какво би означавало това на практика</w:t>
            </w:r>
          </w:p>
        </w:tc>
      </w:tr>
      <w:tr w:rsidR="00AA0CD6">
        <w:trPr>
          <w:trHeight w:val="902"/>
        </w:trPr>
        <w:tc>
          <w:tcPr>
            <w:tcW w:w="5000" w:type="pct"/>
            <w:tcBorders>
              <w:top w:val="single" w:sz="4" w:space="0" w:color="auto"/>
              <w:left w:val="single" w:sz="4" w:space="0" w:color="auto"/>
              <w:bottom w:val="single" w:sz="4" w:space="0" w:color="auto"/>
              <w:right w:val="single" w:sz="4" w:space="0" w:color="auto"/>
            </w:tcBorders>
          </w:tcPr>
          <w:p w:rsidR="00AA0CD6" w:rsidRDefault="00AA0CD6">
            <w:pPr>
              <w:autoSpaceDE w:val="0"/>
              <w:autoSpaceDN w:val="0"/>
              <w:adjustRightInd w:val="0"/>
              <w:rPr>
                <w:rFonts w:ascii="Times New Roman" w:hAnsi="Times New Roman" w:cs="Times New Roman"/>
                <w:b/>
                <w:noProof/>
                <w:color w:val="548DD4" w:themeColor="text2" w:themeTint="99"/>
                <w:sz w:val="24"/>
                <w:szCs w:val="24"/>
                <w:u w:color="000000"/>
              </w:rPr>
            </w:pP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Използване на ЦУР като ориентир при разработването на стратегия за растеж на ЕС след 2020 г., която се съсредоточава върху областите с най-голяма европейска добавена стойност, като например </w:t>
            </w:r>
            <w:r>
              <w:rPr>
                <w:rFonts w:ascii="Times New Roman" w:hAnsi="Times New Roman"/>
                <w:noProof/>
                <w:sz w:val="24"/>
                <w:u w:color="000000"/>
              </w:rPr>
              <w:t>кръговата икономика; научните изследвания и иновациите; заетостта и социалното приобщаване; климата и енергията; продоволствените системи, селското стопанство и земеползването; и политиката на сближаване;</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Цялостно интегриране на ЦУР в политиките и действия</w:t>
            </w:r>
            <w:r>
              <w:rPr>
                <w:rFonts w:ascii="Times New Roman" w:hAnsi="Times New Roman"/>
                <w:noProof/>
                <w:sz w:val="24"/>
                <w:u w:color="000000"/>
              </w:rPr>
              <w:t xml:space="preserve">та на ЕС чрез програмата за по-добро регулиране, адаптирана към специфичния контекст на ЕС със споделена компетентност с държавите членки; </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Използване на многогодишната финансова рамка (МФР) за предоставянето на част от необходимото допълнително финансиран</w:t>
            </w:r>
            <w:r>
              <w:rPr>
                <w:rFonts w:ascii="Times New Roman" w:hAnsi="Times New Roman"/>
                <w:noProof/>
                <w:sz w:val="24"/>
                <w:u w:color="000000"/>
              </w:rPr>
              <w:t>е за реализирането на подхода за интегриране на устойчивото развитие; държавите членки се ангажират със същото;</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Включване на ЦУР и съответните цели на ЕС в процеса на европейския семестър, когато това е уместно за стратегията за растеж за периода след 2020</w:t>
            </w:r>
            <w:r>
              <w:rPr>
                <w:rFonts w:ascii="Times New Roman" w:hAnsi="Times New Roman"/>
                <w:noProof/>
                <w:sz w:val="24"/>
                <w:u w:color="000000"/>
              </w:rPr>
              <w:t> г.;</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При евентуалното модернизиране на споразуменията на ЕС за свободна търговия, както и при договарянето на бъдещи търговски споразумения главите относно търговията и устойчивостта се укрепват, когато това е необходимо, и се прилагат ефективно;</w:t>
            </w:r>
            <w:bookmarkStart w:id="48" w:name="_GoBack"/>
            <w:bookmarkEnd w:id="48"/>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ЕС следи </w:t>
            </w:r>
            <w:r>
              <w:rPr>
                <w:rFonts w:ascii="Times New Roman" w:hAnsi="Times New Roman"/>
                <w:noProof/>
                <w:sz w:val="24"/>
                <w:u w:color="000000"/>
              </w:rPr>
              <w:t>за изпълнението на ЦУР чрез анализа на Евростат на напредъка по ЦУР, което ще продължи да бъде развиван. Държавите членки изготвят годишни национални доклади относно мониторинга;</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Държавите членки запазват основната отговорност за докладването относно изпъл</w:t>
            </w:r>
            <w:r>
              <w:rPr>
                <w:rFonts w:ascii="Times New Roman" w:hAnsi="Times New Roman"/>
                <w:noProof/>
                <w:sz w:val="24"/>
                <w:u w:color="000000"/>
              </w:rPr>
              <w:t xml:space="preserve">нението на ЦУР с допълнително докладване на ЕС от Европейската комисия относно за напредъка по ЦУР на международно равнище пред Политическия форум на високо равнище на ООН относно устойчивото развитие. </w:t>
            </w:r>
          </w:p>
          <w:p w:rsidR="00AA0CD6" w:rsidRDefault="00AA0CD6">
            <w:pPr>
              <w:autoSpaceDE w:val="0"/>
              <w:autoSpaceDN w:val="0"/>
              <w:adjustRightInd w:val="0"/>
              <w:jc w:val="both"/>
              <w:rPr>
                <w:rFonts w:ascii="Times New Roman" w:hAnsi="Times New Roman" w:cs="Times New Roman"/>
                <w:noProof/>
                <w:sz w:val="24"/>
                <w:szCs w:val="24"/>
                <w:u w:color="000000"/>
              </w:rPr>
            </w:pPr>
          </w:p>
        </w:tc>
      </w:tr>
      <w:tr w:rsidR="00AA0CD6">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Предимства и недостатъци</w:t>
            </w:r>
          </w:p>
        </w:tc>
      </w:tr>
      <w:tr w:rsidR="00AA0CD6">
        <w:trPr>
          <w:trHeight w:val="144"/>
        </w:trPr>
        <w:tc>
          <w:tcPr>
            <w:tcW w:w="5000" w:type="pct"/>
            <w:tcBorders>
              <w:top w:val="single" w:sz="4" w:space="0" w:color="auto"/>
              <w:left w:val="single" w:sz="4" w:space="0" w:color="auto"/>
              <w:bottom w:val="single" w:sz="4" w:space="0" w:color="auto"/>
              <w:right w:val="single" w:sz="4" w:space="0" w:color="auto"/>
            </w:tcBorders>
          </w:tcPr>
          <w:p w:rsidR="00AA0CD6" w:rsidRDefault="00AA0CD6">
            <w:pPr>
              <w:autoSpaceDE w:val="0"/>
              <w:autoSpaceDN w:val="0"/>
              <w:adjustRightInd w:val="0"/>
              <w:rPr>
                <w:rFonts w:ascii="Times New Roman" w:hAnsi="Times New Roman" w:cs="Times New Roman"/>
                <w:b/>
                <w:noProof/>
                <w:color w:val="548DD4" w:themeColor="text2" w:themeTint="99"/>
                <w:sz w:val="24"/>
                <w:szCs w:val="24"/>
                <w:u w:color="000000"/>
              </w:rPr>
            </w:pP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Тъй като повечето важни </w:t>
            </w:r>
            <w:r>
              <w:rPr>
                <w:rFonts w:ascii="Times New Roman" w:hAnsi="Times New Roman"/>
                <w:noProof/>
                <w:sz w:val="24"/>
                <w:u w:color="000000"/>
              </w:rPr>
              <w:t>за ЕС области за постигане на ЦУР са до голяма степен ясни, ЕС може да се съсредоточи върху определянето на стратегически приоритети и постигането на конкретни резултати в областите с най-голяма добавена стойност от ЕС;</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На равнището на ЕС процесът на взема</w:t>
            </w:r>
            <w:r>
              <w:rPr>
                <w:rFonts w:ascii="Times New Roman" w:hAnsi="Times New Roman"/>
                <w:noProof/>
                <w:sz w:val="24"/>
                <w:u w:color="000000"/>
              </w:rPr>
              <w:t xml:space="preserve">не на решения е по-бърз, а преговорите относно стратегическите приоритети са по-консенсусни; </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ЕС продължава да бъде глобален застъпник на Програмата на ООН до 2030 г. и ЦУР;</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Съгласуваност на аспекта на устойчивото развитие между политиките на ЕС, както и м</w:t>
            </w:r>
            <w:r>
              <w:rPr>
                <w:rFonts w:ascii="Times New Roman" w:hAnsi="Times New Roman"/>
                <w:noProof/>
                <w:sz w:val="24"/>
                <w:u w:color="000000"/>
              </w:rPr>
              <w:t>ежду политиките на ЕС и националните политики би било по-трудно да се гарантира;</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Риск, че изпълнението на ангажиментите по отношение на устойчивостта на ЕС и неговите държави членки като цяло не може да бъде гарантирано, както и не могат да бъдат наложени </w:t>
            </w:r>
            <w:r>
              <w:rPr>
                <w:rFonts w:ascii="Times New Roman" w:hAnsi="Times New Roman"/>
                <w:noProof/>
                <w:sz w:val="24"/>
                <w:u w:color="000000"/>
              </w:rPr>
              <w:t>действия на държавите членки;</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При индивидуални действия на държавите членки в някои ключови области, вместо по-тясно координирани действия на равнището на ЕС, биха могли да бъдат засегнати единният пазар и конкурентоспособността в световен мащаб;</w:t>
            </w:r>
          </w:p>
          <w:p w:rsidR="00AA0CD6" w:rsidRDefault="00061B1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Риск, че </w:t>
            </w:r>
            <w:r>
              <w:rPr>
                <w:rFonts w:ascii="Times New Roman" w:hAnsi="Times New Roman"/>
                <w:noProof/>
                <w:sz w:val="24"/>
                <w:u w:color="000000"/>
              </w:rPr>
              <w:t>може да настъпи разминаване между политическия ангажимент на ЕС за ЦУР и неговите реални резултати.</w:t>
            </w:r>
          </w:p>
        </w:tc>
      </w:tr>
    </w:tbl>
    <w:p w:rsidR="00AA0CD6" w:rsidRDefault="00AA0CD6">
      <w:pPr>
        <w:pStyle w:val="Heading2"/>
        <w:numPr>
          <w:ilvl w:val="0"/>
          <w:numId w:val="0"/>
        </w:numPr>
        <w:spacing w:line="240" w:lineRule="auto"/>
        <w:rPr>
          <w:rFonts w:ascii="Times New Roman" w:hAnsi="Times New Roman" w:cs="Times New Roman"/>
          <w:noProof/>
          <w:sz w:val="24"/>
          <w:szCs w:val="24"/>
          <w:u w:color="000000"/>
        </w:rPr>
      </w:pPr>
      <w:bookmarkStart w:id="49" w:name="_Toc524344291"/>
    </w:p>
    <w:p w:rsidR="00AA0CD6" w:rsidRDefault="00061B11">
      <w:pPr>
        <w:rPr>
          <w:rFonts w:ascii="Times New Roman" w:hAnsi="Times New Roman" w:cs="Times New Roman"/>
          <w:b/>
          <w:noProof/>
          <w:color w:val="4F81BD" w:themeColor="accent1"/>
          <w:sz w:val="24"/>
          <w:szCs w:val="24"/>
          <w:u w:color="000000"/>
        </w:rPr>
      </w:pPr>
      <w:bookmarkStart w:id="50" w:name="_Toc529790809"/>
      <w:r>
        <w:rPr>
          <w:rFonts w:ascii="Times New Roman" w:hAnsi="Times New Roman"/>
          <w:b/>
          <w:noProof/>
          <w:color w:val="4F81BD" w:themeColor="accent1"/>
          <w:sz w:val="24"/>
          <w:u w:color="000000"/>
        </w:rPr>
        <w:t xml:space="preserve">Сценарий 3: </w:t>
      </w:r>
      <w:bookmarkEnd w:id="49"/>
      <w:bookmarkEnd w:id="50"/>
      <w:r>
        <w:rPr>
          <w:rFonts w:ascii="Times New Roman" w:hAnsi="Times New Roman"/>
          <w:b/>
          <w:noProof/>
          <w:color w:val="4F81BD" w:themeColor="accent1"/>
          <w:sz w:val="24"/>
        </w:rPr>
        <w:t>Поставяне на по-силен акцент върху външната дейност при засилване на амбициите за устойчивост на равнището на ЕС</w:t>
      </w:r>
    </w:p>
    <w:p w:rsidR="00AA0CD6" w:rsidRDefault="00AA0CD6">
      <w:pPr>
        <w:spacing w:after="0" w:line="240" w:lineRule="auto"/>
        <w:rPr>
          <w:rFonts w:ascii="Times New Roman" w:hAnsi="Times New Roman" w:cs="Times New Roman"/>
          <w:noProof/>
          <w:sz w:val="24"/>
          <w:szCs w:val="24"/>
        </w:rPr>
      </w:pPr>
    </w:p>
    <w:p w:rsidR="00AA0CD6" w:rsidRDefault="00AA0CD6">
      <w:pPr>
        <w:spacing w:after="0" w:line="240" w:lineRule="auto"/>
        <w:rPr>
          <w:rFonts w:ascii="Times New Roman" w:hAnsi="Times New Roman" w:cs="Times New Roman"/>
          <w:noProof/>
          <w:sz w:val="24"/>
          <w:szCs w:val="24"/>
          <w:u w:color="000000"/>
        </w:rPr>
        <w:sectPr w:rsidR="00AA0CD6">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17" w:right="1417" w:bottom="1417" w:left="1417" w:header="708" w:footer="708" w:gutter="0"/>
          <w:cols w:space="708"/>
          <w:docGrid w:linePitch="360"/>
        </w:sectPr>
      </w:pP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Ще бъде даден приоритет на външната дейност в контекста на ЦУР. Тъй като ЕС вече е челник в много аспекти, свързани с целите за устойчиво развитие, засилен акцент би могъл да се постави върху подпомагане на останалата част </w:t>
      </w:r>
      <w:r>
        <w:rPr>
          <w:rFonts w:ascii="Times New Roman" w:hAnsi="Times New Roman"/>
          <w:noProof/>
          <w:sz w:val="24"/>
          <w:u w:color="000000"/>
        </w:rPr>
        <w:t xml:space="preserve">от света да навакса изоставането си, като същевременно се реализират подобрения на равнището на ЕС. </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Нашата социална пазарна икономика се превърна в запазена марка на ЕС, като даде възможност на икономиките на държавите — членки на ЕС, да генерират богатст</w:t>
      </w:r>
      <w:r>
        <w:rPr>
          <w:rFonts w:ascii="Times New Roman" w:hAnsi="Times New Roman"/>
          <w:noProof/>
          <w:sz w:val="24"/>
          <w:u w:color="000000"/>
        </w:rPr>
        <w:t>во и благоденствие благодарение на силни социални системи. ЕС има едни от най-високите екологични стандарти в света и нашите предприятия имат преднина в това отношение в сравнение със световните конкуренти. На ЕС също така се гледа като на опора на свобода</w:t>
      </w:r>
      <w:r>
        <w:rPr>
          <w:rFonts w:ascii="Times New Roman" w:hAnsi="Times New Roman"/>
          <w:noProof/>
          <w:sz w:val="24"/>
          <w:u w:color="000000"/>
        </w:rPr>
        <w:t>та и демокрацията със стабилни институции, основани на принципите на правовата държава и жизнено гражданско общество. Ето защо ЕС би могъл да реши да разпространи в по-голяма степен настоящите си екологични, социални и управленски стандарти посредством мно</w:t>
      </w:r>
      <w:r>
        <w:rPr>
          <w:rFonts w:ascii="Times New Roman" w:hAnsi="Times New Roman"/>
          <w:noProof/>
          <w:sz w:val="24"/>
          <w:u w:color="000000"/>
        </w:rPr>
        <w:t>гостранни преговори и търговски споразумения.</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Освен това ЕС може допълнително да засили своето сътрудничество с ключови международни организации и форуми, като например Организацията на обединените нации, включително Международната организация на труда, Св</w:t>
      </w:r>
      <w:r>
        <w:rPr>
          <w:rFonts w:ascii="Times New Roman" w:hAnsi="Times New Roman"/>
          <w:noProof/>
          <w:sz w:val="24"/>
          <w:u w:color="000000"/>
        </w:rPr>
        <w:t>етовната търговска организация, Г-20, както и надзорните органи на многостранните споразумения в областта на околната среда, с цел постигането на напредък по основаната на ценности програма на външната политика на ЕС.</w:t>
      </w:r>
    </w:p>
    <w:p w:rsidR="00AA0CD6" w:rsidRDefault="00061B1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Позицията на ЕС в подкрепа на многостр</w:t>
      </w:r>
      <w:r>
        <w:rPr>
          <w:rFonts w:ascii="Times New Roman" w:hAnsi="Times New Roman"/>
          <w:noProof/>
          <w:sz w:val="24"/>
          <w:u w:color="000000"/>
        </w:rPr>
        <w:t>анния подход — с централната роля на ООН — и прозрачни и надеждни международни отношения ще продължи да бъде приоритет.</w:t>
      </w: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pPr>
    </w:p>
    <w:p w:rsidR="00AA0CD6" w:rsidRDefault="00AA0CD6">
      <w:pPr>
        <w:spacing w:line="240" w:lineRule="auto"/>
        <w:jc w:val="both"/>
        <w:rPr>
          <w:rFonts w:ascii="Times New Roman" w:hAnsi="Times New Roman" w:cs="Times New Roman"/>
          <w:noProof/>
          <w:sz w:val="24"/>
          <w:szCs w:val="24"/>
          <w:u w:color="000000"/>
        </w:rPr>
        <w:sectPr w:rsidR="00AA0CD6">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17" w:right="1417" w:bottom="1417" w:left="1417" w:header="708" w:footer="708" w:gutter="0"/>
          <w:cols w:num="2" w:space="708"/>
          <w:docGrid w:linePitch="360"/>
        </w:sectPr>
      </w:pPr>
    </w:p>
    <w:tbl>
      <w:tblPr>
        <w:tblStyle w:val="TableGrid"/>
        <w:tblW w:w="4903" w:type="pct"/>
        <w:tblLook w:val="04A0" w:firstRow="1" w:lastRow="0" w:firstColumn="1" w:lastColumn="0" w:noHBand="0" w:noVBand="1"/>
      </w:tblPr>
      <w:tblGrid>
        <w:gridCol w:w="9108"/>
      </w:tblGrid>
      <w:tr w:rsidR="00AA0CD6">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Какво би означавало това на практика</w:t>
            </w:r>
          </w:p>
        </w:tc>
      </w:tr>
      <w:tr w:rsidR="00AA0CD6">
        <w:tc>
          <w:tcPr>
            <w:tcW w:w="5000" w:type="pct"/>
            <w:tcBorders>
              <w:top w:val="single" w:sz="4" w:space="0" w:color="auto"/>
              <w:left w:val="single" w:sz="4" w:space="0" w:color="auto"/>
              <w:bottom w:val="single" w:sz="4" w:space="0" w:color="auto"/>
              <w:right w:val="single" w:sz="4" w:space="0" w:color="auto"/>
            </w:tcBorders>
          </w:tcPr>
          <w:p w:rsidR="00AA0CD6" w:rsidRDefault="00AA0CD6">
            <w:pPr>
              <w:pStyle w:val="ListParagraph"/>
              <w:autoSpaceDE w:val="0"/>
              <w:autoSpaceDN w:val="0"/>
              <w:adjustRightInd w:val="0"/>
              <w:ind w:left="360"/>
              <w:jc w:val="both"/>
              <w:rPr>
                <w:rFonts w:ascii="Times New Roman" w:hAnsi="Times New Roman" w:cs="Times New Roman"/>
                <w:noProof/>
                <w:sz w:val="24"/>
                <w:szCs w:val="24"/>
                <w:u w:color="000000"/>
              </w:rPr>
            </w:pP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Продължава интегрирането на </w:t>
            </w:r>
            <w:r>
              <w:rPr>
                <w:rFonts w:ascii="Times New Roman" w:hAnsi="Times New Roman"/>
                <w:noProof/>
                <w:sz w:val="24"/>
                <w:u w:color="000000"/>
              </w:rPr>
              <w:t>ЦУР във външните политики на ЕС, като се отчитат различните нужди и интереси на партньорите, докато вътрешните корекции са по-ограничени;</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ЕС предоставя редовни и подробни доклади и мониторинг на напредъка по ЦУР във външната дейност на ЕС на международно р</w:t>
            </w:r>
            <w:r>
              <w:rPr>
                <w:rFonts w:ascii="Times New Roman" w:hAnsi="Times New Roman"/>
                <w:noProof/>
                <w:sz w:val="24"/>
                <w:u w:color="000000"/>
              </w:rPr>
              <w:t>авнище в Организацията на обединените нации;</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При евентуалното модернизиране на споразуменията на ЕС за свободна търговия, както и при договарянето на бъдещи търговски споразумения главите относно търговията и устойчивостта се укрепват, когато това е необхо</w:t>
            </w:r>
            <w:r>
              <w:rPr>
                <w:rFonts w:ascii="Times New Roman" w:hAnsi="Times New Roman"/>
                <w:noProof/>
                <w:sz w:val="24"/>
                <w:u w:color="000000"/>
              </w:rPr>
              <w:t>димо, и се прилагат ефективно;</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Засилено прилагане на Глобалната стратегия за външната политика и политиката на сигурност на ЕС и на Европейския консенсус за развитие;</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Укрепването на европейските политики в областта на отбраната, космическото пространство, </w:t>
            </w:r>
            <w:r>
              <w:rPr>
                <w:rFonts w:ascii="Times New Roman" w:hAnsi="Times New Roman"/>
                <w:noProof/>
                <w:sz w:val="24"/>
                <w:u w:color="000000"/>
              </w:rPr>
              <w:t xml:space="preserve">сигурността и миграцията се застъпва като възможност за политики, благоприятстващи засилената програма за външна политика за устойчиво развитие. </w:t>
            </w:r>
          </w:p>
          <w:p w:rsidR="00AA0CD6" w:rsidRDefault="00061B1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Укрепване на нови форми на устойчиво финансиране и развитие, като например Плана за външни инвестиции. </w:t>
            </w:r>
          </w:p>
        </w:tc>
      </w:tr>
    </w:tbl>
    <w:p w:rsidR="00AA0CD6" w:rsidRDefault="00AA0CD6">
      <w:pPr>
        <w:spacing w:line="240" w:lineRule="auto"/>
        <w:jc w:val="both"/>
        <w:rPr>
          <w:rFonts w:ascii="Times New Roman" w:hAnsi="Times New Roman" w:cs="Times New Roman"/>
          <w:noProof/>
          <w:sz w:val="24"/>
          <w:szCs w:val="24"/>
        </w:rPr>
      </w:pPr>
    </w:p>
    <w:tbl>
      <w:tblPr>
        <w:tblStyle w:val="TableGrid"/>
        <w:tblW w:w="4903" w:type="pct"/>
        <w:tblLook w:val="04A0" w:firstRow="1" w:lastRow="0" w:firstColumn="1" w:lastColumn="0" w:noHBand="0" w:noVBand="1"/>
      </w:tblPr>
      <w:tblGrid>
        <w:gridCol w:w="9108"/>
      </w:tblGrid>
      <w:tr w:rsidR="00AA0CD6">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A0CD6" w:rsidRDefault="00061B1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Предимства и недостатъци</w:t>
            </w:r>
          </w:p>
        </w:tc>
      </w:tr>
      <w:tr w:rsidR="00AA0CD6">
        <w:tc>
          <w:tcPr>
            <w:tcW w:w="5000" w:type="pct"/>
            <w:tcBorders>
              <w:top w:val="single" w:sz="4" w:space="0" w:color="auto"/>
              <w:left w:val="single" w:sz="4" w:space="0" w:color="auto"/>
              <w:bottom w:val="single" w:sz="4" w:space="0" w:color="auto"/>
              <w:right w:val="single" w:sz="4" w:space="0" w:color="auto"/>
            </w:tcBorders>
          </w:tcPr>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ЕС съсредоточава своите ресурси върху онези държави или региони, които изпитват най-голяма нужда, като се стреми към адаптиране на политиките на ЕС чрез интегриране на ЦУР без специална стратегическа рамка;</w:t>
            </w:r>
          </w:p>
          <w:p w:rsidR="00AA0CD6" w:rsidRDefault="00061B1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Външната дейност на ЕС </w:t>
            </w:r>
            <w:r>
              <w:rPr>
                <w:rFonts w:ascii="Times New Roman" w:hAnsi="Times New Roman"/>
                <w:noProof/>
                <w:sz w:val="24"/>
                <w:u w:color="000000"/>
              </w:rPr>
              <w:t>е в съответствие с целите му за насърчаване на устойчивото развитие, демокрацията, правата на човека, принципите на правовата държава и основните свободи в света;</w:t>
            </w:r>
          </w:p>
          <w:p w:rsidR="00AA0CD6" w:rsidRDefault="00061B1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Риск, че такъв подход би подкопал политическото доверие и водещата роля на ЕС по отношение на</w:t>
            </w:r>
            <w:r>
              <w:rPr>
                <w:rFonts w:ascii="Times New Roman" w:hAnsi="Times New Roman"/>
                <w:noProof/>
                <w:sz w:val="24"/>
                <w:u w:color="000000"/>
              </w:rPr>
              <w:t xml:space="preserve"> Програмата на ООН до 2030 г. и ЦУР у дома и в световен мащаб в момент, когато многостранното сътрудничество е под натиск. Един от основните елементи на Програмата на ООН до 2030 г., за която ЕС се застъпваше дейно, е нейната универсалност. </w:t>
            </w:r>
          </w:p>
          <w:p w:rsidR="00AA0CD6" w:rsidRDefault="00061B1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ЕС губи възмож</w:t>
            </w:r>
            <w:r>
              <w:rPr>
                <w:rFonts w:ascii="Times New Roman" w:hAnsi="Times New Roman"/>
                <w:noProof/>
                <w:sz w:val="24"/>
                <w:u w:color="000000"/>
              </w:rPr>
              <w:t>ността да се създаде положителна визия за бъдещето на Европа, основаваща се на устойчивото развитие;</w:t>
            </w:r>
          </w:p>
          <w:p w:rsidR="00AA0CD6" w:rsidRDefault="00061B1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 xml:space="preserve">ЕС не използва предимството на инициатор, за да създаде стандарти за устойчивост на ЕС, по които да се равнява светът, и рискове, че ползите от устойчивия </w:t>
            </w:r>
            <w:r>
              <w:rPr>
                <w:rFonts w:ascii="Times New Roman" w:hAnsi="Times New Roman"/>
                <w:noProof/>
                <w:sz w:val="24"/>
                <w:u w:color="000000"/>
              </w:rPr>
              <w:t>растеж са пожънати от други участници на световния пазар;</w:t>
            </w:r>
          </w:p>
          <w:p w:rsidR="00AA0CD6" w:rsidRDefault="00061B1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rPr>
              <w:t>Консолидирането на настоящата политика на ЕС относно ЦУР рискува да не отговори на променящите се очаквания и амбиции на гражданите.</w:t>
            </w:r>
          </w:p>
        </w:tc>
      </w:tr>
    </w:tbl>
    <w:p w:rsidR="00AA0CD6" w:rsidRDefault="00AA0CD6">
      <w:pPr>
        <w:rPr>
          <w:rFonts w:ascii="Times New Roman" w:hAnsi="Times New Roman" w:cs="Times New Roman"/>
          <w:noProof/>
          <w:sz w:val="24"/>
          <w:szCs w:val="24"/>
        </w:rPr>
      </w:pPr>
    </w:p>
    <w:sectPr w:rsidR="00AA0CD6">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CD6" w:rsidRDefault="00061B11">
      <w:pPr>
        <w:spacing w:after="0" w:line="240" w:lineRule="auto"/>
      </w:pPr>
      <w:r>
        <w:separator/>
      </w:r>
    </w:p>
  </w:endnote>
  <w:endnote w:type="continuationSeparator" w:id="0">
    <w:p w:rsidR="00AA0CD6" w:rsidRDefault="00061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 New">
    <w:altName w:val="Leelawadee UI"/>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237"/>
      <w:docPartObj>
        <w:docPartGallery w:val="Page Numbers (Bottom of Page)"/>
        <w:docPartUnique/>
      </w:docPartObj>
    </w:sdtPr>
    <w:sdtEndPr>
      <w:rPr>
        <w:noProof/>
      </w:rPr>
    </w:sdtEndPr>
    <w:sdtContent>
      <w:p w:rsidR="00AA0CD6" w:rsidRDefault="00061B11">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rsidR="00AA0CD6" w:rsidRDefault="00AA0CD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19420"/>
      <w:docPartObj>
        <w:docPartGallery w:val="Page Numbers (Bottom of Page)"/>
        <w:docPartUnique/>
      </w:docPartObj>
    </w:sdtPr>
    <w:sdtEndPr>
      <w:rPr>
        <w:noProof/>
      </w:rPr>
    </w:sdtEndPr>
    <w:sdtContent>
      <w:p w:rsidR="00AA0CD6" w:rsidRDefault="00061B11">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rsidR="00AA0CD6" w:rsidRDefault="00AA0CD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813528"/>
      <w:docPartObj>
        <w:docPartGallery w:val="Page Numbers (Bottom of Page)"/>
        <w:docPartUnique/>
      </w:docPartObj>
    </w:sdtPr>
    <w:sdtEndPr>
      <w:rPr>
        <w:noProof/>
      </w:rPr>
    </w:sdtEndPr>
    <w:sdtContent>
      <w:p w:rsidR="00AA0CD6" w:rsidRDefault="00061B11">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49</w:t>
        </w:r>
        <w:r>
          <w:rPr>
            <w:rFonts w:ascii="Times New Roman" w:hAnsi="Times New Roman" w:cs="Times New Roman"/>
            <w:noProof/>
          </w:rPr>
          <w:fldChar w:fldCharType="end"/>
        </w:r>
      </w:p>
    </w:sdtContent>
  </w:sdt>
  <w:p w:rsidR="00AA0CD6" w:rsidRDefault="00AA0CD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FooterCoverPage"/>
      <w:rPr>
        <w:rFonts w:ascii="Arial" w:hAnsi="Arial" w:cs="Arial"/>
        <w:b/>
        <w:sz w:val="48"/>
      </w:rPr>
    </w:pPr>
    <w:r w:rsidRPr="00061B11">
      <w:rPr>
        <w:rFonts w:ascii="Arial" w:hAnsi="Arial" w:cs="Arial"/>
        <w:b/>
        <w:sz w:val="48"/>
      </w:rPr>
      <w:t>BG</w:t>
    </w:r>
    <w:r w:rsidRPr="00061B11">
      <w:rPr>
        <w:rFonts w:ascii="Arial" w:hAnsi="Arial" w:cs="Arial"/>
        <w:b/>
        <w:sz w:val="48"/>
      </w:rPr>
      <w:tab/>
    </w:r>
    <w:r w:rsidRPr="00061B11">
      <w:rPr>
        <w:rFonts w:ascii="Arial" w:hAnsi="Arial" w:cs="Arial"/>
        <w:b/>
        <w:sz w:val="48"/>
      </w:rPr>
      <w:tab/>
    </w:r>
    <w:r w:rsidRPr="00061B11">
      <w:tab/>
    </w:r>
    <w:r w:rsidRPr="00061B11">
      <w:rPr>
        <w:rFonts w:ascii="Arial" w:hAnsi="Arial" w:cs="Arial"/>
        <w:b/>
        <w:sz w:val="48"/>
      </w:rPr>
      <w:t>BG</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03229"/>
      <w:docPartObj>
        <w:docPartGallery w:val="Page Numbers (Bottom of Page)"/>
        <w:docPartUnique/>
      </w:docPartObj>
    </w:sdtPr>
    <w:sdtEndPr>
      <w:rPr>
        <w:rFonts w:ascii="Times New Roman" w:hAnsi="Times New Roman" w:cs="Times New Roman"/>
        <w:noProof/>
      </w:rPr>
    </w:sdtEndPr>
    <w:sdtContent>
      <w:p w:rsidR="00AA0CD6" w:rsidRDefault="00061B1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50</w:t>
        </w:r>
        <w:r>
          <w:rPr>
            <w:rFonts w:ascii="Times New Roman" w:hAnsi="Times New Roman" w:cs="Times New Roman"/>
            <w:noProof/>
          </w:rPr>
          <w:fldChar w:fldCharType="end"/>
        </w:r>
      </w:p>
    </w:sdtContent>
  </w:sdt>
  <w:p w:rsidR="00AA0CD6" w:rsidRDefault="00AA0CD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909431"/>
      <w:docPartObj>
        <w:docPartGallery w:val="Page Numbers (Bottom of Page)"/>
        <w:docPartUnique/>
      </w:docPartObj>
    </w:sdtPr>
    <w:sdtEndPr>
      <w:rPr>
        <w:noProof/>
      </w:rPr>
    </w:sdtEndPr>
    <w:sdtContent>
      <w:p w:rsidR="00AA0CD6" w:rsidRDefault="00061B11">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51</w:t>
        </w:r>
        <w:r>
          <w:rPr>
            <w:rFonts w:ascii="Times New Roman" w:hAnsi="Times New Roman" w:cs="Times New Roman"/>
            <w:noProof/>
          </w:rPr>
          <w:fldChar w:fldCharType="end"/>
        </w:r>
      </w:p>
    </w:sdtContent>
  </w:sdt>
  <w:p w:rsidR="00AA0CD6" w:rsidRDefault="00AA0CD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52478"/>
      <w:docPartObj>
        <w:docPartGallery w:val="Page Numbers (Bottom of Page)"/>
        <w:docPartUnique/>
      </w:docPartObj>
    </w:sdtPr>
    <w:sdtEndPr>
      <w:rPr>
        <w:rFonts w:ascii="Times New Roman" w:hAnsi="Times New Roman" w:cs="Times New Roman"/>
        <w:noProof/>
      </w:rPr>
    </w:sdtEndPr>
    <w:sdtContent>
      <w:p w:rsidR="00AA0CD6" w:rsidRDefault="00061B1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52</w:t>
        </w:r>
        <w:r>
          <w:rPr>
            <w:rFonts w:ascii="Times New Roman" w:hAnsi="Times New Roman" w:cs="Times New Roman"/>
            <w:noProof/>
          </w:rPr>
          <w:fldChar w:fldCharType="end"/>
        </w:r>
      </w:p>
    </w:sdtContent>
  </w:sdt>
  <w:p w:rsidR="00AA0CD6" w:rsidRDefault="00AA0CD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081"/>
      <w:docPartObj>
        <w:docPartGallery w:val="Page Numbers (Bottom of Page)"/>
        <w:docPartUnique/>
      </w:docPartObj>
    </w:sdtPr>
    <w:sdtEndPr>
      <w:rPr>
        <w:rFonts w:ascii="Times New Roman" w:hAnsi="Times New Roman" w:cs="Times New Roman"/>
        <w:noProof/>
      </w:rPr>
    </w:sdtEndPr>
    <w:sdtContent>
      <w:p w:rsidR="00AA0CD6" w:rsidRDefault="00061B1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47</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381575"/>
      <w:docPartObj>
        <w:docPartGallery w:val="Page Numbers (Bottom of Page)"/>
        <w:docPartUnique/>
      </w:docPartObj>
    </w:sdtPr>
    <w:sdtEndPr>
      <w:rPr>
        <w:noProof/>
      </w:rPr>
    </w:sdtEndPr>
    <w:sdtContent>
      <w:p w:rsidR="00AA0CD6" w:rsidRDefault="00061B11">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rsidR="00AA0CD6" w:rsidRDefault="00AA0CD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CD6" w:rsidRDefault="00061B11">
      <w:pPr>
        <w:spacing w:after="0" w:line="240" w:lineRule="auto"/>
      </w:pPr>
      <w:r>
        <w:separator/>
      </w:r>
    </w:p>
  </w:footnote>
  <w:footnote w:type="continuationSeparator" w:id="0">
    <w:p w:rsidR="00AA0CD6" w:rsidRDefault="00061B11">
      <w:pPr>
        <w:spacing w:after="0" w:line="240" w:lineRule="auto"/>
      </w:pPr>
      <w:r>
        <w:continuationSeparator/>
      </w:r>
    </w:p>
  </w:footnote>
  <w:footnote w:id="1">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Генералният секретар на ООН Бан Ки Мун на срещата на върха за приемането на програмата за развитие за периода след 2015 г. в Ню Йорк, 25 септември 2015 г., на разположение на адрес:</w:t>
      </w:r>
      <w:r>
        <w:rPr>
          <w:rFonts w:ascii="Times New Roman" w:hAnsi="Times New Roman"/>
          <w:sz w:val="18"/>
        </w:rPr>
        <w:tab/>
      </w:r>
      <w:r>
        <w:rPr>
          <w:rFonts w:ascii="Times New Roman" w:hAnsi="Times New Roman"/>
          <w:sz w:val="18"/>
        </w:rPr>
        <w:br/>
      </w:r>
      <w:hyperlink r:id="rId1">
        <w:r>
          <w:rPr>
            <w:rStyle w:val="Hyperlink"/>
            <w:rFonts w:ascii="Times New Roman" w:hAnsi="Times New Roman"/>
            <w:sz w:val="18"/>
          </w:rPr>
          <w:t>ht</w:t>
        </w:r>
        <w:r>
          <w:rPr>
            <w:rStyle w:val="Hyperlink"/>
            <w:rFonts w:ascii="Times New Roman" w:hAnsi="Times New Roman"/>
            <w:sz w:val="18"/>
          </w:rPr>
          <w:t>tps://www.un.org/press/en/2015/sgsm17111.doc.htm</w:t>
        </w:r>
      </w:hyperlink>
    </w:p>
  </w:footnote>
  <w:footnote w:id="2">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w:t>
      </w:r>
      <w:r>
        <w:rPr>
          <w:rStyle w:val="Emphasis"/>
          <w:rFonts w:ascii="Times New Roman" w:hAnsi="Times New Roman"/>
          <w:i w:val="0"/>
          <w:sz w:val="18"/>
        </w:rPr>
        <w:t>ОВ C 202, 7.6.2016 г.</w:t>
      </w:r>
    </w:p>
  </w:footnote>
  <w:footnote w:id="3">
    <w:p w:rsidR="00AA0CD6" w:rsidRDefault="00061B11">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Моят регион, моята Европа, нашето бъдеще: Седми доклад за икономическото, социалното и териториалното сближаване, 2017 г.</w:t>
      </w:r>
    </w:p>
    <w:p w:rsidR="00AA0CD6" w:rsidRDefault="00061B11">
      <w:pPr>
        <w:pStyle w:val="FootnoteText"/>
        <w:jc w:val="both"/>
        <w:rPr>
          <w:rFonts w:ascii="Times New Roman" w:hAnsi="Times New Roman" w:cs="Times New Roman"/>
          <w:lang w:val="et-EE"/>
        </w:rPr>
      </w:pPr>
      <w:r>
        <w:rPr>
          <w:rFonts w:ascii="Times New Roman" w:hAnsi="Times New Roman"/>
          <w:sz w:val="18"/>
        </w:rPr>
        <w:t xml:space="preserve">На разположение на адрес: </w:t>
      </w:r>
      <w:hyperlink r:id="rId2">
        <w:r>
          <w:rPr>
            <w:rStyle w:val="Hyperlink"/>
            <w:rFonts w:ascii="Times New Roman" w:hAnsi="Times New Roman"/>
            <w:sz w:val="18"/>
          </w:rPr>
          <w:t>https://ec.europa.eu/regional_policy/sources/docoffic/official/reports/cohesion7/7cr.pdf</w:t>
        </w:r>
      </w:hyperlink>
      <w:r>
        <w:rPr>
          <w:rFonts w:ascii="Times New Roman" w:hAnsi="Times New Roman"/>
          <w:sz w:val="18"/>
        </w:rPr>
        <w:t>.</w:t>
      </w:r>
    </w:p>
  </w:footnote>
  <w:footnote w:id="4">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Световен доклад за щастието 2018 г. John F. Helliwell, Richard Layard и Jeffrey D. Sachs.</w:t>
      </w:r>
    </w:p>
  </w:footnote>
  <w:footnote w:id="5">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Евростат, показатели за качеството на живота. На разположение на адрес:</w:t>
      </w:r>
      <w:r>
        <w:t xml:space="preserve"> </w:t>
      </w:r>
      <w:hyperlink r:id="rId3">
        <w:r>
          <w:rPr>
            <w:rStyle w:val="Hyperlink"/>
            <w:rFonts w:ascii="Times New Roman" w:hAnsi="Times New Roman"/>
            <w:sz w:val="18"/>
          </w:rPr>
          <w:t>https://ec.europa.eu/eurostat/statistics-explained/index.php/Quality_of_li</w:t>
        </w:r>
        <w:r>
          <w:rPr>
            <w:rStyle w:val="Hyperlink"/>
            <w:rFonts w:ascii="Times New Roman" w:hAnsi="Times New Roman"/>
            <w:sz w:val="18"/>
          </w:rPr>
          <w:t>fe_indicators</w:t>
        </w:r>
      </w:hyperlink>
      <w:r>
        <w:rPr>
          <w:rFonts w:ascii="Times New Roman" w:hAnsi="Times New Roman"/>
          <w:sz w:val="18"/>
        </w:rPr>
        <w:t xml:space="preserve"> </w:t>
      </w:r>
    </w:p>
  </w:footnote>
  <w:footnote w:id="6">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Европейски младежки форум, Индекс за младежта за 2017 г. На разположение на адрес: </w:t>
      </w:r>
      <w:hyperlink r:id="rId4">
        <w:r>
          <w:rPr>
            <w:rStyle w:val="Hyperlink"/>
            <w:rFonts w:ascii="Times New Roman" w:hAnsi="Times New Roman"/>
            <w:sz w:val="18"/>
          </w:rPr>
          <w:t>https://www.youthforum.org/youth-progress-index</w:t>
        </w:r>
      </w:hyperlink>
      <w:r>
        <w:rPr>
          <w:rStyle w:val="Hyperlink"/>
          <w:rFonts w:ascii="Times New Roman" w:hAnsi="Times New Roman"/>
          <w:sz w:val="18"/>
        </w:rPr>
        <w:t>.</w:t>
      </w:r>
      <w:r>
        <w:rPr>
          <w:rFonts w:ascii="Times New Roman" w:hAnsi="Times New Roman"/>
          <w:sz w:val="18"/>
        </w:rPr>
        <w:t xml:space="preserve"> </w:t>
      </w:r>
    </w:p>
  </w:footnote>
  <w:footnote w:id="7">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В приложение 3 към документа за разми</w:t>
      </w:r>
      <w:r>
        <w:rPr>
          <w:rFonts w:ascii="Times New Roman" w:hAnsi="Times New Roman"/>
          <w:sz w:val="18"/>
        </w:rPr>
        <w:t>съл се очертават по-подробно основните инициативи на Комисията „Юнкер“, допринасящи за Програмата на ООН до 2030 г. и Парижкото споразумение относно изменението на климата.</w:t>
      </w:r>
    </w:p>
  </w:footnote>
  <w:footnote w:id="8">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773 final.</w:t>
      </w:r>
    </w:p>
  </w:footnote>
  <w:footnote w:id="9">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COM(2010) 2020 final.</w:t>
      </w:r>
    </w:p>
  </w:footnote>
  <w:footnote w:id="10">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EUCO 13/18 — Европейски съвет (18 октомври 2018 г.), Заключения, III.12.</w:t>
      </w:r>
    </w:p>
  </w:footnote>
  <w:footnote w:id="11">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COM(2016) 739 final.</w:t>
      </w:r>
    </w:p>
  </w:footnote>
  <w:footnote w:id="12">
    <w:p w:rsidR="00AA0CD6" w:rsidRDefault="00061B1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Годишен обзор на растежа за 2018 г., COM(2017) 690 final.</w:t>
      </w:r>
    </w:p>
  </w:footnote>
  <w:footnote w:id="13">
    <w:p w:rsidR="00AA0CD6" w:rsidRDefault="00061B11">
      <w:pPr>
        <w:pStyle w:val="FootnoteText"/>
        <w:rPr>
          <w:rFonts w:ascii="Times New Roman" w:hAnsi="Times New Roman" w:cs="Times New Roman"/>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Европейска икономическа прогноза — есен 2018 г., публикувана на 8 ноември 2018 г. г. На разположе</w:t>
      </w:r>
      <w:r>
        <w:rPr>
          <w:rFonts w:ascii="Times New Roman" w:hAnsi="Times New Roman"/>
          <w:sz w:val="18"/>
        </w:rPr>
        <w:t xml:space="preserve">ние на адрес: </w:t>
      </w:r>
      <w:hyperlink r:id="rId5">
        <w:r>
          <w:rPr>
            <w:rStyle w:val="Hyperlink"/>
            <w:rFonts w:ascii="Times New Roman" w:hAnsi="Times New Roman"/>
            <w:sz w:val="18"/>
          </w:rPr>
          <w:t>https://ec.europa.eu/info/sites/info/files/economy-finance/ip089_en_0.pdf</w:t>
        </w:r>
      </w:hyperlink>
      <w:r>
        <w:rPr>
          <w:rFonts w:ascii="Times New Roman" w:hAnsi="Times New Roman"/>
          <w:color w:val="1F497D"/>
          <w:sz w:val="18"/>
        </w:rPr>
        <w:t>.</w:t>
      </w:r>
      <w:r>
        <w:rPr>
          <w:rFonts w:ascii="Times New Roman" w:hAnsi="Times New Roman"/>
          <w:color w:val="1F497D"/>
          <w:sz w:val="22"/>
        </w:rPr>
        <w:t xml:space="preserve"> </w:t>
      </w:r>
    </w:p>
  </w:footnote>
  <w:footnote w:id="14">
    <w:p w:rsidR="00AA0CD6" w:rsidRDefault="00061B1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Global Footprint Network, на разположение на адрес: </w:t>
      </w:r>
      <w:hyperlink r:id="rId6" w:history="1">
        <w:r>
          <w:rPr>
            <w:rStyle w:val="Hyperlink"/>
            <w:rFonts w:ascii="Times New Roman" w:hAnsi="Times New Roman"/>
            <w:sz w:val="18"/>
          </w:rPr>
          <w:t>https://www.footprintnetwork.org/our-work/ecological-footprint/.</w:t>
        </w:r>
      </w:hyperlink>
    </w:p>
  </w:footnote>
  <w:footnote w:id="15">
    <w:p w:rsidR="00AA0CD6" w:rsidRDefault="00061B1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Комисия на ЕС, Индекс за суровините за 2018 г.</w:t>
      </w:r>
    </w:p>
  </w:footnote>
  <w:footnote w:id="16">
    <w:p w:rsidR="00AA0CD6" w:rsidRDefault="00061B11">
      <w:pPr>
        <w:pStyle w:val="FootnoteText"/>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WWF. 2018 г. Living Planet Report — 2018: Aiming Higher. Grooten, M. and Almond</w:t>
      </w:r>
      <w:r>
        <w:rPr>
          <w:rFonts w:ascii="Times New Roman" w:hAnsi="Times New Roman"/>
          <w:sz w:val="18"/>
        </w:rPr>
        <w:t>, R.E.A.(Eds). WWF, Гланд, Швейцария.</w:t>
      </w:r>
    </w:p>
  </w:footnote>
  <w:footnote w:id="17">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Европейска агенция по околната среда (2017 г.), „Храните в зелена светлина. Системен подход за устойчиви храни“.</w:t>
      </w:r>
    </w:p>
  </w:footnote>
  <w:footnote w:id="18">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Работен документ на службите на Комисията SWD (2016) 319 final</w:t>
      </w:r>
    </w:p>
  </w:footnote>
  <w:footnote w:id="19">
    <w:p w:rsidR="00AA0CD6" w:rsidRDefault="00061B1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color w:val="000000"/>
          <w:u w:val="single"/>
        </w:rPr>
        <w:t xml:space="preserve"> </w:t>
      </w:r>
      <w:r>
        <w:rPr>
          <w:rFonts w:ascii="Times New Roman" w:hAnsi="Times New Roman"/>
          <w:sz w:val="18"/>
        </w:rPr>
        <w:t xml:space="preserve">COM(2019)1. </w:t>
      </w:r>
    </w:p>
  </w:footnote>
  <w:footnote w:id="20">
    <w:p w:rsidR="00AA0CD6" w:rsidRDefault="00061B11">
      <w:pPr>
        <w:pStyle w:val="FootnoteText"/>
      </w:pPr>
      <w:r>
        <w:rPr>
          <w:rStyle w:val="FootnoteReference"/>
        </w:rPr>
        <w:footnoteRef/>
      </w:r>
      <w:r>
        <w:t xml:space="preserve"> </w:t>
      </w:r>
      <w:r>
        <w:rPr>
          <w:rFonts w:ascii="Times New Roman" w:hAnsi="Times New Roman"/>
          <w:sz w:val="18"/>
        </w:rPr>
        <w:t xml:space="preserve">Задълбочен анализ в </w:t>
      </w:r>
      <w:r>
        <w:rPr>
          <w:rFonts w:ascii="Times New Roman" w:hAnsi="Times New Roman"/>
          <w:sz w:val="18"/>
        </w:rPr>
        <w:t>подкрепа на съобщението на Комисията COM (2018) 773, раздел 5.6.2.3.</w:t>
      </w:r>
    </w:p>
  </w:footnote>
  <w:footnote w:id="21">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Dante Disparte, „If You Think Fighting Climate Change Will Be Expensive, Calculate the Cost of Letting It Happen“ (Ако мислите, че борбата с изменението на климата ще струва скъпо, изчи</w:t>
      </w:r>
      <w:r>
        <w:rPr>
          <w:rFonts w:ascii="Times New Roman" w:hAnsi="Times New Roman"/>
          <w:sz w:val="18"/>
        </w:rPr>
        <w:t xml:space="preserve">слете цената на бездействието), 12 юни 2017 г., Harvard Business Review online. На разположение на адрес: </w:t>
      </w:r>
      <w:hyperlink r:id="rId7">
        <w:r>
          <w:rPr>
            <w:rStyle w:val="Hyperlink"/>
            <w:rFonts w:ascii="Times New Roman" w:hAnsi="Times New Roman"/>
            <w:sz w:val="18"/>
          </w:rPr>
          <w:t>https://hbr.org/2017/06/if-you-think-fighting-climate-change-will-be-expensive-calculate-the-cost-of-letting-it-happen</w:t>
        </w:r>
      </w:hyperlink>
    </w:p>
  </w:footnote>
  <w:footnote w:id="22">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Евростат (2018 г.), Устойчивото развитие в Европейския съюз, Мониторингов доклад за напредъка по постигането на ЦУР в ЕС, изд. 2018 г.</w:t>
      </w:r>
    </w:p>
  </w:footnote>
  <w:footnote w:id="23">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w:t>
      </w:r>
      <w:hyperlink r:id="rId8">
        <w:r>
          <w:rPr>
            <w:rStyle w:val="Hyperlink"/>
            <w:rFonts w:ascii="Times New Roman" w:hAnsi="Times New Roman"/>
            <w:sz w:val="18"/>
          </w:rPr>
          <w:t>https://ec.europa.eu/food/safety/food_waste_en</w:t>
        </w:r>
      </w:hyperlink>
      <w:r>
        <w:rPr>
          <w:rStyle w:val="Hyperlink"/>
          <w:rFonts w:ascii="Times New Roman" w:hAnsi="Times New Roman"/>
          <w:sz w:val="18"/>
        </w:rPr>
        <w:t>.</w:t>
      </w:r>
      <w:r>
        <w:rPr>
          <w:rFonts w:ascii="Times New Roman" w:hAnsi="Times New Roman"/>
          <w:sz w:val="18"/>
        </w:rPr>
        <w:t xml:space="preserve"> </w:t>
      </w:r>
    </w:p>
  </w:footnote>
  <w:footnote w:id="24">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Евростат (2018 г.), Устойчивото развитие в Европейския съюз, Мониторингов доклад за напредъка по постигането на ЦУР в ЕС, изд. 2018 г. </w:t>
      </w:r>
    </w:p>
  </w:footnote>
  <w:footnote w:id="25">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Евростат (2018 г.), Устойчивото развитие в Европейския съюз, Мониторингов доклад за напредъка по постигането на ЦУР в ЕС, изд. 2018 г.</w:t>
      </w:r>
    </w:p>
  </w:footnote>
  <w:footnote w:id="26">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Организация на ООН за прехрана и земеделие (ФАО), 2016 г., Антимикробната устойчивост и нашите хранителни системи: пре</w:t>
      </w:r>
      <w:r>
        <w:rPr>
          <w:rFonts w:ascii="Times New Roman" w:hAnsi="Times New Roman"/>
          <w:sz w:val="18"/>
        </w:rPr>
        <w:t xml:space="preserve">дизвикателства и решения“, </w:t>
      </w:r>
      <w:hyperlink r:id="rId9">
        <w:r>
          <w:rPr>
            <w:rStyle w:val="Hyperlink"/>
            <w:rFonts w:ascii="Times New Roman" w:hAnsi="Times New Roman"/>
            <w:sz w:val="18"/>
          </w:rPr>
          <w:t>http://www.fao.org/3/a-i6106e.pdf</w:t>
        </w:r>
      </w:hyperlink>
      <w:r>
        <w:rPr>
          <w:rFonts w:ascii="Times New Roman" w:hAnsi="Times New Roman"/>
          <w:sz w:val="18"/>
        </w:rPr>
        <w:t xml:space="preserve"> </w:t>
      </w:r>
    </w:p>
  </w:footnote>
  <w:footnote w:id="27">
    <w:p w:rsidR="00AA0CD6" w:rsidRDefault="00061B11">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Европейски институт за равенство между половете, Индекс за равенството между половете (2017 г.) — Измерване на равенството между половете в</w:t>
      </w:r>
      <w:r>
        <w:rPr>
          <w:rFonts w:ascii="Times New Roman" w:hAnsi="Times New Roman"/>
          <w:sz w:val="18"/>
        </w:rPr>
        <w:t xml:space="preserve"> Европейския съюз 2005—2015 г., съобщение за медиите от 11 октомври 2017 г. На разположение на адрес: </w:t>
      </w:r>
      <w:hyperlink r:id="rId10" w:history="1">
        <w:r>
          <w:rPr>
            <w:rStyle w:val="Hyperlink"/>
            <w:rFonts w:ascii="Times New Roman" w:hAnsi="Times New Roman"/>
            <w:sz w:val="18"/>
          </w:rPr>
          <w:t>https://eige.europa.eu/news-and-events/news/ge</w:t>
        </w:r>
        <w:r>
          <w:rPr>
            <w:rStyle w:val="Hyperlink"/>
            <w:rFonts w:ascii="Times New Roman" w:hAnsi="Times New Roman"/>
            <w:sz w:val="18"/>
          </w:rPr>
          <w:t>nder-equality-index-2017-progress-snails-pace</w:t>
        </w:r>
      </w:hyperlink>
      <w:r>
        <w:rPr>
          <w:rFonts w:ascii="Times New Roman" w:hAnsi="Times New Roman"/>
          <w:sz w:val="18"/>
        </w:rPr>
        <w:t xml:space="preserve"> .</w:t>
      </w:r>
    </w:p>
  </w:footnote>
  <w:footnote w:id="28">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Европейска комисия, Доклад за равенството между жените и мъжете в ЕС от 2018 г.</w:t>
      </w:r>
    </w:p>
  </w:footnote>
  <w:footnote w:id="29">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ОИСР (2015 г.) — In It Together: Why Less Inequality Benefits All (Всички заедно: защо по-малко неравенството е от полза за </w:t>
      </w:r>
      <w:r>
        <w:rPr>
          <w:rFonts w:ascii="Times New Roman" w:hAnsi="Times New Roman"/>
          <w:sz w:val="18"/>
        </w:rPr>
        <w:t>всички), Издателство на ОИСР, Париж.</w:t>
      </w:r>
    </w:p>
  </w:footnote>
  <w:footnote w:id="30">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Международна организация по миграция, „Миграцията, околната среда и изменението на климата: оценка на данните“, 2009 г.</w:t>
      </w:r>
    </w:p>
  </w:footnote>
  <w:footnote w:id="31">
    <w:p w:rsidR="00AA0CD6" w:rsidRDefault="00061B11">
      <w:pPr>
        <w:pStyle w:val="FootnoteText"/>
        <w:rPr>
          <w:rFonts w:ascii="Times New Roman" w:hAnsi="Times New Roman" w:cs="Times New Roman"/>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7-</w:t>
      </w:r>
      <w:r>
        <w:rPr>
          <w:rFonts w:ascii="Times New Roman" w:hAnsi="Times New Roman"/>
          <w:sz w:val="18"/>
          <w:vertAlign w:val="superscript"/>
        </w:rPr>
        <w:t>а</w:t>
      </w:r>
      <w:r>
        <w:rPr>
          <w:rFonts w:ascii="Times New Roman" w:hAnsi="Times New Roman"/>
          <w:sz w:val="18"/>
        </w:rPr>
        <w:t xml:space="preserve"> програма за действие за околната среда. На разположение на адрес: </w:t>
      </w:r>
      <w:hyperlink r:id="rId11">
        <w:r>
          <w:rPr>
            <w:rStyle w:val="Hyperlink"/>
            <w:rFonts w:ascii="Times New Roman" w:hAnsi="Times New Roman"/>
            <w:sz w:val="18"/>
          </w:rPr>
          <w:t>https://eur-lex.europa.eu/legal-content/BG/ALL/?uri=CELEX:32013D1386</w:t>
        </w:r>
      </w:hyperlink>
      <w:r>
        <w:rPr>
          <w:rFonts w:ascii="Times New Roman" w:hAnsi="Times New Roman"/>
          <w:sz w:val="18"/>
        </w:rPr>
        <w:t xml:space="preserve">. </w:t>
      </w:r>
    </w:p>
  </w:footnote>
  <w:footnote w:id="32">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Евростат, Екологичната икономика — статистически данни за заетостта и растежа. На разположение на адрес: </w:t>
      </w:r>
      <w:hyperlink r:id="rId12">
        <w:r>
          <w:rPr>
            <w:rStyle w:val="Hyperlink"/>
            <w:rFonts w:ascii="Times New Roman" w:hAnsi="Times New Roman"/>
            <w:kern w:val="36"/>
            <w:sz w:val="18"/>
          </w:rPr>
          <w:t>https://ec.europa.eu/eurostat/statistics-explained/pdfscache/10420.pdf</w:t>
        </w:r>
      </w:hyperlink>
      <w:r>
        <w:rPr>
          <w:rFonts w:ascii="Times New Roman" w:hAnsi="Times New Roman"/>
          <w:kern w:val="36"/>
          <w:sz w:val="18"/>
        </w:rPr>
        <w:t>. Екологичната икономика обхваща две широки групи от дейности и/или продукти: „опазване на околнат</w:t>
      </w:r>
      <w:r>
        <w:rPr>
          <w:rFonts w:ascii="Times New Roman" w:hAnsi="Times New Roman"/>
          <w:kern w:val="36"/>
          <w:sz w:val="18"/>
        </w:rPr>
        <w:t xml:space="preserve">а среда“ — всички дейности, свързани с предотвратяване, намаляване и премахване на замърсяването, както и на всякакво друго влошаване на околната среда; „управление на ресурсите“ — опазването и поддържането на запасите от </w:t>
      </w:r>
      <w:r>
        <w:rPr>
          <w:rFonts w:ascii="Times New Roman" w:hAnsi="Times New Roman"/>
          <w:color w:val="333333"/>
          <w:sz w:val="18"/>
        </w:rPr>
        <w:t>природни ресурси, а следователно и</w:t>
      </w:r>
      <w:r>
        <w:rPr>
          <w:rFonts w:ascii="Times New Roman" w:hAnsi="Times New Roman"/>
          <w:color w:val="333333"/>
          <w:sz w:val="18"/>
        </w:rPr>
        <w:t xml:space="preserve"> защитата срещу изчерпването им</w:t>
      </w:r>
      <w:r>
        <w:rPr>
          <w:rFonts w:ascii="Times New Roman" w:hAnsi="Times New Roman"/>
          <w:kern w:val="36"/>
          <w:sz w:val="18"/>
        </w:rPr>
        <w:t>.</w:t>
      </w:r>
    </w:p>
  </w:footnote>
  <w:footnote w:id="33">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 Fankhauser, A. Bowen et al. „Who will win the green race? In search of environmental competitiveness and innovation“ (Кой ще победи в зеленото съревнование: в търсене на екологичната конкурентоспособност и иновации), 2</w:t>
      </w:r>
      <w:r>
        <w:rPr>
          <w:rFonts w:ascii="Times New Roman" w:hAnsi="Times New Roman"/>
          <w:sz w:val="18"/>
        </w:rPr>
        <w:t>013 г.</w:t>
      </w:r>
    </w:p>
  </w:footnote>
  <w:footnote w:id="34">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Комисия за бизнес и устойчиво развитие, „По-добър бизнес, по-добър свят, Доклад на Комисия за бизнес и устойчиво развитие“, януари 2017 г. (стр. 12). </w:t>
      </w:r>
    </w:p>
  </w:footnote>
  <w:footnote w:id="35">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Преглед на изпълнението на политиките за околната среда на ЕС, 2017 г.</w:t>
      </w:r>
    </w:p>
  </w:footnote>
  <w:footnote w:id="36">
    <w:p w:rsidR="00AA0CD6" w:rsidRDefault="00061B11">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Наред с другото: Межд</w:t>
      </w:r>
      <w:r>
        <w:rPr>
          <w:rFonts w:ascii="Times New Roman" w:hAnsi="Times New Roman"/>
          <w:sz w:val="18"/>
        </w:rPr>
        <w:t>управителствен комитет по изменението на климата „Глобално затопляне с 1,5 °C: специален доклад на МКИК относно въздействието на глобалното затопляне с 1,5 °C спрямо нивата от прединдустриалния период и свързаните с него траектории на емисиите на парникови</w:t>
      </w:r>
      <w:r>
        <w:rPr>
          <w:rFonts w:ascii="Times New Roman" w:hAnsi="Times New Roman"/>
          <w:sz w:val="18"/>
        </w:rPr>
        <w:t xml:space="preserve"> газове в световен мащаб в контекста на засилването на глобалната реакция спрямо опасността от изменението на климата, на укрепването на устойчивото развитие и на усилията за изкореняване на бедността“, 2018 г; Sachs, J., Schmidt-Traub, G., Kroll, C., Lafo</w:t>
      </w:r>
      <w:r>
        <w:rPr>
          <w:rFonts w:ascii="Times New Roman" w:hAnsi="Times New Roman"/>
          <w:sz w:val="18"/>
        </w:rPr>
        <w:t>rtune, G., Fuller, G. (2018 г.): Доклад „Индекс и показатели за ЦУР, 2018 г.“ Ню Йорк: Bertelsmann Stiftung и Sustainable Development Solutions Network (SDSN); „Европа по пътя към устойчиво бъдеще“ — принос на Многостранната платформа за изпълнение на цели</w:t>
      </w:r>
      <w:r>
        <w:rPr>
          <w:rFonts w:ascii="Times New Roman" w:hAnsi="Times New Roman"/>
          <w:sz w:val="18"/>
        </w:rPr>
        <w:t>те за устойчивост към документа за размисъл на ЕС, октомври 2018 г.</w:t>
      </w:r>
    </w:p>
  </w:footnote>
  <w:footnote w:id="37">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Евростат (2018 г.), Устойчивото развитие в Европейския съюз, Мониторингов доклад за напредъка по постигането на ЦУР в ЕС, изд. 2018 г. </w:t>
      </w:r>
    </w:p>
  </w:footnote>
  <w:footnote w:id="38">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i/>
          <w:sz w:val="18"/>
        </w:rPr>
        <w:t>„</w:t>
      </w:r>
      <w:r>
        <w:rPr>
          <w:rStyle w:val="Emphasis"/>
          <w:rFonts w:ascii="Times New Roman" w:hAnsi="Times New Roman"/>
          <w:i w:val="0"/>
          <w:sz w:val="18"/>
        </w:rPr>
        <w:t xml:space="preserve">Growth within: A circular economy vision for a </w:t>
      </w:r>
      <w:r>
        <w:rPr>
          <w:rStyle w:val="Emphasis"/>
          <w:rFonts w:ascii="Times New Roman" w:hAnsi="Times New Roman"/>
          <w:i w:val="0"/>
          <w:sz w:val="18"/>
        </w:rPr>
        <w:t xml:space="preserve">competitive Europe“, </w:t>
      </w:r>
      <w:r>
        <w:rPr>
          <w:rFonts w:ascii="Times New Roman" w:hAnsi="Times New Roman"/>
          <w:sz w:val="18"/>
        </w:rPr>
        <w:t>(Растеж отвътре: Визия за кръгова икономика за конкурентоспособна Европа“ (Ellen MacArthur Foundation, McKinsey Center for Business и околна среда, 2015 г.</w:t>
      </w:r>
    </w:p>
  </w:footnote>
  <w:footnote w:id="39">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Към кръгова икономика — Управление на отпадъците в ЕС, 2017 г., Служба на ЕП </w:t>
      </w:r>
      <w:r>
        <w:rPr>
          <w:rFonts w:ascii="Times New Roman" w:hAnsi="Times New Roman"/>
          <w:sz w:val="18"/>
        </w:rPr>
        <w:t>за парламентарни изследвания</w:t>
      </w:r>
    </w:p>
  </w:footnote>
  <w:footnote w:id="40">
    <w:p w:rsidR="00AA0CD6" w:rsidRDefault="00061B11">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SITRA, The circular economy - a powerful force for climate mitigation (Кръговата икономика — мощен фактор за смекчаване на последиците от изменението на климата), 2018 г. На разположение на адрес: </w:t>
      </w:r>
      <w:hyperlink r:id="rId13">
        <w:r>
          <w:rPr>
            <w:rStyle w:val="Hyperlink"/>
            <w:rFonts w:ascii="Times New Roman" w:hAnsi="Times New Roman"/>
            <w:sz w:val="18"/>
          </w:rPr>
          <w:t>https://www.sitra.fi/en/publications/circular-economy-powerful-force-climate-mitigation/</w:t>
        </w:r>
      </w:hyperlink>
      <w:r>
        <w:rPr>
          <w:rStyle w:val="Hyperlink"/>
          <w:rFonts w:ascii="Times New Roman" w:hAnsi="Times New Roman"/>
          <w:sz w:val="18"/>
        </w:rPr>
        <w:t>.</w:t>
      </w:r>
      <w:r>
        <w:rPr>
          <w:rFonts w:ascii="Times New Roman" w:hAnsi="Times New Roman"/>
        </w:rPr>
        <w:t xml:space="preserve"> </w:t>
      </w:r>
    </w:p>
  </w:footnote>
  <w:footnote w:id="41">
    <w:p w:rsidR="00AA0CD6" w:rsidRDefault="00061B11">
      <w:pPr>
        <w:pStyle w:val="FootnoteText"/>
      </w:pPr>
      <w:r>
        <w:rPr>
          <w:rStyle w:val="FootnoteReference"/>
        </w:rPr>
        <w:footnoteRef/>
      </w:r>
      <w:r>
        <w:t xml:space="preserve"> </w:t>
      </w:r>
      <w:r>
        <w:rPr>
          <w:rFonts w:ascii="Times New Roman" w:hAnsi="Times New Roman"/>
          <w:sz w:val="18"/>
        </w:rPr>
        <w:t>COM/2018/028 final.</w:t>
      </w:r>
    </w:p>
  </w:footnote>
  <w:footnote w:id="42">
    <w:p w:rsidR="00AA0CD6" w:rsidRDefault="00061B11">
      <w:pPr>
        <w:pStyle w:val="FootnoteText"/>
      </w:pPr>
      <w:r>
        <w:rPr>
          <w:rStyle w:val="FootnoteReference"/>
        </w:rPr>
        <w:footnoteRef/>
      </w:r>
      <w:r>
        <w:t xml:space="preserve"> </w:t>
      </w:r>
      <w:r>
        <w:rPr>
          <w:rFonts w:ascii="Times New Roman" w:hAnsi="Times New Roman"/>
          <w:sz w:val="18"/>
        </w:rPr>
        <w:t>COM/2018/340 final.</w:t>
      </w:r>
    </w:p>
  </w:footnote>
  <w:footnote w:id="43">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(Комитет по въпросите на бизнеса и устойчивото развитие, „По-добър бизнес, по-добър свят, доклад на Комитета п</w:t>
      </w:r>
      <w:r>
        <w:rPr>
          <w:rFonts w:ascii="Times New Roman" w:hAnsi="Times New Roman"/>
          <w:sz w:val="18"/>
        </w:rPr>
        <w:t>о въпросите на бизнеса и устойчивото развитие“), януари 2017 г.</w:t>
      </w:r>
    </w:p>
  </w:footnote>
  <w:footnote w:id="44">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(Комитет по въпросите на бизнеса и устойчивот</w:t>
      </w:r>
      <w:r>
        <w:rPr>
          <w:rFonts w:ascii="Times New Roman" w:hAnsi="Times New Roman"/>
          <w:sz w:val="18"/>
        </w:rPr>
        <w:t>о развитие, „По-добър бизнес, по-добър свят, доклад на Комитета по въпросите на бизнеса и устойчивото развитие“), януари 2017 г.</w:t>
      </w:r>
    </w:p>
  </w:footnote>
  <w:footnote w:id="45">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Организация по прехрана и земеделие на ООН (ФАО), Зелени работни места. На разположение на адрес: </w:t>
      </w:r>
      <w:hyperlink r:id="rId14">
        <w:r>
          <w:rPr>
            <w:rStyle w:val="Hyperlink"/>
            <w:rFonts w:ascii="Times New Roman" w:hAnsi="Times New Roman"/>
            <w:sz w:val="18"/>
          </w:rPr>
          <w:t>http://www.fao.org/rural-employment/work-areas/green-jobs/en/</w:t>
        </w:r>
      </w:hyperlink>
      <w:r>
        <w:rPr>
          <w:rFonts w:ascii="Times New Roman" w:hAnsi="Times New Roman"/>
          <w:sz w:val="18"/>
        </w:rPr>
        <w:t>.</w:t>
      </w:r>
    </w:p>
  </w:footnote>
  <w:footnote w:id="46">
    <w:p w:rsidR="00AA0CD6" w:rsidRDefault="00061B11">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Евростат (2018 г.), Устойчивото развитие в Европейския съюз, Мониторингов доклад за напредъка по постигането на ЦУР в ЕС, изд. 2018 г.</w:t>
      </w:r>
    </w:p>
  </w:footnote>
  <w:footnote w:id="47">
    <w:p w:rsidR="00AA0CD6" w:rsidRDefault="00061B11">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Европейска комисия, Monitoring Agri-trade Policy, MAP 2018-1, „Agri-food trade in 2017: another record year for EU agri-food trade“ (Търговия с хранителни продукти през 2017 г.: още една рекордна година за търговията с хранителни продукти в ЕС“).</w:t>
      </w:r>
    </w:p>
  </w:footnote>
  <w:footnote w:id="48">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На раз</w:t>
      </w:r>
      <w:r>
        <w:rPr>
          <w:rFonts w:ascii="Times New Roman" w:hAnsi="Times New Roman"/>
          <w:sz w:val="18"/>
        </w:rPr>
        <w:t xml:space="preserve">положение на адрес: </w:t>
      </w:r>
      <w:hyperlink r:id="rId15">
        <w:r>
          <w:rPr>
            <w:rStyle w:val="Hyperlink"/>
            <w:rFonts w:ascii="Times New Roman" w:hAnsi="Times New Roman"/>
            <w:sz w:val="18"/>
          </w:rPr>
          <w:t>https://ec.europa.eu/commission/publications/natural-resources-and-environment</w:t>
        </w:r>
      </w:hyperlink>
      <w:r>
        <w:rPr>
          <w:rFonts w:ascii="Times New Roman" w:hAnsi="Times New Roman"/>
          <w:sz w:val="18"/>
        </w:rPr>
        <w:t xml:space="preserve">. </w:t>
      </w:r>
    </w:p>
  </w:footnote>
  <w:footnote w:id="49">
    <w:p w:rsidR="00AA0CD6" w:rsidRDefault="00061B11">
      <w:pPr>
        <w:pStyle w:val="FootnoteText"/>
      </w:pPr>
      <w:r>
        <w:rPr>
          <w:rStyle w:val="FootnoteReference"/>
        </w:rPr>
        <w:footnoteRef/>
      </w:r>
      <w:r>
        <w:t xml:space="preserve"> </w:t>
      </w:r>
      <w:r>
        <w:rPr>
          <w:rFonts w:ascii="Times New Roman" w:hAnsi="Times New Roman" w:cs="Times New Roman"/>
          <w:sz w:val="18"/>
          <w:szCs w:val="18"/>
        </w:rPr>
        <w:t>На разположение на адрес:</w:t>
      </w:r>
      <w:r>
        <w:t xml:space="preserve"> </w:t>
      </w:r>
      <w:hyperlink r:id="rId16">
        <w:r>
          <w:rPr>
            <w:rStyle w:val="Hyperlink"/>
            <w:rFonts w:ascii="Times New Roman" w:hAnsi="Times New Roman"/>
            <w:sz w:val="18"/>
          </w:rPr>
          <w:t>https://ec.europa.eu/health/amr/sites/amr/files/amr_action_plan_2017_en.pdf</w:t>
        </w:r>
      </w:hyperlink>
      <w:r>
        <w:rPr>
          <w:rFonts w:ascii="Times New Roman" w:hAnsi="Times New Roman"/>
          <w:sz w:val="18"/>
        </w:rPr>
        <w:t>.</w:t>
      </w:r>
      <w:r>
        <w:t xml:space="preserve"> </w:t>
      </w:r>
    </w:p>
  </w:footnote>
  <w:footnote w:id="50">
    <w:p w:rsidR="00AA0CD6" w:rsidRDefault="00061B11">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Задълбочен анализ в подкрепа на съобщението на Комисията COM (2018) 773 „Чиста планета за всички Европейска ст</w:t>
      </w:r>
      <w:r>
        <w:rPr>
          <w:rFonts w:ascii="Times New Roman" w:hAnsi="Times New Roman"/>
          <w:sz w:val="18"/>
        </w:rPr>
        <w:t>ратегическа дългосрочна визия за просперираща, модерна, конкурентоспособна и неутрална по отношение на климата икономика.“</w:t>
      </w:r>
    </w:p>
    <w:p w:rsidR="00AA0CD6" w:rsidRDefault="00061B11">
      <w:pPr>
        <w:spacing w:after="0" w:line="240" w:lineRule="auto"/>
        <w:jc w:val="both"/>
        <w:rPr>
          <w:rFonts w:ascii="Times New Roman" w:eastAsia="Times New Roman" w:hAnsi="Times New Roman" w:cs="Times New Roman"/>
          <w:sz w:val="18"/>
          <w:szCs w:val="18"/>
          <w:lang w:eastAsia="en-GB"/>
        </w:rPr>
      </w:pPr>
      <w:r>
        <w:rPr>
          <w:rFonts w:ascii="Times New Roman" w:hAnsi="Times New Roman"/>
          <w:sz w:val="18"/>
        </w:rPr>
        <w:t xml:space="preserve">Производството на месо е сред производствата, които изискват най-много земя на калория. Прехвърлянето и намаляването на консумацията </w:t>
      </w:r>
      <w:r>
        <w:rPr>
          <w:rFonts w:ascii="Times New Roman" w:hAnsi="Times New Roman"/>
          <w:sz w:val="18"/>
        </w:rPr>
        <w:t>на месо ще освободят земеделски земи.</w:t>
      </w:r>
    </w:p>
  </w:footnote>
  <w:footnote w:id="51">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През последните 10 години нарасна значително енергийната ефективност на хладилниците (същото важи и за например перални машини, съдомиялни машини, телевизори). Това означава също, че хората купуват по-ефективни продукти. Десетте най-добри продукти въз осно</w:t>
      </w:r>
      <w:r>
        <w:rPr>
          <w:rFonts w:ascii="Times New Roman" w:hAnsi="Times New Roman"/>
          <w:sz w:val="18"/>
        </w:rPr>
        <w:t xml:space="preserve">ва на данни от GFK. На разположение на адрес: </w:t>
      </w:r>
      <w:hyperlink r:id="rId17">
        <w:r>
          <w:rPr>
            <w:rFonts w:ascii="Times New Roman" w:hAnsi="Times New Roman"/>
            <w:sz w:val="18"/>
          </w:rPr>
          <w:t>topten.eu</w:t>
        </w:r>
      </w:hyperlink>
      <w:r>
        <w:rPr>
          <w:rFonts w:ascii="Times New Roman" w:hAnsi="Times New Roman"/>
          <w:sz w:val="18"/>
        </w:rPr>
        <w:t xml:space="preserve"> </w:t>
      </w:r>
    </w:p>
  </w:footnote>
  <w:footnote w:id="52">
    <w:p w:rsidR="00AA0CD6" w:rsidRDefault="00061B11">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COM(2016) 377</w:t>
      </w:r>
    </w:p>
  </w:footnote>
  <w:footnote w:id="53">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През 2017 г. до 9,6 % от БВП на Европа се падаше на здравните грижи, като по този начин се преследва ефективност на разходите за здравеопазване </w:t>
      </w:r>
      <w:r>
        <w:rPr>
          <w:rFonts w:ascii="Times New Roman" w:hAnsi="Times New Roman"/>
          <w:sz w:val="18"/>
        </w:rPr>
        <w:t>и борбата с разхищаването на средства става все по-важна.</w:t>
      </w:r>
    </w:p>
  </w:footnote>
  <w:footnote w:id="54">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 (2017) 206, Документ за размисъл относно социалното измерение на Европа, 26 април 2017 г.</w:t>
      </w:r>
    </w:p>
  </w:footnote>
  <w:footnote w:id="55">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Цели за устойчиво развитие на ООН, Цел 11: Градовете и населените места да станат приобщаващи, сигур</w:t>
      </w:r>
      <w:r>
        <w:rPr>
          <w:rFonts w:ascii="Times New Roman" w:hAnsi="Times New Roman"/>
          <w:sz w:val="18"/>
        </w:rPr>
        <w:t xml:space="preserve">ни, издръжливи и устойчиви. На разположение на адрес: </w:t>
      </w:r>
      <w:hyperlink r:id="rId18">
        <w:r>
          <w:rPr>
            <w:rStyle w:val="Hyperlink"/>
            <w:rFonts w:ascii="Times New Roman" w:hAnsi="Times New Roman"/>
            <w:sz w:val="18"/>
          </w:rPr>
          <w:t>https://www.un.org/sustainabledevelopment/cities/</w:t>
        </w:r>
      </w:hyperlink>
      <w:r>
        <w:rPr>
          <w:rFonts w:ascii="Times New Roman" w:hAnsi="Times New Roman"/>
          <w:sz w:val="18"/>
        </w:rPr>
        <w:t>.</w:t>
      </w:r>
    </w:p>
  </w:footnote>
  <w:footnote w:id="56">
    <w:p w:rsidR="00AA0CD6" w:rsidRDefault="00061B11">
      <w:pPr>
        <w:autoSpaceDE w:val="0"/>
        <w:autoSpaceDN w:val="0"/>
        <w:adjustRightInd w:val="0"/>
        <w:spacing w:after="0" w:line="240" w:lineRule="auto"/>
        <w:jc w:val="both"/>
        <w:rPr>
          <w:rFonts w:ascii="Times New Roman" w:hAnsi="Times New Roman" w:cs="Times New Roman"/>
          <w:bCs/>
          <w:sz w:val="18"/>
          <w:szCs w:val="18"/>
        </w:rPr>
      </w:pPr>
      <w:r>
        <w:rPr>
          <w:rStyle w:val="FootnoteReference"/>
          <w:rFonts w:ascii="Times New Roman" w:hAnsi="Times New Roman"/>
          <w:sz w:val="18"/>
        </w:rPr>
        <w:footnoteRef/>
      </w:r>
      <w:r>
        <w:rPr>
          <w:rFonts w:ascii="Times New Roman" w:hAnsi="Times New Roman"/>
          <w:sz w:val="18"/>
        </w:rPr>
        <w:t xml:space="preserve"> The Role of Science, Technology and Innovation Policies to Foster the Implementa</w:t>
      </w:r>
      <w:r>
        <w:rPr>
          <w:rFonts w:ascii="Times New Roman" w:hAnsi="Times New Roman"/>
          <w:sz w:val="18"/>
        </w:rPr>
        <w:t xml:space="preserve">tion of the Sustainable Development Goals Report of the Expert Group “Follow-up to Rio+20, notably the SDGs”. („Ролята на политиките в областта на науката, технологиите и иновациите за насърчаване на прилагането на целите за устойчиво развитие“, Доклад на </w:t>
      </w:r>
      <w:r>
        <w:rPr>
          <w:rFonts w:ascii="Times New Roman" w:hAnsi="Times New Roman"/>
          <w:sz w:val="18"/>
        </w:rPr>
        <w:t>експертната група „Последващи действия във връзка с „Рио + 20“, и по-конкретно ЦУР“).</w:t>
      </w:r>
    </w:p>
  </w:footnote>
  <w:footnote w:id="57">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22 final. </w:t>
      </w:r>
    </w:p>
  </w:footnote>
  <w:footnote w:id="58">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През ноември 2018 г. Европейската комисия стартира AI Watch с цел наблюдение на свързаното с изкуствения интелект развитие в ЕС и по света и пред</w:t>
      </w:r>
      <w:r>
        <w:rPr>
          <w:rFonts w:ascii="Times New Roman" w:hAnsi="Times New Roman"/>
          <w:sz w:val="18"/>
        </w:rPr>
        <w:t>оставяне на необходимата аналитична основа за предприемане на по-нататъшни действия.</w:t>
      </w:r>
    </w:p>
  </w:footnote>
  <w:footnote w:id="59">
    <w:p w:rsidR="00AA0CD6" w:rsidRDefault="00061B11">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Европейска комисия, „Планове на САЩ—Китай—ЕС за изкуствения интелект: къде сме ние?“, януари 2018 г. На разположение на адрес: </w:t>
      </w:r>
      <w:hyperlink r:id="rId19">
        <w:r>
          <w:rPr>
            <w:rStyle w:val="Hyperlink"/>
            <w:rFonts w:ascii="Times New Roman" w:hAnsi="Times New Roman"/>
            <w:sz w:val="18"/>
          </w:rPr>
          <w:t>https://ec.europa.eu/growth/tools-databases/dem/monitor/sites/default/files/DTM_AI%20USA-China-EU%20plans%20for%20AI%20v5.pdf</w:t>
        </w:r>
      </w:hyperlink>
      <w:r>
        <w:rPr>
          <w:rFonts w:ascii="Times New Roman" w:hAnsi="Times New Roman"/>
          <w:sz w:val="18"/>
        </w:rPr>
        <w:t>.</w:t>
      </w:r>
      <w:r>
        <w:rPr>
          <w:rFonts w:ascii="Times New Roman" w:hAnsi="Times New Roman"/>
        </w:rPr>
        <w:t xml:space="preserve"> </w:t>
      </w:r>
    </w:p>
  </w:footnote>
  <w:footnote w:id="60">
    <w:p w:rsidR="00AA0CD6" w:rsidRDefault="00061B11">
      <w:pPr>
        <w:pStyle w:val="FootnoteText"/>
        <w:jc w:val="both"/>
        <w:rPr>
          <w:rFonts w:ascii="Times New Roman" w:hAnsi="Times New Roman" w:cs="Times New Roman"/>
          <w:sz w:val="18"/>
          <w:szCs w:val="18"/>
          <w:lang w:val="ru-RU"/>
        </w:rPr>
      </w:pPr>
      <w:r>
        <w:rPr>
          <w:rStyle w:val="FootnoteReference"/>
          <w:rFonts w:ascii="Times New Roman" w:hAnsi="Times New Roman"/>
          <w:sz w:val="18"/>
        </w:rPr>
        <w:footnoteRef/>
      </w:r>
      <w:r>
        <w:rPr>
          <w:rFonts w:ascii="Times New Roman" w:hAnsi="Times New Roman"/>
          <w:sz w:val="18"/>
        </w:rPr>
        <w:t xml:space="preserve"> Jiaxuan You, Xiaocheng </w:t>
      </w:r>
      <w:r>
        <w:rPr>
          <w:rFonts w:ascii="Times New Roman" w:hAnsi="Times New Roman"/>
          <w:sz w:val="18"/>
        </w:rPr>
        <w:t>li, melvin low, David B. Lobell, Stefano Ermon, "Sustainability and Artificial Intelligence Lab, Combining Remote Sensing Data and Machine Learning to Predict Crop Yield” („Лаборатория за устойчивост и изкуствен интелект, съчетаване на дистанционно отчитан</w:t>
      </w:r>
      <w:r>
        <w:rPr>
          <w:rFonts w:ascii="Times New Roman" w:hAnsi="Times New Roman"/>
          <w:sz w:val="18"/>
        </w:rPr>
        <w:t xml:space="preserve">е на данни и машинно самообучение за предвиждания относно реколтите“.). На разположение на адрес: </w:t>
      </w:r>
      <w:hyperlink r:id="rId20">
        <w:r>
          <w:rPr>
            <w:rStyle w:val="Hyperlink"/>
            <w:rFonts w:ascii="Times New Roman" w:hAnsi="Times New Roman"/>
            <w:sz w:val="18"/>
          </w:rPr>
          <w:t>http://sustain.stanford.edu/crop-yield-analysis</w:t>
        </w:r>
      </w:hyperlink>
      <w:r>
        <w:rPr>
          <w:rFonts w:ascii="Times New Roman" w:hAnsi="Times New Roman"/>
          <w:sz w:val="18"/>
        </w:rPr>
        <w:t>.</w:t>
      </w:r>
    </w:p>
  </w:footnote>
  <w:footnote w:id="61">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Конференция на Организацията на обединените нации за търговия и развитие. На разположение на адрес: </w:t>
      </w:r>
      <w:r>
        <w:rPr>
          <w:rStyle w:val="Hyperlink"/>
          <w:rFonts w:ascii="Times New Roman" w:hAnsi="Times New Roman"/>
          <w:sz w:val="18"/>
        </w:rPr>
        <w:t>http://www.eurasia.undp.org/content/rbec/en/home/blog/2017/7/12/What-kind-of-blender-do-we-need-to-finance-the-SDGs-.html</w:t>
      </w:r>
    </w:p>
  </w:footnote>
  <w:footnote w:id="62">
    <w:p w:rsidR="00AA0CD6" w:rsidRDefault="00061B11">
      <w:pPr>
        <w:pStyle w:val="FootnoteText"/>
      </w:pPr>
      <w:r>
        <w:rPr>
          <w:rStyle w:val="FootnoteReference"/>
          <w:rFonts w:ascii="Times New Roman" w:hAnsi="Times New Roman"/>
        </w:rPr>
        <w:footnoteRef/>
      </w:r>
      <w:r>
        <w:t xml:space="preserve"> </w:t>
      </w:r>
      <w:r>
        <w:rPr>
          <w:rFonts w:ascii="Times New Roman" w:hAnsi="Times New Roman" w:cs="Times New Roman"/>
          <w:sz w:val="18"/>
          <w:szCs w:val="18"/>
        </w:rPr>
        <w:t>План за действие за устойчиво ф</w:t>
      </w:r>
      <w:r>
        <w:rPr>
          <w:rFonts w:ascii="Times New Roman" w:hAnsi="Times New Roman" w:cs="Times New Roman"/>
          <w:sz w:val="18"/>
          <w:szCs w:val="18"/>
        </w:rPr>
        <w:t xml:space="preserve">инансиране </w:t>
      </w:r>
      <w:hyperlink r:id="rId21">
        <w:r>
          <w:rPr>
            <w:rStyle w:val="Hyperlink"/>
            <w:rFonts w:ascii="Times New Roman" w:hAnsi="Times New Roman"/>
            <w:sz w:val="18"/>
          </w:rPr>
          <w:t>https://ec.europa.eu/info/publications/180524-proposal-sustainable-finance_en</w:t>
        </w:r>
      </w:hyperlink>
      <w:r>
        <w:rPr>
          <w:rFonts w:ascii="Times New Roman" w:hAnsi="Times New Roman"/>
          <w:sz w:val="18"/>
        </w:rPr>
        <w:t xml:space="preserve">. </w:t>
      </w:r>
    </w:p>
  </w:footnote>
  <w:footnote w:id="63">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w:t>
      </w:r>
      <w:r>
        <w:rPr>
          <w:rFonts w:ascii="Times New Roman" w:hAnsi="Times New Roman"/>
          <w:sz w:val="18"/>
        </w:rPr>
        <w:t>Better World, The report of the Business &amp; Sustainable Development Commission" (Комитет по въпросите на бизнеса и устойчивото развитие, „По-добър бизнес, по-добър свят, доклад на Комитета по въпросите на бизнеса и устойчивото развитие“), януари 2017 г.</w:t>
      </w:r>
    </w:p>
  </w:footnote>
  <w:footnote w:id="64">
    <w:p w:rsidR="00AA0CD6" w:rsidRDefault="00061B11">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B</w:t>
      </w:r>
      <w:r>
        <w:rPr>
          <w:rFonts w:ascii="Times New Roman" w:hAnsi="Times New Roman"/>
          <w:sz w:val="18"/>
        </w:rPr>
        <w:t xml:space="preserve">usiness and Sustainable Development Commission, "Better Business Better World, The report of the Business &amp; Sustainable Development Commission" (Комитет по въпросите на бизнеса и устойчивото развитие, „По-добър бизнес, по-добър свят, доклад на Комитета по </w:t>
      </w:r>
      <w:r>
        <w:rPr>
          <w:rFonts w:ascii="Times New Roman" w:hAnsi="Times New Roman"/>
          <w:sz w:val="18"/>
        </w:rPr>
        <w:t>въпросите на бизнеса и устойчивото развитие“), януари 2017 г.</w:t>
      </w:r>
      <w:r>
        <w:rPr>
          <w:rFonts w:ascii="Times New Roman" w:hAnsi="Times New Roman"/>
        </w:rPr>
        <w:t xml:space="preserve"> </w:t>
      </w:r>
    </w:p>
  </w:footnote>
  <w:footnote w:id="65">
    <w:p w:rsidR="00AA0CD6" w:rsidRDefault="00061B11">
      <w:pPr>
        <w:pStyle w:val="FootnoteText"/>
        <w:jc w:val="both"/>
        <w:rPr>
          <w:rFonts w:ascii="Times New Roman" w:hAnsi="Times New Roman" w:cs="Times New Roman"/>
          <w:sz w:val="18"/>
          <w:szCs w:val="18"/>
          <w:lang w:val="ru-RU"/>
        </w:rPr>
      </w:pPr>
      <w:r>
        <w:rPr>
          <w:rStyle w:val="FootnoteReference"/>
          <w:rFonts w:ascii="Times New Roman" w:hAnsi="Times New Roman"/>
          <w:sz w:val="18"/>
        </w:rPr>
        <w:footnoteRef/>
      </w:r>
      <w:r>
        <w:rPr>
          <w:rFonts w:ascii="Times New Roman" w:hAnsi="Times New Roman"/>
          <w:sz w:val="18"/>
        </w:rPr>
        <w:t xml:space="preserve"> Данъчните политики в Европейския съюз: проучване за 2018 г. На разположение на адрес:</w:t>
      </w:r>
    </w:p>
    <w:p w:rsidR="00AA0CD6" w:rsidRDefault="00061B11">
      <w:pPr>
        <w:pStyle w:val="FootnoteText"/>
        <w:jc w:val="both"/>
        <w:rPr>
          <w:rFonts w:ascii="Times New Roman" w:hAnsi="Times New Roman" w:cs="Times New Roman"/>
          <w:sz w:val="18"/>
          <w:szCs w:val="18"/>
          <w:lang w:eastAsia="en-GB"/>
        </w:rPr>
      </w:pPr>
      <w:hyperlink r:id="rId22">
        <w:r>
          <w:rPr>
            <w:rStyle w:val="Hyperlink"/>
            <w:rFonts w:ascii="Times New Roman" w:hAnsi="Times New Roman"/>
            <w:sz w:val="18"/>
          </w:rPr>
          <w:t>https://ec.europa.eu/taxation_customs/business/company-tax/tax-good-governance/european-semester/tax-policies-european-union-survey_en</w:t>
        </w:r>
      </w:hyperlink>
      <w:r>
        <w:rPr>
          <w:rFonts w:ascii="Times New Roman" w:hAnsi="Times New Roman"/>
          <w:sz w:val="18"/>
        </w:rPr>
        <w:t>. През декември 2018 г. Комисията даде началото на проучване на мегатенде</w:t>
      </w:r>
      <w:r>
        <w:rPr>
          <w:rFonts w:ascii="Times New Roman" w:hAnsi="Times New Roman"/>
          <w:sz w:val="18"/>
        </w:rPr>
        <w:t>нции (изменение на климата, цифровизация, застаряване на населението и др.) и тяхното въздействие върху икономиките на ЕС, и по-специално устойчивостта на данъчните системи в ЕС.</w:t>
      </w:r>
    </w:p>
  </w:footnote>
  <w:footnote w:id="66">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COM(2019) 8 final.</w:t>
      </w:r>
    </w:p>
  </w:footnote>
  <w:footnote w:id="67">
    <w:p w:rsidR="00AA0CD6" w:rsidRDefault="00061B11">
      <w:pPr>
        <w:pStyle w:val="FootnoteText"/>
        <w:jc w:val="both"/>
        <w:rPr>
          <w:rFonts w:ascii="Times New Roman" w:hAnsi="Times New Roman" w:cs="Times New Roman"/>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COM(2019) 8 final.</w:t>
      </w:r>
    </w:p>
  </w:footnote>
  <w:footnote w:id="68">
    <w:p w:rsidR="00AA0CD6" w:rsidRDefault="00061B11">
      <w:pPr>
        <w:pStyle w:val="FootnoteText"/>
        <w:jc w:val="both"/>
        <w:rPr>
          <w:rFonts w:ascii="Times New Roman" w:hAnsi="Times New Roman" w:cs="Times New Roman"/>
          <w:sz w:val="18"/>
          <w:szCs w:val="18"/>
          <w:lang w:val="pt-PT"/>
        </w:rPr>
      </w:pPr>
      <w:r>
        <w:rPr>
          <w:rStyle w:val="FootnoteReference"/>
          <w:rFonts w:ascii="Times New Roman" w:hAnsi="Times New Roman"/>
          <w:sz w:val="18"/>
        </w:rPr>
        <w:footnoteRef/>
      </w:r>
      <w:r>
        <w:rPr>
          <w:rFonts w:ascii="Times New Roman" w:hAnsi="Times New Roman"/>
          <w:sz w:val="18"/>
        </w:rPr>
        <w:t xml:space="preserve"> COM(2019) 8 final.</w:t>
      </w:r>
    </w:p>
  </w:footnote>
  <w:footnote w:id="69">
    <w:p w:rsidR="00AA0CD6" w:rsidRDefault="00061B11">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rPr>
        <w:t>Dierx, Adriaan, Ilzkovitz, Pataracchia, Ratto, Thum-Thysen and Varga (2017), “Does EU competition policy support inclusive growth?”, Journal of Competition Law &amp; Economics, Vol. 13, No. 2. („Подкрепя ли политиката на ЕС в областта на конкуренцията приобщав</w:t>
      </w:r>
      <w:r>
        <w:rPr>
          <w:rFonts w:ascii="Times New Roman" w:hAnsi="Times New Roman"/>
          <w:sz w:val="18"/>
        </w:rPr>
        <w:t>ащия растеж?“); OECD Factsheet on how competition policy affects macro-economic outcomes (October 2014) (Информационен документ на ОИСР относно начина, по който в областта на конкуренцията влияе върху макроикономически резултати (октомври 2014 г.); Fabienn</w:t>
      </w:r>
      <w:r>
        <w:rPr>
          <w:rFonts w:ascii="Times New Roman" w:hAnsi="Times New Roman"/>
          <w:sz w:val="18"/>
        </w:rPr>
        <w:t>e Ilzkovitz and Adriaan Dierx, “Ex-post economic evaluation of competition policy enforcement: A review of the literature”, DG Competition, June 2015 („Последваща икономическа оценка на прилагането на политиката в областта на конкуренцията: преглед на лите</w:t>
      </w:r>
      <w:r>
        <w:rPr>
          <w:rFonts w:ascii="Times New Roman" w:hAnsi="Times New Roman"/>
          <w:sz w:val="18"/>
        </w:rPr>
        <w:t xml:space="preserve">ратурата“, ГД „Конкуренция“, юни 2015 г.). </w:t>
      </w:r>
    </w:p>
  </w:footnote>
  <w:footnote w:id="70">
    <w:p w:rsidR="00AA0CD6" w:rsidRDefault="00061B11">
      <w:pPr>
        <w:pStyle w:val="FootnoteText"/>
        <w:jc w:val="both"/>
        <w:rPr>
          <w:rFonts w:ascii="Times New Roman" w:hAnsi="Times New Roman" w:cs="Times New Roman"/>
          <w:sz w:val="18"/>
          <w:szCs w:val="18"/>
        </w:rPr>
      </w:pPr>
      <w:r>
        <w:rPr>
          <w:rFonts w:ascii="Times New Roman" w:hAnsi="Times New Roman"/>
          <w:sz w:val="18"/>
          <w:vertAlign w:val="superscript"/>
        </w:rPr>
        <w:footnoteRef/>
      </w:r>
      <w:r>
        <w:rPr>
          <w:rFonts w:ascii="Times New Roman" w:hAnsi="Times New Roman"/>
          <w:sz w:val="18"/>
          <w:vertAlign w:val="superscript"/>
        </w:rPr>
        <w:t xml:space="preserve"> </w:t>
      </w:r>
      <w:hyperlink r:id="rId23">
        <w:r>
          <w:rPr>
            <w:rStyle w:val="Hyperlink"/>
            <w:rFonts w:ascii="Times New Roman" w:hAnsi="Times New Roman"/>
            <w:sz w:val="18"/>
          </w:rPr>
          <w:t xml:space="preserve">http://ec.europa.eu/competition/state_aid/scoreboard/index_en.html </w:t>
        </w:r>
      </w:hyperlink>
    </w:p>
    <w:p w:rsidR="00AA0CD6" w:rsidRDefault="00AA0CD6">
      <w:pPr>
        <w:pStyle w:val="FootnoteText"/>
        <w:rPr>
          <w:rFonts w:ascii="Times New Roman" w:hAnsi="Times New Roman" w:cs="Times New Roman"/>
          <w:sz w:val="18"/>
          <w:szCs w:val="18"/>
        </w:rPr>
      </w:pPr>
    </w:p>
  </w:footnote>
  <w:footnote w:id="71">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Директива (EС) 2017/828 на Европейския парламент и на Съвета от 17 май 2017 г. за изменение на Директива </w:t>
      </w:r>
    </w:p>
    <w:p w:rsidR="00AA0CD6" w:rsidRDefault="00061B11">
      <w:pPr>
        <w:pStyle w:val="FootnoteText"/>
        <w:jc w:val="both"/>
        <w:rPr>
          <w:rFonts w:ascii="Times New Roman" w:hAnsi="Times New Roman" w:cs="Times New Roman"/>
          <w:sz w:val="18"/>
          <w:szCs w:val="18"/>
          <w:lang w:val="ru-RU"/>
        </w:rPr>
      </w:pPr>
      <w:r>
        <w:rPr>
          <w:rFonts w:ascii="Times New Roman" w:hAnsi="Times New Roman"/>
          <w:sz w:val="18"/>
        </w:rPr>
        <w:t xml:space="preserve">    2007/36/ЕО по отношение на насърчаването на дългосрочната ангажираност на акционерите (текст от значение за ЕИП)</w:t>
      </w:r>
    </w:p>
  </w:footnote>
  <w:footnote w:id="72">
    <w:p w:rsidR="00AA0CD6" w:rsidRDefault="00061B11">
      <w:pPr>
        <w:pStyle w:val="FootnoteText"/>
      </w:pPr>
      <w:r>
        <w:rPr>
          <w:rStyle w:val="FootnoteReference"/>
          <w:rFonts w:ascii="Times New Roman" w:hAnsi="Times New Roman"/>
          <w:sz w:val="18"/>
        </w:rPr>
        <w:footnoteRef/>
      </w:r>
      <w:r>
        <w:rPr>
          <w:rFonts w:ascii="Times New Roman" w:hAnsi="Times New Roman"/>
          <w:sz w:val="18"/>
        </w:rPr>
        <w:t xml:space="preserve"> Директива 2014/95/ЕС на Европе</w:t>
      </w:r>
      <w:r>
        <w:rPr>
          <w:rFonts w:ascii="Times New Roman" w:hAnsi="Times New Roman"/>
          <w:sz w:val="18"/>
        </w:rPr>
        <w:t>йския парламент и на Съвета от 22 октомври 2014 г. за изменение на Директива 2013/34/EС по отношение на оповестяването на нефинансова информация и на информация за многообразието от страна на някои големи предприятия и групи (текст от значение за ЕИП).</w:t>
      </w:r>
    </w:p>
  </w:footnote>
  <w:footnote w:id="73">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Р</w:t>
      </w:r>
      <w:r>
        <w:rPr>
          <w:rFonts w:ascii="Times New Roman" w:hAnsi="Times New Roman"/>
          <w:sz w:val="18"/>
        </w:rPr>
        <w:t>егламент (ЕС) 2017/821 за полезните изкопаеми от засегнати от конфликти зони.</w:t>
      </w:r>
    </w:p>
  </w:footnote>
  <w:footnote w:id="74">
    <w:p w:rsidR="00AA0CD6" w:rsidRDefault="00061B1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hyperlink r:id="rId24" w:anchor="investment">
        <w:r>
          <w:rPr>
            <w:rStyle w:val="Hyperlink"/>
            <w:rFonts w:ascii="Times New Roman" w:hAnsi="Times New Roman"/>
            <w:sz w:val="18"/>
          </w:rPr>
          <w:t>https://ec.europa.eu/info/publications/180524-proposal-sustaina</w:t>
        </w:r>
        <w:r>
          <w:rPr>
            <w:rStyle w:val="Hyperlink"/>
            <w:rFonts w:ascii="Times New Roman" w:hAnsi="Times New Roman"/>
            <w:sz w:val="18"/>
          </w:rPr>
          <w:t>ble-finance_en#investment</w:t>
        </w:r>
      </w:hyperlink>
      <w:r>
        <w:rPr>
          <w:rFonts w:ascii="Times New Roman" w:hAnsi="Times New Roman"/>
          <w:sz w:val="18"/>
        </w:rPr>
        <w:t>. По-пълна картина на отбелязания напоследък напредък на ЕС по отношение на корпоративната социална отговорност/отговорното бизнес поведение и относно бизнеса и правата на човека ще бъдат представена в началото на 2019 г. в рамките</w:t>
      </w:r>
      <w:r>
        <w:rPr>
          <w:rFonts w:ascii="Times New Roman" w:hAnsi="Times New Roman"/>
          <w:sz w:val="18"/>
        </w:rPr>
        <w:t xml:space="preserve"> на дните на промишлеността на ЕС.</w:t>
      </w:r>
    </w:p>
  </w:footnote>
  <w:footnote w:id="75">
    <w:p w:rsidR="00AA0CD6" w:rsidRDefault="00061B1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Камерун, Кот д’Ивоар, Гана и държавите от ЮАОР, страни по СИП (Ботсуана, Лесото, Мозамбик, Намибия, Свазиленд и Южна Африка).</w:t>
      </w:r>
    </w:p>
  </w:footnote>
  <w:footnote w:id="76">
    <w:p w:rsidR="00AA0CD6" w:rsidRDefault="00061B11">
      <w:pPr>
        <w:pStyle w:val="FootnoteText"/>
        <w:rPr>
          <w:rFonts w:ascii="Arial" w:hAnsi="Arial" w:cs="Arial"/>
          <w:sz w:val="18"/>
          <w:szCs w:val="18"/>
        </w:rPr>
      </w:pPr>
      <w:r>
        <w:rPr>
          <w:rStyle w:val="FootnoteReference"/>
          <w:rFonts w:ascii="Arial" w:hAnsi="Arial"/>
          <w:sz w:val="18"/>
        </w:rPr>
        <w:footnoteRef/>
      </w:r>
      <w:r>
        <w:rPr>
          <w:rFonts w:ascii="Arial" w:hAnsi="Arial"/>
          <w:sz w:val="18"/>
        </w:rPr>
        <w:t xml:space="preserve"> </w:t>
      </w:r>
      <w:r>
        <w:rPr>
          <w:rFonts w:ascii="Times New Roman" w:hAnsi="Times New Roman"/>
          <w:sz w:val="18"/>
        </w:rPr>
        <w:t>Неофициален документ на службите на Комисията. На разположение на адрес:</w:t>
      </w:r>
      <w:r>
        <w:rPr>
          <w:rFonts w:ascii="Arial" w:hAnsi="Arial"/>
          <w:sz w:val="18"/>
        </w:rPr>
        <w:t xml:space="preserve"> </w:t>
      </w:r>
      <w:hyperlink r:id="rId25">
        <w:r>
          <w:rPr>
            <w:rFonts w:ascii="Times New Roman" w:hAnsi="Times New Roman"/>
            <w:sz w:val="18"/>
          </w:rPr>
          <w:t>http://trade.ec.europa.eu/doclib/docs/2018/february/tradoc_156618.pdf</w:t>
        </w:r>
      </w:hyperlink>
      <w:r>
        <w:rPr>
          <w:rFonts w:ascii="Times New Roman" w:hAnsi="Times New Roman"/>
          <w:sz w:val="18"/>
        </w:rPr>
        <w:t>.</w:t>
      </w:r>
      <w:r>
        <w:rPr>
          <w:rFonts w:ascii="Arial" w:hAnsi="Arial"/>
          <w:sz w:val="18"/>
        </w:rPr>
        <w:t xml:space="preserve"> </w:t>
      </w:r>
    </w:p>
  </w:footnote>
  <w:footnote w:id="77">
    <w:p w:rsidR="00AA0CD6" w:rsidRDefault="00061B1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Напредъкът е представен в Доклада на ЕС за 2019 г. относно съгласуваността на политиките за раз</w:t>
      </w:r>
      <w:r>
        <w:rPr>
          <w:rFonts w:ascii="Times New Roman" w:hAnsi="Times New Roman"/>
          <w:sz w:val="18"/>
        </w:rPr>
        <w:t>витие, публикуван заедно с настоящия документ за размисъл: Работен документ на службите на Комисията (2019)20.</w:t>
      </w:r>
    </w:p>
  </w:footnote>
  <w:footnote w:id="78">
    <w:p w:rsidR="00AA0CD6" w:rsidRDefault="00061B11">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vertAlign w:val="superscript"/>
        </w:rPr>
        <w:footnoteRef/>
      </w:r>
      <w:r>
        <w:rPr>
          <w:rStyle w:val="Funotenzeichen"/>
          <w:rFonts w:ascii="Times New Roman" w:hAnsi="Times New Roman"/>
          <w:sz w:val="18"/>
        </w:rPr>
        <w:t xml:space="preserve"> </w:t>
      </w:r>
      <w:r>
        <w:rPr>
          <w:rFonts w:ascii="Times New Roman" w:hAnsi="Times New Roman"/>
          <w:sz w:val="18"/>
        </w:rPr>
        <w:t>COM(2018) 703 final.</w:t>
      </w:r>
      <w:r>
        <w:rPr>
          <w:rFonts w:ascii="Times New Roman" w:hAnsi="Times New Roman"/>
          <w:sz w:val="24"/>
        </w:rPr>
        <w:t xml:space="preserve"> </w:t>
      </w:r>
      <w:r>
        <w:rPr>
          <w:rStyle w:val="Funotenzeichen"/>
          <w:rFonts w:ascii="Times New Roman" w:hAnsi="Times New Roman"/>
          <w:sz w:val="18"/>
        </w:rPr>
        <w:t xml:space="preserve">На разположение на адрес: </w:t>
      </w:r>
      <w:hyperlink r:id="rId26">
        <w:r>
          <w:rPr>
            <w:rStyle w:val="Hyperlink"/>
            <w:rFonts w:ascii="Times New Roman" w:hAnsi="Times New Roman"/>
            <w:sz w:val="18"/>
          </w:rPr>
          <w:t>https://ec.europa.eu/info/sites/info/files/communication-principles-subsidiarity-proportionality-strengthening-role-policymaking_en.pdf</w:t>
        </w:r>
      </w:hyperlink>
      <w:r>
        <w:rPr>
          <w:rStyle w:val="Funotenzeichen"/>
          <w:rFonts w:ascii="Times New Roman" w:hAnsi="Times New Roman"/>
          <w:sz w:val="18"/>
        </w:rPr>
        <w:t xml:space="preserve"> и </w:t>
      </w:r>
      <w:hyperlink r:id="rId27">
        <w:r>
          <w:rPr>
            <w:rStyle w:val="Hyperlink"/>
            <w:rFonts w:ascii="Times New Roman" w:hAnsi="Times New Roman"/>
            <w:sz w:val="18"/>
          </w:rPr>
          <w:t>https://ec.europa.eu/commission/priorities/democratic-change/better-regulation/task-force-subsidiarity-proportionality-and-doing-less-more-eff</w:t>
        </w:r>
        <w:r>
          <w:rPr>
            <w:rStyle w:val="Hyperlink"/>
            <w:rFonts w:ascii="Times New Roman" w:hAnsi="Times New Roman"/>
            <w:sz w:val="18"/>
          </w:rPr>
          <w:t>iciently_en</w:t>
        </w:r>
      </w:hyperlink>
    </w:p>
  </w:footnote>
  <w:footnote w:id="79">
    <w:p w:rsidR="00AA0CD6" w:rsidRDefault="00061B11">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Fonts w:ascii="Times New Roman" w:hAnsi="Times New Roman"/>
          <w:sz w:val="18"/>
        </w:rPr>
        <w:t xml:space="preserve"> На разположение на адрес: </w:t>
      </w:r>
      <w:hyperlink r:id="rId28">
        <w:r>
          <w:rPr>
            <w:rStyle w:val="Hyperlink"/>
            <w:rFonts w:ascii="Times New Roman" w:hAnsi="Times New Roman"/>
            <w:sz w:val="18"/>
          </w:rPr>
          <w:t>https://ec.europa.eu/info/strategy/international-strategie</w:t>
        </w:r>
        <w:r>
          <w:rPr>
            <w:rStyle w:val="Hyperlink"/>
            <w:rFonts w:ascii="Times New Roman" w:hAnsi="Times New Roman"/>
            <w:sz w:val="18"/>
          </w:rPr>
          <w:t>s/global-topics/sustainable-development-goals/multi-stakeholder-platform-sdgs_en</w:t>
        </w:r>
      </w:hyperlink>
      <w:r>
        <w:rPr>
          <w:rStyle w:val="Hyperlink"/>
          <w:rFonts w:ascii="Times New Roman" w:hAnsi="Times New Roman"/>
          <w:sz w:val="18"/>
        </w:rPr>
        <w:t>.</w:t>
      </w:r>
      <w:r>
        <w:rPr>
          <w:rFonts w:ascii="Times New Roman" w:hAnsi="Times New Roman"/>
          <w:sz w:val="18"/>
        </w:rPr>
        <w:t xml:space="preserve"> </w:t>
      </w:r>
    </w:p>
  </w:footnote>
  <w:footnote w:id="80">
    <w:p w:rsidR="00AA0CD6" w:rsidRDefault="00061B11">
      <w:pPr>
        <w:pStyle w:val="FootnoteText"/>
        <w:rPr>
          <w:lang w:val="ru-RU"/>
        </w:rPr>
      </w:pPr>
      <w:r>
        <w:rPr>
          <w:rStyle w:val="FootnoteReference"/>
        </w:rPr>
        <w:footnoteRef/>
      </w:r>
      <w:r>
        <w:t xml:space="preserve"> </w:t>
      </w:r>
      <w:r>
        <w:rPr>
          <w:rFonts w:ascii="Times New Roman" w:hAnsi="Times New Roman"/>
          <w:sz w:val="18"/>
        </w:rPr>
        <w:t>С над 37 милиарда евро, мобилизирани от началото през септември 2017 г., алиансът е на път да привлече определената за 2020 г. сума от 44 милиарда евро инвестиции за устой</w:t>
      </w:r>
      <w:r>
        <w:rPr>
          <w:rFonts w:ascii="Times New Roman" w:hAnsi="Times New Roman"/>
          <w:sz w:val="18"/>
        </w:rPr>
        <w:t>чиво развитие до 2020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B11" w:rsidRPr="00061B11" w:rsidRDefault="00061B11" w:rsidP="00061B1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D6" w:rsidRDefault="00AA0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073D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15:restartNumberingAfterBreak="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hideSpellingErrors/>
  <w:hideGrammaticalErrors/>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B269D36-BE5A-41EB-B686-1F7B5E81D6C0"/>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u1041?\u1088?\u1102?\u1082?\u1089?\u1077?\u1083?, "/>
    <w:docVar w:name="LW_EMISSION_SUFFIX" w:val=" \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u1050?\u1098?\u1084? \u1091?\u1089?\u1090?\u1086?\u1081?\u1095?\u1080?\u1074?\u1072? \u1045?\u1074?\u1088?\u1086?\u1087?\u1072? \u1076?\u1086? 2030 \u1075?.&lt;/FMT&gt;"/>
    <w:docVar w:name="LW_TYPE.DOC.CP" w:val="\u1044?\u1086?\u1082?\u1091?\u1084?\u1077?\u1085?\u1090? \u1079?\u1072? \u1088?\u1072?\u1079?\u1084?\u1080?\u1089?\u1098?\u1083?"/>
  </w:docVars>
  <w:rsids>
    <w:rsidRoot w:val="00AA0CD6"/>
    <w:rsid w:val="00061B11"/>
    <w:rsid w:val="00AA0CD6"/>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Footnote TextCSR,ft,Footnote,Fußnote,o,5_G"/>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Footnote TextCSR Char,ft Char"/>
    <w:basedOn w:val="DefaultParagraphFont"/>
    <w:link w:val="FootnoteText"/>
    <w:uiPriority w:val="99"/>
    <w:rPr>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basedOn w:val="DefaultParagraphFont"/>
    <w:uiPriority w:val="99"/>
    <w:unhideWhenUsed/>
    <w:qFormat/>
    <w:rPr>
      <w:vertAlign w:val="superscript"/>
    </w:rPr>
  </w:style>
  <w:style w:type="character" w:customStyle="1" w:styleId="reference-text">
    <w:name w:val="reference-text"/>
    <w:basedOn w:val="DefaultParagraphFont"/>
  </w:style>
  <w:style w:type="paragraph" w:customStyle="1" w:styleId="t-body-text">
    <w:name w:val="t-body-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DefaultParagraphFont"/>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paragraph" w:customStyle="1" w:styleId="SUPERSChar">
    <w:name w:val="SUPERS Char"/>
    <w:basedOn w:val="Normal"/>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pPr>
      <w:tabs>
        <w:tab w:val="left" w:pos="440"/>
        <w:tab w:val="right" w:leader="dot" w:pos="9016"/>
      </w:tabs>
      <w:spacing w:before="120" w:after="100"/>
      <w:jc w:val="both"/>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1">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0">
    <w:name w:val="A0"/>
    <w:uiPriority w:val="99"/>
    <w:rPr>
      <w:rFonts w:cs="EC Square Sans Pro"/>
      <w:color w:val="000000"/>
      <w:sz w:val="26"/>
      <w:szCs w:val="26"/>
    </w:rPr>
  </w:style>
  <w:style w:type="paragraph" w:styleId="TOC2">
    <w:name w:val="toc 2"/>
    <w:basedOn w:val="Normal"/>
    <w:next w:val="Normal"/>
    <w:autoRedefine/>
    <w:uiPriority w:val="39"/>
    <w:unhideWhenUsed/>
    <w:pPr>
      <w:tabs>
        <w:tab w:val="left" w:pos="1100"/>
        <w:tab w:val="right" w:leader="dot" w:pos="9016"/>
      </w:tabs>
      <w:spacing w:before="120" w:after="120" w:line="240" w:lineRule="auto"/>
      <w:ind w:left="442"/>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bg-BG"/>
    </w:rPr>
  </w:style>
  <w:style w:type="paragraph" w:customStyle="1" w:styleId="Footnotesrefs">
    <w:name w:val="Footnotes refs"/>
    <w:basedOn w:val="Normal"/>
    <w:uiPriority w:val="99"/>
    <w:pPr>
      <w:spacing w:after="0" w:line="240" w:lineRule="exact"/>
    </w:pPr>
    <w:rPr>
      <w:vertAlign w:val="superscript"/>
    </w:rPr>
  </w:style>
  <w:style w:type="paragraph" w:styleId="TOC3">
    <w:name w:val="toc 3"/>
    <w:basedOn w:val="Normal"/>
    <w:next w:val="Normal"/>
    <w:autoRedefine/>
    <w:uiPriority w:val="39"/>
    <w:unhideWhenUsed/>
    <w:pPr>
      <w:spacing w:after="100"/>
      <w:ind w:left="440"/>
    </w:pPr>
  </w:style>
  <w:style w:type="character" w:customStyle="1" w:styleId="footnotereference0">
    <w:name w:val="footnotereference"/>
    <w:basedOn w:val="DefaultParagraphFont"/>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rPr>
  </w:style>
  <w:style w:type="paragraph" w:customStyle="1" w:styleId="Point0number">
    <w:name w:val="Point 0 (number)"/>
    <w:basedOn w:val="Normal"/>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DefaultParagraphFont"/>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6">
    <w:name w:val="A6"/>
    <w:uiPriority w:val="99"/>
    <w:rPr>
      <w:rFonts w:cs="Garamond"/>
      <w:color w:val="000000"/>
      <w:sz w:val="22"/>
      <w:szCs w:val="22"/>
    </w:rPr>
  </w:style>
  <w:style w:type="paragraph" w:customStyle="1" w:styleId="Pointabc">
    <w:name w:val="Point abc"/>
    <w:basedOn w:val="Normal"/>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Normal"/>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Normal"/>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Normal"/>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Normal"/>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Normal"/>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Normal"/>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Normal"/>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Normal"/>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Normal"/>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DefaultParagraphFont"/>
  </w:style>
  <w:style w:type="paragraph" w:customStyle="1" w:styleId="p1">
    <w:name w:val="p1"/>
    <w:basedOn w:val="Normal"/>
    <w:pPr>
      <w:spacing w:after="0" w:line="240" w:lineRule="auto"/>
    </w:pPr>
    <w:rPr>
      <w:rFonts w:ascii="Times New Roman" w:hAnsi="Times New Roman" w:cs="Times New Roman"/>
      <w:sz w:val="17"/>
      <w:szCs w:val="17"/>
    </w:rPr>
  </w:style>
  <w:style w:type="character" w:customStyle="1" w:styleId="Funotenzeichen">
    <w:name w:val="Fußnotenzeichen"/>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apple-converted-space">
    <w:name w:val="apple-converted-space"/>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DefaultParagraphFont"/>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bg-BG" w:eastAsia="bg-BG" w:bidi="bg-BG"/>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header" Target="header23.xml"/><Relationship Id="rId8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footer" Target="footer21.xml"/><Relationship Id="rId79" Type="http://schemas.openxmlformats.org/officeDocument/2006/relationships/header" Target="header24.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eader" Target="header26.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header" Target="header10.xml"/><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ood/safety/food_waste_en" TargetMode="External"/><Relationship Id="rId13" Type="http://schemas.openxmlformats.org/officeDocument/2006/relationships/hyperlink" Target="https://www.sitra.fi/en/publications/circular-economy-powerful-force-climate-mitigation/" TargetMode="External"/><Relationship Id="rId18" Type="http://schemas.openxmlformats.org/officeDocument/2006/relationships/hyperlink" Target="https://www.un.org/sustainabledevelopment/cities/" TargetMode="External"/><Relationship Id="rId26" Type="http://schemas.openxmlformats.org/officeDocument/2006/relationships/hyperlink" Target="https://ec.europa.eu/info/sites/info/files/communication-principles-subsidiarity-proportionality-strengthening-role-policymaking_en.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publications/180524-proposal-sustainable-finance_en" TargetMode="External"/><Relationship Id="rId7" Type="http://schemas.openxmlformats.org/officeDocument/2006/relationships/hyperlink" Target="https://hbr.org/2017/06/if-you-think-fighting-climate-change-will-be-expensive-calculate-the-cost-of-letting-it-happen" TargetMode="External"/><Relationship Id="rId12" Type="http://schemas.openxmlformats.org/officeDocument/2006/relationships/hyperlink" Target="https://ec.europa.eu/eurostat/statistics-explained/pdfscache/10420.pdf" TargetMode="External"/><Relationship Id="rId17" Type="http://schemas.openxmlformats.org/officeDocument/2006/relationships/hyperlink" Target="http://topten.eu/" TargetMode="External"/><Relationship Id="rId25" Type="http://schemas.openxmlformats.org/officeDocument/2006/relationships/hyperlink" Target="http://trade.ec.europa.eu/doclib/docs/2018/february/tradoc_156618.pdf"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health/amr/sites/amr/files/amr_action_plan_2017_en.pdf" TargetMode="External"/><Relationship Id="rId20" Type="http://schemas.openxmlformats.org/officeDocument/2006/relationships/hyperlink" Target="http://sustain.stanford.edu/crop-yield-analysis"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www.footprintnetwork.org/our-work/ecological-footprint/" TargetMode="External"/><Relationship Id="rId11" Type="http://schemas.openxmlformats.org/officeDocument/2006/relationships/hyperlink" Target="https://eur-lex.europa.eu/legal-content/BG/ALL/?uri=CELEX:32013D1386" TargetMode="External"/><Relationship Id="rId24" Type="http://schemas.openxmlformats.org/officeDocument/2006/relationships/hyperlink" Target="https://ec.europa.eu/info/publications/180524-proposal-sustainable-finance_en" TargetMode="External"/><Relationship Id="rId5" Type="http://schemas.openxmlformats.org/officeDocument/2006/relationships/hyperlink" Target="https://ec.europa.eu/info/sites/info/files/economy-finance/ip089_en_0.pdf" TargetMode="External"/><Relationship Id="rId15" Type="http://schemas.openxmlformats.org/officeDocument/2006/relationships/hyperlink" Target="https://ec.europa.eu/commission/publications/natural-resources-and-environment" TargetMode="External"/><Relationship Id="rId23" Type="http://schemas.openxmlformats.org/officeDocument/2006/relationships/hyperlink" Target="http://ec.europa.eu/competition/state_aid/scoreboard/index_en.html" TargetMode="External"/><Relationship Id="rId28" Type="http://schemas.openxmlformats.org/officeDocument/2006/relationships/hyperlink" Target="https://ec.europa.eu/info/strategy/international-strategies/global-topics/sustainable-development-goals/multi-stakeholder-platform-sdgs_bg" TargetMode="External"/><Relationship Id="rId10" Type="http://schemas.openxmlformats.org/officeDocument/2006/relationships/hyperlink" Target="https://eige.europa.eu/news-and-events/news/gender-equality-index-2017-progress-snails-pace" TargetMode="External"/><Relationship Id="rId19" Type="http://schemas.openxmlformats.org/officeDocument/2006/relationships/hyperlink" Target="https://ec.europa.eu/growth/tools-databases/dem/monitor/sites/default/files/DTM_AI%20USA-China-EU%20plans%20for%20AI%20v5.pdf" TargetMode="External"/><Relationship Id="rId4" Type="http://schemas.openxmlformats.org/officeDocument/2006/relationships/hyperlink" Target="https://www.youthforum.org/youth-progress-index" TargetMode="External"/><Relationship Id="rId9" Type="http://schemas.openxmlformats.org/officeDocument/2006/relationships/hyperlink" Target="http://www.fao.org/3/a-i6106e.pdf" TargetMode="External"/><Relationship Id="rId14" Type="http://schemas.openxmlformats.org/officeDocument/2006/relationships/hyperlink" Target="http://www.fao.org/rural-employment/work-areas/green-jobs/en/" TargetMode="External"/><Relationship Id="rId22" Type="http://schemas.openxmlformats.org/officeDocument/2006/relationships/hyperlink" Target="https://ec.europa.eu/taxation_customs/business/company-tax/tax-good-governance/european-semester/tax-policies-european-union-survey_en" TargetMode="External"/><Relationship Id="rId27" Type="http://schemas.openxmlformats.org/officeDocument/2006/relationships/hyperlink" Target="https://ec.europa.eu/commission/priorities/democratic-change/better-regulation/task-force-subsidiarity-proportionality-and-doing-less-more-efficientl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7C3AC-5247-48D9-B7F0-68EFB99B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17568</Words>
  <Characters>101901</Characters>
  <Application>Microsoft Office Word</Application>
  <DocSecurity>0</DocSecurity>
  <Lines>1887</Lines>
  <Paragraphs>318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2019-01-28T12:27:00Z</dcterms:created>
  <dcterms:modified xsi:type="dcterms:W3CDTF">2019-02-01T11:35:00Z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Created using">
    <vt:lpwstr>LW 6.0.1, Build 20180503</vt:lpwstr>
  </property>
  <property fmtid="{D5CDD505-2E9C-101B-9397-08002B2CF9AE}" pid="6" name="Part">
    <vt:lpwstr>1</vt:lpwstr>
  </property>
  <property fmtid="{D5CDD505-2E9C-101B-9397-08002B2CF9AE}" pid="7" name="Total parts">
    <vt:lpwstr>1</vt:lpwstr>
  </property>
</Properties>
</file>