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51" w:rsidRDefault="00E55EA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FC4CA0D-762E-491A-A110-9ED417D2A26F" style="width:450.4pt;height:366.15pt">
            <v:imagedata r:id="rId8" o:title=""/>
          </v:shape>
        </w:pict>
      </w:r>
    </w:p>
    <w:bookmarkEnd w:id="0"/>
    <w:p w:rsidR="00467251" w:rsidRDefault="00467251">
      <w:pPr>
        <w:rPr>
          <w:rFonts w:ascii="Garamond" w:hAnsi="Garamond" w:cs="Times New Roman"/>
          <w:noProof/>
        </w:rPr>
        <w:sectPr w:rsidR="0046725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67251" w:rsidRDefault="00E55EA0">
      <w:pPr>
        <w:pStyle w:val="Annexetitre"/>
        <w:spacing w:after="0"/>
        <w:rPr>
          <w:noProof/>
        </w:rPr>
      </w:pPr>
      <w:r>
        <w:rPr>
          <w:noProof/>
        </w:rPr>
        <w:br w:type="page"/>
      </w:r>
      <w:r>
        <w:rPr>
          <w:noProof/>
        </w:rPr>
        <w:lastRenderedPageBreak/>
        <w:t>ПРИЛОЖЕНИЕ I Приносът на Комисията „Юнкер“ за постигане на целите за устойчиво развитие</w:t>
      </w:r>
    </w:p>
    <w:p w:rsidR="00467251" w:rsidRDefault="00467251">
      <w:pPr>
        <w:rPr>
          <w:rFonts w:ascii="Times New Roman" w:hAnsi="Times New Roman" w:cs="Times New Roman"/>
          <w:noProof/>
        </w:rPr>
      </w:pPr>
    </w:p>
    <w:p w:rsidR="00467251" w:rsidRDefault="00467251">
      <w:pPr>
        <w:pStyle w:val="Title"/>
        <w:spacing w:after="0"/>
        <w:jc w:val="center"/>
        <w:rPr>
          <w:rFonts w:ascii="Times New Roman" w:eastAsia="Times New Roman" w:hAnsi="Times New Roman" w:cs="Times New Roman"/>
          <w:noProof/>
          <w:sz w:val="40"/>
          <w:szCs w:val="40"/>
        </w:rPr>
        <w:sectPr w:rsidR="0046725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pPr>
    </w:p>
    <w:p w:rsidR="00467251" w:rsidRDefault="00467251">
      <w:pPr>
        <w:shd w:val="clear" w:color="auto" w:fill="FFFFFF"/>
        <w:spacing w:after="30" w:line="240" w:lineRule="auto"/>
        <w:jc w:val="both"/>
        <w:rPr>
          <w:rFonts w:ascii="Times New Roman" w:hAnsi="Times New Roman" w:cs="Times New Roman"/>
          <w:noProof/>
          <w:sz w:val="40"/>
          <w:szCs w:val="40"/>
        </w:rPr>
        <w:sectPr w:rsidR="00467251">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17" w:right="1417" w:bottom="1417" w:left="1417" w:header="708" w:footer="708" w:gutter="0"/>
          <w:cols w:num="2" w:space="708"/>
          <w:docGrid w:linePitch="360"/>
        </w:sectPr>
      </w:pPr>
    </w:p>
    <w:p w:rsidR="00467251" w:rsidRDefault="00E55EA0">
      <w:pPr>
        <w:shd w:val="clear" w:color="auto" w:fill="FFFFFF"/>
        <w:spacing w:after="3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w:t>
      </w:r>
      <w:hyperlink r:id="rId27">
        <w:r>
          <w:rPr>
            <w:rStyle w:val="Hyperlink"/>
            <w:rFonts w:ascii="Times New Roman" w:hAnsi="Times New Roman" w:cs="Times New Roman"/>
            <w:noProof/>
            <w:color w:val="auto"/>
            <w:sz w:val="24"/>
            <w:szCs w:val="24"/>
            <w:u w:val="none"/>
          </w:rPr>
          <w:t xml:space="preserve">Програмата за устойчиво развитие до 2030 г., приета от </w:t>
        </w:r>
        <w:hyperlink r:id="rId28">
          <w:r>
            <w:rPr>
              <w:rStyle w:val="Hyperlink"/>
              <w:rFonts w:ascii="Times New Roman" w:hAnsi="Times New Roman" w:cs="Times New Roman"/>
              <w:noProof/>
              <w:color w:val="auto"/>
              <w:sz w:val="24"/>
              <w:szCs w:val="24"/>
              <w:u w:val="none"/>
            </w:rPr>
            <w:t>Организацията на обединените нации</w:t>
          </w:r>
        </w:hyperlink>
        <w:r>
          <w:rPr>
            <w:rFonts w:ascii="Times New Roman" w:hAnsi="Times New Roman" w:cs="Times New Roman"/>
            <w:noProof/>
            <w:sz w:val="24"/>
            <w:szCs w:val="24"/>
          </w:rPr>
          <w:t xml:space="preserve"> на 25 септември 2015 г., се определя глобална рамка за постигането на устойчиво развитие до 2030 г.</w:t>
        </w:r>
      </w:hyperlink>
      <w:r>
        <w:rPr>
          <w:rFonts w:ascii="Times New Roman" w:hAnsi="Times New Roman" w:cs="Times New Roman"/>
          <w:noProof/>
          <w:sz w:val="24"/>
          <w:szCs w:val="24"/>
        </w:rPr>
        <w:t xml:space="preserve"> Тя включва амбициозен набор от 17 цели за устойчиво развитие (ЦУР) и 169</w:t>
      </w:r>
      <w:r>
        <w:rPr>
          <w:rFonts w:ascii="Times New Roman" w:hAnsi="Times New Roman" w:cs="Times New Roman"/>
          <w:noProof/>
          <w:sz w:val="24"/>
          <w:szCs w:val="24"/>
        </w:rPr>
        <w:t xml:space="preserve"> свързани с тях подцели, по които да работят държавите и заинтересованите страни.</w:t>
      </w:r>
    </w:p>
    <w:p w:rsidR="00467251" w:rsidRDefault="00E55EA0">
      <w:pPr>
        <w:shd w:val="clear" w:color="auto" w:fill="FFFFFF"/>
        <w:spacing w:after="30"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взе основно участие в оформянето на Програмата на ООН за устойчиво развитие до 2030 г. и заедно със своите държави членки е решен да играе водеща роля и при изпълнението н</w:t>
      </w:r>
      <w:r>
        <w:rPr>
          <w:rFonts w:ascii="Times New Roman" w:hAnsi="Times New Roman" w:cs="Times New Roman"/>
          <w:noProof/>
          <w:sz w:val="24"/>
          <w:szCs w:val="24"/>
        </w:rPr>
        <w:t>а тази програма, както в рамките на ЕС, така и като подкрепя със своите външни политики усилията за изпълнение в други държави, особено тези, които имат най-голяма нужда.</w:t>
      </w:r>
    </w:p>
    <w:p w:rsidR="00467251" w:rsidRDefault="00E55EA0">
      <w:pPr>
        <w:spacing w:after="120" w:line="240" w:lineRule="auto"/>
        <w:jc w:val="both"/>
        <w:rPr>
          <w:rFonts w:ascii="Times New Roman" w:eastAsia="Malgun Gothic" w:hAnsi="Times New Roman" w:cs="Times New Roman"/>
          <w:noProof/>
          <w:sz w:val="24"/>
          <w:szCs w:val="24"/>
        </w:rPr>
      </w:pPr>
      <w:r>
        <w:rPr>
          <w:rFonts w:ascii="Times New Roman" w:hAnsi="Times New Roman" w:cs="Times New Roman"/>
          <w:noProof/>
          <w:sz w:val="24"/>
          <w:szCs w:val="24"/>
        </w:rPr>
        <w:t>Основни аспекти на устойчивото развитие са застъпени във всеки един от 10-те приорите</w:t>
      </w:r>
      <w:r>
        <w:rPr>
          <w:rFonts w:ascii="Times New Roman" w:hAnsi="Times New Roman" w:cs="Times New Roman"/>
          <w:noProof/>
          <w:sz w:val="24"/>
          <w:szCs w:val="24"/>
        </w:rPr>
        <w:t>та на Комисията „Юнкер“: работни места, растеж и инвестиции (приоритет 1); единен цифров пазар (приоритет 2); по-сигурна и по-устойчива енергия на по-достъпни цени (приоритет 3); по-задълбочен и по-справедлив вътрешен пазар (приоритет 4); по-задълбочен и п</w:t>
      </w:r>
      <w:r>
        <w:rPr>
          <w:rFonts w:ascii="Times New Roman" w:hAnsi="Times New Roman" w:cs="Times New Roman"/>
          <w:noProof/>
          <w:sz w:val="24"/>
          <w:szCs w:val="24"/>
        </w:rPr>
        <w:t>о-справедлив икономически и паричен съюз (приоритет 5); отворена и справедлива търговия (приоритет 6); правосъдие и основни права (приоритет 7); миграция (приоритет 8); по-силен участник на световната сцена (приоритет 9); съюз на демократична промяна (прио</w:t>
      </w:r>
      <w:r>
        <w:rPr>
          <w:rFonts w:ascii="Times New Roman" w:hAnsi="Times New Roman" w:cs="Times New Roman"/>
          <w:noProof/>
          <w:sz w:val="24"/>
          <w:szCs w:val="24"/>
        </w:rPr>
        <w:t xml:space="preserve">ритет 10). </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От началото на своя мандат през ноември 2014 г. Комисията „Юнкер“ </w:t>
      </w:r>
      <w:r>
        <w:rPr>
          <w:rStyle w:val="Hyperlink"/>
          <w:rFonts w:ascii="Times New Roman" w:hAnsi="Times New Roman" w:cs="Times New Roman"/>
          <w:noProof/>
          <w:color w:val="auto"/>
          <w:sz w:val="24"/>
          <w:szCs w:val="24"/>
          <w:u w:val="none"/>
        </w:rPr>
        <w:t>включи устойчивото развитие</w:t>
      </w:r>
      <w:r>
        <w:rPr>
          <w:rFonts w:ascii="Times New Roman" w:hAnsi="Times New Roman" w:cs="Times New Roman"/>
          <w:noProof/>
          <w:sz w:val="24"/>
          <w:szCs w:val="24"/>
        </w:rPr>
        <w:t xml:space="preserve"> в основни хоризонтални програми, както и в секторните политики и инициативи, използвайки своите инструменти за по-добро законотворчество. Във всички </w:t>
      </w:r>
      <w:r>
        <w:rPr>
          <w:rFonts w:ascii="Times New Roman" w:hAnsi="Times New Roman" w:cs="Times New Roman"/>
          <w:noProof/>
          <w:sz w:val="24"/>
          <w:szCs w:val="24"/>
        </w:rPr>
        <w:t>о</w:t>
      </w:r>
      <w:r>
        <w:rPr>
          <w:rFonts w:ascii="Times New Roman" w:hAnsi="Times New Roman" w:cs="Times New Roman"/>
          <w:noProof/>
          <w:sz w:val="24"/>
          <w:szCs w:val="24"/>
        </w:rPr>
        <w:t>ценки на въздействието, изготвяни от Комисията преди законодателните предложения, е представен анализ на социалното, екологичното и икономическото въздействие с цел да се разгледат и да се вземат предвид по подобаващ начин аспектите, свързани с устойчивото</w:t>
      </w:r>
      <w:r>
        <w:rPr>
          <w:rFonts w:ascii="Times New Roman" w:hAnsi="Times New Roman" w:cs="Times New Roman"/>
          <w:noProof/>
          <w:sz w:val="24"/>
          <w:szCs w:val="24"/>
        </w:rPr>
        <w:t xml:space="preserve"> развитие. Освен това всички наскоро сключени търговски споразумения на ЕС включват глава относно устойчивото развитие с цел да се насърчат устойчивият растеж и развитие и достойните условия на труд за всички.</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„Юнкер“ постави в редица области осн</w:t>
      </w:r>
      <w:r>
        <w:rPr>
          <w:rFonts w:ascii="Times New Roman" w:hAnsi="Times New Roman" w:cs="Times New Roman"/>
          <w:noProof/>
          <w:sz w:val="24"/>
          <w:szCs w:val="24"/>
        </w:rPr>
        <w:t>овите на следващото поколение политики за устойчиво европейско бъдеще — от европейския стълб на социалните права, Европейския консенсус за развитие и Глобална стратегия за външната политика и политиката на сигурност до основаната на ценности стратегия „Тър</w:t>
      </w:r>
      <w:r>
        <w:rPr>
          <w:rFonts w:ascii="Times New Roman" w:hAnsi="Times New Roman" w:cs="Times New Roman"/>
          <w:noProof/>
          <w:sz w:val="24"/>
          <w:szCs w:val="24"/>
        </w:rPr>
        <w:t>говията — за всички“, стратегическия ангажимент за равенство между половете и изграждането на европейско пространство за образование; от пакетите за кръговата икономика, мобилност и чиста енергия до стратегията за син растеж;</w:t>
      </w:r>
      <w:r>
        <w:rPr>
          <w:rFonts w:ascii="Times New Roman" w:hAnsi="Times New Roman" w:cs="Times New Roman"/>
          <w:noProof/>
          <w:color w:val="000000"/>
          <w:sz w:val="24"/>
          <w:szCs w:val="24"/>
        </w:rPr>
        <w:t xml:space="preserve"> от Плана за инвестиции за Евро</w:t>
      </w:r>
      <w:r>
        <w:rPr>
          <w:rFonts w:ascii="Times New Roman" w:hAnsi="Times New Roman" w:cs="Times New Roman"/>
          <w:noProof/>
          <w:color w:val="000000"/>
          <w:sz w:val="24"/>
          <w:szCs w:val="24"/>
        </w:rPr>
        <w:t>па и плана за действие за устойчиво финансиране до програмата за градовете и плана за действие за опазване на природата. Комисията предложи също така да засили връзката между финансирането от ЕС и зачитането на върховенството на закона, да направи оценка н</w:t>
      </w:r>
      <w:r>
        <w:rPr>
          <w:rFonts w:ascii="Times New Roman" w:hAnsi="Times New Roman" w:cs="Times New Roman"/>
          <w:noProof/>
          <w:color w:val="000000"/>
          <w:sz w:val="24"/>
          <w:szCs w:val="24"/>
        </w:rPr>
        <w:t xml:space="preserve">а всички съфинансирани от ЕС научноизследователски и иновационни дейности по отношение на тяхното екологично и социално въздействие, както и да приеме в рамките на бъдещия </w:t>
      </w:r>
      <w:r>
        <w:rPr>
          <w:rFonts w:ascii="Times New Roman" w:hAnsi="Times New Roman" w:cs="Times New Roman"/>
          <w:noProof/>
          <w:color w:val="000000"/>
          <w:sz w:val="24"/>
          <w:szCs w:val="24"/>
        </w:rPr>
        <w:lastRenderedPageBreak/>
        <w:t xml:space="preserve">бюджет на ЕС по-амбициозни разходни цели във връзка с климата. </w:t>
      </w:r>
      <w:r>
        <w:rPr>
          <w:rFonts w:ascii="Times New Roman" w:hAnsi="Times New Roman" w:cs="Times New Roman"/>
          <w:noProof/>
          <w:sz w:val="24"/>
          <w:szCs w:val="24"/>
        </w:rPr>
        <w:t>Наскоро Комисията пре</w:t>
      </w:r>
      <w:r>
        <w:rPr>
          <w:rFonts w:ascii="Times New Roman" w:hAnsi="Times New Roman" w:cs="Times New Roman"/>
          <w:noProof/>
          <w:sz w:val="24"/>
          <w:szCs w:val="24"/>
        </w:rPr>
        <w:t>дстави европейската стратегическа дългосрочна визия на ЕС за благоденстваща, модерна, конкурентоспособна и неутрална спрямо климата икономика до 2050 г., като с тази визия се проправя пътят за структурен завой на европейската икономика, който стимулира рас</w:t>
      </w:r>
      <w:r>
        <w:rPr>
          <w:rFonts w:ascii="Times New Roman" w:hAnsi="Times New Roman" w:cs="Times New Roman"/>
          <w:noProof/>
          <w:sz w:val="24"/>
          <w:szCs w:val="24"/>
        </w:rPr>
        <w:t>тежа и заетостта и способства за постигането на неутралност по отношение на климата. Това ще изисква революционни решения и инвестиции в научните изследвания и иновациите.</w:t>
      </w:r>
    </w:p>
    <w:p w:rsidR="00467251" w:rsidRDefault="00E55EA0">
      <w:pPr>
        <w:shd w:val="clear" w:color="auto" w:fill="FFFFFF"/>
        <w:spacing w:after="30" w:line="240" w:lineRule="auto"/>
        <w:jc w:val="both"/>
        <w:rPr>
          <w:rFonts w:ascii="Times New Roman" w:eastAsia="Malgun Gothic" w:hAnsi="Times New Roman" w:cs="Times New Roman"/>
          <w:noProof/>
          <w:sz w:val="24"/>
          <w:szCs w:val="24"/>
        </w:rPr>
      </w:pPr>
      <w:r>
        <w:rPr>
          <w:rFonts w:ascii="Times New Roman" w:hAnsi="Times New Roman" w:cs="Times New Roman"/>
          <w:noProof/>
          <w:sz w:val="24"/>
          <w:szCs w:val="24"/>
        </w:rPr>
        <w:t xml:space="preserve">В настоящия документ се прави преглед на приноса на Комисията „Юнкер“ за Програмата </w:t>
      </w:r>
      <w:r>
        <w:rPr>
          <w:rFonts w:ascii="Times New Roman" w:hAnsi="Times New Roman" w:cs="Times New Roman"/>
          <w:noProof/>
          <w:sz w:val="24"/>
          <w:szCs w:val="24"/>
        </w:rPr>
        <w:t xml:space="preserve">на ООН за устойчиво развитие до 2030 г., като първо се очертават основните акценти на политиките, а след това се предоставя списък на различните действия, </w:t>
      </w:r>
      <w:r>
        <w:rPr>
          <w:rFonts w:ascii="Times New Roman" w:hAnsi="Times New Roman" w:cs="Times New Roman"/>
          <w:noProof/>
          <w:sz w:val="24"/>
          <w:szCs w:val="24"/>
        </w:rPr>
        <w:t xml:space="preserve">предприети по всяка от целите за устойчиво развитие. </w:t>
      </w:r>
    </w:p>
    <w:p w:rsidR="00467251" w:rsidRDefault="00467251">
      <w:pPr>
        <w:shd w:val="clear" w:color="auto" w:fill="FFFFFF"/>
        <w:spacing w:after="30" w:line="240" w:lineRule="auto"/>
        <w:jc w:val="both"/>
        <w:rPr>
          <w:rFonts w:ascii="Times New Roman" w:eastAsia="Malgun Gothic" w:hAnsi="Times New Roman" w:cs="Times New Roman"/>
          <w:noProof/>
          <w:sz w:val="24"/>
          <w:szCs w:val="24"/>
        </w:rPr>
      </w:pPr>
    </w:p>
    <w:p w:rsidR="00467251" w:rsidRDefault="00E55EA0">
      <w:pPr>
        <w:shd w:val="clear" w:color="auto" w:fill="FFFFFF"/>
        <w:spacing w:after="30" w:line="240" w:lineRule="auto"/>
        <w:jc w:val="both"/>
        <w:rPr>
          <w:rFonts w:ascii="Times New Roman" w:eastAsia="Malgun Gothic" w:hAnsi="Times New Roman" w:cs="Times New Roman"/>
          <w:noProof/>
          <w:sz w:val="24"/>
          <w:szCs w:val="24"/>
        </w:rPr>
      </w:pPr>
      <w:r>
        <w:rPr>
          <w:rFonts w:ascii="Times New Roman" w:hAnsi="Times New Roman" w:cs="Times New Roman"/>
          <w:noProof/>
          <w:sz w:val="24"/>
          <w:szCs w:val="24"/>
        </w:rPr>
        <w:t>Въпреки че настоящото приложение е съсредоточе</w:t>
      </w:r>
      <w:r>
        <w:rPr>
          <w:rFonts w:ascii="Times New Roman" w:hAnsi="Times New Roman" w:cs="Times New Roman"/>
          <w:noProof/>
          <w:sz w:val="24"/>
          <w:szCs w:val="24"/>
        </w:rPr>
        <w:t>но върху инициативите на Комисията „Юнкер“, от само себе си се разбира, че много други политики на ЕС, вече въведени преди встъпването в длъжност на настоящата Комисия, също допринасят за постигането на целите за устойчиво развитие. Сред примерите са Харта</w:t>
      </w:r>
      <w:r>
        <w:rPr>
          <w:rFonts w:ascii="Times New Roman" w:hAnsi="Times New Roman" w:cs="Times New Roman"/>
          <w:noProof/>
          <w:sz w:val="24"/>
          <w:szCs w:val="24"/>
        </w:rPr>
        <w:t>та на основните права на ЕС, Стратегията на ЕС за биологичното разнообразие до 2020 г., пакетът за чист въздух, продължаващото изпълнение на стратегията за корпоративна социална отговорност, европейската здравноосигурителна карта, правилата за устойчива уп</w:t>
      </w:r>
      <w:r>
        <w:rPr>
          <w:rFonts w:ascii="Times New Roman" w:hAnsi="Times New Roman" w:cs="Times New Roman"/>
          <w:noProof/>
          <w:sz w:val="24"/>
          <w:szCs w:val="24"/>
        </w:rPr>
        <w:t xml:space="preserve">отреба на пестициди и правилата на ЕС относно тютюневите изделия. </w:t>
      </w:r>
    </w:p>
    <w:p w:rsidR="00467251" w:rsidRDefault="00467251">
      <w:pPr>
        <w:shd w:val="clear" w:color="auto" w:fill="FFFFFF"/>
        <w:spacing w:after="30" w:line="240" w:lineRule="auto"/>
        <w:jc w:val="both"/>
        <w:rPr>
          <w:rFonts w:ascii="Times New Roman" w:hAnsi="Times New Roman" w:cs="Times New Roman"/>
          <w:noProof/>
        </w:rPr>
        <w:sectPr w:rsidR="00467251">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417" w:right="1417" w:bottom="1417" w:left="1417" w:header="708" w:footer="708" w:gutter="0"/>
          <w:cols w:num="2" w:space="708"/>
          <w:docGrid w:linePitch="360"/>
        </w:sectPr>
      </w:pPr>
    </w:p>
    <w:p w:rsidR="00467251" w:rsidRDefault="00467251">
      <w:pPr>
        <w:shd w:val="clear" w:color="auto" w:fill="FFFFFF"/>
        <w:spacing w:after="30" w:line="240" w:lineRule="auto"/>
        <w:jc w:val="both"/>
        <w:rPr>
          <w:rFonts w:ascii="Times New Roman" w:hAnsi="Times New Roman" w:cs="Times New Roman"/>
          <w:noProof/>
        </w:rPr>
      </w:pPr>
    </w:p>
    <w:p w:rsidR="00467251" w:rsidRDefault="00E55EA0">
      <w:pPr>
        <w:spacing w:after="120" w:line="240" w:lineRule="auto"/>
        <w:rPr>
          <w:rFonts w:ascii="Times New Roman" w:hAnsi="Times New Roman" w:cs="Times New Roman"/>
          <w:b/>
          <w:noProof/>
          <w:sz w:val="32"/>
          <w:szCs w:val="32"/>
        </w:rPr>
      </w:pPr>
      <w:r>
        <w:rPr>
          <w:noProof/>
        </w:rPr>
        <w:br w:type="page"/>
      </w:r>
      <w:r>
        <w:rPr>
          <w:rFonts w:ascii="Times New Roman" w:hAnsi="Times New Roman"/>
          <w:b/>
          <w:noProof/>
          <w:sz w:val="32"/>
        </w:rPr>
        <w:lastRenderedPageBreak/>
        <w:t>Акценти на политиката</w:t>
      </w:r>
    </w:p>
    <w:p w:rsidR="00467251" w:rsidRDefault="00467251">
      <w:pPr>
        <w:spacing w:after="120" w:line="240" w:lineRule="auto"/>
        <w:rPr>
          <w:rFonts w:ascii="Times New Roman" w:hAnsi="Times New Roman" w:cs="Times New Roman"/>
          <w:b/>
          <w:noProof/>
          <w:sz w:val="32"/>
          <w:szCs w:val="32"/>
        </w:rPr>
      </w:pPr>
    </w:p>
    <w:p w:rsidR="00467251" w:rsidRDefault="00E55EA0">
      <w:pPr>
        <w:spacing w:after="120" w:line="240" w:lineRule="auto"/>
        <w:rPr>
          <w:rFonts w:ascii="Times New Roman" w:hAnsi="Times New Roman" w:cs="Times New Roman"/>
          <w:b/>
          <w:i/>
          <w:iCs/>
          <w:noProof/>
          <w:sz w:val="24"/>
          <w:szCs w:val="24"/>
        </w:rPr>
      </w:pPr>
      <w:r>
        <w:rPr>
          <w:rFonts w:ascii="Times New Roman" w:hAnsi="Times New Roman" w:cs="Times New Roman"/>
          <w:b/>
          <w:i/>
          <w:noProof/>
          <w:sz w:val="24"/>
          <w:szCs w:val="24"/>
        </w:rPr>
        <w:t>Европейски стълб на социалните права</w:t>
      </w:r>
    </w:p>
    <w:p w:rsidR="00467251" w:rsidRDefault="00E55EA0">
      <w:pPr>
        <w:spacing w:after="120" w:line="240" w:lineRule="auto"/>
        <w:jc w:val="both"/>
        <w:rPr>
          <w:rFonts w:ascii="Times New Roman" w:eastAsia="Calibri" w:hAnsi="Times New Roman" w:cs="Times New Roman"/>
          <w:bCs/>
          <w:noProof/>
          <w:sz w:val="24"/>
          <w:szCs w:val="24"/>
        </w:rPr>
      </w:pPr>
      <w:r>
        <w:rPr>
          <w:rFonts w:ascii="Times New Roman" w:hAnsi="Times New Roman" w:cs="Times New Roman"/>
          <w:noProof/>
          <w:sz w:val="24"/>
          <w:szCs w:val="24"/>
        </w:rPr>
        <w:t>Европейският стълб на социалните права от ноември 2017 г. определя 20 принципа, пряко целящи да стимулират възходящо сближаване за постигането на по-добри условия на живот и труд в Европа. Той спомага за борбата с всички измерения на бедността и за постига</w:t>
      </w:r>
      <w:r>
        <w:rPr>
          <w:rFonts w:ascii="Times New Roman" w:hAnsi="Times New Roman" w:cs="Times New Roman"/>
          <w:noProof/>
          <w:sz w:val="24"/>
          <w:szCs w:val="24"/>
        </w:rPr>
        <w:t xml:space="preserve">не на справедливи, подходящи и устойчиви системи за социална закрила. Той подкрепя равните възможности и достъпа до пазара на труда, включително равенството между половете, и справедливи условия на труд, както и насърчава социалното приобщаване и закрила. </w:t>
      </w:r>
      <w:r>
        <w:rPr>
          <w:rFonts w:ascii="Times New Roman" w:hAnsi="Times New Roman" w:cs="Times New Roman"/>
          <w:noProof/>
          <w:sz w:val="24"/>
          <w:szCs w:val="24"/>
        </w:rPr>
        <w:t xml:space="preserve">Той е придружен от набор от социални показали, който заедно с други инструменти спомага за извършването на мониторинг.  </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Прилагането на принципите и правата, заложени в европейския стълб на социалните права, съществено ще допринесе и за постигането на усто</w:t>
      </w:r>
      <w:r>
        <w:rPr>
          <w:rFonts w:ascii="Times New Roman" w:hAnsi="Times New Roman" w:cs="Times New Roman"/>
          <w:noProof/>
          <w:sz w:val="24"/>
          <w:szCs w:val="24"/>
        </w:rPr>
        <w:t xml:space="preserve">йчива Европа, чрез активна подкрепа за осигуряването на заетост и справедливо възнаграждение, което осигурява достоен стандарт на живот, и чрез съдействие на хората да придобият умения за 21-ви век, като по този начин им се дава достъп до висококачествени </w:t>
      </w:r>
      <w:r>
        <w:rPr>
          <w:rFonts w:ascii="Times New Roman" w:hAnsi="Times New Roman" w:cs="Times New Roman"/>
          <w:noProof/>
          <w:sz w:val="24"/>
          <w:szCs w:val="24"/>
        </w:rPr>
        <w:t>работни места и се противодейства на ефекта от застаряването на населението върху пазара на труда. Европейският стълб на социалните права ще стимулира конкурентоспособността и иновациите, като същевременно ще насърчава социалната справедливост, равните въз</w:t>
      </w:r>
      <w:r>
        <w:rPr>
          <w:rFonts w:ascii="Times New Roman" w:hAnsi="Times New Roman" w:cs="Times New Roman"/>
          <w:noProof/>
          <w:sz w:val="24"/>
          <w:szCs w:val="24"/>
        </w:rPr>
        <w:t>можности, социалния диалог и достъпа до качествени услуги за полагане на грижи, включително качествени здравни грижи за всички, грижи за деца и дългосрочни грижи, помощ за жилищно настаняване и други основни услуги.</w:t>
      </w:r>
    </w:p>
    <w:p w:rsidR="00467251" w:rsidRDefault="00467251">
      <w:pPr>
        <w:spacing w:after="120" w:line="240" w:lineRule="auto"/>
        <w:rPr>
          <w:rFonts w:ascii="Times New Roman" w:hAnsi="Times New Roman" w:cs="Times New Roman"/>
          <w:b/>
          <w:i/>
          <w:noProof/>
          <w:sz w:val="24"/>
          <w:szCs w:val="24"/>
        </w:rPr>
      </w:pPr>
    </w:p>
    <w:p w:rsidR="00467251" w:rsidRDefault="00E55EA0">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Действия на ЕС в областта на равенствот</w:t>
      </w:r>
      <w:r>
        <w:rPr>
          <w:rFonts w:ascii="Times New Roman" w:hAnsi="Times New Roman" w:cs="Times New Roman"/>
          <w:b/>
          <w:i/>
          <w:noProof/>
          <w:sz w:val="24"/>
          <w:szCs w:val="24"/>
        </w:rPr>
        <w:t>о между половете</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2015 г. Комисията прие </w:t>
      </w:r>
      <w:r>
        <w:rPr>
          <w:rStyle w:val="Hyperlink"/>
          <w:rFonts w:ascii="Times New Roman" w:hAnsi="Times New Roman" w:cs="Times New Roman"/>
          <w:noProof/>
          <w:color w:val="auto"/>
          <w:sz w:val="24"/>
          <w:szCs w:val="24"/>
          <w:u w:val="none"/>
        </w:rPr>
        <w:t>стратегически ангажимент за равенство между половете за периода 2016—2019 г</w:t>
      </w:r>
      <w:r>
        <w:rPr>
          <w:rFonts w:ascii="Times New Roman" w:hAnsi="Times New Roman" w:cs="Times New Roman"/>
          <w:noProof/>
          <w:sz w:val="24"/>
          <w:szCs w:val="24"/>
        </w:rPr>
        <w:t xml:space="preserve">. Това е рамката за продължаващата работа на Комисията за насърчаване на равенството между половете и овластяването на жените. С </w:t>
      </w:r>
      <w:hyperlink r:id="rId35">
        <w:r>
          <w:rPr>
            <w:rStyle w:val="Hyperlink"/>
            <w:rFonts w:ascii="Times New Roman" w:hAnsi="Times New Roman" w:cs="Times New Roman"/>
            <w:noProof/>
            <w:color w:val="auto"/>
            <w:sz w:val="24"/>
            <w:szCs w:val="24"/>
            <w:u w:val="none"/>
          </w:rPr>
          <w:t>Европейския стълб на социалните права</w:t>
        </w:r>
      </w:hyperlink>
      <w:r>
        <w:rPr>
          <w:rFonts w:ascii="Times New Roman" w:hAnsi="Times New Roman" w:cs="Times New Roman"/>
          <w:noProof/>
          <w:sz w:val="24"/>
          <w:szCs w:val="24"/>
        </w:rPr>
        <w:t xml:space="preserve"> беше потвърден ангажиментът на ЕС за равно третиране и равни възможности за мъж</w:t>
      </w:r>
      <w:r>
        <w:rPr>
          <w:rFonts w:ascii="Times New Roman" w:hAnsi="Times New Roman" w:cs="Times New Roman"/>
          <w:noProof/>
          <w:sz w:val="24"/>
          <w:szCs w:val="24"/>
        </w:rPr>
        <w:t xml:space="preserve">ете и жените във всички области. През 2017 г. Комисията представи всеобхватен </w:t>
      </w:r>
      <w:hyperlink r:id="rId36">
        <w:r>
          <w:rPr>
            <w:rStyle w:val="Hyperlink"/>
            <w:rFonts w:ascii="Times New Roman" w:hAnsi="Times New Roman" w:cs="Times New Roman"/>
            <w:noProof/>
            <w:color w:val="auto"/>
            <w:sz w:val="24"/>
            <w:szCs w:val="24"/>
            <w:u w:val="none"/>
          </w:rPr>
          <w:t xml:space="preserve">пакет от законодателни и политически мерки за </w:t>
        </w:r>
        <w:r>
          <w:rPr>
            <w:rStyle w:val="Hyperlink"/>
            <w:rFonts w:ascii="Times New Roman" w:hAnsi="Times New Roman" w:cs="Times New Roman"/>
            <w:noProof/>
            <w:color w:val="auto"/>
            <w:sz w:val="24"/>
            <w:szCs w:val="24"/>
            <w:u w:val="none"/>
          </w:rPr>
          <w:t>подпомагане на равновесието между професионалния и личния живот</w:t>
        </w:r>
      </w:hyperlink>
      <w:r>
        <w:rPr>
          <w:rFonts w:ascii="Times New Roman" w:hAnsi="Times New Roman" w:cs="Times New Roman"/>
          <w:noProof/>
          <w:sz w:val="24"/>
          <w:szCs w:val="24"/>
        </w:rPr>
        <w:t>, с който се насърчава по-голямото участие на жените на пазара на труда.</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Планът за действие на ЕС относно равенството между половете за периода 2016—2020 г. е рамката на ЕС за насърчаване на ра</w:t>
      </w:r>
      <w:r>
        <w:rPr>
          <w:rFonts w:ascii="Times New Roman" w:hAnsi="Times New Roman" w:cs="Times New Roman"/>
          <w:noProof/>
          <w:sz w:val="24"/>
          <w:szCs w:val="24"/>
        </w:rPr>
        <w:t xml:space="preserve">венството между половете и овластяването на жените и момичетата във външните ни отношения с трети държави, както и в международни форуми и програми. ЕС изпълнява своя план за действие за равенство между половете чрез преразгледаната европейска политика за </w:t>
      </w:r>
      <w:r>
        <w:rPr>
          <w:rFonts w:ascii="Times New Roman" w:hAnsi="Times New Roman" w:cs="Times New Roman"/>
          <w:noProof/>
          <w:sz w:val="24"/>
          <w:szCs w:val="24"/>
        </w:rPr>
        <w:t>съседство и политиката за развитие.</w:t>
      </w:r>
    </w:p>
    <w:p w:rsidR="00467251" w:rsidRDefault="00467251">
      <w:pPr>
        <w:spacing w:after="120" w:line="240" w:lineRule="auto"/>
        <w:rPr>
          <w:rFonts w:ascii="Times New Roman" w:hAnsi="Times New Roman" w:cs="Times New Roman"/>
          <w:b/>
          <w:i/>
          <w:iCs/>
          <w:noProof/>
          <w:sz w:val="24"/>
          <w:szCs w:val="24"/>
        </w:rPr>
      </w:pPr>
    </w:p>
    <w:p w:rsidR="00467251" w:rsidRDefault="00E55EA0">
      <w:pPr>
        <w:spacing w:after="120" w:line="240" w:lineRule="auto"/>
        <w:rPr>
          <w:rFonts w:ascii="Times New Roman" w:eastAsiaTheme="majorEastAsia" w:hAnsi="Times New Roman" w:cs="Times New Roman"/>
          <w:b/>
          <w:i/>
          <w:iCs/>
          <w:noProof/>
          <w:sz w:val="24"/>
          <w:szCs w:val="24"/>
        </w:rPr>
      </w:pPr>
      <w:r>
        <w:rPr>
          <w:rFonts w:ascii="Times New Roman" w:hAnsi="Times New Roman" w:cs="Times New Roman"/>
          <w:b/>
          <w:i/>
          <w:noProof/>
          <w:sz w:val="24"/>
          <w:szCs w:val="24"/>
        </w:rPr>
        <w:t>Стратегия на ЕС за младежта</w:t>
      </w:r>
    </w:p>
    <w:p w:rsidR="00467251" w:rsidRDefault="00E55EA0">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През май 2018 г. Комисията представи идеи за ангажиране, свързване и овластяване на младите хора в рамките на нова стратегия на ЕС за младежта, която беше одобрена от Съвета през ноември 2018</w:t>
      </w:r>
      <w:r>
        <w:rPr>
          <w:rFonts w:ascii="Times New Roman" w:hAnsi="Times New Roman" w:cs="Times New Roman"/>
          <w:noProof/>
          <w:color w:val="000000" w:themeColor="text1"/>
          <w:sz w:val="24"/>
          <w:szCs w:val="24"/>
        </w:rPr>
        <w:t> г. Новата рамка за сътрудничество по въпросите на младежта за периода 2019—2027 г. има за цел да приближи още повече ЕС до младите хора и да помогне за решаване на въпросите, които ги вълнуват. Новата стратегия на ЕС за</w:t>
      </w:r>
      <w:r>
        <w:rPr>
          <w:rFonts w:ascii="Times New Roman" w:hAnsi="Times New Roman"/>
          <w:noProof/>
          <w:color w:val="000000" w:themeColor="text1"/>
          <w:sz w:val="24"/>
        </w:rPr>
        <w:t xml:space="preserve"> младежта има за цел да насърчава уч</w:t>
      </w:r>
      <w:r>
        <w:rPr>
          <w:rFonts w:ascii="Times New Roman" w:hAnsi="Times New Roman"/>
          <w:noProof/>
          <w:color w:val="000000" w:themeColor="text1"/>
          <w:sz w:val="24"/>
        </w:rPr>
        <w:t>астието на младите хора в обществения и демократичния живот (ангажиране), да свързва младите хора в целия ЕС и извън него с цел да се насърчават доброволчеството, възможностите за учене в чужбина, солидарността и междукултурното разбирателство (свързване),</w:t>
      </w:r>
      <w:r>
        <w:rPr>
          <w:rFonts w:ascii="Times New Roman" w:hAnsi="Times New Roman"/>
          <w:noProof/>
          <w:color w:val="000000" w:themeColor="text1"/>
          <w:sz w:val="24"/>
        </w:rPr>
        <w:t xml:space="preserve"> и да подкрепя овластяването на младите хора чрез стимулиране на новаторството, качеството и признаването на работата с младежта (овластяване). Сред инструментите, предложени за постигането на целите на Стратегията, са подновен диалог по въпросите на младе</w:t>
      </w:r>
      <w:r>
        <w:rPr>
          <w:rFonts w:ascii="Times New Roman" w:hAnsi="Times New Roman"/>
          <w:noProof/>
          <w:color w:val="000000" w:themeColor="text1"/>
          <w:sz w:val="24"/>
        </w:rPr>
        <w:t xml:space="preserve">жта, използване на инструменти за планиране на национални дейности, както и Работен план на Съвета за младежта за периода 2019—2020 г. </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rPr>
        <w:t>Комисията също така подпомага европейските държави членки за повишаване на младежката заетост. Всяка година над 3,5 мили</w:t>
      </w:r>
      <w:r>
        <w:rPr>
          <w:rFonts w:ascii="Times New Roman" w:hAnsi="Times New Roman"/>
          <w:noProof/>
          <w:color w:val="000000" w:themeColor="text1"/>
          <w:sz w:val="24"/>
        </w:rPr>
        <w:t xml:space="preserve">она млади хора, регистрирани по гаранцията за младежта, получават предложение за работа, продължаване на образованието, стаж или чиракуване.  </w:t>
      </w:r>
    </w:p>
    <w:p w:rsidR="00467251" w:rsidRDefault="00E55EA0">
      <w:pPr>
        <w:spacing w:after="120" w:line="240" w:lineRule="auto"/>
        <w:rPr>
          <w:rFonts w:ascii="Times New Roman" w:hAnsi="Times New Roman" w:cs="Times New Roman"/>
          <w:b/>
          <w:i/>
          <w:noProof/>
          <w:sz w:val="24"/>
          <w:szCs w:val="24"/>
        </w:rPr>
      </w:pPr>
      <w:r>
        <w:rPr>
          <w:rFonts w:ascii="Times New Roman" w:hAnsi="Times New Roman"/>
          <w:b/>
          <w:i/>
          <w:noProof/>
          <w:sz w:val="24"/>
        </w:rPr>
        <w:t>Обвързване на финансирането от ЕС и зачитането на върховенството на закона</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Предложението на Комисията за </w:t>
      </w:r>
      <w:r>
        <w:rPr>
          <w:rFonts w:ascii="Times New Roman" w:hAnsi="Times New Roman"/>
          <w:noProof/>
          <w:sz w:val="24"/>
        </w:rPr>
        <w:t>следващия многогодишен бюджет за периода 2021—2027 г. е за бюджет, ръководен от принципите на благоденствие, солидарност, устойчивост и сигурност.</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Предложението включва нов механизъм за укрепване на връзката между финансирането от ЕС и зачитането на върхов</w:t>
      </w:r>
      <w:r>
        <w:rPr>
          <w:rFonts w:ascii="Times New Roman" w:hAnsi="Times New Roman"/>
          <w:noProof/>
          <w:sz w:val="24"/>
        </w:rPr>
        <w:t>енството на закона. Широкото незачитане на върховенството на закона в дадена държава членка има сериозни последици за доброто финансово управление и ефективното финансиране от ЕС. Това не е наказателен механизъм, а бюджетен инструмент, който позволява да с</w:t>
      </w:r>
      <w:r>
        <w:rPr>
          <w:rFonts w:ascii="Times New Roman" w:hAnsi="Times New Roman"/>
          <w:noProof/>
          <w:sz w:val="24"/>
        </w:rPr>
        <w:t>е защити бюджетът на ЕС и да се осигури добро финансово управление, като същевременно се отстоява върховенството на закона.</w:t>
      </w:r>
    </w:p>
    <w:p w:rsidR="00467251" w:rsidRDefault="00467251">
      <w:pPr>
        <w:shd w:val="clear" w:color="auto" w:fill="FFFFFF"/>
        <w:spacing w:after="120" w:line="240" w:lineRule="auto"/>
        <w:jc w:val="center"/>
        <w:rPr>
          <w:rFonts w:ascii="Times New Roman" w:hAnsi="Times New Roman" w:cs="Times New Roman"/>
          <w:noProof/>
          <w:sz w:val="24"/>
          <w:szCs w:val="24"/>
        </w:rPr>
      </w:pPr>
    </w:p>
    <w:p w:rsidR="00467251" w:rsidRDefault="00E55EA0">
      <w:pPr>
        <w:spacing w:after="120" w:line="240" w:lineRule="auto"/>
        <w:rPr>
          <w:rFonts w:ascii="Times New Roman" w:eastAsiaTheme="majorEastAsia" w:hAnsi="Times New Roman" w:cs="Times New Roman"/>
          <w:b/>
          <w:i/>
          <w:iCs/>
          <w:noProof/>
          <w:sz w:val="24"/>
          <w:szCs w:val="24"/>
        </w:rPr>
      </w:pPr>
      <w:r>
        <w:rPr>
          <w:rFonts w:ascii="Times New Roman" w:hAnsi="Times New Roman"/>
          <w:b/>
          <w:i/>
          <w:noProof/>
          <w:sz w:val="24"/>
        </w:rPr>
        <w:t>План за инвестиции за Европа /планът „Юнкер“</w:t>
      </w:r>
    </w:p>
    <w:p w:rsidR="00467251" w:rsidRDefault="00E55EA0">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След световната икономическа и финансова криза нивата на инвестиции в ЕС бяха ниски. П</w:t>
      </w:r>
      <w:r>
        <w:rPr>
          <w:rFonts w:ascii="Times New Roman" w:hAnsi="Times New Roman"/>
          <w:noProof/>
          <w:sz w:val="24"/>
        </w:rPr>
        <w:t xml:space="preserve">ланът за инвестиции за Европа или т. нар. план „Юнкер“ има за цел да се премахнат пречките пред инвестициите, да се осигурят видимост и техническа помощ за инвестиционните проекти, а финансовите ресурси да се използват по-интелигентно. </w:t>
      </w:r>
    </w:p>
    <w:p w:rsidR="00467251" w:rsidRDefault="00E55EA0">
      <w:pPr>
        <w:shd w:val="clear" w:color="auto" w:fill="FFFFFF"/>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През юли 2018 г. </w:t>
      </w:r>
      <w:r>
        <w:rPr>
          <w:rFonts w:ascii="Times New Roman" w:hAnsi="Times New Roman"/>
          <w:noProof/>
          <w:sz w:val="24"/>
        </w:rPr>
        <w:t xml:space="preserve">Европейският фонд за стратегически инвестиции, част от плана „Юнкер“, достигна своята първоначална цел от 315 милиарда евро инвестиции, а до декември 2018 г. по линия на Фонда бяха мобилизирани 371 милиарда евро под формата на допълнителни инвестиции в ЕС </w:t>
      </w:r>
      <w:r>
        <w:rPr>
          <w:rFonts w:ascii="Times New Roman" w:hAnsi="Times New Roman"/>
          <w:noProof/>
          <w:sz w:val="24"/>
        </w:rPr>
        <w:t>общо от 2015 г. насам. Благодарение на Фонда беше подпомогнато създаването на над 750 000 работни места. Този брой се очаква да нарасне до 1,4 милиона работни места до 2020 г. Над 850 000 малки и средни предприятия (МСП) се възползват от подобрен достъп до</w:t>
      </w:r>
      <w:r>
        <w:rPr>
          <w:rFonts w:ascii="Times New Roman" w:hAnsi="Times New Roman"/>
          <w:noProof/>
          <w:sz w:val="24"/>
        </w:rPr>
        <w:t xml:space="preserve"> финансиране. Поне 40 % от финансирането по Европейския фонд за стратегически инвестиции в рамките на компонента за инфраструктура и иновации подкрепя части на проекти, които допринасят за действията в областта на климата в съответствие с Парижкото споразу</w:t>
      </w:r>
      <w:r>
        <w:rPr>
          <w:rFonts w:ascii="Times New Roman" w:hAnsi="Times New Roman"/>
          <w:noProof/>
          <w:sz w:val="24"/>
        </w:rPr>
        <w:t>мение за действия в областта на климата.</w:t>
      </w:r>
    </w:p>
    <w:p w:rsidR="00467251" w:rsidRDefault="00467251">
      <w:pPr>
        <w:spacing w:after="120" w:line="240" w:lineRule="auto"/>
        <w:ind w:right="-60"/>
        <w:rPr>
          <w:rFonts w:ascii="Times New Roman" w:hAnsi="Times New Roman" w:cs="Times New Roman"/>
          <w:b/>
          <w:i/>
          <w:noProof/>
          <w:sz w:val="24"/>
          <w:szCs w:val="24"/>
        </w:rPr>
      </w:pPr>
    </w:p>
    <w:p w:rsidR="00467251" w:rsidRDefault="00E55EA0">
      <w:pPr>
        <w:spacing w:after="120" w:line="240" w:lineRule="auto"/>
        <w:ind w:right="-60"/>
        <w:rPr>
          <w:rFonts w:ascii="Times New Roman" w:hAnsi="Times New Roman" w:cs="Times New Roman"/>
          <w:b/>
          <w:i/>
          <w:noProof/>
          <w:sz w:val="24"/>
          <w:szCs w:val="24"/>
        </w:rPr>
      </w:pPr>
      <w:r>
        <w:rPr>
          <w:rFonts w:ascii="Times New Roman" w:hAnsi="Times New Roman"/>
          <w:b/>
          <w:i/>
          <w:noProof/>
          <w:sz w:val="24"/>
        </w:rPr>
        <w:t>„Хоризонт 2020“ — програмата на ЕС за научни изследвания и иновации</w:t>
      </w:r>
    </w:p>
    <w:p w:rsidR="00467251" w:rsidRDefault="00E55EA0">
      <w:pPr>
        <w:spacing w:after="120" w:line="240" w:lineRule="auto"/>
        <w:ind w:right="-60"/>
        <w:jc w:val="both"/>
        <w:rPr>
          <w:rFonts w:ascii="Times New Roman" w:hAnsi="Times New Roman" w:cs="Times New Roman"/>
          <w:noProof/>
          <w:sz w:val="24"/>
          <w:szCs w:val="24"/>
        </w:rPr>
      </w:pPr>
      <w:r>
        <w:rPr>
          <w:rFonts w:ascii="Times New Roman" w:hAnsi="Times New Roman"/>
          <w:noProof/>
          <w:sz w:val="24"/>
        </w:rPr>
        <w:t>„Хоризонт 2020“ е най-голямата програма в света за насърчаване на сътрудничеството в областта на науката, технологията и иновациите в ЕС и извън н</w:t>
      </w:r>
      <w:r>
        <w:rPr>
          <w:rFonts w:ascii="Times New Roman" w:hAnsi="Times New Roman"/>
          <w:noProof/>
          <w:sz w:val="24"/>
        </w:rPr>
        <w:t xml:space="preserve">его. </w:t>
      </w:r>
    </w:p>
    <w:p w:rsidR="00467251" w:rsidRDefault="00E55EA0">
      <w:pPr>
        <w:spacing w:after="120" w:line="240" w:lineRule="auto"/>
        <w:ind w:right="-60"/>
        <w:jc w:val="both"/>
        <w:rPr>
          <w:rFonts w:ascii="Times New Roman" w:hAnsi="Times New Roman" w:cs="Times New Roman"/>
          <w:noProof/>
          <w:sz w:val="24"/>
          <w:szCs w:val="24"/>
        </w:rPr>
      </w:pPr>
      <w:r>
        <w:rPr>
          <w:rFonts w:ascii="Times New Roman" w:hAnsi="Times New Roman"/>
          <w:noProof/>
          <w:sz w:val="24"/>
        </w:rPr>
        <w:t>По линия на „Хоризонт 2020“ — настоящата рамкова програма на ЕС за научни изследвания и иновации — се предоставят почти 77 милиарда евро финансиране за период от седем години (2014—2020 г.) в допълнение към частните и националните публични инвестиции</w:t>
      </w:r>
      <w:r>
        <w:rPr>
          <w:rFonts w:ascii="Times New Roman" w:hAnsi="Times New Roman"/>
          <w:noProof/>
          <w:sz w:val="24"/>
        </w:rPr>
        <w:t>, които тези средства ще привлекат. Над 60 % от този бюджет са инвестирани в устойчивото развитие. Още по-голям е бюджетът, предложен за следващата програма „Хоризонт Европа“.</w:t>
      </w:r>
    </w:p>
    <w:p w:rsidR="00467251" w:rsidRDefault="00E55EA0">
      <w:pPr>
        <w:spacing w:after="120" w:line="240" w:lineRule="auto"/>
        <w:ind w:right="-60"/>
        <w:jc w:val="both"/>
        <w:rPr>
          <w:rFonts w:ascii="Times New Roman" w:hAnsi="Times New Roman" w:cs="Times New Roman"/>
          <w:noProof/>
          <w:sz w:val="24"/>
          <w:szCs w:val="24"/>
        </w:rPr>
      </w:pPr>
      <w:r>
        <w:rPr>
          <w:rFonts w:ascii="Times New Roman" w:hAnsi="Times New Roman"/>
          <w:noProof/>
          <w:sz w:val="24"/>
        </w:rPr>
        <w:t>„Хоризонт 2020“ има за цел да подпомогне постигането на интелигентен, устойчив и</w:t>
      </w:r>
      <w:r>
        <w:rPr>
          <w:rFonts w:ascii="Times New Roman" w:hAnsi="Times New Roman"/>
          <w:noProof/>
          <w:sz w:val="24"/>
        </w:rPr>
        <w:t xml:space="preserve"> приобщаващ икономически растеж. Стремежът е да се гарантира, че ЕС създава наука и технологии на световно равнище, които са от полза за икономиката, обществото и околната среда, премахва пречките пред иновациите и улеснява сътрудничеството между публичния</w:t>
      </w:r>
      <w:r>
        <w:rPr>
          <w:rFonts w:ascii="Times New Roman" w:hAnsi="Times New Roman"/>
          <w:noProof/>
          <w:sz w:val="24"/>
        </w:rPr>
        <w:t xml:space="preserve"> и частния сектор при откриването на решения на големите предизвикателства, пред които е изправено нашето общество.</w:t>
      </w:r>
    </w:p>
    <w:p w:rsidR="00467251" w:rsidRDefault="00467251">
      <w:pPr>
        <w:spacing w:after="120" w:line="240" w:lineRule="auto"/>
        <w:ind w:right="-60"/>
        <w:rPr>
          <w:rFonts w:ascii="Times New Roman" w:hAnsi="Times New Roman" w:cs="Times New Roman"/>
          <w:b/>
          <w:i/>
          <w:noProof/>
          <w:sz w:val="24"/>
          <w:szCs w:val="24"/>
        </w:rPr>
      </w:pPr>
    </w:p>
    <w:p w:rsidR="00467251" w:rsidRDefault="00E55EA0">
      <w:pPr>
        <w:spacing w:after="120" w:line="240" w:lineRule="auto"/>
        <w:ind w:right="-60"/>
        <w:rPr>
          <w:rFonts w:ascii="Times New Roman" w:hAnsi="Times New Roman" w:cs="Times New Roman"/>
          <w:b/>
          <w:i/>
          <w:noProof/>
          <w:sz w:val="24"/>
          <w:szCs w:val="24"/>
        </w:rPr>
      </w:pPr>
      <w:r>
        <w:rPr>
          <w:rFonts w:ascii="Times New Roman" w:hAnsi="Times New Roman"/>
          <w:b/>
          <w:i/>
          <w:noProof/>
          <w:sz w:val="24"/>
        </w:rPr>
        <w:t>Финансиране за устойчив растеж</w:t>
      </w:r>
    </w:p>
    <w:p w:rsidR="00467251" w:rsidRDefault="00E55EA0">
      <w:pPr>
        <w:spacing w:after="120" w:line="240" w:lineRule="auto"/>
        <w:ind w:right="-60"/>
        <w:jc w:val="both"/>
        <w:rPr>
          <w:rFonts w:ascii="Times New Roman" w:hAnsi="Times New Roman" w:cs="Times New Roman"/>
          <w:noProof/>
          <w:sz w:val="24"/>
          <w:szCs w:val="24"/>
        </w:rPr>
      </w:pPr>
      <w:r>
        <w:rPr>
          <w:rFonts w:ascii="Times New Roman" w:hAnsi="Times New Roman"/>
          <w:noProof/>
          <w:sz w:val="24"/>
        </w:rPr>
        <w:t>Нашата планета все по-често е изправена пред непредвидимите последици от изменението на климата и изчерпване</w:t>
      </w:r>
      <w:r>
        <w:rPr>
          <w:rFonts w:ascii="Times New Roman" w:hAnsi="Times New Roman"/>
          <w:noProof/>
          <w:sz w:val="24"/>
        </w:rPr>
        <w:t>то на ресурсите и затова са необходими спешни мерки за преминаване към по-устойчив модел. За да се постигнат целите на ЕС за 2030 г., договорени в Париж, включително 40-процентното намаление на емисиите на парникови газове, са необходими според изчисленият</w:t>
      </w:r>
      <w:r>
        <w:rPr>
          <w:rFonts w:ascii="Times New Roman" w:hAnsi="Times New Roman"/>
          <w:noProof/>
          <w:sz w:val="24"/>
        </w:rPr>
        <w:t xml:space="preserve">а допълнителни инвестиции на приблизителна стойност от 180 милиарда евро годишно. </w:t>
      </w:r>
    </w:p>
    <w:p w:rsidR="00467251" w:rsidRDefault="00467251">
      <w:pPr>
        <w:spacing w:after="120" w:line="240" w:lineRule="auto"/>
        <w:ind w:right="-60"/>
        <w:jc w:val="both"/>
        <w:rPr>
          <w:rFonts w:ascii="Times New Roman" w:hAnsi="Times New Roman" w:cs="Times New Roman"/>
          <w:noProof/>
          <w:sz w:val="24"/>
          <w:szCs w:val="24"/>
        </w:rPr>
      </w:pPr>
    </w:p>
    <w:p w:rsidR="00467251" w:rsidRDefault="00E55EA0">
      <w:pPr>
        <w:spacing w:after="120" w:line="240" w:lineRule="auto"/>
        <w:ind w:right="-60"/>
        <w:jc w:val="both"/>
        <w:rPr>
          <w:rFonts w:ascii="Times New Roman" w:hAnsi="Times New Roman" w:cs="Times New Roman"/>
          <w:iCs/>
          <w:noProof/>
          <w:sz w:val="24"/>
          <w:szCs w:val="24"/>
        </w:rPr>
      </w:pPr>
      <w:r>
        <w:rPr>
          <w:rFonts w:ascii="Times New Roman" w:hAnsi="Times New Roman"/>
          <w:noProof/>
          <w:sz w:val="24"/>
        </w:rPr>
        <w:t>Ето защо през март 2018 г. Комисията прие план за действие за устойчиво финансиране, за да може финансовият сектор да играе по-голяма роля за стимулиране на добре функциони</w:t>
      </w:r>
      <w:r>
        <w:rPr>
          <w:rFonts w:ascii="Times New Roman" w:hAnsi="Times New Roman"/>
          <w:noProof/>
          <w:sz w:val="24"/>
        </w:rPr>
        <w:t xml:space="preserve">раща икономика, която същевременно подкрепя постигането на екологичните и социалните цели. По този начин ЕС дава възможност на финансовия сектор да даде своя пълноценен принос за постигането на ЦУР. </w:t>
      </w:r>
    </w:p>
    <w:p w:rsidR="00467251" w:rsidRDefault="00E55EA0">
      <w:pPr>
        <w:spacing w:after="120" w:line="240" w:lineRule="auto"/>
        <w:ind w:right="-60"/>
        <w:jc w:val="both"/>
        <w:rPr>
          <w:rFonts w:ascii="Times New Roman" w:hAnsi="Times New Roman" w:cs="Times New Roman"/>
          <w:i/>
          <w:noProof/>
          <w:sz w:val="24"/>
          <w:szCs w:val="24"/>
        </w:rPr>
      </w:pPr>
      <w:r>
        <w:rPr>
          <w:rFonts w:ascii="Times New Roman" w:hAnsi="Times New Roman" w:cs="Times New Roman"/>
          <w:i/>
          <w:noProof/>
          <w:sz w:val="24"/>
          <w:szCs w:val="24"/>
        </w:rPr>
        <w:sym w:font="Symbol" w:char="F023"/>
      </w:r>
      <w:r>
        <w:rPr>
          <w:rFonts w:ascii="Times New Roman" w:hAnsi="Times New Roman"/>
          <w:i/>
          <w:noProof/>
          <w:sz w:val="24"/>
        </w:rPr>
        <w:t>SustainableFinanceEU</w:t>
      </w:r>
    </w:p>
    <w:p w:rsidR="00467251" w:rsidRDefault="00467251">
      <w:pPr>
        <w:spacing w:after="120" w:line="240" w:lineRule="auto"/>
        <w:ind w:right="-60"/>
        <w:jc w:val="both"/>
        <w:rPr>
          <w:rFonts w:ascii="Times New Roman" w:hAnsi="Times New Roman" w:cs="Times New Roman"/>
          <w:i/>
          <w:noProof/>
          <w:sz w:val="24"/>
          <w:szCs w:val="24"/>
        </w:rPr>
      </w:pPr>
    </w:p>
    <w:p w:rsidR="00467251" w:rsidRDefault="00E55EA0">
      <w:pPr>
        <w:spacing w:after="120" w:line="240" w:lineRule="auto"/>
        <w:rPr>
          <w:rFonts w:ascii="Times New Roman" w:hAnsi="Times New Roman" w:cs="Times New Roman"/>
          <w:b/>
          <w:i/>
          <w:noProof/>
          <w:sz w:val="24"/>
          <w:szCs w:val="24"/>
        </w:rPr>
      </w:pPr>
      <w:r>
        <w:rPr>
          <w:rFonts w:ascii="Times New Roman" w:hAnsi="Times New Roman"/>
          <w:b/>
          <w:i/>
          <w:noProof/>
          <w:sz w:val="24"/>
        </w:rPr>
        <w:t xml:space="preserve">План за действие за кръгова </w:t>
      </w:r>
      <w:r>
        <w:rPr>
          <w:rFonts w:ascii="Times New Roman" w:hAnsi="Times New Roman"/>
          <w:b/>
          <w:i/>
          <w:noProof/>
          <w:sz w:val="24"/>
        </w:rPr>
        <w:t>икономика</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В кръговата икономика стойността на продуктите, материалите и ресурсите се запазва в икономиката възможно най-дълго, като генерирането на отпадъци е сведено до минимум (например хранителни отпадъци, пластмаси, отпадъци в морето). Ползите от кръго</w:t>
      </w:r>
      <w:r>
        <w:rPr>
          <w:rFonts w:ascii="Times New Roman" w:hAnsi="Times New Roman"/>
          <w:noProof/>
          <w:sz w:val="24"/>
        </w:rPr>
        <w:t xml:space="preserve">вата икономика в по-широк план включват създаването на нови конкурентни предимства и намаляването на нуждата от оскъдни ресурси, потреблението на енергия и емисиите на въглероден диоксид. </w:t>
      </w:r>
    </w:p>
    <w:p w:rsidR="00467251" w:rsidRDefault="00E55EA0">
      <w:pPr>
        <w:spacing w:after="120" w:line="240" w:lineRule="auto"/>
        <w:jc w:val="both"/>
        <w:rPr>
          <w:rFonts w:ascii="Times New Roman" w:eastAsiaTheme="majorEastAsia" w:hAnsi="Times New Roman" w:cs="Times New Roman"/>
          <w:i/>
          <w:iCs/>
          <w:noProof/>
          <w:sz w:val="24"/>
          <w:szCs w:val="24"/>
        </w:rPr>
      </w:pPr>
      <w:r>
        <w:rPr>
          <w:rFonts w:ascii="Times New Roman" w:hAnsi="Times New Roman"/>
          <w:noProof/>
          <w:sz w:val="24"/>
        </w:rPr>
        <w:t>Действията, които Комисията предприе от приемането на плана за дейс</w:t>
      </w:r>
      <w:r>
        <w:rPr>
          <w:rFonts w:ascii="Times New Roman" w:hAnsi="Times New Roman"/>
          <w:noProof/>
          <w:sz w:val="24"/>
        </w:rPr>
        <w:t>твие за кръговата икономика през 2015 г. насам, подкрепят кръговата икономика на всеки етап от веригата за създаване на стойност. С пакета за кръговата икономика ЕС дава ясен ориентир на стопанските субекти и обществото за бъдещия курс на действие. Мерките</w:t>
      </w:r>
      <w:r>
        <w:rPr>
          <w:rFonts w:ascii="Times New Roman" w:hAnsi="Times New Roman"/>
          <w:noProof/>
          <w:sz w:val="24"/>
        </w:rPr>
        <w:t xml:space="preserve"> на равнище ЕС могат да стимулират инвестициите, да създадат еднакви условия на конкуренция и да премахнат пречките в единния пазар.</w:t>
      </w:r>
    </w:p>
    <w:p w:rsidR="00467251" w:rsidRDefault="00467251">
      <w:pPr>
        <w:shd w:val="clear" w:color="auto" w:fill="FFFFFF"/>
        <w:spacing w:after="120" w:line="240" w:lineRule="auto"/>
        <w:jc w:val="center"/>
        <w:rPr>
          <w:rFonts w:ascii="Times New Roman" w:hAnsi="Times New Roman" w:cs="Times New Roman"/>
          <w:noProof/>
          <w:sz w:val="24"/>
          <w:szCs w:val="24"/>
        </w:rPr>
      </w:pPr>
    </w:p>
    <w:p w:rsidR="00467251" w:rsidRDefault="00E55EA0">
      <w:pPr>
        <w:spacing w:after="120" w:line="240" w:lineRule="auto"/>
        <w:ind w:right="-60"/>
        <w:jc w:val="both"/>
        <w:rPr>
          <w:rFonts w:ascii="Times New Roman" w:hAnsi="Times New Roman" w:cs="Times New Roman"/>
          <w:b/>
          <w:i/>
          <w:noProof/>
          <w:sz w:val="24"/>
          <w:szCs w:val="24"/>
        </w:rPr>
      </w:pPr>
      <w:r>
        <w:rPr>
          <w:rFonts w:ascii="Times New Roman" w:hAnsi="Times New Roman"/>
          <w:b/>
          <w:i/>
          <w:noProof/>
          <w:sz w:val="24"/>
        </w:rPr>
        <w:t>Чиста планета за всички — дългосрочна визия за просперираща, модерна, конкурентоспособна и неутрална по отношение на клима</w:t>
      </w:r>
      <w:r>
        <w:rPr>
          <w:rFonts w:ascii="Times New Roman" w:hAnsi="Times New Roman"/>
          <w:b/>
          <w:i/>
          <w:noProof/>
          <w:sz w:val="24"/>
        </w:rPr>
        <w:t>та икономика до 2050 г.</w:t>
      </w:r>
    </w:p>
    <w:p w:rsidR="00467251" w:rsidRDefault="00E55EA0">
      <w:pPr>
        <w:spacing w:after="120" w:line="240" w:lineRule="auto"/>
        <w:ind w:right="-60"/>
        <w:jc w:val="both"/>
        <w:rPr>
          <w:rFonts w:ascii="Times New Roman" w:hAnsi="Times New Roman" w:cs="Times New Roman"/>
          <w:noProof/>
          <w:sz w:val="24"/>
          <w:szCs w:val="24"/>
        </w:rPr>
      </w:pPr>
      <w:r>
        <w:rPr>
          <w:rFonts w:ascii="Times New Roman" w:hAnsi="Times New Roman"/>
          <w:noProof/>
          <w:sz w:val="24"/>
        </w:rPr>
        <w:t>Дългосрочната визия за просперираща, модерна, конкурентоспособна и неутрална по отношение на климата икономика до 2050 г., приета от Комисията през ноември 2018 г., описва начина, по който Европа може да играе водеща роля за постига</w:t>
      </w:r>
      <w:r>
        <w:rPr>
          <w:rFonts w:ascii="Times New Roman" w:hAnsi="Times New Roman"/>
          <w:noProof/>
          <w:sz w:val="24"/>
        </w:rPr>
        <w:t xml:space="preserve">нето на неутралност по отношение на климата, като модернизира енергийната система, инвестира в реалистични технологични решения, предостави повече възможности на гражданите и съгласува действията в ключови области, като индустриалната политика, финансите, </w:t>
      </w:r>
      <w:r>
        <w:rPr>
          <w:rFonts w:ascii="Times New Roman" w:hAnsi="Times New Roman"/>
          <w:noProof/>
          <w:sz w:val="24"/>
        </w:rPr>
        <w:t>кръговата икономика и научните изследвания, и същевременно осигури социална справедливост и подкрепа за справедлив преход. В пълно съзвучие с ЦУР в нея също така се очертават редица стратегически градивни елементи за прехода към неутрален по отношение на к</w:t>
      </w:r>
      <w:r>
        <w:rPr>
          <w:rFonts w:ascii="Times New Roman" w:hAnsi="Times New Roman"/>
          <w:noProof/>
          <w:sz w:val="24"/>
        </w:rPr>
        <w:t>лимата ЕС.</w:t>
      </w:r>
    </w:p>
    <w:p w:rsidR="00467251" w:rsidRDefault="00E55EA0">
      <w:pPr>
        <w:spacing w:after="120" w:line="240" w:lineRule="auto"/>
        <w:ind w:right="-60"/>
        <w:jc w:val="both"/>
        <w:rPr>
          <w:rFonts w:ascii="Times New Roman" w:hAnsi="Times New Roman" w:cs="Times New Roman"/>
          <w:noProof/>
          <w:sz w:val="24"/>
          <w:szCs w:val="24"/>
        </w:rPr>
      </w:pPr>
      <w:r>
        <w:rPr>
          <w:rFonts w:ascii="Times New Roman" w:hAnsi="Times New Roman"/>
          <w:noProof/>
          <w:sz w:val="24"/>
        </w:rPr>
        <w:t>Целта на дългосрочната визия е да се определи посоката на развитие на политиката на ЕС в областта на климата и да бъде започнат задълбочен дебат за това как ЕС следва да се подготви за периода до 2050 г., като целта е в срок до 2020 г. ЕС да пре</w:t>
      </w:r>
      <w:r>
        <w:rPr>
          <w:rFonts w:ascii="Times New Roman" w:hAnsi="Times New Roman"/>
          <w:noProof/>
          <w:sz w:val="24"/>
        </w:rPr>
        <w:t xml:space="preserve">дстави амбициозна дългосрочна стратегия към Рамковата конвенция на ООН по изменение на климата.   </w:t>
      </w:r>
    </w:p>
    <w:p w:rsidR="00467251" w:rsidRDefault="00467251">
      <w:pPr>
        <w:spacing w:after="120" w:line="240" w:lineRule="auto"/>
        <w:jc w:val="both"/>
        <w:rPr>
          <w:rFonts w:ascii="Times New Roman" w:eastAsia="Calibri" w:hAnsi="Times New Roman" w:cs="Times New Roman"/>
          <w:b/>
          <w:i/>
          <w:noProof/>
          <w:sz w:val="24"/>
          <w:szCs w:val="24"/>
        </w:rPr>
      </w:pPr>
    </w:p>
    <w:p w:rsidR="00467251" w:rsidRDefault="00E55EA0">
      <w:pPr>
        <w:spacing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Парижкото споразумение за действия в областта на климата — пакет „Чиста енергия за всички европейци“</w:t>
      </w:r>
    </w:p>
    <w:p w:rsidR="00467251" w:rsidRDefault="00E55EA0">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Европа изигра решаваща роля при сключването на първото </w:t>
      </w:r>
      <w:r>
        <w:rPr>
          <w:rFonts w:ascii="Times New Roman" w:hAnsi="Times New Roman"/>
          <w:noProof/>
          <w:sz w:val="24"/>
        </w:rPr>
        <w:t>по рода си всеобщо правно обвързващо споразумение по въпросите на климата в Париж, в което се определя план за действие в световен план за справяне с изменението на климата. ЕС постигна съгласие до 2030 г. да намали с поне 40 % емисиите на парникови газове</w:t>
      </w:r>
      <w:r>
        <w:rPr>
          <w:rFonts w:ascii="Times New Roman" w:hAnsi="Times New Roman"/>
          <w:noProof/>
          <w:sz w:val="24"/>
        </w:rPr>
        <w:t xml:space="preserve"> в сравнение с 1990 г.</w:t>
      </w:r>
    </w:p>
    <w:p w:rsidR="00467251" w:rsidRDefault="00E55EA0">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Той даде пример с одобряването на пакета за „Чиста енергия за всички европейци“, насочен да стимулира прехода към чиста енергия и модернизацията на енергийната система, което да позволи постигането на целите от Париж. </w:t>
      </w:r>
    </w:p>
    <w:p w:rsidR="00467251" w:rsidRDefault="00E55EA0">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Преходът към ч</w:t>
      </w:r>
      <w:r>
        <w:rPr>
          <w:rFonts w:ascii="Times New Roman" w:hAnsi="Times New Roman"/>
          <w:noProof/>
          <w:sz w:val="24"/>
        </w:rPr>
        <w:t>иста енергия и борбата с изменението на климата значително ще преобразят начина, по който произвеждаме и потребяваме енергия. Това ще се отрази по различен начин в зависимост от различните сектори и региони. Бизнес моделите с висок въглероден интензитет ка</w:t>
      </w:r>
      <w:r>
        <w:rPr>
          <w:rFonts w:ascii="Times New Roman" w:hAnsi="Times New Roman"/>
          <w:noProof/>
          <w:sz w:val="24"/>
        </w:rPr>
        <w:t xml:space="preserve">то въгледобивът ще станат по-малко икономични и в крайна сметка постепенно ще отпаднат. </w:t>
      </w:r>
    </w:p>
    <w:p w:rsidR="00467251" w:rsidRDefault="00E55EA0">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Ето защо Комисията започна специални инициативи за преодоляване на социалните и икономическите предизвикателства, пред които са изправени гражданите във въгледобивните</w:t>
      </w:r>
      <w:r>
        <w:rPr>
          <w:rFonts w:ascii="Times New Roman" w:hAnsi="Times New Roman"/>
          <w:noProof/>
          <w:sz w:val="24"/>
        </w:rPr>
        <w:t xml:space="preserve"> региони. Те подкрепят разработването на стратегии за преход, конкретни проекти за структурна диверсификация и технологичен преход. Осъществяват се действия за подкрепа за 41 въгледобивни региона в 12 държави членки, като тяхната цел е преходът да открие в</w:t>
      </w:r>
      <w:r>
        <w:rPr>
          <w:rFonts w:ascii="Times New Roman" w:hAnsi="Times New Roman"/>
          <w:noProof/>
          <w:sz w:val="24"/>
        </w:rPr>
        <w:t xml:space="preserve">ъзможности за стимулиране на иновациите, инвестициите и новите умения. </w:t>
      </w:r>
    </w:p>
    <w:p w:rsidR="00467251" w:rsidRDefault="00467251">
      <w:pPr>
        <w:spacing w:after="120" w:line="240" w:lineRule="auto"/>
        <w:jc w:val="both"/>
        <w:rPr>
          <w:rFonts w:ascii="Times New Roman" w:eastAsiaTheme="majorEastAsia" w:hAnsi="Times New Roman" w:cs="Times New Roman"/>
          <w:b/>
          <w:iCs/>
          <w:noProof/>
          <w:sz w:val="24"/>
          <w:szCs w:val="24"/>
        </w:rPr>
      </w:pPr>
    </w:p>
    <w:p w:rsidR="00467251" w:rsidRDefault="00E55EA0">
      <w:pPr>
        <w:spacing w:after="120" w:line="240" w:lineRule="auto"/>
        <w:jc w:val="both"/>
        <w:rPr>
          <w:rFonts w:ascii="Times New Roman" w:eastAsia="Calibri" w:hAnsi="Times New Roman" w:cs="Times New Roman"/>
          <w:i/>
          <w:noProof/>
          <w:sz w:val="24"/>
          <w:szCs w:val="24"/>
        </w:rPr>
      </w:pPr>
      <w:r>
        <w:rPr>
          <w:rFonts w:ascii="Times New Roman" w:eastAsiaTheme="majorEastAsia" w:hAnsi="Times New Roman"/>
          <w:b/>
          <w:i/>
          <w:noProof/>
          <w:sz w:val="24"/>
        </w:rPr>
        <w:t>Европа в движение</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След стратегията за мобилност с ниски емисии Комисията прие три пакета за мобилност „Европа в движение“ съответно през 2017 г. и 2018 г. „Европа в движение“ е </w:t>
      </w:r>
      <w:r>
        <w:rPr>
          <w:rFonts w:ascii="Times New Roman" w:hAnsi="Times New Roman"/>
          <w:noProof/>
          <w:sz w:val="24"/>
        </w:rPr>
        <w:t>широкообхватен набор от инициативи, които ще направят движението по пътищата по-безопасно, ще насърчат използването на интелигентни системи за пътно таксуване, ще намалят емисиите на CO2, замърсяването на въздуха и задръстванията, ще намалят бюрокрацията з</w:t>
      </w:r>
      <w:r>
        <w:rPr>
          <w:rFonts w:ascii="Times New Roman" w:hAnsi="Times New Roman"/>
          <w:noProof/>
          <w:sz w:val="24"/>
        </w:rPr>
        <w:t>а предприятията, ще противодействат на незаконното наемане на работна ръка и ще осигурят подходящи условия за работа и време за почивка на заетите в сектора. Дългосрочните ползи от посочените мерки ще надхвърлят рамките на сектора на транспорта, като допри</w:t>
      </w:r>
      <w:r>
        <w:rPr>
          <w:rFonts w:ascii="Times New Roman" w:hAnsi="Times New Roman"/>
          <w:noProof/>
          <w:sz w:val="24"/>
        </w:rPr>
        <w:t>несат за насърчаване на растежа и създаването на работни места, укрепване на социалната справедливост, разширяване на избора на потребителите и решително извеждане на Европа по пътя към въглеродна неутралност.</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Последният пакет „Европа в движение“ определи </w:t>
      </w:r>
      <w:r>
        <w:rPr>
          <w:rFonts w:ascii="Times New Roman" w:hAnsi="Times New Roman"/>
          <w:noProof/>
          <w:sz w:val="24"/>
        </w:rPr>
        <w:t>положителна програма с цел да се даде възможност на всички европейски граждани да се възползват от по-безопасно движение по пътищата, по-малко замърсяващи автомобили и по-модерни технологични решения, като същевременно се подкрепя конкурентоспособността на</w:t>
      </w:r>
      <w:r>
        <w:rPr>
          <w:rFonts w:ascii="Times New Roman" w:hAnsi="Times New Roman"/>
          <w:noProof/>
          <w:sz w:val="24"/>
        </w:rPr>
        <w:t xml:space="preserve"> промишлеността на ЕС. В тази връзка инициативите включват интегрирана политика за бъдещето на пътната безопасност, в това число мерки за безопасността на превозните средства и инфраструктурата, първите по рода си стандарти за емисиите на CO2 от тежкотовар</w:t>
      </w:r>
      <w:r>
        <w:rPr>
          <w:rFonts w:ascii="Times New Roman" w:hAnsi="Times New Roman"/>
          <w:noProof/>
          <w:sz w:val="24"/>
        </w:rPr>
        <w:t xml:space="preserve">ни превозни средства, стратегически план за действие в областта на разработването и производството на акумулаторни батерии в Европа и ориентирана към бъдещето стратегия за свързана и автоматизирана мобилност. </w:t>
      </w:r>
    </w:p>
    <w:p w:rsidR="00467251" w:rsidRDefault="00467251">
      <w:pPr>
        <w:spacing w:after="120" w:line="240" w:lineRule="auto"/>
        <w:rPr>
          <w:rFonts w:ascii="Times New Roman" w:eastAsiaTheme="majorEastAsia" w:hAnsi="Times New Roman" w:cs="Times New Roman"/>
          <w:b/>
          <w:iCs/>
          <w:noProof/>
          <w:sz w:val="24"/>
          <w:szCs w:val="24"/>
        </w:rPr>
      </w:pPr>
    </w:p>
    <w:p w:rsidR="00467251" w:rsidRDefault="00E55EA0">
      <w:pPr>
        <w:spacing w:after="120" w:line="240" w:lineRule="auto"/>
        <w:rPr>
          <w:rFonts w:ascii="Times New Roman" w:eastAsiaTheme="majorEastAsia" w:hAnsi="Times New Roman" w:cs="Times New Roman"/>
          <w:b/>
          <w:i/>
          <w:iCs/>
          <w:noProof/>
          <w:sz w:val="24"/>
          <w:szCs w:val="24"/>
        </w:rPr>
      </w:pPr>
      <w:r>
        <w:rPr>
          <w:rFonts w:ascii="Times New Roman" w:eastAsiaTheme="majorEastAsia" w:hAnsi="Times New Roman"/>
          <w:b/>
          <w:i/>
          <w:noProof/>
          <w:sz w:val="24"/>
        </w:rPr>
        <w:t>Стратегия на ЕС за пластмасите</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Океаните в доб</w:t>
      </w:r>
      <w:r>
        <w:rPr>
          <w:rFonts w:ascii="Times New Roman" w:hAnsi="Times New Roman"/>
          <w:noProof/>
          <w:sz w:val="24"/>
        </w:rPr>
        <w:t xml:space="preserve">ро състояние са от основно значение за нашето съществуване. Те са основен източник на прехрана и доходи за около 40 % от световното население. Климатът, водата и кислородът в крайна сметка се осигуряват и регулират от морето. </w:t>
      </w:r>
    </w:p>
    <w:p w:rsidR="00467251" w:rsidRDefault="00E55EA0">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на ЕС за междунаро</w:t>
      </w:r>
      <w:r>
        <w:rPr>
          <w:rFonts w:ascii="Times New Roman" w:hAnsi="Times New Roman"/>
          <w:noProof/>
          <w:sz w:val="24"/>
        </w:rPr>
        <w:t>дно управление на океаните установи всеобхватна рамка за укрепване на международното управление на океаните, за да се гарантира, че океаните са безопасни, сигурни, чисти и законно и устойчиво използвани. Едно от действията, включени в Програмата за управле</w:t>
      </w:r>
      <w:r>
        <w:rPr>
          <w:rFonts w:ascii="Times New Roman" w:hAnsi="Times New Roman"/>
          <w:noProof/>
          <w:sz w:val="24"/>
        </w:rPr>
        <w:t>ние на океаните, е борбата с морските отпадъци.</w:t>
      </w:r>
    </w:p>
    <w:p w:rsidR="00467251" w:rsidRDefault="00E55EA0">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май 2018 г. Комисията предложи нови правила за целия ЕС, които да се прилагат по отношение на 10-те пластмасови продукта за еднократна употреба, които най-често се срещат по бреговете и в морета на Европ</w:t>
      </w:r>
      <w:r>
        <w:rPr>
          <w:rFonts w:ascii="Times New Roman" w:hAnsi="Times New Roman"/>
          <w:noProof/>
          <w:sz w:val="24"/>
        </w:rPr>
        <w:t xml:space="preserve">а, както и по отношение на изгубени или изоставени риболовни уреди. Заедно те съставляват около 70% от всички морски отпадъци. </w:t>
      </w:r>
    </w:p>
    <w:p w:rsidR="00467251" w:rsidRDefault="00E55EA0">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Сред другите инициативи във връзка с пластмасите са мерки за предотвратяване на нерегламентираното изхвърляне на отпадъци, за пр</w:t>
      </w:r>
      <w:r>
        <w:rPr>
          <w:rFonts w:ascii="Times New Roman" w:hAnsi="Times New Roman"/>
          <w:noProof/>
          <w:sz w:val="24"/>
        </w:rPr>
        <w:t>евръщане на икономиката в сектора на пластмасите в кръгова икономика, за справяне със замърсяването на моретата от морски източници на отпадъци и за гарантиране на по-добро разбиране и наблюдение на морските отпадъци.</w:t>
      </w:r>
    </w:p>
    <w:p w:rsidR="00467251" w:rsidRDefault="00467251">
      <w:pPr>
        <w:shd w:val="clear" w:color="auto" w:fill="FFFFFF"/>
        <w:spacing w:after="120" w:line="240" w:lineRule="auto"/>
        <w:jc w:val="center"/>
        <w:rPr>
          <w:rFonts w:ascii="Times New Roman" w:hAnsi="Times New Roman" w:cs="Times New Roman"/>
          <w:noProof/>
          <w:sz w:val="24"/>
          <w:szCs w:val="24"/>
        </w:rPr>
      </w:pPr>
    </w:p>
    <w:p w:rsidR="00467251" w:rsidRDefault="00E55EA0">
      <w:pPr>
        <w:spacing w:after="120" w:line="240" w:lineRule="auto"/>
        <w:jc w:val="both"/>
        <w:rPr>
          <w:rFonts w:ascii="Times New Roman" w:hAnsi="Times New Roman" w:cs="Times New Roman"/>
          <w:b/>
          <w:bCs/>
          <w:i/>
          <w:noProof/>
          <w:sz w:val="24"/>
          <w:szCs w:val="24"/>
        </w:rPr>
      </w:pPr>
      <w:r>
        <w:rPr>
          <w:rFonts w:ascii="Times New Roman" w:hAnsi="Times New Roman"/>
          <w:b/>
          <w:i/>
          <w:noProof/>
          <w:sz w:val="24"/>
        </w:rPr>
        <w:t xml:space="preserve">План за действие на ЕС за природата, </w:t>
      </w:r>
      <w:r>
        <w:rPr>
          <w:rFonts w:ascii="Times New Roman" w:hAnsi="Times New Roman"/>
          <w:b/>
          <w:i/>
          <w:noProof/>
          <w:sz w:val="24"/>
        </w:rPr>
        <w:t>хората и икономиката</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Законодателните актове за птиците и местообитанията са водещите инициативи на ЕС в областта на опазването на природата. Те установяват най-голямата в света координирана мрежа от защитени зони с богато биологично разнообразие („Натура 2</w:t>
      </w:r>
      <w:r>
        <w:rPr>
          <w:rFonts w:ascii="Times New Roman" w:hAnsi="Times New Roman"/>
          <w:noProof/>
          <w:sz w:val="24"/>
        </w:rPr>
        <w:t xml:space="preserve">000“), които допринасят за икономиката на ЕС, като осигуряват пречистване на водата, съхраняване на въглероден диоксид, опрашване и туризъм („екосистемни услуги“) на стойност между 1,7 и 2,5 % от БВП на ЕС. </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През април 2017 г. Комисията прие „План за дейст</w:t>
      </w:r>
      <w:r>
        <w:rPr>
          <w:rFonts w:ascii="Times New Roman" w:hAnsi="Times New Roman"/>
          <w:noProof/>
          <w:sz w:val="24"/>
        </w:rPr>
        <w:t xml:space="preserve">вие за природата, хората и икономиката“, с който да се гарантира пълното прилагане на законодателството по места и по този начин да се подобри защитата на природата в полза на гражданите и икономиката на ЕС. </w:t>
      </w:r>
    </w:p>
    <w:p w:rsidR="00467251" w:rsidRDefault="00E55EA0">
      <w:pPr>
        <w:spacing w:after="120" w:line="240" w:lineRule="auto"/>
        <w:jc w:val="both"/>
        <w:rPr>
          <w:rFonts w:ascii="Times New Roman" w:eastAsiaTheme="majorEastAsia" w:hAnsi="Times New Roman" w:cs="Times New Roman"/>
          <w:i/>
          <w:iCs/>
          <w:noProof/>
          <w:sz w:val="24"/>
          <w:szCs w:val="24"/>
        </w:rPr>
      </w:pPr>
      <w:r>
        <w:rPr>
          <w:rFonts w:ascii="Times New Roman" w:hAnsi="Times New Roman"/>
          <w:noProof/>
          <w:sz w:val="24"/>
        </w:rPr>
        <w:t>В плана се предвижда изпълнението до 2019 г. на</w:t>
      </w:r>
      <w:r>
        <w:rPr>
          <w:rFonts w:ascii="Times New Roman" w:hAnsi="Times New Roman"/>
          <w:noProof/>
          <w:sz w:val="24"/>
        </w:rPr>
        <w:t xml:space="preserve"> 15 ключови действия по четири основни приоритета: повишаване на знанията и подобряване на ръководството за осигуряване на по-голяма съгласуваност със социално-икономическите дейности, доизграждане на мрежата и осигуряване на ефективното ѝ управление, увел</w:t>
      </w:r>
      <w:r>
        <w:rPr>
          <w:rFonts w:ascii="Times New Roman" w:hAnsi="Times New Roman"/>
          <w:noProof/>
          <w:sz w:val="24"/>
        </w:rPr>
        <w:t>ичаване на инвестициите в „Натура 2000“ и осигуряване на повече финансиране, привличане на гражданите, заинтересованите страни и местните общности.</w:t>
      </w:r>
    </w:p>
    <w:p w:rsidR="00467251" w:rsidRDefault="00467251">
      <w:pPr>
        <w:shd w:val="clear" w:color="auto" w:fill="FFFFFF"/>
        <w:spacing w:after="120" w:line="240" w:lineRule="auto"/>
        <w:jc w:val="center"/>
        <w:rPr>
          <w:rFonts w:ascii="Times New Roman" w:hAnsi="Times New Roman" w:cs="Times New Roman"/>
          <w:noProof/>
          <w:sz w:val="24"/>
          <w:szCs w:val="24"/>
        </w:rPr>
      </w:pPr>
    </w:p>
    <w:p w:rsidR="00467251" w:rsidRDefault="00467251">
      <w:pPr>
        <w:shd w:val="clear" w:color="auto" w:fill="FFFFFF"/>
        <w:spacing w:after="120" w:line="240" w:lineRule="auto"/>
        <w:jc w:val="center"/>
        <w:rPr>
          <w:rFonts w:ascii="Times New Roman" w:hAnsi="Times New Roman" w:cs="Times New Roman"/>
          <w:noProof/>
          <w:sz w:val="24"/>
          <w:szCs w:val="24"/>
        </w:rPr>
        <w:sectPr w:rsidR="00467251">
          <w:headerReference w:type="even" r:id="rId37"/>
          <w:headerReference w:type="default" r:id="rId38"/>
          <w:footerReference w:type="even" r:id="rId39"/>
          <w:footerReference w:type="default" r:id="rId40"/>
          <w:headerReference w:type="first" r:id="rId41"/>
          <w:footerReference w:type="first" r:id="rId42"/>
          <w:type w:val="continuous"/>
          <w:pgSz w:w="11906" w:h="16838"/>
          <w:pgMar w:top="1417" w:right="1417" w:bottom="1417" w:left="1417" w:header="708" w:footer="708" w:gutter="0"/>
          <w:cols w:space="708"/>
          <w:docGrid w:linePitch="360"/>
        </w:sectPr>
      </w:pPr>
    </w:p>
    <w:p w:rsidR="00467251" w:rsidRDefault="00E55EA0">
      <w:pPr>
        <w:spacing w:after="120" w:line="240" w:lineRule="auto"/>
        <w:rPr>
          <w:rFonts w:ascii="Times New Roman" w:eastAsia="Times New Roman" w:hAnsi="Times New Roman" w:cs="Times New Roman"/>
          <w:b/>
          <w:i/>
          <w:noProof/>
          <w:sz w:val="24"/>
          <w:szCs w:val="24"/>
        </w:rPr>
      </w:pPr>
      <w:r>
        <w:rPr>
          <w:rFonts w:ascii="Times New Roman" w:hAnsi="Times New Roman"/>
          <w:b/>
          <w:i/>
          <w:noProof/>
          <w:sz w:val="24"/>
        </w:rPr>
        <w:t>Програма за градовете в ЕС</w:t>
      </w:r>
    </w:p>
    <w:p w:rsidR="00467251" w:rsidRDefault="00E55EA0">
      <w:pPr>
        <w:spacing w:after="120" w:line="240" w:lineRule="auto"/>
        <w:jc w:val="both"/>
        <w:rPr>
          <w:rFonts w:ascii="Times New Roman" w:hAnsi="Times New Roman" w:cs="Times New Roman"/>
          <w:noProof/>
          <w:color w:val="333333"/>
          <w:sz w:val="24"/>
          <w:szCs w:val="24"/>
        </w:rPr>
      </w:pPr>
      <w:r>
        <w:rPr>
          <w:rFonts w:ascii="Times New Roman" w:hAnsi="Times New Roman"/>
          <w:noProof/>
          <w:sz w:val="24"/>
        </w:rPr>
        <w:t xml:space="preserve">Градовете в Европа </w:t>
      </w:r>
      <w:r>
        <w:rPr>
          <w:rFonts w:ascii="Times New Roman" w:hAnsi="Times New Roman"/>
          <w:noProof/>
          <w:sz w:val="24"/>
        </w:rPr>
        <w:t>са в центъра на много от днешните икономически, социални и екологични предизвикателства. Над 70 % от гражданите на ЕС живеят в градове и около 85 % от БВП на ЕС се генерира в градовете.</w:t>
      </w:r>
      <w:r>
        <w:rPr>
          <w:rFonts w:ascii="Times New Roman" w:hAnsi="Times New Roman"/>
          <w:noProof/>
          <w:color w:val="333333"/>
          <w:sz w:val="24"/>
        </w:rPr>
        <w:t xml:space="preserve"> </w:t>
      </w:r>
    </w:p>
    <w:p w:rsidR="00467251" w:rsidRDefault="00E55EA0">
      <w:pPr>
        <w:spacing w:after="120" w:line="240" w:lineRule="auto"/>
        <w:jc w:val="both"/>
        <w:rPr>
          <w:rFonts w:ascii="Times New Roman" w:eastAsia="MyriadPro-Light" w:hAnsi="Times New Roman" w:cs="Times New Roman"/>
          <w:noProof/>
          <w:color w:val="000000"/>
          <w:sz w:val="24"/>
          <w:szCs w:val="24"/>
        </w:rPr>
      </w:pPr>
      <w:r>
        <w:rPr>
          <w:rFonts w:ascii="Times New Roman" w:hAnsi="Times New Roman"/>
          <w:noProof/>
          <w:color w:val="333333"/>
          <w:sz w:val="24"/>
        </w:rPr>
        <w:t xml:space="preserve">Стартираната през май 2016 г. Програма за градовете в ЕС е от ключово значение, за да се гарантира, че градовете </w:t>
      </w:r>
      <w:r>
        <w:rPr>
          <w:rFonts w:ascii="Times New Roman" w:hAnsi="Times New Roman"/>
          <w:noProof/>
          <w:sz w:val="24"/>
        </w:rPr>
        <w:t>играят ролята на катализатор за устойчиви новаторски решения, които стимулират прехода към нисковъглеродни и устойчиви общества.</w:t>
      </w:r>
      <w:r>
        <w:rPr>
          <w:rFonts w:ascii="Times New Roman" w:hAnsi="Times New Roman"/>
          <w:noProof/>
          <w:color w:val="333333"/>
          <w:sz w:val="24"/>
        </w:rPr>
        <w:t xml:space="preserve"> </w:t>
      </w:r>
      <w:r>
        <w:rPr>
          <w:rFonts w:ascii="Times New Roman" w:hAnsi="Times New Roman"/>
          <w:noProof/>
          <w:sz w:val="24"/>
        </w:rPr>
        <w:t xml:space="preserve">Програмата за </w:t>
      </w:r>
      <w:r>
        <w:rPr>
          <w:rFonts w:ascii="Times New Roman" w:hAnsi="Times New Roman"/>
          <w:noProof/>
          <w:sz w:val="24"/>
        </w:rPr>
        <w:t>градовете е съвместно усилие на Комисията, държавите членки и европейските градове и нейната цел е да се осигури по-успешно отчитане на въздействието на политиките в градските райони.</w:t>
      </w:r>
      <w:r>
        <w:rPr>
          <w:rFonts w:ascii="Times New Roman" w:hAnsi="Times New Roman"/>
          <w:noProof/>
          <w:color w:val="000000" w:themeColor="text1"/>
          <w:sz w:val="24"/>
        </w:rPr>
        <w:t xml:space="preserve"> </w:t>
      </w:r>
      <w:r>
        <w:rPr>
          <w:rFonts w:ascii="Times New Roman" w:hAnsi="Times New Roman"/>
          <w:noProof/>
          <w:sz w:val="24"/>
        </w:rPr>
        <w:t>Тя е насочена също така към засилване на устойчивостта на градовете чрез</w:t>
      </w:r>
      <w:r>
        <w:rPr>
          <w:rFonts w:ascii="Times New Roman" w:hAnsi="Times New Roman"/>
          <w:noProof/>
          <w:sz w:val="24"/>
        </w:rPr>
        <w:t xml:space="preserve"> предотвратяване на бедствия и рискове, свързани с климата.</w:t>
      </w:r>
    </w:p>
    <w:p w:rsidR="00467251" w:rsidRDefault="00E55EA0">
      <w:pPr>
        <w:spacing w:after="120" w:line="240" w:lineRule="auto"/>
        <w:jc w:val="both"/>
        <w:rPr>
          <w:rFonts w:ascii="Times New Roman" w:hAnsi="Times New Roman" w:cs="Times New Roman"/>
          <w:noProof/>
          <w:color w:val="1F497D" w:themeColor="text2"/>
          <w:sz w:val="24"/>
          <w:szCs w:val="24"/>
        </w:rPr>
      </w:pPr>
      <w:r>
        <w:rPr>
          <w:rFonts w:ascii="Times New Roman" w:hAnsi="Times New Roman"/>
          <w:noProof/>
          <w:color w:val="333333"/>
          <w:sz w:val="24"/>
        </w:rPr>
        <w:t>Програмата за градовете се подсилва от инициативи на Комисията, които насърчават дългосрочни действия на местно равнище в областта на енергетиката и климата като например</w:t>
      </w:r>
      <w:r>
        <w:rPr>
          <w:rFonts w:ascii="Times New Roman" w:hAnsi="Times New Roman"/>
          <w:b/>
          <w:noProof/>
          <w:color w:val="333333"/>
          <w:sz w:val="24"/>
        </w:rPr>
        <w:t xml:space="preserve"> Конвентът на кметовете</w:t>
      </w:r>
      <w:r>
        <w:rPr>
          <w:rFonts w:ascii="Times New Roman" w:hAnsi="Times New Roman"/>
          <w:noProof/>
          <w:color w:val="333333"/>
          <w:sz w:val="24"/>
        </w:rPr>
        <w:t>. В</w:t>
      </w:r>
      <w:r>
        <w:rPr>
          <w:rFonts w:ascii="Times New Roman" w:hAnsi="Times New Roman"/>
          <w:noProof/>
          <w:color w:val="333333"/>
          <w:sz w:val="24"/>
        </w:rPr>
        <w:t>ъз основа на тази европейска инициатива през 2016 г. беше създаден Световният конвент на кметовете за климата и енергетиката, който обединява 10,28 % от световното население в алианс в подкрепа на действията за борба с изменението на климата и за преход къ</w:t>
      </w:r>
      <w:r>
        <w:rPr>
          <w:rFonts w:ascii="Times New Roman" w:hAnsi="Times New Roman"/>
          <w:noProof/>
          <w:color w:val="333333"/>
          <w:sz w:val="24"/>
        </w:rPr>
        <w:t>м общество с ниски въглеродни емисии.</w:t>
      </w:r>
    </w:p>
    <w:p w:rsidR="00467251" w:rsidRDefault="00467251">
      <w:pPr>
        <w:spacing w:after="120" w:line="240" w:lineRule="auto"/>
        <w:rPr>
          <w:rFonts w:ascii="Times New Roman" w:hAnsi="Times New Roman" w:cs="Times New Roman"/>
          <w:b/>
          <w:i/>
          <w:iCs/>
          <w:noProof/>
          <w:sz w:val="24"/>
          <w:szCs w:val="24"/>
        </w:rPr>
      </w:pPr>
    </w:p>
    <w:p w:rsidR="00467251" w:rsidRDefault="00E55EA0">
      <w:pPr>
        <w:spacing w:after="120" w:line="240" w:lineRule="auto"/>
        <w:rPr>
          <w:rFonts w:ascii="Times New Roman" w:hAnsi="Times New Roman" w:cs="Times New Roman"/>
          <w:b/>
          <w:i/>
          <w:iCs/>
          <w:noProof/>
          <w:sz w:val="24"/>
          <w:szCs w:val="24"/>
        </w:rPr>
      </w:pPr>
      <w:r>
        <w:rPr>
          <w:rFonts w:ascii="Times New Roman" w:hAnsi="Times New Roman"/>
          <w:b/>
          <w:i/>
          <w:noProof/>
          <w:sz w:val="24"/>
        </w:rPr>
        <w:t>Европейска програма за умения</w:t>
      </w:r>
    </w:p>
    <w:p w:rsidR="00467251" w:rsidRDefault="00E55EA0">
      <w:pPr>
        <w:pStyle w:val="CommentText"/>
        <w:spacing w:after="120"/>
        <w:jc w:val="both"/>
        <w:rPr>
          <w:rFonts w:ascii="Times New Roman" w:hAnsi="Times New Roman" w:cs="Times New Roman"/>
          <w:noProof/>
          <w:sz w:val="24"/>
          <w:szCs w:val="24"/>
        </w:rPr>
      </w:pPr>
      <w:r>
        <w:rPr>
          <w:rFonts w:ascii="Times New Roman" w:hAnsi="Times New Roman"/>
          <w:noProof/>
          <w:sz w:val="24"/>
        </w:rPr>
        <w:t>С новата европейска програма за умения Европа инвестира в хората, така че те да могат да посрещнат бъдещето уверено. С изпълнението на 10-те действия на Програмата за умения Комисията пом</w:t>
      </w:r>
      <w:r>
        <w:rPr>
          <w:rFonts w:ascii="Times New Roman" w:hAnsi="Times New Roman"/>
          <w:noProof/>
          <w:sz w:val="24"/>
        </w:rPr>
        <w:t>ага на хората да придобият необходимите умения, за да са подготвени за промените в обществото и на пазара на труда. Освен това Европа увеличава видимостта и съпоставимостта на уменията и събира информация за нуждите от умения в различните професии и сектор</w:t>
      </w:r>
      <w:r>
        <w:rPr>
          <w:rFonts w:ascii="Times New Roman" w:hAnsi="Times New Roman"/>
          <w:noProof/>
          <w:sz w:val="24"/>
        </w:rPr>
        <w:t xml:space="preserve">и в Европа. Комисията също така подкрепя европейските държави да засилят помощта си за възрастните хора, които не са придобили до този момент основни умения. Бяха предприети инициативи за подготовка на хората за цифровата революция и бъдещето на трудовата </w:t>
      </w:r>
      <w:r>
        <w:rPr>
          <w:rFonts w:ascii="Times New Roman" w:hAnsi="Times New Roman"/>
          <w:noProof/>
          <w:sz w:val="24"/>
        </w:rPr>
        <w:t xml:space="preserve">заетост. Накрая, Комисията създаде Европейската седмица на професионалните умения с цел да се повиши осведомеността за многобройните възможности, които предлагат професионалното образование и обучение. Тези успешни ежегодни кампании, провеждани от 2016 г. </w:t>
      </w:r>
      <w:r>
        <w:rPr>
          <w:rFonts w:ascii="Times New Roman" w:hAnsi="Times New Roman"/>
          <w:noProof/>
          <w:sz w:val="24"/>
        </w:rPr>
        <w:t>насам, помогнаха на милиони млади и възрастни хора да открият, че професионалното образование и обучение могат да бъдат пръв или също толкова добър избор.</w:t>
      </w:r>
    </w:p>
    <w:p w:rsidR="00467251" w:rsidRDefault="00467251">
      <w:pPr>
        <w:pStyle w:val="CommentText"/>
        <w:spacing w:after="120"/>
        <w:jc w:val="both"/>
        <w:rPr>
          <w:rFonts w:ascii="Times New Roman" w:hAnsi="Times New Roman" w:cs="Times New Roman"/>
          <w:noProof/>
          <w:sz w:val="24"/>
          <w:szCs w:val="24"/>
        </w:rPr>
      </w:pPr>
    </w:p>
    <w:p w:rsidR="00467251" w:rsidRDefault="00467251">
      <w:pPr>
        <w:pStyle w:val="NormalWeb"/>
        <w:shd w:val="clear" w:color="auto" w:fill="FFFFFF"/>
        <w:spacing w:after="120"/>
        <w:rPr>
          <w:b/>
          <w:i/>
          <w:noProof/>
        </w:rPr>
      </w:pPr>
    </w:p>
    <w:p w:rsidR="00467251" w:rsidRDefault="00467251">
      <w:pPr>
        <w:pStyle w:val="NormalWeb"/>
        <w:shd w:val="clear" w:color="auto" w:fill="FFFFFF"/>
        <w:spacing w:after="120"/>
        <w:rPr>
          <w:b/>
          <w:i/>
          <w:noProof/>
        </w:rPr>
      </w:pPr>
    </w:p>
    <w:p w:rsidR="00467251" w:rsidRDefault="00467251">
      <w:pPr>
        <w:pStyle w:val="NormalWeb"/>
        <w:shd w:val="clear" w:color="auto" w:fill="FFFFFF"/>
        <w:spacing w:after="120"/>
        <w:rPr>
          <w:b/>
          <w:i/>
          <w:noProof/>
        </w:rPr>
      </w:pPr>
    </w:p>
    <w:p w:rsidR="00467251" w:rsidRDefault="00467251">
      <w:pPr>
        <w:pStyle w:val="NormalWeb"/>
        <w:shd w:val="clear" w:color="auto" w:fill="FFFFFF"/>
        <w:spacing w:after="120"/>
        <w:rPr>
          <w:b/>
          <w:i/>
          <w:noProof/>
        </w:rPr>
      </w:pPr>
    </w:p>
    <w:p w:rsidR="00467251" w:rsidRDefault="00E55EA0">
      <w:pPr>
        <w:pStyle w:val="NormalWeb"/>
        <w:shd w:val="clear" w:color="auto" w:fill="FFFFFF"/>
        <w:spacing w:after="120"/>
        <w:rPr>
          <w:b/>
          <w:i/>
          <w:noProof/>
        </w:rPr>
      </w:pPr>
      <w:r>
        <w:rPr>
          <w:b/>
          <w:i/>
          <w:noProof/>
        </w:rPr>
        <w:t>Устойчива биоикономика на ЕС за укрепване на връзката между икономика, общество и околна среда</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Ж</w:t>
      </w:r>
      <w:r>
        <w:rPr>
          <w:rFonts w:ascii="Times New Roman" w:hAnsi="Times New Roman"/>
          <w:noProof/>
          <w:sz w:val="24"/>
        </w:rPr>
        <w:t>ивеем в свят на ограничени ресурси. Глобалните предизвикателства, като изменението на климата, деградацията на земите и екосистемите, наред с увеличаващото се население, ни принуждават да търсим нови начини на производство и потребление на нашите биологичн</w:t>
      </w:r>
      <w:r>
        <w:rPr>
          <w:rFonts w:ascii="Times New Roman" w:hAnsi="Times New Roman"/>
          <w:noProof/>
          <w:sz w:val="24"/>
        </w:rPr>
        <w:t>и ресурси, които са съобразени с екологичните граници на нашата планета. С оборот на стойност от 2,3 трилиона евро и 8,2 % от работната ръка в ЕС биоикономиката е ключов елемент на икономиката на ЕС.</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В рамките на актуализираната стратегия за биоикономиката</w:t>
      </w:r>
      <w:r>
        <w:rPr>
          <w:rFonts w:ascii="Times New Roman" w:hAnsi="Times New Roman"/>
          <w:noProof/>
          <w:sz w:val="24"/>
        </w:rPr>
        <w:t xml:space="preserve"> ще се осъществят 14 действия, които ще проправят пътя към изграждането на иновативно, ефективно използващо ресурсите и по-конкурентоспособно общество, което съвместява продоволствената сигурност с устойчивото използване на биотичните възобновяеми ресурси,</w:t>
      </w:r>
      <w:r>
        <w:rPr>
          <w:rFonts w:ascii="Times New Roman" w:hAnsi="Times New Roman"/>
          <w:noProof/>
          <w:sz w:val="24"/>
        </w:rPr>
        <w:t xml:space="preserve"> като същевременно гарантира опазването на околната среда. Благодарение на стратегията ще се укрепят секторите, в основата на които стоят биологичните ресурси, и ще бъдат разработени нови технологии за придаване на стойност на биологичните отпадъци, ще се </w:t>
      </w:r>
      <w:r>
        <w:rPr>
          <w:rFonts w:ascii="Times New Roman" w:hAnsi="Times New Roman"/>
          <w:noProof/>
          <w:sz w:val="24"/>
        </w:rPr>
        <w:t>предоставят ползи на общностите в селските райони и ще се гарантира, че биоикономиката функционира в рамките на екологичните граници.</w:t>
      </w:r>
    </w:p>
    <w:p w:rsidR="00467251" w:rsidRDefault="00467251">
      <w:pPr>
        <w:spacing w:after="120" w:line="240" w:lineRule="auto"/>
        <w:ind w:right="-60"/>
        <w:rPr>
          <w:rFonts w:ascii="Times New Roman" w:hAnsi="Times New Roman" w:cs="Times New Roman"/>
          <w:b/>
          <w:i/>
          <w:noProof/>
          <w:sz w:val="24"/>
          <w:szCs w:val="24"/>
        </w:rPr>
      </w:pPr>
    </w:p>
    <w:p w:rsidR="00467251" w:rsidRDefault="00E55EA0">
      <w:pPr>
        <w:spacing w:after="120" w:line="240" w:lineRule="auto"/>
        <w:ind w:right="-60"/>
        <w:rPr>
          <w:rFonts w:ascii="Times New Roman" w:hAnsi="Times New Roman" w:cs="Times New Roman"/>
          <w:b/>
          <w:i/>
          <w:noProof/>
          <w:sz w:val="24"/>
          <w:szCs w:val="24"/>
        </w:rPr>
      </w:pPr>
      <w:r>
        <w:rPr>
          <w:rFonts w:ascii="Times New Roman" w:hAnsi="Times New Roman"/>
          <w:b/>
          <w:i/>
          <w:noProof/>
          <w:sz w:val="24"/>
        </w:rPr>
        <w:t>Политика на сближаване на ЕС</w:t>
      </w:r>
    </w:p>
    <w:p w:rsidR="00467251" w:rsidRDefault="00E55EA0">
      <w:pPr>
        <w:pStyle w:val="Briefingtext"/>
        <w:spacing w:after="120"/>
        <w:ind w:right="-150"/>
        <w:contextualSpacing/>
        <w:rPr>
          <w:rFonts w:ascii="Times New Roman" w:hAnsi="Times New Roman" w:cs="Times New Roman"/>
          <w:noProof/>
          <w:sz w:val="24"/>
        </w:rPr>
      </w:pPr>
      <w:r>
        <w:rPr>
          <w:rFonts w:ascii="Times New Roman" w:hAnsi="Times New Roman"/>
          <w:noProof/>
          <w:sz w:val="24"/>
        </w:rPr>
        <w:t xml:space="preserve">Политиката на сближаване е основната инвестиционна политика на ЕС, чиято основна задача е </w:t>
      </w:r>
      <w:r>
        <w:rPr>
          <w:rFonts w:ascii="Times New Roman" w:hAnsi="Times New Roman"/>
          <w:noProof/>
          <w:sz w:val="24"/>
        </w:rPr>
        <w:t>постигането на икономическо, социално и териториално сближаване чрез намаляване на различията в степените на развитие на различните региони. Това е една от най-трансверсалните и междусекторни политики, която допринася за постигането на повечето, ако не и н</w:t>
      </w:r>
      <w:r>
        <w:rPr>
          <w:rFonts w:ascii="Times New Roman" w:hAnsi="Times New Roman"/>
          <w:noProof/>
          <w:sz w:val="24"/>
        </w:rPr>
        <w:t>а всички 17 цели за устойчиво развитие.</w:t>
      </w:r>
    </w:p>
    <w:p w:rsidR="00467251" w:rsidRDefault="00467251">
      <w:pPr>
        <w:pStyle w:val="Briefingtext"/>
        <w:spacing w:after="120"/>
        <w:ind w:left="-142" w:right="-150"/>
        <w:contextualSpacing/>
        <w:rPr>
          <w:rFonts w:ascii="Times New Roman" w:hAnsi="Times New Roman" w:cs="Times New Roman"/>
          <w:noProof/>
          <w:sz w:val="24"/>
        </w:rPr>
      </w:pPr>
    </w:p>
    <w:p w:rsidR="00467251" w:rsidRDefault="00E55EA0">
      <w:pPr>
        <w:pStyle w:val="Briefingtext"/>
        <w:spacing w:after="120"/>
        <w:ind w:right="-150"/>
        <w:contextualSpacing/>
        <w:rPr>
          <w:rFonts w:ascii="Times New Roman" w:hAnsi="Times New Roman" w:cs="Times New Roman"/>
          <w:noProof/>
          <w:sz w:val="24"/>
        </w:rPr>
      </w:pPr>
      <w:r>
        <w:rPr>
          <w:rFonts w:ascii="Times New Roman" w:hAnsi="Times New Roman"/>
          <w:noProof/>
          <w:sz w:val="24"/>
        </w:rPr>
        <w:t>Освен това на всички етапи от изпълнението на политиката са включени основни хоризонтални принципи и цели, като например устойчивото развитие, премахването на неравенствата, насърчаването на равенството между мъжете</w:t>
      </w:r>
      <w:r>
        <w:rPr>
          <w:rFonts w:ascii="Times New Roman" w:hAnsi="Times New Roman"/>
          <w:noProof/>
          <w:sz w:val="24"/>
        </w:rPr>
        <w:t xml:space="preserve"> и жените, отчитането на социалните аспекти на пола, както и борбата с дискриминацията. Приоритетът, който се отдава на принципа на партньорство, гарантира участието и ангажираността на заинтересованите страни на национално и поднационално равнище за пости</w:t>
      </w:r>
      <w:r>
        <w:rPr>
          <w:rFonts w:ascii="Times New Roman" w:hAnsi="Times New Roman"/>
          <w:noProof/>
          <w:sz w:val="24"/>
        </w:rPr>
        <w:t xml:space="preserve">гане на приоритетите на ЕС чрез съвместно финансирани проекти. </w:t>
      </w:r>
    </w:p>
    <w:p w:rsidR="00467251" w:rsidRDefault="00467251">
      <w:pPr>
        <w:pStyle w:val="Briefingtext"/>
        <w:spacing w:after="120"/>
        <w:ind w:left="-142" w:right="-150"/>
        <w:contextualSpacing/>
        <w:rPr>
          <w:rFonts w:ascii="Times New Roman" w:hAnsi="Times New Roman" w:cs="Times New Roman"/>
          <w:noProof/>
          <w:sz w:val="24"/>
        </w:rPr>
      </w:pPr>
    </w:p>
    <w:p w:rsidR="00467251" w:rsidRDefault="00E55EA0">
      <w:pPr>
        <w:spacing w:after="120" w:line="240" w:lineRule="auto"/>
        <w:rPr>
          <w:rFonts w:ascii="Times New Roman" w:eastAsiaTheme="majorEastAsia" w:hAnsi="Times New Roman" w:cs="Times New Roman"/>
          <w:b/>
          <w:i/>
          <w:iCs/>
          <w:noProof/>
          <w:sz w:val="24"/>
          <w:szCs w:val="24"/>
        </w:rPr>
      </w:pPr>
      <w:r>
        <w:rPr>
          <w:rFonts w:ascii="Times New Roman" w:hAnsi="Times New Roman"/>
          <w:b/>
          <w:i/>
          <w:noProof/>
          <w:sz w:val="24"/>
        </w:rPr>
        <w:t>Европейско пространство за образование</w:t>
      </w:r>
    </w:p>
    <w:p w:rsidR="00467251" w:rsidRDefault="00E55EA0">
      <w:pPr>
        <w:pStyle w:val="Default"/>
        <w:spacing w:after="120"/>
        <w:jc w:val="both"/>
        <w:rPr>
          <w:i/>
          <w:iCs/>
          <w:noProof/>
        </w:rPr>
      </w:pPr>
      <w:r>
        <w:rPr>
          <w:noProof/>
        </w:rPr>
        <w:t xml:space="preserve">ЕС се стреми да създаде до 2025 г. европейско пространство за образование, където </w:t>
      </w:r>
      <w:r>
        <w:rPr>
          <w:i/>
          <w:noProof/>
        </w:rPr>
        <w:t>границите не възпрепятстват обучението, образованието и научната работ</w:t>
      </w:r>
      <w:r>
        <w:rPr>
          <w:i/>
          <w:noProof/>
        </w:rPr>
        <w:t>а. Континент, в който престоят в друга държава членка с цел обучение, учене или работа ще бъде обичайна практика, а владеенето на два други езика освен майчиния ще се е превърнало в правило. Континент, в който хората имат силно чувство за европейската си и</w:t>
      </w:r>
      <w:r>
        <w:rPr>
          <w:i/>
          <w:noProof/>
        </w:rPr>
        <w:t xml:space="preserve">дентичност, за европейското културно наследство и неговото многообразие. </w:t>
      </w:r>
    </w:p>
    <w:p w:rsidR="00467251" w:rsidRDefault="00E55EA0">
      <w:pPr>
        <w:pStyle w:val="Briefingtext"/>
        <w:spacing w:after="120"/>
        <w:ind w:right="-150"/>
        <w:contextualSpacing/>
        <w:rPr>
          <w:rFonts w:ascii="Times New Roman" w:hAnsi="Times New Roman" w:cs="Times New Roman"/>
          <w:noProof/>
          <w:sz w:val="24"/>
        </w:rPr>
      </w:pPr>
      <w:r>
        <w:rPr>
          <w:rFonts w:ascii="Times New Roman" w:hAnsi="Times New Roman"/>
          <w:noProof/>
          <w:sz w:val="24"/>
        </w:rPr>
        <w:t>В съответствие с първия принцип на европейския стълб на социалните права целта е всички да имат достъп до новаторско и приобщаващо учене и учене през целия живот. Първите конкретни д</w:t>
      </w:r>
      <w:r>
        <w:rPr>
          <w:rFonts w:ascii="Times New Roman" w:hAnsi="Times New Roman"/>
          <w:noProof/>
          <w:sz w:val="24"/>
        </w:rPr>
        <w:t>ействия включват развитието на европейските университети, автоматичното признаване във всички държави членки на квалификациите, придобити в чужбина в горните класове на средното образование и във висшето образование, както и периодите на обучение в чужбина</w:t>
      </w:r>
      <w:r>
        <w:rPr>
          <w:rFonts w:ascii="Times New Roman" w:hAnsi="Times New Roman"/>
          <w:noProof/>
          <w:sz w:val="24"/>
        </w:rPr>
        <w:t>, подобряването на езиковото обучение, насърчаването на качественото образование и грижи в ранна детска възраст, подпомагането на придобиването на ключови компетентности и укрепването на цифровото обучение.</w:t>
      </w:r>
    </w:p>
    <w:p w:rsidR="00467251" w:rsidRDefault="00467251">
      <w:pPr>
        <w:spacing w:after="120" w:line="240" w:lineRule="auto"/>
        <w:rPr>
          <w:rFonts w:ascii="Times New Roman" w:hAnsi="Times New Roman" w:cs="Times New Roman"/>
          <w:b/>
          <w:i/>
          <w:noProof/>
          <w:sz w:val="24"/>
          <w:szCs w:val="24"/>
        </w:rPr>
      </w:pPr>
    </w:p>
    <w:p w:rsidR="00467251" w:rsidRDefault="00E55EA0">
      <w:pPr>
        <w:spacing w:after="120" w:line="240" w:lineRule="auto"/>
        <w:rPr>
          <w:rFonts w:ascii="Times New Roman" w:hAnsi="Times New Roman" w:cs="Times New Roman"/>
          <w:noProof/>
          <w:sz w:val="24"/>
          <w:szCs w:val="24"/>
        </w:rPr>
      </w:pPr>
      <w:r>
        <w:rPr>
          <w:rFonts w:ascii="Times New Roman" w:hAnsi="Times New Roman"/>
          <w:b/>
          <w:i/>
          <w:noProof/>
          <w:sz w:val="24"/>
        </w:rPr>
        <w:t>Платформа на ЕС по въпросите на загубата и разхи</w:t>
      </w:r>
      <w:r>
        <w:rPr>
          <w:rFonts w:ascii="Times New Roman" w:hAnsi="Times New Roman"/>
          <w:b/>
          <w:i/>
          <w:noProof/>
          <w:sz w:val="24"/>
        </w:rPr>
        <w:t>щението на храни</w:t>
      </w:r>
    </w:p>
    <w:p w:rsidR="00467251" w:rsidRDefault="00E55EA0">
      <w:pPr>
        <w:pStyle w:val="NormalWeb"/>
        <w:shd w:val="clear" w:color="auto" w:fill="FFFFFF"/>
        <w:spacing w:after="120"/>
        <w:jc w:val="both"/>
        <w:rPr>
          <w:noProof/>
        </w:rPr>
      </w:pPr>
      <w:r>
        <w:rPr>
          <w:noProof/>
        </w:rPr>
        <w:t xml:space="preserve">Според изчисленията </w:t>
      </w:r>
      <w:r>
        <w:rPr>
          <w:rStyle w:val="Strong"/>
          <w:b w:val="0"/>
          <w:noProof/>
        </w:rPr>
        <w:t>общо 20 % от храната в ЕС се губи или се разхищава,</w:t>
      </w:r>
      <w:r>
        <w:rPr>
          <w:noProof/>
        </w:rPr>
        <w:t xml:space="preserve"> докато </w:t>
      </w:r>
      <w:r>
        <w:rPr>
          <w:rStyle w:val="Strong"/>
          <w:b w:val="0"/>
          <w:noProof/>
        </w:rPr>
        <w:t>43 милиона души не могат да си позволят качествена храна през половината от времето</w:t>
      </w:r>
      <w:r>
        <w:rPr>
          <w:b/>
          <w:noProof/>
        </w:rPr>
        <w:t xml:space="preserve">. </w:t>
      </w:r>
      <w:r>
        <w:rPr>
          <w:rStyle w:val="Strong"/>
          <w:b w:val="0"/>
          <w:noProof/>
        </w:rPr>
        <w:t>Домакинствата генерират повече от половината от общото количество на хранит</w:t>
      </w:r>
      <w:r>
        <w:rPr>
          <w:rStyle w:val="Strong"/>
          <w:b w:val="0"/>
          <w:noProof/>
        </w:rPr>
        <w:t>елните отпадъци в ЕС</w:t>
      </w:r>
      <w:r>
        <w:rPr>
          <w:noProof/>
        </w:rPr>
        <w:t xml:space="preserve">, като 70 % от хранителните отпадъци се дължат на домакинствата, ресторантьорството и търговията на дребно. </w:t>
      </w:r>
    </w:p>
    <w:p w:rsidR="00467251" w:rsidRDefault="00E55EA0">
      <w:pPr>
        <w:pStyle w:val="NormalWeb"/>
        <w:shd w:val="clear" w:color="auto" w:fill="FFFFFF"/>
        <w:spacing w:after="120"/>
        <w:jc w:val="both"/>
        <w:rPr>
          <w:noProof/>
        </w:rPr>
      </w:pPr>
      <w:r>
        <w:rPr>
          <w:noProof/>
        </w:rPr>
        <w:t>Няма една причина и едно решение, тъй като хранителната верига е сложна и динамична система. Преодоляването на разхищаването на</w:t>
      </w:r>
      <w:r>
        <w:rPr>
          <w:noProof/>
        </w:rPr>
        <w:t xml:space="preserve"> храни изисква </w:t>
      </w:r>
      <w:r>
        <w:rPr>
          <w:rStyle w:val="Strong"/>
          <w:b w:val="0"/>
          <w:noProof/>
        </w:rPr>
        <w:t>съвместна работа с всички основни заинтересовани лица от публичния и частния сектор</w:t>
      </w:r>
      <w:r>
        <w:rPr>
          <w:noProof/>
        </w:rPr>
        <w:t xml:space="preserve">, с цел по-добро набелязване, измерване, разбиране и откриване на решения за справяне с разхищението на храни. </w:t>
      </w:r>
    </w:p>
    <w:p w:rsidR="00467251" w:rsidRDefault="00E55EA0">
      <w:pPr>
        <w:pStyle w:val="NormalWeb"/>
        <w:shd w:val="clear" w:color="auto" w:fill="FFFFFF"/>
        <w:spacing w:after="120"/>
        <w:jc w:val="both"/>
        <w:rPr>
          <w:noProof/>
        </w:rPr>
      </w:pPr>
      <w:r>
        <w:rPr>
          <w:noProof/>
        </w:rPr>
        <w:t>Създадената през 2016 г. Платформа на ЕС по въ</w:t>
      </w:r>
      <w:r>
        <w:rPr>
          <w:noProof/>
        </w:rPr>
        <w:t>просите на загубата и разхищението на храни обединява международни организации, държавите членки и заинтересованите страни, за да набележи добри практики и да допринесе за напредък в усилията за предотвратяване на разхищението на храни. С подкрепата на пла</w:t>
      </w:r>
      <w:r>
        <w:rPr>
          <w:noProof/>
        </w:rPr>
        <w:t xml:space="preserve">тформата Комисията прие насоки на ЕС за улесняване на даряването на храни (2017 г.) и осъществява 3-годишен пилотен проект на ЕС, с който да се насърчи прилагането на тези насоки по места. През 2018 г. ЕС прие насоки за това как храни, които са безопасни, </w:t>
      </w:r>
      <w:r>
        <w:rPr>
          <w:noProof/>
        </w:rPr>
        <w:t>но вече негодни да бъдат продавани за консумация от човека, да се използват като суровина за храни за животните. Освен това Комисията активно проучва начини за по-добро използване във веригата на предлагане на храни на датите за „годен до“ и „най-добър до“</w:t>
      </w:r>
      <w:r>
        <w:rPr>
          <w:noProof/>
        </w:rPr>
        <w:t>, както и разбирането на тези дати от потребителите, за да се намали свързаното с тях разхищаване на храни.</w:t>
      </w:r>
    </w:p>
    <w:p w:rsidR="00467251" w:rsidRDefault="00467251">
      <w:pPr>
        <w:pStyle w:val="NormalWeb"/>
        <w:shd w:val="clear" w:color="auto" w:fill="FFFFFF"/>
        <w:spacing w:after="120"/>
        <w:jc w:val="both"/>
        <w:rPr>
          <w:noProof/>
        </w:rPr>
      </w:pPr>
    </w:p>
    <w:p w:rsidR="00467251" w:rsidRDefault="00E55EA0">
      <w:pPr>
        <w:spacing w:after="120" w:line="240" w:lineRule="auto"/>
        <w:ind w:left="-284" w:firstLine="284"/>
        <w:rPr>
          <w:rFonts w:ascii="Times New Roman" w:eastAsiaTheme="majorEastAsia" w:hAnsi="Times New Roman" w:cs="Times New Roman"/>
          <w:b/>
          <w:i/>
          <w:iCs/>
          <w:noProof/>
          <w:sz w:val="24"/>
          <w:szCs w:val="24"/>
        </w:rPr>
      </w:pPr>
      <w:r>
        <w:rPr>
          <w:rFonts w:ascii="Times New Roman" w:eastAsiaTheme="majorEastAsia" w:hAnsi="Times New Roman"/>
          <w:b/>
          <w:i/>
          <w:noProof/>
          <w:sz w:val="24"/>
        </w:rPr>
        <w:t>Европейски консенсус за развитие</w:t>
      </w:r>
    </w:p>
    <w:p w:rsidR="00467251" w:rsidRDefault="00E55EA0">
      <w:pPr>
        <w:spacing w:after="120" w:line="240" w:lineRule="auto"/>
        <w:jc w:val="both"/>
        <w:rPr>
          <w:rFonts w:ascii="Times New Roman" w:eastAsiaTheme="majorEastAsia" w:hAnsi="Times New Roman" w:cs="Times New Roman"/>
          <w:iCs/>
          <w:noProof/>
          <w:sz w:val="24"/>
          <w:szCs w:val="24"/>
        </w:rPr>
      </w:pPr>
      <w:r>
        <w:rPr>
          <w:rFonts w:ascii="Times New Roman" w:eastAsiaTheme="majorEastAsia" w:hAnsi="Times New Roman"/>
          <w:noProof/>
          <w:sz w:val="24"/>
        </w:rPr>
        <w:t>През 2017 г. ЕС и неговите държави членки приеха Европейския консенсус за развитие. Той представлява обща визия за</w:t>
      </w:r>
      <w:r>
        <w:rPr>
          <w:rFonts w:ascii="Times New Roman" w:eastAsiaTheme="majorEastAsia" w:hAnsi="Times New Roman"/>
          <w:noProof/>
          <w:sz w:val="24"/>
        </w:rPr>
        <w:t xml:space="preserve"> политиката на развитие. Консенсусът отразява новата рамка за външна дейност и актуализира визията за политиката за развитие в съответствие с Програмата на ООН до 2030 г. и ЦУР. Освен това той насърчава координираното изпълнение на Парижкото споразумение з</w:t>
      </w:r>
      <w:r>
        <w:rPr>
          <w:rFonts w:ascii="Times New Roman" w:eastAsiaTheme="majorEastAsia" w:hAnsi="Times New Roman"/>
          <w:noProof/>
          <w:sz w:val="24"/>
        </w:rPr>
        <w:t>а действия в областта на климата и Програмата за достойни условия на труд.</w:t>
      </w:r>
    </w:p>
    <w:p w:rsidR="00467251" w:rsidRDefault="00E55EA0">
      <w:pPr>
        <w:spacing w:after="120" w:line="240" w:lineRule="auto"/>
        <w:jc w:val="both"/>
        <w:rPr>
          <w:rFonts w:ascii="Times New Roman" w:eastAsiaTheme="majorEastAsia" w:hAnsi="Times New Roman" w:cs="Times New Roman"/>
          <w:iCs/>
          <w:noProof/>
          <w:sz w:val="24"/>
          <w:szCs w:val="24"/>
        </w:rPr>
      </w:pPr>
      <w:r>
        <w:rPr>
          <w:rFonts w:ascii="Times New Roman" w:eastAsiaTheme="majorEastAsia" w:hAnsi="Times New Roman"/>
          <w:noProof/>
          <w:sz w:val="24"/>
        </w:rPr>
        <w:t>Европейският консенсус за развитие е построен около петте ключови приоритета на Програмата на ООН за устойчиво развитие до 2030 г.: хората, планетата, благоденствието, мира и партнь</w:t>
      </w:r>
      <w:r>
        <w:rPr>
          <w:rFonts w:ascii="Times New Roman" w:eastAsiaTheme="majorEastAsia" w:hAnsi="Times New Roman"/>
          <w:noProof/>
          <w:sz w:val="24"/>
        </w:rPr>
        <w:t>орството. Основната цел продължава да бъде изкореняването на бедността. Той обхваща икономическото, социалното и екологичното измерение на устойчивото развитие. Консенсусът укрепва ключовата връзка между външните политики, като например в областта на хуман</w:t>
      </w:r>
      <w:r>
        <w:rPr>
          <w:rFonts w:ascii="Times New Roman" w:eastAsiaTheme="majorEastAsia" w:hAnsi="Times New Roman"/>
          <w:noProof/>
          <w:sz w:val="24"/>
        </w:rPr>
        <w:t>итарната помощ, развитието и търговията, и политиките за поддържане на мира и сигурността и във връзка с миграцията, околната среда и изменението на климата.</w:t>
      </w:r>
    </w:p>
    <w:p w:rsidR="00467251" w:rsidRDefault="00467251">
      <w:pPr>
        <w:spacing w:after="120" w:line="240" w:lineRule="auto"/>
        <w:jc w:val="both"/>
        <w:rPr>
          <w:rFonts w:ascii="Times New Roman" w:hAnsi="Times New Roman" w:cs="Times New Roman"/>
          <w:b/>
          <w:i/>
          <w:noProof/>
          <w:sz w:val="24"/>
          <w:szCs w:val="24"/>
        </w:rPr>
      </w:pPr>
    </w:p>
    <w:p w:rsidR="00467251" w:rsidRDefault="00E55EA0">
      <w:pPr>
        <w:spacing w:after="120" w:line="240" w:lineRule="auto"/>
        <w:jc w:val="both"/>
        <w:rPr>
          <w:rFonts w:ascii="Times New Roman" w:eastAsiaTheme="majorEastAsia" w:hAnsi="Times New Roman" w:cs="Times New Roman"/>
          <w:iCs/>
          <w:noProof/>
          <w:sz w:val="24"/>
          <w:szCs w:val="24"/>
        </w:rPr>
      </w:pPr>
      <w:r>
        <w:rPr>
          <w:rFonts w:ascii="Times New Roman" w:hAnsi="Times New Roman"/>
          <w:b/>
          <w:i/>
          <w:noProof/>
          <w:sz w:val="24"/>
        </w:rPr>
        <w:t>Към нов алианс между Африка и Европа</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ЕС е първият партньор на Африка в областта на търговията, инвестициите и развитието. През 2017 г. 36 % от търговията на Африка със стоки се осъществяваше с ЕС, през 2016 г. инвестициите на ЕС представляваха 40 % от преките чуждестранни инвестиции в Африка </w:t>
      </w:r>
      <w:r>
        <w:rPr>
          <w:rFonts w:ascii="Times New Roman" w:hAnsi="Times New Roman"/>
          <w:noProof/>
          <w:sz w:val="24"/>
        </w:rPr>
        <w:t xml:space="preserve">на стойност от 291 милиарда евро, като само в течение на 2016 г. Африка получи от ЕС и неговите държави членки 55 % (в размер на 23 милиарда евро) от предоставената на континента официална помощ за развитие. </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С цел да издигне партньорството на следващото с</w:t>
      </w:r>
      <w:r>
        <w:rPr>
          <w:rFonts w:ascii="Times New Roman" w:hAnsi="Times New Roman"/>
          <w:noProof/>
          <w:sz w:val="24"/>
        </w:rPr>
        <w:t>тъпало, през септември 2018 г. Комисията стартира нов </w:t>
      </w:r>
      <w:hyperlink r:id="rId43">
        <w:r>
          <w:rPr>
            <w:rFonts w:ascii="Times New Roman" w:hAnsi="Times New Roman"/>
            <w:noProof/>
            <w:sz w:val="24"/>
          </w:rPr>
          <w:t>„Алианс между Африка и Европа за устойчиви инвестиции и работни места“</w:t>
        </w:r>
      </w:hyperlink>
      <w:r>
        <w:rPr>
          <w:rFonts w:ascii="Times New Roman" w:hAnsi="Times New Roman"/>
          <w:noProof/>
          <w:sz w:val="24"/>
        </w:rPr>
        <w:t>.</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Али</w:t>
      </w:r>
      <w:r>
        <w:rPr>
          <w:rFonts w:ascii="Times New Roman" w:hAnsi="Times New Roman"/>
          <w:noProof/>
          <w:sz w:val="24"/>
        </w:rPr>
        <w:t xml:space="preserve">ансът определя основните направления на действие на ЕС и неговите африкански партньори за привличане на частни инвеститори, подобряване на бизнес средата, подпомагане на образованието и уменията и насърчаване на търговията. </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Алиансът допълва многогодишното</w:t>
      </w:r>
      <w:r>
        <w:rPr>
          <w:rFonts w:ascii="Times New Roman" w:hAnsi="Times New Roman"/>
          <w:noProof/>
          <w:sz w:val="24"/>
        </w:rPr>
        <w:t xml:space="preserve"> политическо партньорство, като предлага промяна на парадигмата от подхода донор — получател към съюз на равнопоставени партньори. Той се основава на съвместния ангажимент за увеличаване на инвестициите, създаването на работни места и търговията, поет по в</w:t>
      </w:r>
      <w:r>
        <w:rPr>
          <w:rFonts w:ascii="Times New Roman" w:hAnsi="Times New Roman"/>
          <w:noProof/>
          <w:sz w:val="24"/>
        </w:rPr>
        <w:t xml:space="preserve">реме на 5-ата среща на върха между Африканския съюз и Европейския съюз през 2017 г. </w:t>
      </w:r>
    </w:p>
    <w:p w:rsidR="00467251" w:rsidRDefault="00E55EA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i/>
          <w:noProof/>
          <w:sz w:val="24"/>
        </w:rPr>
        <w:t>Африка се нуждае от истинско и честно партньорство. Това партньорство е също толкова необходимо и за нас, европейците.</w:t>
      </w:r>
    </w:p>
    <w:p w:rsidR="00467251" w:rsidRDefault="00E55EA0">
      <w:pPr>
        <w:spacing w:after="120" w:line="240" w:lineRule="auto"/>
        <w:rPr>
          <w:rFonts w:ascii="Times New Roman" w:hAnsi="Times New Roman" w:cs="Times New Roman"/>
          <w:noProof/>
          <w:sz w:val="24"/>
          <w:szCs w:val="24"/>
        </w:rPr>
      </w:pPr>
      <w:r>
        <w:rPr>
          <w:rFonts w:ascii="Times New Roman" w:hAnsi="Times New Roman"/>
          <w:noProof/>
          <w:sz w:val="24"/>
        </w:rPr>
        <w:t xml:space="preserve">Жан-Клод Юнкер </w:t>
      </w:r>
      <w:r>
        <w:rPr>
          <w:rFonts w:ascii="Times New Roman" w:hAnsi="Times New Roman" w:cs="Times New Roman"/>
          <w:noProof/>
          <w:sz w:val="24"/>
          <w:szCs w:val="24"/>
        </w:rPr>
        <w:br/>
      </w:r>
      <w:r>
        <w:rPr>
          <w:rFonts w:ascii="Times New Roman" w:hAnsi="Times New Roman"/>
          <w:noProof/>
          <w:sz w:val="24"/>
        </w:rPr>
        <w:t>Председател на Европейската комисия</w:t>
      </w:r>
      <w:r>
        <w:rPr>
          <w:rFonts w:ascii="Times New Roman" w:hAnsi="Times New Roman" w:cs="Times New Roman"/>
          <w:noProof/>
          <w:sz w:val="24"/>
          <w:szCs w:val="24"/>
        </w:rPr>
        <w:br/>
      </w:r>
      <w:r>
        <w:rPr>
          <w:rFonts w:ascii="Times New Roman" w:hAnsi="Times New Roman"/>
          <w:noProof/>
          <w:sz w:val="24"/>
        </w:rPr>
        <w:t>Реч за състоянието на Съюза, 2018 г.</w:t>
      </w:r>
    </w:p>
    <w:p w:rsidR="00467251" w:rsidRDefault="00467251">
      <w:pPr>
        <w:spacing w:after="120" w:line="240" w:lineRule="auto"/>
        <w:ind w:right="-60"/>
        <w:rPr>
          <w:rFonts w:ascii="Times New Roman" w:hAnsi="Times New Roman" w:cs="Times New Roman"/>
          <w:b/>
          <w:i/>
          <w:noProof/>
          <w:sz w:val="24"/>
          <w:szCs w:val="24"/>
        </w:rPr>
      </w:pPr>
    </w:p>
    <w:p w:rsidR="00467251" w:rsidRDefault="00E55EA0">
      <w:pPr>
        <w:spacing w:after="120" w:line="240" w:lineRule="auto"/>
        <w:ind w:right="-60"/>
        <w:rPr>
          <w:rFonts w:ascii="Times New Roman" w:hAnsi="Times New Roman" w:cs="Times New Roman"/>
          <w:b/>
          <w:i/>
          <w:noProof/>
          <w:sz w:val="24"/>
          <w:szCs w:val="24"/>
        </w:rPr>
      </w:pPr>
      <w:r>
        <w:rPr>
          <w:rFonts w:ascii="Times New Roman" w:hAnsi="Times New Roman"/>
          <w:b/>
          <w:i/>
          <w:noProof/>
          <w:sz w:val="24"/>
        </w:rPr>
        <w:t>Глобална стратегия за външната политика и политиката на сигурност на Европейския съюз</w:t>
      </w:r>
    </w:p>
    <w:p w:rsidR="00467251" w:rsidRDefault="00E55EA0">
      <w:pPr>
        <w:spacing w:after="120" w:line="240" w:lineRule="auto"/>
        <w:ind w:right="-254"/>
        <w:jc w:val="both"/>
        <w:rPr>
          <w:rFonts w:ascii="Times New Roman" w:hAnsi="Times New Roman" w:cs="Times New Roman"/>
          <w:noProof/>
          <w:sz w:val="24"/>
          <w:szCs w:val="24"/>
        </w:rPr>
      </w:pPr>
      <w:r>
        <w:rPr>
          <w:rFonts w:ascii="Times New Roman" w:hAnsi="Times New Roman"/>
          <w:noProof/>
          <w:sz w:val="24"/>
        </w:rPr>
        <w:t>В Глобалната стратегия за външната политика и политиката на сигурност е представена визията за ролята на ЕС на световната сцена. ЦУ</w:t>
      </w:r>
      <w:r>
        <w:rPr>
          <w:rFonts w:ascii="Times New Roman" w:hAnsi="Times New Roman"/>
          <w:noProof/>
          <w:sz w:val="24"/>
        </w:rPr>
        <w:t xml:space="preserve">Р са централно измерение в цялата дейност по изпълнението на Стратегията. </w:t>
      </w:r>
    </w:p>
    <w:p w:rsidR="00467251" w:rsidRDefault="00E55EA0">
      <w:pPr>
        <w:spacing w:after="120" w:line="240" w:lineRule="auto"/>
        <w:ind w:right="-254"/>
        <w:jc w:val="both"/>
        <w:rPr>
          <w:rFonts w:ascii="Times New Roman" w:hAnsi="Times New Roman" w:cs="Times New Roman"/>
          <w:noProof/>
          <w:sz w:val="24"/>
          <w:szCs w:val="24"/>
        </w:rPr>
      </w:pPr>
      <w:r>
        <w:rPr>
          <w:rFonts w:ascii="Times New Roman" w:hAnsi="Times New Roman"/>
          <w:noProof/>
          <w:sz w:val="24"/>
        </w:rPr>
        <w:t>ЕС помага за изграждането на мирни и приобщаващи общества. При сегашното свиване на гражданското и демократичното пространство ЕС потвърждава отново безусловната си подкрепа за демо</w:t>
      </w:r>
      <w:r>
        <w:rPr>
          <w:rFonts w:ascii="Times New Roman" w:hAnsi="Times New Roman"/>
          <w:noProof/>
          <w:sz w:val="24"/>
        </w:rPr>
        <w:t xml:space="preserve">крацията, правата на човека и доброто управление в световен мащаб. </w:t>
      </w:r>
    </w:p>
    <w:p w:rsidR="00467251" w:rsidRDefault="00E55EA0">
      <w:pPr>
        <w:spacing w:after="120" w:line="240" w:lineRule="auto"/>
        <w:ind w:right="-254"/>
        <w:jc w:val="both"/>
        <w:rPr>
          <w:rFonts w:ascii="Times New Roman" w:hAnsi="Times New Roman" w:cs="Times New Roman"/>
          <w:noProof/>
          <w:sz w:val="24"/>
          <w:szCs w:val="24"/>
        </w:rPr>
      </w:pPr>
      <w:r>
        <w:rPr>
          <w:rFonts w:ascii="Times New Roman" w:hAnsi="Times New Roman"/>
          <w:noProof/>
          <w:sz w:val="24"/>
        </w:rPr>
        <w:t>Този ангажимент се изразява под различни форми, в това число политически диалог и диалог по политиките и финансова подкрепа по линия на Европейския инструмент за демокрация и права на чове</w:t>
      </w:r>
      <w:r>
        <w:rPr>
          <w:rFonts w:ascii="Times New Roman" w:hAnsi="Times New Roman"/>
          <w:noProof/>
          <w:sz w:val="24"/>
        </w:rPr>
        <w:t>ка. Планът за действие на ЕС относно правата на човека и демокрацията за периода 2015—2019 г. осигурява рамка за политиките с трети държави. През годините Съюзът установи диалог по правата на човека с все по-голям брой трети държави, за да се насърчи сътру</w:t>
      </w:r>
      <w:r>
        <w:rPr>
          <w:rFonts w:ascii="Times New Roman" w:hAnsi="Times New Roman"/>
          <w:noProof/>
          <w:sz w:val="24"/>
        </w:rPr>
        <w:t>дничеството по правата на човка и да се подобри положението във връзка с правата на човека в трети държави, в това число достъпът до правосъдие.</w:t>
      </w:r>
    </w:p>
    <w:p w:rsidR="00467251" w:rsidRDefault="00E55EA0">
      <w:pPr>
        <w:spacing w:after="120" w:line="240" w:lineRule="auto"/>
        <w:ind w:right="-255"/>
        <w:jc w:val="both"/>
        <w:rPr>
          <w:rFonts w:ascii="Times New Roman" w:hAnsi="Times New Roman" w:cs="Times New Roman"/>
          <w:noProof/>
          <w:sz w:val="24"/>
          <w:szCs w:val="24"/>
        </w:rPr>
      </w:pPr>
      <w:r>
        <w:rPr>
          <w:rFonts w:ascii="Times New Roman" w:hAnsi="Times New Roman"/>
          <w:noProof/>
          <w:sz w:val="24"/>
        </w:rPr>
        <w:t>Освен това ЕС подкрепя програми, насочени към укрепването на прозрачни и отговорни институции, включително парл</w:t>
      </w:r>
      <w:r>
        <w:rPr>
          <w:rFonts w:ascii="Times New Roman" w:hAnsi="Times New Roman"/>
          <w:noProof/>
          <w:sz w:val="24"/>
        </w:rPr>
        <w:t>аментите, съдебната власт и правоприлагащите органи, както и национални институции по правата на човека. ЕС работи и за повишаване на устойчивостта в страните партньори като средство да се преодолеят ситуации на нестабилност и подкрепя инициативи за предот</w:t>
      </w:r>
      <w:r>
        <w:rPr>
          <w:rFonts w:ascii="Times New Roman" w:hAnsi="Times New Roman"/>
          <w:noProof/>
          <w:sz w:val="24"/>
        </w:rPr>
        <w:t>вратяване на конфликти и за изграждане на мира, в това число чрез подобряване на управлението от страна на партньорите на сектора за сигурност, за да се допринесе за предотвратяването на кризи и укрепването на сигурността на хората.</w:t>
      </w:r>
    </w:p>
    <w:p w:rsidR="00467251" w:rsidRDefault="00467251">
      <w:pPr>
        <w:spacing w:after="120" w:line="240" w:lineRule="auto"/>
        <w:ind w:left="-284" w:right="-255"/>
        <w:jc w:val="both"/>
        <w:rPr>
          <w:rFonts w:ascii="Times New Roman" w:hAnsi="Times New Roman" w:cs="Times New Roman"/>
          <w:noProof/>
          <w:sz w:val="24"/>
          <w:szCs w:val="24"/>
        </w:rPr>
      </w:pPr>
    </w:p>
    <w:p w:rsidR="00467251" w:rsidRDefault="00E55EA0">
      <w:pPr>
        <w:spacing w:after="120" w:line="240" w:lineRule="auto"/>
        <w:rPr>
          <w:rFonts w:ascii="Times New Roman" w:eastAsiaTheme="majorEastAsia" w:hAnsi="Times New Roman" w:cs="Times New Roman"/>
          <w:b/>
          <w:i/>
          <w:iCs/>
          <w:noProof/>
          <w:sz w:val="24"/>
          <w:szCs w:val="24"/>
        </w:rPr>
      </w:pPr>
      <w:r>
        <w:rPr>
          <w:rFonts w:ascii="Times New Roman" w:eastAsiaTheme="majorEastAsia" w:hAnsi="Times New Roman"/>
          <w:b/>
          <w:i/>
          <w:noProof/>
          <w:sz w:val="24"/>
        </w:rPr>
        <w:t>Търговията — за всички</w:t>
      </w:r>
      <w:r>
        <w:rPr>
          <w:rFonts w:ascii="Times New Roman" w:eastAsiaTheme="majorEastAsia" w:hAnsi="Times New Roman"/>
          <w:b/>
          <w:i/>
          <w:noProof/>
          <w:sz w:val="24"/>
        </w:rPr>
        <w:t>: към една по-отговорна търговска и инвестиционна политика</w:t>
      </w:r>
    </w:p>
    <w:p w:rsidR="00467251" w:rsidRDefault="00E55EA0">
      <w:pPr>
        <w:spacing w:after="120" w:line="240" w:lineRule="auto"/>
        <w:jc w:val="both"/>
        <w:rPr>
          <w:rFonts w:ascii="Times New Roman" w:eastAsiaTheme="majorEastAsia" w:hAnsi="Times New Roman" w:cs="Times New Roman"/>
          <w:iCs/>
          <w:noProof/>
          <w:sz w:val="24"/>
          <w:szCs w:val="24"/>
        </w:rPr>
      </w:pPr>
      <w:r>
        <w:rPr>
          <w:rFonts w:ascii="Times New Roman" w:eastAsiaTheme="majorEastAsia" w:hAnsi="Times New Roman"/>
          <w:noProof/>
          <w:sz w:val="24"/>
        </w:rPr>
        <w:t xml:space="preserve">Днешната икономическа система, глобална и цифрова в своята основа, се основава на международни вериги за създаване на стойност, а стоките и услугите все по-често се предлагат отвъд националните </w:t>
      </w:r>
      <w:r>
        <w:rPr>
          <w:rFonts w:ascii="Times New Roman" w:eastAsiaTheme="majorEastAsia" w:hAnsi="Times New Roman"/>
          <w:noProof/>
          <w:sz w:val="24"/>
        </w:rPr>
        <w:t>граници.</w:t>
      </w:r>
    </w:p>
    <w:p w:rsidR="00467251" w:rsidRDefault="00E55EA0">
      <w:pPr>
        <w:spacing w:after="120" w:line="240" w:lineRule="auto"/>
        <w:jc w:val="both"/>
        <w:rPr>
          <w:rFonts w:ascii="Times New Roman" w:eastAsiaTheme="majorEastAsia" w:hAnsi="Times New Roman" w:cs="Times New Roman"/>
          <w:iCs/>
          <w:noProof/>
          <w:sz w:val="24"/>
          <w:szCs w:val="24"/>
        </w:rPr>
      </w:pPr>
      <w:r>
        <w:rPr>
          <w:rFonts w:ascii="Times New Roman" w:eastAsiaTheme="majorEastAsia" w:hAnsi="Times New Roman"/>
          <w:noProof/>
          <w:sz w:val="24"/>
        </w:rPr>
        <w:t>Комисията признава необходимостта от това търговската и инвестиционна политика на ЕС да разглежда предизвикателствата на нашето съвремие и да улеснява обмена на идеи, умения и иновации. Комисията също така признава, че една ефективна търговска пол</w:t>
      </w:r>
      <w:r>
        <w:rPr>
          <w:rFonts w:ascii="Times New Roman" w:eastAsiaTheme="majorEastAsia" w:hAnsi="Times New Roman"/>
          <w:noProof/>
          <w:sz w:val="24"/>
        </w:rPr>
        <w:t>итика следва да бъде съгласувана с устойчивото развитие и с по-общата външна политика, както и с външните цели на вътрешните политики на ЕС, така че всички те да се засилват взаимно. Комисията подчертава, че търговията следва да гарантира еднакви условия н</w:t>
      </w:r>
      <w:r>
        <w:rPr>
          <w:rFonts w:ascii="Times New Roman" w:eastAsiaTheme="majorEastAsia" w:hAnsi="Times New Roman"/>
          <w:noProof/>
          <w:sz w:val="24"/>
        </w:rPr>
        <w:t xml:space="preserve">а конкуренция, като едновременно с това насърчава спазването на основни принципи като правата на човека, достойните условия на труд, устойчивото развитие по света или високото качество на нормативната уредба и на обществените услуги у дома. </w:t>
      </w:r>
    </w:p>
    <w:p w:rsidR="00467251" w:rsidRDefault="00E55EA0">
      <w:pPr>
        <w:spacing w:after="120" w:line="240" w:lineRule="auto"/>
        <w:jc w:val="both"/>
        <w:rPr>
          <w:rFonts w:ascii="Times New Roman" w:eastAsiaTheme="majorEastAsia" w:hAnsi="Times New Roman" w:cs="Times New Roman"/>
          <w:iCs/>
          <w:noProof/>
          <w:sz w:val="24"/>
          <w:szCs w:val="24"/>
        </w:rPr>
      </w:pPr>
      <w:r>
        <w:rPr>
          <w:rFonts w:ascii="Times New Roman" w:eastAsiaTheme="majorEastAsia" w:hAnsi="Times New Roman"/>
          <w:noProof/>
          <w:sz w:val="24"/>
        </w:rPr>
        <w:t>С основаната н</w:t>
      </w:r>
      <w:r>
        <w:rPr>
          <w:rFonts w:ascii="Times New Roman" w:eastAsiaTheme="majorEastAsia" w:hAnsi="Times New Roman"/>
          <w:noProof/>
          <w:sz w:val="24"/>
        </w:rPr>
        <w:t>а ценности стратегия „Търговията — за всички: към една по-отговорна търговска и инвестиционна политика“ Комисията доказва, че търговската политика на ЕС е за всички, че търговската политика трябва да осигурява растеж, работни места и иновации, но и че тряб</w:t>
      </w:r>
      <w:r>
        <w:rPr>
          <w:rFonts w:ascii="Times New Roman" w:eastAsiaTheme="majorEastAsia" w:hAnsi="Times New Roman"/>
          <w:noProof/>
          <w:sz w:val="24"/>
        </w:rPr>
        <w:t>ва да съответства на принципите на европейския модел. Накратко, че тя трябва да е отговорна.</w:t>
      </w:r>
      <w:r>
        <w:rPr>
          <w:rFonts w:ascii="Times New Roman" w:eastAsiaTheme="majorEastAsia" w:hAnsi="Times New Roman"/>
          <w:b/>
          <w:noProof/>
          <w:sz w:val="24"/>
        </w:rPr>
        <w:t xml:space="preserve"> </w:t>
      </w:r>
    </w:p>
    <w:p w:rsidR="00467251" w:rsidRDefault="00467251">
      <w:pPr>
        <w:pStyle w:val="NoSpacing"/>
        <w:spacing w:after="120"/>
        <w:rPr>
          <w:rFonts w:ascii="Times New Roman" w:eastAsiaTheme="minorHAnsi" w:hAnsi="Times New Roman" w:cs="Times New Roman"/>
          <w:b/>
          <w:i/>
          <w:noProof/>
          <w:sz w:val="24"/>
          <w:szCs w:val="24"/>
        </w:rPr>
      </w:pPr>
    </w:p>
    <w:p w:rsidR="00467251" w:rsidRDefault="00E55EA0">
      <w:pPr>
        <w:pStyle w:val="NoSpacing"/>
        <w:spacing w:after="120"/>
        <w:rPr>
          <w:rFonts w:ascii="Times New Roman" w:eastAsiaTheme="minorHAnsi" w:hAnsi="Times New Roman" w:cs="Times New Roman"/>
          <w:b/>
          <w:i/>
          <w:noProof/>
          <w:sz w:val="24"/>
          <w:szCs w:val="24"/>
        </w:rPr>
      </w:pPr>
      <w:r>
        <w:rPr>
          <w:rFonts w:ascii="Times New Roman" w:eastAsiaTheme="minorHAnsi" w:hAnsi="Times New Roman"/>
          <w:b/>
          <w:i/>
          <w:noProof/>
          <w:sz w:val="24"/>
        </w:rPr>
        <w:t>Следващият многогодишен европейски бюджет — инструмент за постигане на устойчивост</w:t>
      </w:r>
    </w:p>
    <w:p w:rsidR="00467251" w:rsidRDefault="00E55EA0">
      <w:pPr>
        <w:pStyle w:val="Briefingtext"/>
        <w:spacing w:after="120"/>
        <w:rPr>
          <w:rFonts w:ascii="Times New Roman" w:hAnsi="Times New Roman" w:cs="Times New Roman"/>
          <w:noProof/>
          <w:sz w:val="24"/>
        </w:rPr>
      </w:pPr>
      <w:r>
        <w:rPr>
          <w:rFonts w:ascii="Times New Roman" w:hAnsi="Times New Roman"/>
          <w:noProof/>
          <w:sz w:val="24"/>
        </w:rPr>
        <w:t>Предложението на Комисията за следващия многогодишен бюджет за периода 2021—2027 г. е за бюджет, ръководен от принципите на благоденствие, солидарност, устойчивост и сигурност. Устойчивото развитие е залегнало в самата основа на предложенията. Това е хориз</w:t>
      </w:r>
      <w:r>
        <w:rPr>
          <w:rFonts w:ascii="Times New Roman" w:hAnsi="Times New Roman"/>
          <w:noProof/>
          <w:sz w:val="24"/>
        </w:rPr>
        <w:t xml:space="preserve">онтален приоритет, не само отделен бюджетен ред или програма. Устойчивостта е включена и подкрепяна в многобройни програми и разходни инструменти. Ето някои примери от предложенията на Комисията за следващия многогодишен бюджет: </w:t>
      </w:r>
    </w:p>
    <w:p w:rsidR="00467251" w:rsidRDefault="00E55EA0">
      <w:pPr>
        <w:pStyle w:val="Briefingtext"/>
        <w:numPr>
          <w:ilvl w:val="0"/>
          <w:numId w:val="15"/>
        </w:numPr>
        <w:spacing w:after="120"/>
        <w:ind w:left="357" w:hanging="357"/>
        <w:rPr>
          <w:rFonts w:ascii="Times New Roman" w:hAnsi="Times New Roman" w:cs="Times New Roman"/>
          <w:noProof/>
          <w:sz w:val="24"/>
        </w:rPr>
      </w:pPr>
      <w:r>
        <w:rPr>
          <w:rFonts w:ascii="Times New Roman" w:hAnsi="Times New Roman"/>
          <w:noProof/>
          <w:sz w:val="24"/>
        </w:rPr>
        <w:t>Основно преструктуриране н</w:t>
      </w:r>
      <w:r>
        <w:rPr>
          <w:rFonts w:ascii="Times New Roman" w:hAnsi="Times New Roman"/>
          <w:noProof/>
          <w:sz w:val="24"/>
        </w:rPr>
        <w:t xml:space="preserve">а </w:t>
      </w:r>
      <w:r>
        <w:rPr>
          <w:rFonts w:ascii="Times New Roman" w:hAnsi="Times New Roman"/>
          <w:b/>
          <w:noProof/>
          <w:sz w:val="24"/>
        </w:rPr>
        <w:t>инструментите за външна дейност</w:t>
      </w:r>
      <w:r>
        <w:rPr>
          <w:rFonts w:ascii="Times New Roman" w:hAnsi="Times New Roman"/>
          <w:noProof/>
          <w:sz w:val="24"/>
        </w:rPr>
        <w:t xml:space="preserve"> на ЕС, за да се осигури по-голяма съгласуваност между тях, да се реализират икономии от мащаба и синергии между програмите и да се опростят процедурите. Така ЕС ще бъде по-добре подготвен да преследва своите стремежи и да </w:t>
      </w:r>
      <w:r>
        <w:rPr>
          <w:rFonts w:ascii="Times New Roman" w:hAnsi="Times New Roman"/>
          <w:noProof/>
          <w:sz w:val="24"/>
        </w:rPr>
        <w:t xml:space="preserve">отстоява своите цели, политики, ценности и интереси в световен план. Предложеният нов </w:t>
      </w:r>
      <w:r>
        <w:rPr>
          <w:rFonts w:ascii="Times New Roman" w:hAnsi="Times New Roman"/>
          <w:b/>
          <w:noProof/>
          <w:sz w:val="24"/>
        </w:rPr>
        <w:t>Инструмент за съседство, сътрудничество за развитие и международно сътрудничество</w:t>
      </w:r>
      <w:r>
        <w:rPr>
          <w:rFonts w:ascii="Times New Roman" w:hAnsi="Times New Roman"/>
          <w:noProof/>
          <w:sz w:val="24"/>
        </w:rPr>
        <w:t xml:space="preserve"> с бюджет от почти 90 милиарда евро е приведен в съответствие с Програмата на ООН до 2030</w:t>
      </w:r>
      <w:r>
        <w:rPr>
          <w:rFonts w:ascii="Times New Roman" w:hAnsi="Times New Roman"/>
          <w:noProof/>
          <w:sz w:val="24"/>
        </w:rPr>
        <w:t xml:space="preserve"> г. и нейните ЦУР. С новия </w:t>
      </w:r>
      <w:r>
        <w:rPr>
          <w:rFonts w:ascii="Times New Roman" w:hAnsi="Times New Roman"/>
          <w:b/>
          <w:noProof/>
          <w:sz w:val="24"/>
        </w:rPr>
        <w:t xml:space="preserve">Европейски механизъм за подкрепа на мира </w:t>
      </w:r>
      <w:r>
        <w:rPr>
          <w:rFonts w:ascii="Times New Roman" w:hAnsi="Times New Roman"/>
          <w:noProof/>
          <w:sz w:val="24"/>
        </w:rPr>
        <w:t>в размер на 10,5 милиарда евро ЕС ще се стреми също така да повиши способността си за предотвратяване на конфликти, укрепване на мира и засилване на международната сигурност.</w:t>
      </w:r>
    </w:p>
    <w:p w:rsidR="00467251" w:rsidRDefault="00E55EA0">
      <w:pPr>
        <w:pStyle w:val="Briefingtext"/>
        <w:numPr>
          <w:ilvl w:val="0"/>
          <w:numId w:val="15"/>
        </w:numPr>
        <w:spacing w:after="120"/>
        <w:ind w:left="357" w:hanging="357"/>
        <w:rPr>
          <w:rFonts w:ascii="Times New Roman" w:hAnsi="Times New Roman" w:cs="Times New Roman"/>
          <w:noProof/>
          <w:sz w:val="24"/>
        </w:rPr>
      </w:pPr>
      <w:r>
        <w:rPr>
          <w:rFonts w:ascii="Times New Roman" w:hAnsi="Times New Roman"/>
          <w:noProof/>
          <w:sz w:val="24"/>
        </w:rPr>
        <w:t>Осъществяване</w:t>
      </w:r>
      <w:r>
        <w:rPr>
          <w:rFonts w:ascii="Times New Roman" w:hAnsi="Times New Roman"/>
          <w:noProof/>
          <w:sz w:val="24"/>
        </w:rPr>
        <w:t xml:space="preserve">то на революционни решения в подкрепа на прехода към устойчиво развитие ще изисква безпрецедентни инвестиции в областта на научните изследвания и иновациите чрез </w:t>
      </w:r>
      <w:r>
        <w:rPr>
          <w:rFonts w:ascii="Times New Roman" w:hAnsi="Times New Roman"/>
          <w:b/>
          <w:noProof/>
          <w:sz w:val="24"/>
        </w:rPr>
        <w:t>програма „Хоризонт Европа“, най-голямата досега програма на ЕС за научни изследвания и иноваци</w:t>
      </w:r>
      <w:r>
        <w:rPr>
          <w:rFonts w:ascii="Times New Roman" w:hAnsi="Times New Roman"/>
          <w:b/>
          <w:noProof/>
          <w:sz w:val="24"/>
        </w:rPr>
        <w:t>и</w:t>
      </w:r>
      <w:r>
        <w:rPr>
          <w:rFonts w:ascii="Times New Roman" w:hAnsi="Times New Roman"/>
          <w:noProof/>
          <w:sz w:val="24"/>
        </w:rPr>
        <w:t xml:space="preserve"> с предложен бюджет от 100 милиарда евро.</w:t>
      </w:r>
    </w:p>
    <w:p w:rsidR="00467251" w:rsidRDefault="00E55EA0">
      <w:pPr>
        <w:pStyle w:val="Briefingtext"/>
        <w:numPr>
          <w:ilvl w:val="0"/>
          <w:numId w:val="15"/>
        </w:numPr>
        <w:spacing w:after="120"/>
        <w:ind w:left="357" w:hanging="357"/>
        <w:rPr>
          <w:rFonts w:ascii="Times New Roman" w:hAnsi="Times New Roman" w:cs="Times New Roman"/>
          <w:noProof/>
          <w:sz w:val="24"/>
        </w:rPr>
      </w:pPr>
      <w:r>
        <w:rPr>
          <w:rFonts w:ascii="Times New Roman" w:hAnsi="Times New Roman"/>
          <w:noProof/>
          <w:sz w:val="24"/>
        </w:rPr>
        <w:t xml:space="preserve">По-амбициозна цел за </w:t>
      </w:r>
      <w:r>
        <w:rPr>
          <w:rFonts w:ascii="Times New Roman" w:hAnsi="Times New Roman"/>
          <w:b/>
          <w:noProof/>
          <w:sz w:val="24"/>
        </w:rPr>
        <w:t>включването на съображенията, свързани с климата</w:t>
      </w:r>
      <w:r>
        <w:rPr>
          <w:rFonts w:ascii="Times New Roman" w:hAnsi="Times New Roman"/>
          <w:noProof/>
          <w:sz w:val="24"/>
        </w:rPr>
        <w:t xml:space="preserve">, във всички програми на ЕС, като целта е 25 % от разходите на ЕС да допринасят за борба с изменението на климата, включително целите за преход </w:t>
      </w:r>
      <w:r>
        <w:rPr>
          <w:rFonts w:ascii="Times New Roman" w:hAnsi="Times New Roman"/>
          <w:noProof/>
          <w:sz w:val="24"/>
        </w:rPr>
        <w:t xml:space="preserve">към чиста енергия. Тази цел е увеличена до 35 % от цялостния бюджет на предложената рамкова програма за научни изследвания и иновации </w:t>
      </w:r>
      <w:r>
        <w:rPr>
          <w:rFonts w:ascii="Times New Roman" w:hAnsi="Times New Roman"/>
          <w:b/>
          <w:noProof/>
          <w:sz w:val="24"/>
        </w:rPr>
        <w:t>„Хоризонт Европа“</w:t>
      </w:r>
      <w:r>
        <w:rPr>
          <w:rFonts w:ascii="Times New Roman" w:hAnsi="Times New Roman"/>
          <w:noProof/>
          <w:sz w:val="24"/>
        </w:rPr>
        <w:t>, която е замислена и проектирана в съответствие с ЦУР.</w:t>
      </w:r>
    </w:p>
    <w:p w:rsidR="00467251" w:rsidRDefault="00E55EA0">
      <w:pPr>
        <w:pStyle w:val="Briefingtext"/>
        <w:numPr>
          <w:ilvl w:val="0"/>
          <w:numId w:val="15"/>
        </w:numPr>
        <w:spacing w:after="120"/>
        <w:ind w:left="357" w:hanging="357"/>
        <w:rPr>
          <w:rFonts w:ascii="Times New Roman" w:hAnsi="Times New Roman" w:cs="Times New Roman"/>
          <w:noProof/>
          <w:sz w:val="24"/>
        </w:rPr>
      </w:pPr>
      <w:r>
        <w:rPr>
          <w:rFonts w:ascii="Times New Roman" w:hAnsi="Times New Roman"/>
          <w:b/>
          <w:noProof/>
          <w:sz w:val="24"/>
        </w:rPr>
        <w:t>Реформирана политика на сближаване</w:t>
      </w:r>
      <w:r>
        <w:rPr>
          <w:rFonts w:ascii="Times New Roman" w:hAnsi="Times New Roman"/>
          <w:noProof/>
          <w:sz w:val="24"/>
        </w:rPr>
        <w:t xml:space="preserve"> с над 370 мили</w:t>
      </w:r>
      <w:r>
        <w:rPr>
          <w:rFonts w:ascii="Times New Roman" w:hAnsi="Times New Roman"/>
          <w:noProof/>
          <w:sz w:val="24"/>
        </w:rPr>
        <w:t>арда евро — най-високия бюджет от всички политики и инициативи на ЕС за периода 2021—2027 г., която ще привлече значителни допълнителни национални и частни инвестиции. Акцентът на предложението е върху устойчивия растеж, прехода към нисковъглеродна кръгова</w:t>
      </w:r>
      <w:r>
        <w:rPr>
          <w:rFonts w:ascii="Times New Roman" w:hAnsi="Times New Roman"/>
          <w:noProof/>
          <w:sz w:val="24"/>
        </w:rPr>
        <w:t xml:space="preserve"> икономика, опазването на околната среда и ресурсната ефективност, както и социалното приобщаване. Реформираната политика на сближаване ще позволи на ЕС да постигне целите на Парижкото споразумение за действия в областта на климата и ще спомогне за намиран</w:t>
      </w:r>
      <w:r>
        <w:rPr>
          <w:rFonts w:ascii="Times New Roman" w:hAnsi="Times New Roman"/>
          <w:noProof/>
          <w:sz w:val="24"/>
        </w:rPr>
        <w:t xml:space="preserve">ето на местно изражение на целите за устойчиво развитие, тъй като нейното изпълнение ще се осъществява в тясно сътрудничество с регионалните и местните власти. Инвестирането в хората ще бъде основен приоритет на </w:t>
      </w:r>
      <w:r>
        <w:rPr>
          <w:rFonts w:ascii="Times New Roman" w:hAnsi="Times New Roman"/>
          <w:b/>
          <w:noProof/>
          <w:sz w:val="24"/>
        </w:rPr>
        <w:t>бъдещия Европейски социален фонд</w:t>
      </w:r>
      <w:r>
        <w:rPr>
          <w:rFonts w:ascii="Times New Roman" w:hAnsi="Times New Roman"/>
          <w:noProof/>
          <w:sz w:val="24"/>
        </w:rPr>
        <w:t xml:space="preserve"> (ЕСФ +), ко</w:t>
      </w:r>
      <w:r>
        <w:rPr>
          <w:rFonts w:ascii="Times New Roman" w:hAnsi="Times New Roman"/>
          <w:noProof/>
          <w:sz w:val="24"/>
        </w:rPr>
        <w:t xml:space="preserve">йто подпомага изпълнението на европейския стълб на социалните права с предложен бюджет от 101 милиарда евро. </w:t>
      </w:r>
    </w:p>
    <w:p w:rsidR="00467251" w:rsidRDefault="00E55EA0">
      <w:pPr>
        <w:pStyle w:val="Briefingtext"/>
        <w:numPr>
          <w:ilvl w:val="0"/>
          <w:numId w:val="15"/>
        </w:numPr>
        <w:spacing w:after="120"/>
        <w:ind w:left="357" w:hanging="357"/>
        <w:rPr>
          <w:rFonts w:ascii="Times New Roman" w:hAnsi="Times New Roman" w:cs="Times New Roman"/>
          <w:noProof/>
          <w:sz w:val="24"/>
        </w:rPr>
      </w:pPr>
      <w:r>
        <w:rPr>
          <w:rFonts w:ascii="Times New Roman" w:hAnsi="Times New Roman"/>
          <w:noProof/>
          <w:sz w:val="24"/>
        </w:rPr>
        <w:t xml:space="preserve">Предложение за мобилизиране на ключови стратегически инвестиции чрез нов, напълно интегриран инвестиционен фонд, </w:t>
      </w:r>
      <w:r>
        <w:rPr>
          <w:rFonts w:ascii="Times New Roman" w:hAnsi="Times New Roman"/>
          <w:b/>
          <w:noProof/>
          <w:sz w:val="24"/>
        </w:rPr>
        <w:t>InvestEU</w:t>
      </w:r>
      <w:r>
        <w:rPr>
          <w:rFonts w:ascii="Times New Roman" w:hAnsi="Times New Roman"/>
          <w:noProof/>
          <w:sz w:val="24"/>
        </w:rPr>
        <w:t>, който ще играе важна ро</w:t>
      </w:r>
      <w:r>
        <w:rPr>
          <w:rFonts w:ascii="Times New Roman" w:hAnsi="Times New Roman"/>
          <w:noProof/>
          <w:sz w:val="24"/>
        </w:rPr>
        <w:t>ля за бъдещото благоденствие на Европа и нейните водещи позиции по отношение на ЦУР. Очаква се фондът InvestEU да получи от бюджета на ЕС 15,2 милиарда евро, а да мобилизира над 650 милиарда евро допълнителни инвестиции в Европа.</w:t>
      </w:r>
    </w:p>
    <w:p w:rsidR="00467251" w:rsidRDefault="00E55EA0">
      <w:pPr>
        <w:pStyle w:val="Briefingtext"/>
        <w:numPr>
          <w:ilvl w:val="0"/>
          <w:numId w:val="15"/>
        </w:numPr>
        <w:spacing w:after="120"/>
        <w:rPr>
          <w:rFonts w:ascii="Times New Roman" w:hAnsi="Times New Roman" w:cs="Times New Roman"/>
          <w:noProof/>
          <w:sz w:val="24"/>
        </w:rPr>
      </w:pPr>
      <w:r>
        <w:rPr>
          <w:rFonts w:ascii="Times New Roman" w:hAnsi="Times New Roman"/>
          <w:b/>
          <w:noProof/>
          <w:sz w:val="24"/>
        </w:rPr>
        <w:t>Опростена, модернизирана О</w:t>
      </w:r>
      <w:r>
        <w:rPr>
          <w:rFonts w:ascii="Times New Roman" w:hAnsi="Times New Roman"/>
          <w:b/>
          <w:noProof/>
          <w:sz w:val="24"/>
        </w:rPr>
        <w:t>бща селскостопанска политика</w:t>
      </w:r>
      <w:r>
        <w:rPr>
          <w:rFonts w:ascii="Times New Roman" w:hAnsi="Times New Roman"/>
          <w:noProof/>
          <w:sz w:val="24"/>
        </w:rPr>
        <w:t xml:space="preserve"> с общ бюджет от 365 милиарда евро за осигуряване на достъп до безопасни, висококачествени, икономически достъпни, хранителни и разнообразни храни за 500-те милиона потребители в ЕС. В новата обща селскостопанска политика ще бъд</w:t>
      </w:r>
      <w:r>
        <w:rPr>
          <w:rFonts w:ascii="Times New Roman" w:hAnsi="Times New Roman"/>
          <w:noProof/>
          <w:sz w:val="24"/>
        </w:rPr>
        <w:t>е поставен по-голям акцент върху околната среда и климата. Всички земеделски стопани, които получават плащания за площ или брой животни, ще трябва да спазват редица изисквания, свързани с изменението на климата, водата, почвите, биологичното разнообразие и</w:t>
      </w:r>
      <w:r>
        <w:rPr>
          <w:rFonts w:ascii="Times New Roman" w:hAnsi="Times New Roman"/>
          <w:noProof/>
          <w:sz w:val="24"/>
        </w:rPr>
        <w:t xml:space="preserve"> ландшафта, както и с общественото здраве, здравето на растенията и здравето и хуманното отношение към животните. </w:t>
      </w:r>
    </w:p>
    <w:p w:rsidR="00467251" w:rsidRDefault="00E55EA0">
      <w:pPr>
        <w:pStyle w:val="Briefingtext"/>
        <w:numPr>
          <w:ilvl w:val="0"/>
          <w:numId w:val="15"/>
        </w:numPr>
        <w:spacing w:after="120"/>
        <w:rPr>
          <w:rFonts w:ascii="Times New Roman" w:hAnsi="Times New Roman" w:cs="Times New Roman"/>
          <w:noProof/>
          <w:sz w:val="24"/>
        </w:rPr>
      </w:pPr>
      <w:r>
        <w:rPr>
          <w:rFonts w:ascii="Times New Roman" w:hAnsi="Times New Roman"/>
          <w:noProof/>
          <w:sz w:val="24"/>
        </w:rPr>
        <w:t xml:space="preserve">Укрепена екологична </w:t>
      </w:r>
      <w:r>
        <w:rPr>
          <w:rFonts w:ascii="Times New Roman" w:hAnsi="Times New Roman"/>
          <w:b/>
          <w:noProof/>
          <w:sz w:val="24"/>
        </w:rPr>
        <w:t>програма LIFE</w:t>
      </w:r>
      <w:r>
        <w:rPr>
          <w:rFonts w:ascii="Times New Roman" w:hAnsi="Times New Roman"/>
          <w:noProof/>
          <w:sz w:val="24"/>
        </w:rPr>
        <w:t xml:space="preserve"> с бюджет от 5,5 милиарда евро за проекти в подкрепа на опазването на околната среда и действия в областта н</w:t>
      </w:r>
      <w:r>
        <w:rPr>
          <w:rFonts w:ascii="Times New Roman" w:hAnsi="Times New Roman"/>
          <w:noProof/>
          <w:sz w:val="24"/>
        </w:rPr>
        <w:t>а климата, включително нов компонент, насочен към подпомагане на прехода към чиста енергия.</w:t>
      </w:r>
    </w:p>
    <w:p w:rsidR="00467251" w:rsidRDefault="00E55EA0">
      <w:pPr>
        <w:pStyle w:val="Briefingtext"/>
        <w:numPr>
          <w:ilvl w:val="0"/>
          <w:numId w:val="15"/>
        </w:numPr>
        <w:spacing w:after="120"/>
        <w:rPr>
          <w:rFonts w:ascii="Times New Roman" w:hAnsi="Times New Roman" w:cs="Times New Roman"/>
          <w:noProof/>
          <w:sz w:val="24"/>
        </w:rPr>
      </w:pPr>
      <w:r>
        <w:rPr>
          <w:rFonts w:ascii="Times New Roman" w:hAnsi="Times New Roman"/>
          <w:noProof/>
          <w:sz w:val="24"/>
        </w:rPr>
        <w:t xml:space="preserve">Предлага се удвояване на бюджета за бъдещата </w:t>
      </w:r>
      <w:r>
        <w:rPr>
          <w:rFonts w:ascii="Times New Roman" w:hAnsi="Times New Roman"/>
          <w:b/>
          <w:noProof/>
          <w:sz w:val="24"/>
        </w:rPr>
        <w:t>програма „Еразъм“</w:t>
      </w:r>
      <w:r>
        <w:rPr>
          <w:rFonts w:ascii="Times New Roman" w:hAnsi="Times New Roman"/>
          <w:noProof/>
          <w:sz w:val="24"/>
        </w:rPr>
        <w:t xml:space="preserve"> на 30 милиарда евро, за да се даде възможност на повече европейски граждани да учат, да се обучават, </w:t>
      </w:r>
      <w:r>
        <w:rPr>
          <w:rFonts w:ascii="Times New Roman" w:hAnsi="Times New Roman"/>
          <w:noProof/>
          <w:sz w:val="24"/>
        </w:rPr>
        <w:t>да придобиват професионален опит и да участват в доброволческа дейност в чужбина.</w:t>
      </w:r>
    </w:p>
    <w:p w:rsidR="00467251" w:rsidRDefault="00E55EA0">
      <w:pPr>
        <w:pStyle w:val="Briefingtext"/>
        <w:numPr>
          <w:ilvl w:val="0"/>
          <w:numId w:val="15"/>
        </w:numPr>
        <w:spacing w:after="120"/>
        <w:rPr>
          <w:rFonts w:ascii="Times New Roman" w:hAnsi="Times New Roman" w:cs="Times New Roman"/>
          <w:noProof/>
          <w:sz w:val="24"/>
        </w:rPr>
      </w:pPr>
      <w:r>
        <w:rPr>
          <w:rFonts w:ascii="Times New Roman" w:hAnsi="Times New Roman"/>
          <w:b/>
          <w:noProof/>
          <w:sz w:val="24"/>
        </w:rPr>
        <w:t>Програмата за Механизма за свързване на Европа</w:t>
      </w:r>
      <w:r>
        <w:rPr>
          <w:rFonts w:ascii="Times New Roman" w:hAnsi="Times New Roman"/>
          <w:noProof/>
          <w:sz w:val="24"/>
        </w:rPr>
        <w:t xml:space="preserve"> за периода 2021—2027 г. цели да бъдат развити интелигентни, устойчиви, приобщаващи, безопасни и сигурни инфраструктури в областта на транспорта, енергетиката и цифровите технологии, за което е предложен бюджет от 42,3 милиарда евро. Ще бъдат насърчавани п</w:t>
      </w:r>
      <w:r>
        <w:rPr>
          <w:rFonts w:ascii="Times New Roman" w:hAnsi="Times New Roman"/>
          <w:noProof/>
          <w:sz w:val="24"/>
        </w:rPr>
        <w:t xml:space="preserve">олезните взаимодействия между трите сектора, а инвестициите ще бъдат рационализирани със съгласувани критерии за допустимост и видимост на действията. Най-малко </w:t>
      </w:r>
      <w:r>
        <w:rPr>
          <w:rFonts w:ascii="Times New Roman" w:hAnsi="Times New Roman"/>
          <w:b/>
          <w:noProof/>
          <w:sz w:val="24"/>
        </w:rPr>
        <w:t>60 % от финансирането</w:t>
      </w:r>
      <w:r>
        <w:rPr>
          <w:rFonts w:ascii="Times New Roman" w:hAnsi="Times New Roman"/>
          <w:noProof/>
          <w:sz w:val="24"/>
        </w:rPr>
        <w:t xml:space="preserve"> от програмата за Механизма за свързване на Европа ще допринасят за действ</w:t>
      </w:r>
      <w:r>
        <w:rPr>
          <w:rFonts w:ascii="Times New Roman" w:hAnsi="Times New Roman"/>
          <w:noProof/>
          <w:sz w:val="24"/>
        </w:rPr>
        <w:t>ия в областта на климата.</w:t>
      </w:r>
    </w:p>
    <w:p w:rsidR="00467251" w:rsidRDefault="00E55EA0">
      <w:pPr>
        <w:pStyle w:val="Briefingtext"/>
        <w:numPr>
          <w:ilvl w:val="0"/>
          <w:numId w:val="15"/>
        </w:numPr>
        <w:spacing w:after="120"/>
        <w:rPr>
          <w:rFonts w:ascii="Times New Roman" w:hAnsi="Times New Roman" w:cs="Times New Roman"/>
          <w:noProof/>
          <w:sz w:val="24"/>
        </w:rPr>
      </w:pPr>
      <w:r>
        <w:rPr>
          <w:rFonts w:ascii="Times New Roman" w:hAnsi="Times New Roman"/>
          <w:noProof/>
          <w:sz w:val="24"/>
        </w:rPr>
        <w:t xml:space="preserve">Цифровата трансформация е важен фактор за прехода към нисковъглеродна и кръгова икономика и общество, необходими за постигането на ЦУР. Предложената </w:t>
      </w:r>
      <w:r>
        <w:rPr>
          <w:rFonts w:ascii="Times New Roman" w:hAnsi="Times New Roman"/>
          <w:b/>
          <w:noProof/>
          <w:sz w:val="24"/>
        </w:rPr>
        <w:t>програма „Цифрова Европа“</w:t>
      </w:r>
      <w:r>
        <w:rPr>
          <w:rFonts w:ascii="Times New Roman" w:hAnsi="Times New Roman"/>
          <w:noProof/>
          <w:sz w:val="24"/>
        </w:rPr>
        <w:t xml:space="preserve"> с бюджет от 9,2 милиарда евро ще работи за постигането </w:t>
      </w:r>
      <w:r>
        <w:rPr>
          <w:rFonts w:ascii="Times New Roman" w:hAnsi="Times New Roman"/>
          <w:noProof/>
          <w:sz w:val="24"/>
        </w:rPr>
        <w:t>на тази цел, например чрез подпомагане на предоставянето на широкомащабни мощности в областта на високопроизводителните изчислителни технологии и изкуствения интелект, което ще предложи нови възможности за устойчиво развитие, включително за намаляване на е</w:t>
      </w:r>
      <w:r>
        <w:rPr>
          <w:rFonts w:ascii="Times New Roman" w:hAnsi="Times New Roman"/>
          <w:noProof/>
          <w:sz w:val="24"/>
        </w:rPr>
        <w:t>мисиите на CO2. </w:t>
      </w:r>
    </w:p>
    <w:p w:rsidR="00467251" w:rsidRDefault="00E55EA0">
      <w:pPr>
        <w:pStyle w:val="Briefingtext"/>
        <w:numPr>
          <w:ilvl w:val="0"/>
          <w:numId w:val="15"/>
        </w:numPr>
        <w:spacing w:after="120"/>
        <w:rPr>
          <w:rFonts w:ascii="Times New Roman" w:hAnsi="Times New Roman" w:cs="Times New Roman"/>
          <w:noProof/>
          <w:sz w:val="24"/>
        </w:rPr>
      </w:pPr>
      <w:r>
        <w:rPr>
          <w:rFonts w:ascii="Times New Roman" w:hAnsi="Times New Roman"/>
          <w:noProof/>
          <w:sz w:val="24"/>
        </w:rPr>
        <w:t xml:space="preserve">Опростен и по-целеви </w:t>
      </w:r>
      <w:r>
        <w:rPr>
          <w:rFonts w:ascii="Times New Roman" w:hAnsi="Times New Roman"/>
          <w:b/>
          <w:noProof/>
          <w:sz w:val="24"/>
        </w:rPr>
        <w:t>Европейски фонд за морско дело и рибарство</w:t>
      </w:r>
      <w:r>
        <w:rPr>
          <w:rFonts w:ascii="Times New Roman" w:hAnsi="Times New Roman"/>
          <w:noProof/>
          <w:sz w:val="24"/>
        </w:rPr>
        <w:t xml:space="preserve"> с общ бюджет от 6,14 милиарда евро за подкрепа на общата политика в областта на рибарството, морската политика и международните ангажименти на ЕС в областта на управлението на</w:t>
      </w:r>
      <w:r>
        <w:rPr>
          <w:rFonts w:ascii="Times New Roman" w:hAnsi="Times New Roman"/>
          <w:noProof/>
          <w:sz w:val="24"/>
        </w:rPr>
        <w:t xml:space="preserve"> океаните, особено в контекста на Програмата на ООН за устойчиво развитие до 2030 г.</w:t>
      </w:r>
    </w:p>
    <w:p w:rsidR="00467251" w:rsidRDefault="00467251">
      <w:pPr>
        <w:pStyle w:val="Briefingtext"/>
        <w:spacing w:after="120"/>
        <w:ind w:left="357"/>
        <w:rPr>
          <w:rFonts w:ascii="Times New Roman" w:hAnsi="Times New Roman" w:cs="Times New Roman"/>
          <w:noProof/>
          <w:sz w:val="24"/>
        </w:rPr>
      </w:pPr>
    </w:p>
    <w:p w:rsidR="00467251" w:rsidRDefault="00467251">
      <w:pPr>
        <w:jc w:val="center"/>
        <w:rPr>
          <w:rFonts w:ascii="Times New Roman" w:eastAsia="Malgun Gothic" w:hAnsi="Times New Roman" w:cs="Times New Roman"/>
          <w:b/>
          <w:noProof/>
          <w:sz w:val="24"/>
          <w:szCs w:val="24"/>
        </w:rPr>
      </w:pPr>
    </w:p>
    <w:p w:rsidR="00467251" w:rsidRDefault="00467251">
      <w:pPr>
        <w:jc w:val="center"/>
        <w:rPr>
          <w:rFonts w:ascii="Times New Roman" w:eastAsia="Malgun Gothic" w:hAnsi="Times New Roman" w:cs="Times New Roman"/>
          <w:b/>
          <w:noProof/>
          <w:sz w:val="24"/>
          <w:szCs w:val="24"/>
        </w:rPr>
      </w:pPr>
    </w:p>
    <w:p w:rsidR="00467251" w:rsidRDefault="00E55EA0">
      <w:pPr>
        <w:rPr>
          <w:rFonts w:ascii="Times New Roman" w:eastAsia="Times New Roman" w:hAnsi="Times New Roman" w:cs="Times New Roman"/>
          <w:b/>
          <w:noProof/>
          <w:sz w:val="32"/>
          <w:szCs w:val="32"/>
        </w:rPr>
      </w:pPr>
      <w:r>
        <w:rPr>
          <w:noProof/>
        </w:rPr>
        <w:br w:type="page"/>
      </w:r>
      <w:r>
        <w:rPr>
          <w:rFonts w:ascii="Times New Roman" w:hAnsi="Times New Roman"/>
          <w:b/>
          <w:noProof/>
          <w:sz w:val="32"/>
        </w:rPr>
        <w:t>Основни инициативи на Комисията „Юнкер“, свързани с ЦУР</w:t>
      </w:r>
    </w:p>
    <w:p w:rsidR="00467251" w:rsidRDefault="00E55EA0">
      <w:pPr>
        <w:pStyle w:val="ListParagraph"/>
        <w:rPr>
          <w:rFonts w:ascii="Times New Roman" w:eastAsia="Times New Roman" w:hAnsi="Times New Roman" w:cs="Times New Roman"/>
          <w:b/>
          <w:noProof/>
          <w:sz w:val="24"/>
          <w:szCs w:val="24"/>
        </w:rPr>
      </w:pPr>
      <w:r>
        <w:rPr>
          <w:rFonts w:ascii="Times New Roman" w:hAnsi="Times New Roman"/>
          <w:b/>
          <w:noProof/>
          <w:sz w:val="24"/>
        </w:rPr>
        <w:t>ЦУР № 1: Изкореняване на бедността</w:t>
      </w:r>
    </w:p>
    <w:p w:rsidR="00467251" w:rsidRDefault="00467251">
      <w:pPr>
        <w:jc w:val="center"/>
        <w:rPr>
          <w:rFonts w:ascii="Times New Roman" w:eastAsia="Times New Roman" w:hAnsi="Times New Roman" w:cs="Times New Roman"/>
          <w:b/>
          <w:noProof/>
          <w:sz w:val="24"/>
          <w:szCs w:val="24"/>
        </w:rPr>
        <w:sectPr w:rsidR="00467251">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417" w:right="1417" w:bottom="1417" w:left="1417" w:header="708" w:footer="708" w:gutter="0"/>
          <w:cols w:space="708"/>
          <w:docGrid w:linePitch="360"/>
        </w:sectPr>
      </w:pP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 xml:space="preserve">Европейски </w:t>
      </w:r>
      <w:r>
        <w:rPr>
          <w:rFonts w:ascii="Times New Roman" w:hAnsi="Times New Roman"/>
          <w:noProof/>
          <w:sz w:val="24"/>
        </w:rPr>
        <w:t>стълб на социалните права, набор от социални показатели</w:t>
      </w:r>
    </w:p>
    <w:p w:rsidR="00467251" w:rsidRDefault="00E55EA0">
      <w:pPr>
        <w:pStyle w:val="ListParagraph"/>
        <w:numPr>
          <w:ilvl w:val="0"/>
          <w:numId w:val="16"/>
        </w:numPr>
        <w:spacing w:after="0" w:line="240" w:lineRule="auto"/>
        <w:ind w:left="360" w:hanging="240"/>
        <w:rPr>
          <w:rFonts w:ascii="Times New Roman" w:hAnsi="Times New Roman" w:cs="Times New Roman"/>
          <w:noProof/>
          <w:sz w:val="24"/>
          <w:szCs w:val="24"/>
        </w:rPr>
      </w:pPr>
      <w:r>
        <w:rPr>
          <w:rFonts w:ascii="Times New Roman" w:hAnsi="Times New Roman"/>
          <w:noProof/>
          <w:sz w:val="24"/>
        </w:rPr>
        <w:t>Укрепен европейски семестър за координация на социалните и икономическите политики</w:t>
      </w: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Препоръка относно дългосрочната безработица</w:t>
      </w:r>
    </w:p>
    <w:p w:rsidR="00467251" w:rsidRDefault="00E55EA0">
      <w:pPr>
        <w:pStyle w:val="ListParagraph"/>
        <w:numPr>
          <w:ilvl w:val="0"/>
          <w:numId w:val="16"/>
        </w:numPr>
        <w:spacing w:after="0" w:line="240" w:lineRule="auto"/>
        <w:ind w:left="360" w:hanging="240"/>
        <w:rPr>
          <w:rFonts w:ascii="Times New Roman" w:hAnsi="Times New Roman" w:cs="Times New Roman"/>
          <w:noProof/>
          <w:sz w:val="24"/>
          <w:szCs w:val="24"/>
        </w:rPr>
      </w:pPr>
      <w:r>
        <w:rPr>
          <w:rFonts w:ascii="Times New Roman" w:hAnsi="Times New Roman"/>
          <w:noProof/>
          <w:sz w:val="24"/>
        </w:rPr>
        <w:t>Препоръка относно достъпа до социална закрила за всички</w:t>
      </w:r>
    </w:p>
    <w:p w:rsidR="00467251" w:rsidRDefault="00E55EA0">
      <w:pPr>
        <w:pStyle w:val="ListParagraph"/>
        <w:numPr>
          <w:ilvl w:val="0"/>
          <w:numId w:val="16"/>
        </w:numPr>
        <w:spacing w:after="0" w:line="240" w:lineRule="auto"/>
        <w:ind w:left="360" w:hanging="240"/>
        <w:rPr>
          <w:rFonts w:ascii="Times New Roman" w:hAnsi="Times New Roman" w:cs="Times New Roman"/>
          <w:noProof/>
          <w:sz w:val="24"/>
          <w:szCs w:val="24"/>
        </w:rPr>
      </w:pPr>
      <w:r>
        <w:rPr>
          <w:rFonts w:ascii="Times New Roman" w:hAnsi="Times New Roman"/>
          <w:noProof/>
          <w:sz w:val="24"/>
        </w:rPr>
        <w:t>Рамка на ЕС за на</w:t>
      </w:r>
      <w:r>
        <w:rPr>
          <w:rFonts w:ascii="Times New Roman" w:hAnsi="Times New Roman"/>
          <w:noProof/>
          <w:sz w:val="24"/>
        </w:rPr>
        <w:t>ционални стратегии за интегриране на ромите</w:t>
      </w:r>
    </w:p>
    <w:p w:rsidR="00467251" w:rsidRDefault="00E55EA0">
      <w:pPr>
        <w:pStyle w:val="ListParagraph"/>
        <w:numPr>
          <w:ilvl w:val="0"/>
          <w:numId w:val="16"/>
        </w:numPr>
        <w:spacing w:after="0" w:line="240" w:lineRule="auto"/>
        <w:ind w:left="357" w:hanging="238"/>
        <w:rPr>
          <w:rStyle w:val="Hyperlink"/>
          <w:rFonts w:ascii="Times New Roman" w:hAnsi="Times New Roman" w:cs="Times New Roman"/>
          <w:noProof/>
          <w:color w:val="auto"/>
          <w:sz w:val="24"/>
          <w:szCs w:val="24"/>
          <w:u w:val="none"/>
        </w:rPr>
      </w:pPr>
      <w:hyperlink r:id="rId50">
        <w:r>
          <w:rPr>
            <w:rStyle w:val="Hyperlink"/>
            <w:rFonts w:ascii="Times New Roman" w:hAnsi="Times New Roman"/>
            <w:noProof/>
            <w:color w:val="auto"/>
            <w:sz w:val="24"/>
            <w:u w:val="none"/>
          </w:rPr>
          <w:t>Европейски акт за достъпност</w:t>
        </w:r>
      </w:hyperlink>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Style w:val="Hyperlink"/>
          <w:rFonts w:ascii="Times New Roman" w:hAnsi="Times New Roman"/>
          <w:noProof/>
          <w:color w:val="auto"/>
          <w:sz w:val="24"/>
          <w:u w:val="none"/>
        </w:rPr>
        <w:t>План за действие за преодоляване на разликите в заплащането на жените и мъжете</w:t>
      </w: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Стратегически подход към устой</w:t>
      </w:r>
      <w:r>
        <w:rPr>
          <w:rFonts w:ascii="Times New Roman" w:hAnsi="Times New Roman"/>
          <w:noProof/>
          <w:sz w:val="24"/>
        </w:rPr>
        <w:t>чивостта във външната дейност на ЕС</w:t>
      </w: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hyperlink r:id="rId51">
        <w:r>
          <w:rPr>
            <w:rStyle w:val="Hyperlink"/>
            <w:rFonts w:ascii="Times New Roman" w:hAnsi="Times New Roman"/>
            <w:noProof/>
            <w:color w:val="auto"/>
            <w:sz w:val="24"/>
            <w:u w:val="none"/>
          </w:rPr>
          <w:t>План за действие относно Рамковата програма от Сендай за намал</w:t>
        </w:r>
        <w:r>
          <w:rPr>
            <w:rStyle w:val="Hyperlink"/>
            <w:rFonts w:ascii="Times New Roman" w:hAnsi="Times New Roman"/>
            <w:noProof/>
            <w:color w:val="auto"/>
            <w:sz w:val="24"/>
            <w:u w:val="none"/>
          </w:rPr>
          <w:t>яване на риска от бедствия (2015—2030 г.)</w:t>
        </w:r>
      </w:hyperlink>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Актуализирана стратегия за подпомагане на търговията</w:t>
      </w:r>
    </w:p>
    <w:p w:rsidR="00467251" w:rsidRDefault="00467251">
      <w:pPr>
        <w:rPr>
          <w:rFonts w:ascii="Times New Roman" w:eastAsia="Times New Roman" w:hAnsi="Times New Roman" w:cs="Times New Roman"/>
          <w:b/>
          <w:noProof/>
          <w:sz w:val="24"/>
          <w:szCs w:val="24"/>
        </w:rPr>
      </w:pPr>
    </w:p>
    <w:p w:rsidR="00467251" w:rsidRDefault="00E55EA0">
      <w:pPr>
        <w:pStyle w:val="ListParagraph"/>
        <w:rPr>
          <w:rFonts w:ascii="Times New Roman" w:eastAsia="Times New Roman" w:hAnsi="Times New Roman" w:cs="Times New Roman"/>
          <w:b/>
          <w:noProof/>
          <w:sz w:val="24"/>
          <w:szCs w:val="24"/>
        </w:rPr>
      </w:pPr>
      <w:r>
        <w:rPr>
          <w:rFonts w:ascii="Times New Roman" w:hAnsi="Times New Roman"/>
          <w:b/>
          <w:noProof/>
          <w:sz w:val="24"/>
        </w:rPr>
        <w:t>ЦУР № 2: Прем</w:t>
      </w:r>
      <w:r>
        <w:rPr>
          <w:rFonts w:ascii="Times New Roman" w:hAnsi="Times New Roman"/>
          <w:b/>
          <w:noProof/>
          <w:sz w:val="24"/>
        </w:rPr>
        <w:t>ахване на глада</w:t>
      </w:r>
    </w:p>
    <w:p w:rsidR="00467251" w:rsidRDefault="00467251">
      <w:pPr>
        <w:pStyle w:val="ListParagraph"/>
        <w:rPr>
          <w:rFonts w:ascii="Times New Roman" w:eastAsia="Times New Roman" w:hAnsi="Times New Roman" w:cs="Times New Roman"/>
          <w:b/>
          <w:noProof/>
          <w:sz w:val="24"/>
          <w:szCs w:val="24"/>
        </w:rPr>
      </w:pP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Обща селскостопанска политика</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rPr>
        <w:t xml:space="preserve">Обща политика в областта на рибарството </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План за действие за кръгова икономика</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Платформа с участието на множество заинтересовани страни по въпросите на загубата и разхищението на храни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 xml:space="preserve">Правила относно </w:t>
      </w:r>
      <w:r>
        <w:rPr>
          <w:rFonts w:ascii="Times New Roman" w:hAnsi="Times New Roman"/>
          <w:noProof/>
          <w:sz w:val="24"/>
        </w:rPr>
        <w:t>биологичното земеделие</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Инициатива „Храни 2030“ за разработване на съгласувана програма за научноизследователска дейност и иновации за устойчиви продоволствени и хранителни системи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Устойчива биоикономика за Европа: укрепване на връзката между икономика, общ</w:t>
      </w:r>
      <w:r>
        <w:rPr>
          <w:rFonts w:ascii="Times New Roman" w:hAnsi="Times New Roman"/>
          <w:noProof/>
          <w:sz w:val="24"/>
        </w:rPr>
        <w:t>ество и околна среда</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Оперативна група за селските райони в Африка</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467251">
      <w:pPr>
        <w:rPr>
          <w:rFonts w:ascii="Times New Roman" w:eastAsia="Times New Roman" w:hAnsi="Times New Roman" w:cs="Times New Roman"/>
          <w:b/>
          <w:noProof/>
          <w:sz w:val="24"/>
          <w:szCs w:val="24"/>
        </w:rPr>
      </w:pPr>
    </w:p>
    <w:p w:rsidR="00467251" w:rsidRDefault="00E55EA0">
      <w:pPr>
        <w:pStyle w:val="ListParagraph"/>
        <w:rPr>
          <w:rFonts w:ascii="Times New Roman" w:eastAsia="Times New Roman" w:hAnsi="Times New Roman" w:cs="Times New Roman"/>
          <w:b/>
          <w:noProof/>
          <w:sz w:val="24"/>
          <w:szCs w:val="24"/>
        </w:rPr>
      </w:pPr>
      <w:r>
        <w:rPr>
          <w:rFonts w:ascii="Times New Roman" w:hAnsi="Times New Roman"/>
          <w:b/>
          <w:noProof/>
          <w:sz w:val="24"/>
        </w:rPr>
        <w:t xml:space="preserve">ЦУР № 3: </w:t>
      </w:r>
      <w:r>
        <w:rPr>
          <w:rFonts w:ascii="Times New Roman" w:hAnsi="Times New Roman"/>
          <w:b/>
          <w:noProof/>
          <w:sz w:val="24"/>
        </w:rPr>
        <w:t>Добро здраве и благоденствие</w:t>
      </w:r>
    </w:p>
    <w:p w:rsidR="00467251" w:rsidRDefault="00467251">
      <w:pPr>
        <w:pStyle w:val="ListParagraph"/>
        <w:rPr>
          <w:rFonts w:ascii="Times New Roman" w:eastAsia="Times New Roman" w:hAnsi="Times New Roman" w:cs="Times New Roman"/>
          <w:b/>
          <w:noProof/>
          <w:sz w:val="24"/>
          <w:szCs w:val="24"/>
        </w:rPr>
      </w:pP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 xml:space="preserve">Европейски стълб на социалните права, набор от социални показатели </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Състояние на здравеопазването в ЕС — цикъл на докладване</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Цифрова трансформация на здравеопазването и сектора за полагане на грижи: предоставяне на по-добри зд</w:t>
      </w:r>
      <w:r>
        <w:rPr>
          <w:rFonts w:ascii="Times New Roman" w:hAnsi="Times New Roman"/>
          <w:noProof/>
          <w:sz w:val="24"/>
        </w:rPr>
        <w:t xml:space="preserve">равни и социални грижи за повече граждани по по-добри и по-ефективни начини </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Европейски план за действие „Едно здраве“ срещу антимикробната резистентност</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Актуализации на правилата относно канцерогените и мутагените</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Сътрудничество в ЕС в борбата срещу болес</w:t>
      </w:r>
      <w:r>
        <w:rPr>
          <w:rFonts w:ascii="Times New Roman" w:hAnsi="Times New Roman"/>
          <w:noProof/>
          <w:sz w:val="24"/>
        </w:rPr>
        <w:t>тите, предотвратими чрез ваксинация</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Ръководна група по въпросите на промоцията на здравето, профилактиката на болестите и контрола на незаразните заболявания</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Нови правила относно медицинските изделия</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Прилагане на стандартите и мерките на ЕС в областта на з</w:t>
      </w:r>
      <w:r>
        <w:rPr>
          <w:rFonts w:ascii="Times New Roman" w:hAnsi="Times New Roman"/>
          <w:noProof/>
          <w:sz w:val="24"/>
        </w:rPr>
        <w:t xml:space="preserve">амърсяването на въздуха в помощ на националните, регионалните и местните участници в борбата срещу замърсяването на въздуха </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Чиста планета за всички — дългосрочна визия за просперираща, модерна, конкурентоспособна и неутрална по отношение на климата иконом</w:t>
      </w:r>
      <w:r>
        <w:rPr>
          <w:rFonts w:ascii="Times New Roman" w:hAnsi="Times New Roman"/>
          <w:noProof/>
          <w:sz w:val="24"/>
        </w:rPr>
        <w:t>ика до 2050 г.</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Стратегически план за действие относно пътната безопасност</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Партньорство с Африка в областта на научните изследвания за борба с ХИВ/СПИН, туберкулозата и други заразни болести</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Преразгледана европейска политика</w:t>
      </w:r>
      <w:r>
        <w:rPr>
          <w:rFonts w:ascii="Times New Roman" w:hAnsi="Times New Roman"/>
          <w:noProof/>
          <w:sz w:val="24"/>
        </w:rPr>
        <w:t xml:space="preserve"> за съседство и Стратегия на ЕС за разширяване, Стратегия за Западните Балкани</w:t>
      </w:r>
    </w:p>
    <w:p w:rsidR="00467251" w:rsidRDefault="00E55EA0">
      <w:pPr>
        <w:pStyle w:val="ListParagraph"/>
        <w:numPr>
          <w:ilvl w:val="0"/>
          <w:numId w:val="18"/>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 xml:space="preserve">Стратегия „Търговията — за всички“ </w:t>
      </w:r>
    </w:p>
    <w:p w:rsidR="00467251" w:rsidRDefault="00467251">
      <w:pPr>
        <w:rPr>
          <w:rFonts w:ascii="Times New Roman" w:eastAsia="Times New Roman" w:hAnsi="Times New Roman" w:cs="Times New Roman"/>
          <w:b/>
          <w:noProof/>
          <w:sz w:val="24"/>
          <w:szCs w:val="24"/>
        </w:rPr>
        <w:sectPr w:rsidR="00467251">
          <w:headerReference w:type="even" r:id="rId52"/>
          <w:headerReference w:type="default" r:id="rId53"/>
          <w:footerReference w:type="even" r:id="rId54"/>
          <w:footerReference w:type="default" r:id="rId55"/>
          <w:headerReference w:type="first" r:id="rId56"/>
          <w:footerReference w:type="first" r:id="rId57"/>
          <w:type w:val="continuous"/>
          <w:pgSz w:w="11906" w:h="16838"/>
          <w:pgMar w:top="1417" w:right="1417" w:bottom="1417" w:left="1417" w:header="708" w:footer="708" w:gutter="0"/>
          <w:cols w:space="708"/>
          <w:docGrid w:linePitch="360"/>
        </w:sectPr>
      </w:pPr>
    </w:p>
    <w:p w:rsidR="00467251" w:rsidRDefault="00467251">
      <w:pPr>
        <w:rPr>
          <w:rFonts w:ascii="Times New Roman" w:eastAsia="Times New Roman" w:hAnsi="Times New Roman" w:cs="Times New Roman"/>
          <w:b/>
          <w:noProof/>
          <w:sz w:val="24"/>
          <w:szCs w:val="24"/>
        </w:rPr>
      </w:pPr>
    </w:p>
    <w:p w:rsidR="00467251" w:rsidRDefault="00E55EA0">
      <w:pPr>
        <w:pStyle w:val="ListParagraph"/>
        <w:rPr>
          <w:rFonts w:ascii="Times New Roman" w:eastAsia="Times New Roman" w:hAnsi="Times New Roman" w:cs="Times New Roman"/>
          <w:b/>
          <w:noProof/>
          <w:sz w:val="24"/>
          <w:szCs w:val="24"/>
        </w:rPr>
      </w:pPr>
      <w:r>
        <w:rPr>
          <w:rFonts w:ascii="Times New Roman" w:hAnsi="Times New Roman"/>
          <w:b/>
          <w:noProof/>
          <w:sz w:val="24"/>
        </w:rPr>
        <w:t>ЦУР № 4: Качествено образование</w:t>
      </w:r>
    </w:p>
    <w:p w:rsidR="00467251" w:rsidRDefault="00467251">
      <w:pPr>
        <w:rPr>
          <w:rFonts w:ascii="Times New Roman" w:eastAsia="Times New Roman" w:hAnsi="Times New Roman" w:cs="Times New Roman"/>
          <w:b/>
          <w:noProof/>
          <w:sz w:val="24"/>
          <w:szCs w:val="24"/>
        </w:rPr>
        <w:sectPr w:rsidR="00467251">
          <w:headerReference w:type="even" r:id="rId58"/>
          <w:headerReference w:type="default" r:id="rId59"/>
          <w:footerReference w:type="even" r:id="rId60"/>
          <w:footerReference w:type="default" r:id="rId61"/>
          <w:headerReference w:type="first" r:id="rId62"/>
          <w:footerReference w:type="first" r:id="rId63"/>
          <w:type w:val="continuous"/>
          <w:pgSz w:w="11906" w:h="16838"/>
          <w:pgMar w:top="1417" w:right="1417" w:bottom="1417" w:left="1417" w:header="708" w:footer="708" w:gutter="0"/>
          <w:cols w:space="708"/>
          <w:docGrid w:linePitch="360"/>
        </w:sectPr>
      </w:pP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Европейски стълб на социалните права, набор от социални показатели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Европейско пространство на образование до 2025 г.</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Програма за нов тласък за висшето образование в ЕС</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Нова европейска програма за умения</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Style w:val="Strong"/>
          <w:rFonts w:ascii="Times New Roman" w:hAnsi="Times New Roman"/>
          <w:b w:val="0"/>
          <w:noProof/>
          <w:sz w:val="24"/>
        </w:rPr>
        <w:t>Стратегия за младежта</w:t>
      </w:r>
      <w:r>
        <w:rPr>
          <w:rFonts w:ascii="Times New Roman" w:hAnsi="Times New Roman"/>
          <w:noProof/>
          <w:sz w:val="24"/>
        </w:rPr>
        <w:t> (2019–</w:t>
      </w:r>
      <w:r>
        <w:rPr>
          <w:rFonts w:ascii="Times New Roman" w:hAnsi="Times New Roman"/>
          <w:noProof/>
          <w:sz w:val="24"/>
        </w:rPr>
        <w:t>2027 г.)</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План за действие в областта на цифровото образование</w:t>
      </w:r>
    </w:p>
    <w:p w:rsidR="00467251" w:rsidRDefault="00E55EA0">
      <w:pPr>
        <w:pStyle w:val="ListParagraph"/>
        <w:numPr>
          <w:ilvl w:val="0"/>
          <w:numId w:val="17"/>
        </w:numPr>
        <w:spacing w:after="0" w:line="240" w:lineRule="auto"/>
        <w:ind w:left="240" w:hanging="240"/>
        <w:rPr>
          <w:rStyle w:val="Hyperlink"/>
          <w:rFonts w:ascii="Times New Roman" w:hAnsi="Times New Roman" w:cs="Times New Roman"/>
          <w:noProof/>
          <w:color w:val="auto"/>
          <w:sz w:val="24"/>
          <w:szCs w:val="24"/>
          <w:u w:val="none"/>
        </w:rPr>
      </w:pPr>
      <w:r>
        <w:rPr>
          <w:rFonts w:ascii="Times New Roman" w:hAnsi="Times New Roman"/>
          <w:noProof/>
          <w:sz w:val="24"/>
        </w:rPr>
        <w:t xml:space="preserve">Препоръки относно </w:t>
      </w:r>
      <w:r>
        <w:rPr>
          <w:rStyle w:val="Strong"/>
          <w:rFonts w:ascii="Times New Roman" w:hAnsi="Times New Roman"/>
          <w:b w:val="0"/>
          <w:noProof/>
          <w:sz w:val="24"/>
        </w:rPr>
        <w:t>висококачествените системи за образование и грижи в ранна детска възраст</w:t>
      </w:r>
      <w:r>
        <w:rPr>
          <w:rFonts w:ascii="Times New Roman" w:hAnsi="Times New Roman"/>
          <w:noProof/>
          <w:sz w:val="24"/>
        </w:rPr>
        <w:t xml:space="preserve">, </w:t>
      </w:r>
      <w:r>
        <w:rPr>
          <w:rStyle w:val="Strong"/>
          <w:rFonts w:ascii="Times New Roman" w:hAnsi="Times New Roman"/>
          <w:b w:val="0"/>
          <w:noProof/>
          <w:sz w:val="24"/>
        </w:rPr>
        <w:t>автоматичното взаимно признаване на дипломи и периоди на обучение в чужбина</w:t>
      </w:r>
      <w:r>
        <w:rPr>
          <w:rFonts w:ascii="Times New Roman" w:hAnsi="Times New Roman"/>
          <w:noProof/>
          <w:sz w:val="24"/>
        </w:rPr>
        <w:t xml:space="preserve">, подобряването на </w:t>
      </w:r>
      <w:r>
        <w:rPr>
          <w:rStyle w:val="Strong"/>
          <w:rFonts w:ascii="Times New Roman" w:hAnsi="Times New Roman"/>
          <w:b w:val="0"/>
          <w:noProof/>
          <w:sz w:val="24"/>
        </w:rPr>
        <w:t>преподав</w:t>
      </w:r>
      <w:r>
        <w:rPr>
          <w:rStyle w:val="Strong"/>
          <w:rFonts w:ascii="Times New Roman" w:hAnsi="Times New Roman"/>
          <w:b w:val="0"/>
          <w:noProof/>
          <w:sz w:val="24"/>
        </w:rPr>
        <w:t>ането и изучаването на езици</w:t>
      </w:r>
      <w:r>
        <w:rPr>
          <w:rFonts w:ascii="Times New Roman" w:hAnsi="Times New Roman"/>
          <w:noProof/>
          <w:sz w:val="24"/>
        </w:rPr>
        <w:t>,</w:t>
      </w:r>
      <w:r>
        <w:rPr>
          <w:rStyle w:val="Strong"/>
          <w:rFonts w:ascii="Times New Roman" w:hAnsi="Times New Roman"/>
          <w:b w:val="0"/>
          <w:noProof/>
          <w:sz w:val="24"/>
        </w:rPr>
        <w:t xml:space="preserve"> Европейска рамка за качествено и ефективно чиракуване, ключовите компетентности за учене през целия живот, и</w:t>
      </w:r>
      <w:r>
        <w:rPr>
          <w:rFonts w:ascii="Times New Roman" w:hAnsi="Times New Roman"/>
          <w:noProof/>
          <w:sz w:val="24"/>
        </w:rPr>
        <w:t xml:space="preserve"> </w:t>
      </w:r>
      <w:r>
        <w:rPr>
          <w:rStyle w:val="Hyperlink"/>
          <w:rFonts w:ascii="Times New Roman" w:hAnsi="Times New Roman"/>
          <w:noProof/>
          <w:color w:val="auto"/>
          <w:sz w:val="24"/>
          <w:u w:val="none"/>
        </w:rPr>
        <w:t>Повишаването на уменията — нови възможности за възрастните</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Укрепен европейски семестър за координация на социалните и</w:t>
      </w:r>
      <w:r>
        <w:rPr>
          <w:rFonts w:ascii="Times New Roman" w:hAnsi="Times New Roman"/>
          <w:noProof/>
          <w:sz w:val="24"/>
        </w:rPr>
        <w:t xml:space="preserve"> икономическите политики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Style w:val="Hyperlink"/>
          <w:rFonts w:ascii="Times New Roman" w:hAnsi="Times New Roman"/>
          <w:noProof/>
          <w:color w:val="auto"/>
          <w:sz w:val="24"/>
          <w:u w:val="none"/>
        </w:rPr>
        <w:t>Действие на ЕС относно образованието при извънредни ситуации и продължителни кризи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Нов</w:t>
      </w:r>
      <w:r>
        <w:rPr>
          <w:rFonts w:ascii="Times New Roman" w:hAnsi="Times New Roman"/>
          <w:noProof/>
          <w:sz w:val="24"/>
        </w:rPr>
        <w:t xml:space="preserve"> алианс между Африка и Европа</w:t>
      </w:r>
    </w:p>
    <w:p w:rsidR="00467251" w:rsidRDefault="00467251">
      <w:pPr>
        <w:pStyle w:val="ListParagraph"/>
        <w:spacing w:after="0" w:line="240" w:lineRule="auto"/>
        <w:ind w:left="240"/>
        <w:rPr>
          <w:rFonts w:ascii="Times New Roman" w:hAnsi="Times New Roman" w:cs="Times New Roman"/>
          <w:noProof/>
          <w:sz w:val="24"/>
          <w:szCs w:val="24"/>
        </w:rPr>
      </w:pPr>
    </w:p>
    <w:p w:rsidR="00467251" w:rsidRDefault="00467251">
      <w:pPr>
        <w:spacing w:after="0" w:line="240" w:lineRule="auto"/>
        <w:rPr>
          <w:rFonts w:ascii="Times New Roman" w:hAnsi="Times New Roman" w:cs="Times New Roman"/>
          <w:noProof/>
          <w:sz w:val="24"/>
          <w:szCs w:val="24"/>
        </w:rPr>
      </w:pPr>
    </w:p>
    <w:p w:rsidR="00467251" w:rsidRDefault="00E55EA0">
      <w:pPr>
        <w:pStyle w:val="ListParagraph"/>
        <w:spacing w:after="0" w:line="240" w:lineRule="auto"/>
        <w:rPr>
          <w:rFonts w:ascii="Times New Roman" w:eastAsia="Times New Roman" w:hAnsi="Times New Roman" w:cs="Times New Roman"/>
          <w:b/>
          <w:noProof/>
          <w:sz w:val="24"/>
          <w:szCs w:val="24"/>
        </w:rPr>
      </w:pPr>
      <w:r>
        <w:rPr>
          <w:rFonts w:ascii="Times New Roman" w:hAnsi="Times New Roman"/>
          <w:b/>
          <w:noProof/>
          <w:sz w:val="24"/>
        </w:rPr>
        <w:t>ЦУР № 5: Равенство между половете</w:t>
      </w:r>
    </w:p>
    <w:p w:rsidR="00467251" w:rsidRDefault="00467251">
      <w:pPr>
        <w:pStyle w:val="ListParagraph"/>
        <w:spacing w:after="0" w:line="240" w:lineRule="auto"/>
        <w:ind w:left="240"/>
        <w:rPr>
          <w:rFonts w:ascii="Times New Roman" w:hAnsi="Times New Roman" w:cs="Times New Roman"/>
          <w:noProof/>
          <w:sz w:val="24"/>
          <w:szCs w:val="24"/>
        </w:rPr>
      </w:pP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hyperlink r:id="rId64">
        <w:r>
          <w:rPr>
            <w:rStyle w:val="Hyperlink"/>
            <w:rFonts w:ascii="Times New Roman" w:hAnsi="Times New Roman"/>
            <w:noProof/>
            <w:color w:val="auto"/>
            <w:sz w:val="24"/>
            <w:u w:val="none"/>
          </w:rPr>
          <w:t>Стратегически ангажимент за равенство между половете за периода 2016—201</w:t>
        </w:r>
        <w:r>
          <w:rPr>
            <w:rStyle w:val="Hyperlink"/>
            <w:rFonts w:ascii="Times New Roman" w:hAnsi="Times New Roman"/>
            <w:noProof/>
            <w:color w:val="auto"/>
            <w:sz w:val="24"/>
            <w:u w:val="none"/>
          </w:rPr>
          <w:t>9 г.</w:t>
        </w:r>
      </w:hyperlink>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Пакет за равновесието между професионалния и личния живот</w:t>
      </w: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План за действие за преодоляване на разликите в заплащането на жените и мъжете</w:t>
      </w: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Европейски стълб на социалните права, набор от социални показатели</w:t>
      </w: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Укрепен европейски семестър за координация на с</w:t>
      </w:r>
      <w:r>
        <w:rPr>
          <w:rFonts w:ascii="Times New Roman" w:hAnsi="Times New Roman"/>
          <w:noProof/>
          <w:sz w:val="24"/>
        </w:rPr>
        <w:t>оциалните и икономическите политики</w:t>
      </w: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„Жените и транспортът“</w:t>
      </w: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План за действие по отношение на равенството между половете и овластяването на жените в областта на външните отношения</w:t>
      </w:r>
    </w:p>
    <w:p w:rsidR="00467251" w:rsidRDefault="00E55EA0">
      <w:pPr>
        <w:pStyle w:val="ListParagraph"/>
        <w:numPr>
          <w:ilvl w:val="0"/>
          <w:numId w:val="19"/>
        </w:numPr>
        <w:spacing w:after="0" w:line="240" w:lineRule="auto"/>
        <w:ind w:left="240" w:hanging="240"/>
        <w:rPr>
          <w:rStyle w:val="Emphasis"/>
          <w:rFonts w:ascii="Times New Roman" w:hAnsi="Times New Roman" w:cs="Times New Roman"/>
          <w:i w:val="0"/>
          <w:iCs w:val="0"/>
          <w:noProof/>
          <w:sz w:val="24"/>
          <w:szCs w:val="24"/>
        </w:rPr>
      </w:pPr>
      <w:r>
        <w:rPr>
          <w:rStyle w:val="Emphasis"/>
          <w:rFonts w:ascii="Times New Roman" w:hAnsi="Times New Roman"/>
          <w:i w:val="0"/>
          <w:noProof/>
          <w:sz w:val="24"/>
        </w:rPr>
        <w:t>Европейски консенсус за развитие</w:t>
      </w:r>
    </w:p>
    <w:p w:rsidR="00467251" w:rsidRDefault="00E55EA0">
      <w:pPr>
        <w:pStyle w:val="ListParagraph"/>
        <w:numPr>
          <w:ilvl w:val="0"/>
          <w:numId w:val="19"/>
        </w:numPr>
        <w:spacing w:after="0" w:line="240" w:lineRule="auto"/>
        <w:ind w:left="240" w:hanging="240"/>
        <w:rPr>
          <w:rStyle w:val="Emphasis"/>
          <w:rFonts w:ascii="Times New Roman" w:hAnsi="Times New Roman" w:cs="Times New Roman"/>
          <w:i w:val="0"/>
          <w:iCs w:val="0"/>
          <w:noProof/>
          <w:sz w:val="24"/>
          <w:szCs w:val="24"/>
        </w:rPr>
      </w:pPr>
      <w:r>
        <w:rPr>
          <w:rStyle w:val="Emphasis"/>
          <w:rFonts w:ascii="Times New Roman" w:hAnsi="Times New Roman"/>
          <w:i w:val="0"/>
          <w:noProof/>
          <w:sz w:val="24"/>
        </w:rPr>
        <w:t>Глобален алианс: инициатива Spotlight на ЕС и</w:t>
      </w:r>
      <w:r>
        <w:rPr>
          <w:rStyle w:val="Emphasis"/>
          <w:rFonts w:ascii="Times New Roman" w:hAnsi="Times New Roman"/>
          <w:i w:val="0"/>
          <w:noProof/>
          <w:sz w:val="24"/>
        </w:rPr>
        <w:t xml:space="preserve"> ООН</w:t>
      </w:r>
      <w:r>
        <w:rPr>
          <w:noProof/>
        </w:rPr>
        <w:t xml:space="preserve"> </w:t>
      </w:r>
      <w:r>
        <w:rPr>
          <w:rFonts w:ascii="Times New Roman" w:hAnsi="Times New Roman"/>
          <w:noProof/>
          <w:sz w:val="24"/>
        </w:rPr>
        <w:t>за премахване на насилието над жени и момичета</w:t>
      </w: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19"/>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467251">
      <w:pPr>
        <w:pStyle w:val="ListParagraph"/>
        <w:spacing w:after="0" w:line="240" w:lineRule="auto"/>
        <w:ind w:left="240"/>
        <w:rPr>
          <w:rFonts w:ascii="Times New Roman" w:hAnsi="Times New Roman" w:cs="Times New Roman"/>
          <w:noProof/>
          <w:sz w:val="24"/>
          <w:szCs w:val="24"/>
        </w:rPr>
      </w:pPr>
    </w:p>
    <w:p w:rsidR="00467251" w:rsidRDefault="00467251">
      <w:pPr>
        <w:spacing w:after="0" w:line="240" w:lineRule="auto"/>
        <w:rPr>
          <w:rFonts w:ascii="Times New Roman" w:eastAsia="Times New Roman" w:hAnsi="Times New Roman" w:cs="Times New Roman"/>
          <w:b/>
          <w:noProof/>
          <w:sz w:val="24"/>
          <w:szCs w:val="24"/>
        </w:rPr>
      </w:pPr>
    </w:p>
    <w:p w:rsidR="00467251" w:rsidRDefault="00467251">
      <w:pPr>
        <w:spacing w:after="0" w:line="240" w:lineRule="auto"/>
        <w:rPr>
          <w:rFonts w:ascii="Times New Roman" w:eastAsia="Times New Roman" w:hAnsi="Times New Roman" w:cs="Times New Roman"/>
          <w:b/>
          <w:noProof/>
          <w:sz w:val="24"/>
          <w:szCs w:val="24"/>
        </w:rPr>
      </w:pPr>
    </w:p>
    <w:p w:rsidR="00467251" w:rsidRDefault="00E55EA0">
      <w:pPr>
        <w:pStyle w:val="ListParagraph"/>
        <w:spacing w:after="0" w:line="240" w:lineRule="auto"/>
        <w:rPr>
          <w:rFonts w:ascii="Times New Roman" w:eastAsia="Times New Roman" w:hAnsi="Times New Roman" w:cs="Times New Roman"/>
          <w:b/>
          <w:noProof/>
          <w:sz w:val="24"/>
          <w:szCs w:val="24"/>
        </w:rPr>
      </w:pPr>
      <w:r>
        <w:rPr>
          <w:rFonts w:ascii="Times New Roman" w:hAnsi="Times New Roman"/>
          <w:b/>
          <w:noProof/>
          <w:sz w:val="24"/>
        </w:rPr>
        <w:t xml:space="preserve">ЦУР № 6: Чиста вода и канализация </w:t>
      </w:r>
    </w:p>
    <w:p w:rsidR="00467251" w:rsidRDefault="00467251">
      <w:pPr>
        <w:pStyle w:val="ListParagraph"/>
        <w:spacing w:after="0" w:line="240" w:lineRule="auto"/>
        <w:rPr>
          <w:rFonts w:ascii="Times New Roman" w:eastAsia="Times New Roman" w:hAnsi="Times New Roman" w:cs="Times New Roman"/>
          <w:b/>
          <w:noProof/>
          <w:sz w:val="24"/>
          <w:szCs w:val="24"/>
        </w:rPr>
      </w:pPr>
    </w:p>
    <w:p w:rsidR="00467251" w:rsidRDefault="00E55EA0">
      <w:pPr>
        <w:pStyle w:val="ListParagraph"/>
        <w:numPr>
          <w:ilvl w:val="0"/>
          <w:numId w:val="16"/>
        </w:numPr>
        <w:spacing w:after="0" w:line="240" w:lineRule="auto"/>
        <w:ind w:left="360" w:hanging="240"/>
        <w:rPr>
          <w:rFonts w:ascii="Times New Roman" w:hAnsi="Times New Roman" w:cs="Times New Roman"/>
          <w:noProof/>
          <w:sz w:val="24"/>
          <w:szCs w:val="24"/>
        </w:rPr>
      </w:pPr>
      <w:r>
        <w:rPr>
          <w:rFonts w:ascii="Times New Roman" w:hAnsi="Times New Roman"/>
          <w:noProof/>
          <w:sz w:val="24"/>
        </w:rPr>
        <w:t xml:space="preserve">Предложение за </w:t>
      </w:r>
      <w:r>
        <w:rPr>
          <w:rFonts w:ascii="Times New Roman" w:hAnsi="Times New Roman"/>
          <w:noProof/>
          <w:sz w:val="24"/>
        </w:rPr>
        <w:t>преразглеждане на правилата за питейната вода</w:t>
      </w:r>
    </w:p>
    <w:p w:rsidR="00467251" w:rsidRDefault="00E55EA0">
      <w:pPr>
        <w:pStyle w:val="ListParagraph"/>
        <w:numPr>
          <w:ilvl w:val="0"/>
          <w:numId w:val="16"/>
        </w:numPr>
        <w:spacing w:after="0" w:line="240" w:lineRule="auto"/>
        <w:ind w:left="360" w:hanging="240"/>
        <w:rPr>
          <w:rFonts w:ascii="Times New Roman" w:hAnsi="Times New Roman" w:cs="Times New Roman"/>
          <w:noProof/>
          <w:sz w:val="24"/>
          <w:szCs w:val="24"/>
        </w:rPr>
      </w:pPr>
      <w:r>
        <w:rPr>
          <w:rFonts w:ascii="Times New Roman" w:hAnsi="Times New Roman"/>
          <w:noProof/>
          <w:sz w:val="24"/>
        </w:rPr>
        <w:t>Предложение относно минималните изисквания за повторното използване на водата</w:t>
      </w:r>
    </w:p>
    <w:p w:rsidR="00467251" w:rsidRDefault="00E55EA0">
      <w:pPr>
        <w:pStyle w:val="ListParagraph"/>
        <w:numPr>
          <w:ilvl w:val="0"/>
          <w:numId w:val="16"/>
        </w:numPr>
        <w:spacing w:after="0" w:line="240" w:lineRule="auto"/>
        <w:ind w:left="360" w:hanging="240"/>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6"/>
        </w:numPr>
        <w:spacing w:after="0" w:line="240" w:lineRule="auto"/>
        <w:ind w:left="357" w:hanging="238"/>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w:t>
      </w:r>
      <w:r>
        <w:rPr>
          <w:rFonts w:ascii="Times New Roman" w:hAnsi="Times New Roman"/>
          <w:noProof/>
          <w:sz w:val="24"/>
        </w:rPr>
        <w:t>ните Балкани</w:t>
      </w:r>
    </w:p>
    <w:p w:rsidR="00467251" w:rsidRDefault="00E55EA0">
      <w:pPr>
        <w:pStyle w:val="ListParagraph"/>
        <w:numPr>
          <w:ilvl w:val="0"/>
          <w:numId w:val="16"/>
        </w:numPr>
        <w:spacing w:after="0" w:line="240" w:lineRule="auto"/>
        <w:ind w:left="360" w:hanging="240"/>
        <w:rPr>
          <w:rFonts w:ascii="Times New Roman" w:hAnsi="Times New Roman" w:cs="Times New Roman"/>
          <w:noProof/>
          <w:sz w:val="24"/>
          <w:szCs w:val="24"/>
        </w:rPr>
      </w:pPr>
      <w:r>
        <w:rPr>
          <w:rFonts w:ascii="Times New Roman" w:hAnsi="Times New Roman"/>
          <w:noProof/>
          <w:sz w:val="24"/>
        </w:rPr>
        <w:t>Глобална стратегия за външната политика и политиката на сигурност на Европейския съюз</w:t>
      </w:r>
    </w:p>
    <w:p w:rsidR="00467251" w:rsidRDefault="00467251">
      <w:pPr>
        <w:pStyle w:val="ListParagraph"/>
        <w:spacing w:after="0" w:line="240" w:lineRule="auto"/>
        <w:ind w:left="360"/>
        <w:rPr>
          <w:rFonts w:ascii="Times New Roman" w:hAnsi="Times New Roman" w:cs="Times New Roman"/>
          <w:noProof/>
          <w:sz w:val="24"/>
          <w:szCs w:val="24"/>
        </w:rPr>
      </w:pPr>
    </w:p>
    <w:p w:rsidR="00467251" w:rsidRDefault="00467251">
      <w:pPr>
        <w:pStyle w:val="ListParagraph"/>
        <w:spacing w:after="0" w:line="240" w:lineRule="auto"/>
        <w:ind w:left="360"/>
        <w:rPr>
          <w:rFonts w:ascii="Times New Roman" w:hAnsi="Times New Roman" w:cs="Times New Roman"/>
          <w:noProof/>
          <w:sz w:val="24"/>
          <w:szCs w:val="24"/>
        </w:rPr>
      </w:pPr>
    </w:p>
    <w:p w:rsidR="00467251" w:rsidRDefault="00E55EA0">
      <w:pPr>
        <w:pStyle w:val="ListParagraph"/>
        <w:spacing w:after="0" w:line="240" w:lineRule="auto"/>
        <w:rPr>
          <w:rFonts w:ascii="Times New Roman" w:eastAsia="Times New Roman" w:hAnsi="Times New Roman" w:cs="Times New Roman"/>
          <w:b/>
          <w:noProof/>
          <w:sz w:val="24"/>
          <w:szCs w:val="24"/>
        </w:rPr>
      </w:pPr>
      <w:r>
        <w:rPr>
          <w:rFonts w:ascii="Times New Roman" w:hAnsi="Times New Roman"/>
          <w:b/>
          <w:noProof/>
          <w:sz w:val="24"/>
        </w:rPr>
        <w:t>ЦУР № 7: Икономически достъпна и чиста енергия</w:t>
      </w:r>
    </w:p>
    <w:p w:rsidR="00467251" w:rsidRDefault="00467251">
      <w:pPr>
        <w:pStyle w:val="ListParagraph"/>
        <w:spacing w:after="0" w:line="240" w:lineRule="auto"/>
        <w:rPr>
          <w:rFonts w:ascii="Times New Roman" w:hAnsi="Times New Roman" w:cs="Times New Roman"/>
          <w:b/>
          <w:noProof/>
          <w:sz w:val="24"/>
          <w:szCs w:val="24"/>
        </w:rPr>
      </w:pPr>
    </w:p>
    <w:p w:rsidR="00467251" w:rsidRDefault="00E55EA0">
      <w:pPr>
        <w:pStyle w:val="ListParagraph"/>
        <w:numPr>
          <w:ilvl w:val="0"/>
          <w:numId w:val="25"/>
        </w:numPr>
        <w:rPr>
          <w:rFonts w:ascii="Times New Roman" w:hAnsi="Times New Roman" w:cs="Times New Roman"/>
          <w:noProof/>
          <w:sz w:val="24"/>
          <w:szCs w:val="24"/>
        </w:rPr>
      </w:pPr>
      <w:r>
        <w:rPr>
          <w:rFonts w:ascii="Times New Roman" w:hAnsi="Times New Roman"/>
          <w:noProof/>
          <w:sz w:val="24"/>
        </w:rPr>
        <w:t>Стратегия за енергиен съюз</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Пакети „Европа в движение“</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Пакет „Чиста енергия за всички европейци“</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 xml:space="preserve">Чиста </w:t>
      </w:r>
      <w:r>
        <w:rPr>
          <w:rFonts w:ascii="Times New Roman" w:hAnsi="Times New Roman"/>
          <w:noProof/>
          <w:sz w:val="24"/>
        </w:rPr>
        <w:t>планета за всички — дългосрочна визия за просперираща, модерна, конкурентоспособна и неутрална по отношение на климата икономика до 2050 г.</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Рамка в областта на климата и енергетиката до 2030 г.</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Широкомащабна инициатива по „Хоризонт 2020“ за цифрова трансфо</w:t>
      </w:r>
      <w:r>
        <w:rPr>
          <w:rFonts w:ascii="Times New Roman" w:hAnsi="Times New Roman"/>
          <w:noProof/>
          <w:sz w:val="24"/>
        </w:rPr>
        <w:t xml:space="preserve">рмация в енергийния сектор чрез интернет на предметите </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Стратегически план за енергийните технологии</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Европейски алианс за акумулаторните батерии</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Мисия за иновации</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Подкрепа за на въгледобивните региони в преход</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Обсерватория на енергийната бедност</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Инициатива</w:t>
      </w:r>
      <w:r>
        <w:rPr>
          <w:rFonts w:ascii="Times New Roman" w:hAnsi="Times New Roman"/>
          <w:noProof/>
          <w:sz w:val="24"/>
        </w:rPr>
        <w:t xml:space="preserve"> „Чиста енергия за островите в ЕС“</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Политика на сближаване</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План за действие за устойчиво финансиране</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Стратегия за ниски емисии</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Стратегия за осигуряване на енергийни услуги в Африка</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pacing w:val="-3"/>
          <w:sz w:val="24"/>
        </w:rPr>
        <w:t xml:space="preserve">Европейски и Световен конвент на кметовете </w:t>
      </w:r>
      <w:r>
        <w:rPr>
          <w:rFonts w:ascii="Times New Roman" w:hAnsi="Times New Roman"/>
          <w:noProof/>
          <w:spacing w:val="-3"/>
          <w:sz w:val="24"/>
        </w:rPr>
        <w:t>за климата и енергетиката</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17"/>
        </w:numPr>
        <w:spacing w:after="0" w:line="240" w:lineRule="auto"/>
        <w:rPr>
          <w:rFonts w:ascii="Times New Roman" w:hAnsi="Times New Roman" w:cs="Times New Roman"/>
          <w:noProof/>
          <w:sz w:val="24"/>
          <w:szCs w:val="24"/>
        </w:rPr>
      </w:pPr>
      <w:r>
        <w:rPr>
          <w:rFonts w:ascii="Times New Roman" w:hAnsi="Times New Roman"/>
          <w:noProof/>
          <w:sz w:val="24"/>
        </w:rPr>
        <w:t>Глобална стратегия за външната политика и политиката на сигурност на Европейския съюз</w:t>
      </w:r>
    </w:p>
    <w:p w:rsidR="00467251" w:rsidRDefault="00467251">
      <w:pPr>
        <w:spacing w:after="0" w:line="240" w:lineRule="auto"/>
        <w:rPr>
          <w:rFonts w:ascii="Times New Roman" w:hAnsi="Times New Roman" w:cs="Times New Roman"/>
          <w:noProof/>
          <w:sz w:val="24"/>
          <w:szCs w:val="24"/>
        </w:rPr>
      </w:pPr>
    </w:p>
    <w:p w:rsidR="00467251" w:rsidRDefault="00467251">
      <w:pPr>
        <w:spacing w:after="0" w:line="240" w:lineRule="auto"/>
        <w:rPr>
          <w:rFonts w:ascii="Times New Roman" w:hAnsi="Times New Roman" w:cs="Times New Roman"/>
          <w:b/>
          <w:noProof/>
          <w:sz w:val="24"/>
          <w:szCs w:val="24"/>
        </w:rPr>
      </w:pPr>
    </w:p>
    <w:p w:rsidR="00467251" w:rsidRDefault="00E55EA0">
      <w:pPr>
        <w:pStyle w:val="ListParagraph"/>
        <w:spacing w:after="0" w:line="240" w:lineRule="auto"/>
        <w:rPr>
          <w:rFonts w:ascii="Times New Roman" w:hAnsi="Times New Roman" w:cs="Times New Roman"/>
          <w:b/>
          <w:noProof/>
          <w:sz w:val="24"/>
          <w:szCs w:val="24"/>
        </w:rPr>
      </w:pPr>
      <w:r>
        <w:rPr>
          <w:rFonts w:ascii="Times New Roman" w:hAnsi="Times New Roman"/>
          <w:b/>
          <w:noProof/>
          <w:sz w:val="24"/>
        </w:rPr>
        <w:t>ЦУР № 8: Достоен труд и иконом</w:t>
      </w:r>
      <w:r>
        <w:rPr>
          <w:rFonts w:ascii="Times New Roman" w:hAnsi="Times New Roman"/>
          <w:b/>
          <w:noProof/>
          <w:sz w:val="24"/>
        </w:rPr>
        <w:t>ически растеж</w:t>
      </w:r>
    </w:p>
    <w:p w:rsidR="00467251" w:rsidRDefault="00467251">
      <w:pPr>
        <w:spacing w:after="0" w:line="240" w:lineRule="auto"/>
        <w:rPr>
          <w:rFonts w:ascii="Times New Roman" w:hAnsi="Times New Roman" w:cs="Times New Roman"/>
          <w:b/>
          <w:noProof/>
          <w:sz w:val="24"/>
          <w:szCs w:val="24"/>
        </w:rPr>
      </w:pP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План за инвестиции за Европа /планът „Юнкер“</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Европейски стълб на социалните права, набор от социални показатели</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Укрепен европейски семестър за координация на социалните и икономическите политики</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Обновена стратегия на ЕС за индустриалната пол</w:t>
      </w:r>
      <w:r>
        <w:rPr>
          <w:rFonts w:ascii="Times New Roman" w:hAnsi="Times New Roman"/>
          <w:noProof/>
          <w:sz w:val="24"/>
        </w:rPr>
        <w:t>итика</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Обновена програма за научни изследвания и иновации и програма „Хоризонт 2020“</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Политика на сближаване</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Правила за прозрачни и предвидими условия на труд</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Актуализация на правилата относно командироването на работници</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Предложение за създаване на Европейс</w:t>
      </w:r>
      <w:r>
        <w:rPr>
          <w:rFonts w:ascii="Times New Roman" w:hAnsi="Times New Roman"/>
          <w:noProof/>
          <w:sz w:val="24"/>
        </w:rPr>
        <w:t>ки орган по труда</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Актуализации на правилата относно канцерогените и мутагените</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Препоръка относно достъпа до социална закрила за всички</w:t>
      </w:r>
    </w:p>
    <w:p w:rsidR="00467251" w:rsidRDefault="00E55EA0">
      <w:pPr>
        <w:pStyle w:val="ListParagraph"/>
        <w:numPr>
          <w:ilvl w:val="0"/>
          <w:numId w:val="16"/>
        </w:numPr>
        <w:spacing w:after="0" w:line="240" w:lineRule="auto"/>
        <w:ind w:right="-283"/>
        <w:rPr>
          <w:rFonts w:ascii="Times New Roman" w:hAnsi="Times New Roman" w:cs="Times New Roman"/>
          <w:noProof/>
          <w:sz w:val="24"/>
          <w:szCs w:val="24"/>
        </w:rPr>
      </w:pPr>
      <w:r>
        <w:rPr>
          <w:rFonts w:ascii="Times New Roman" w:hAnsi="Times New Roman"/>
          <w:noProof/>
          <w:sz w:val="24"/>
        </w:rPr>
        <w:t>Препоръка относно дългосрочната безработица</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 xml:space="preserve">Чиста планета за всички — дългосрочна визия за просперираща, модерна, </w:t>
      </w:r>
      <w:r>
        <w:rPr>
          <w:rFonts w:ascii="Times New Roman" w:hAnsi="Times New Roman"/>
          <w:noProof/>
          <w:sz w:val="24"/>
        </w:rPr>
        <w:t>конкурентоспособна и неутрална по отношение на климата икономика до 2050 г.</w:t>
      </w:r>
    </w:p>
    <w:p w:rsidR="00467251" w:rsidRDefault="00E55EA0">
      <w:pPr>
        <w:pStyle w:val="ListParagraph"/>
        <w:numPr>
          <w:ilvl w:val="0"/>
          <w:numId w:val="16"/>
        </w:numPr>
        <w:spacing w:after="0" w:line="240" w:lineRule="auto"/>
        <w:ind w:right="-283"/>
        <w:rPr>
          <w:rFonts w:ascii="Times New Roman" w:hAnsi="Times New Roman" w:cs="Times New Roman"/>
          <w:noProof/>
          <w:sz w:val="24"/>
          <w:szCs w:val="24"/>
        </w:rPr>
      </w:pPr>
      <w:r>
        <w:rPr>
          <w:rFonts w:ascii="Times New Roman" w:hAnsi="Times New Roman"/>
          <w:noProof/>
          <w:sz w:val="24"/>
        </w:rPr>
        <w:t>План за действие за кръгова икономика</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План за външни инвестиции, включително Европейски фонд за устойчиво развитие</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 xml:space="preserve">Преразгледана европейска </w:t>
      </w:r>
      <w:r>
        <w:rPr>
          <w:rFonts w:ascii="Times New Roman" w:hAnsi="Times New Roman"/>
          <w:noProof/>
          <w:sz w:val="24"/>
        </w:rPr>
        <w:t>политика за съседство и Стратегия на ЕС за разширяване, Стратегия за Западните Балкани</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Актуализирана стратегия за подпомагане на търговията</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 xml:space="preserve">Глобална стратегия за външната политика и политиката на сигурност на Европейския </w:t>
      </w:r>
      <w:r>
        <w:rPr>
          <w:rFonts w:ascii="Times New Roman" w:hAnsi="Times New Roman"/>
          <w:noProof/>
          <w:sz w:val="24"/>
        </w:rPr>
        <w:t>съюз</w:t>
      </w:r>
    </w:p>
    <w:p w:rsidR="00467251" w:rsidRDefault="00E55EA0">
      <w:pPr>
        <w:pStyle w:val="ListParagraph"/>
        <w:numPr>
          <w:ilvl w:val="0"/>
          <w:numId w:val="16"/>
        </w:numPr>
        <w:spacing w:after="0" w:line="240" w:lineRule="auto"/>
        <w:rPr>
          <w:rFonts w:ascii="Times New Roman" w:hAnsi="Times New Roman" w:cs="Times New Roman"/>
          <w:noProof/>
          <w:sz w:val="24"/>
          <w:szCs w:val="24"/>
        </w:rPr>
      </w:pPr>
      <w:r>
        <w:rPr>
          <w:rFonts w:ascii="Times New Roman" w:hAnsi="Times New Roman"/>
          <w:noProof/>
          <w:sz w:val="24"/>
        </w:rPr>
        <w:t>Нов алианс между Африка и Европа</w:t>
      </w:r>
    </w:p>
    <w:p w:rsidR="00467251" w:rsidRDefault="00467251">
      <w:pPr>
        <w:spacing w:after="0" w:line="240" w:lineRule="auto"/>
        <w:rPr>
          <w:rFonts w:ascii="Times New Roman" w:hAnsi="Times New Roman" w:cs="Times New Roman"/>
          <w:noProof/>
          <w:sz w:val="24"/>
          <w:szCs w:val="24"/>
        </w:rPr>
      </w:pPr>
    </w:p>
    <w:p w:rsidR="00467251" w:rsidRDefault="00467251">
      <w:pPr>
        <w:spacing w:after="0" w:line="240" w:lineRule="auto"/>
        <w:rPr>
          <w:rFonts w:ascii="Times New Roman" w:hAnsi="Times New Roman" w:cs="Times New Roman"/>
          <w:noProof/>
          <w:sz w:val="24"/>
          <w:szCs w:val="24"/>
        </w:rPr>
      </w:pPr>
    </w:p>
    <w:p w:rsidR="00467251" w:rsidRDefault="00E55EA0">
      <w:pPr>
        <w:pStyle w:val="ListParagraph"/>
        <w:spacing w:after="0" w:line="240" w:lineRule="auto"/>
        <w:rPr>
          <w:rFonts w:ascii="Times New Roman" w:hAnsi="Times New Roman" w:cs="Times New Roman"/>
          <w:b/>
          <w:noProof/>
          <w:sz w:val="24"/>
          <w:szCs w:val="24"/>
        </w:rPr>
      </w:pPr>
      <w:r>
        <w:rPr>
          <w:rFonts w:ascii="Times New Roman" w:hAnsi="Times New Roman"/>
          <w:b/>
          <w:noProof/>
          <w:sz w:val="24"/>
        </w:rPr>
        <w:t>ЦУР № 9: Промишленост, иновации и инфраструктура</w:t>
      </w:r>
    </w:p>
    <w:p w:rsidR="00467251" w:rsidRDefault="00467251">
      <w:pPr>
        <w:pStyle w:val="ListParagraph"/>
        <w:spacing w:after="0" w:line="240" w:lineRule="auto"/>
        <w:ind w:left="240"/>
        <w:rPr>
          <w:rFonts w:ascii="Times New Roman" w:hAnsi="Times New Roman" w:cs="Times New Roman"/>
          <w:b/>
          <w:noProof/>
          <w:sz w:val="24"/>
          <w:szCs w:val="24"/>
        </w:rPr>
      </w:pP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Обновена стратегия на ЕС за индустриалната политика и списък на суровините от изключителна важност</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Кръгла маса на високо равнище „Промишленост 2030“</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 xml:space="preserve">План за действие </w:t>
      </w:r>
      <w:r>
        <w:rPr>
          <w:rFonts w:ascii="Times New Roman" w:hAnsi="Times New Roman"/>
          <w:noProof/>
          <w:sz w:val="24"/>
        </w:rPr>
        <w:t>за кръгова икономика</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Чиста планета за всички — дългосрочна визия за просперираща, модерна, конкурентоспособна и неутрална по отношение на климата икономика до 2050 г.</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Обновена програма за научни изследвания и иновации и програма „Хоризонт 2020“, включителн</w:t>
      </w:r>
      <w:r>
        <w:rPr>
          <w:rFonts w:ascii="Times New Roman" w:hAnsi="Times New Roman"/>
          <w:noProof/>
          <w:sz w:val="24"/>
        </w:rPr>
        <w:t>о обширна целева тема за цифровизирането на европейската промишленост</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Политика на сближаване</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Стратегия за цифров единен пазар</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План за действие за устойчиво финансиране</w:t>
      </w:r>
    </w:p>
    <w:p w:rsidR="00467251" w:rsidRDefault="00E55EA0">
      <w:pPr>
        <w:pStyle w:val="ListParagraph"/>
        <w:numPr>
          <w:ilvl w:val="0"/>
          <w:numId w:val="20"/>
        </w:numPr>
        <w:spacing w:after="0" w:line="240" w:lineRule="auto"/>
        <w:ind w:left="240" w:hanging="120"/>
        <w:rPr>
          <w:rStyle w:val="Emphasis"/>
          <w:rFonts w:ascii="Times New Roman" w:hAnsi="Times New Roman" w:cs="Times New Roman"/>
          <w:i w:val="0"/>
          <w:iCs w:val="0"/>
          <w:noProof/>
          <w:sz w:val="24"/>
          <w:szCs w:val="24"/>
        </w:rPr>
      </w:pPr>
      <w:r>
        <w:rPr>
          <w:rStyle w:val="Emphasis"/>
          <w:rFonts w:ascii="Times New Roman" w:hAnsi="Times New Roman"/>
          <w:i w:val="0"/>
          <w:noProof/>
          <w:sz w:val="24"/>
        </w:rPr>
        <w:t>Пакет „Чиста енергия за всички европейци“</w:t>
      </w:r>
    </w:p>
    <w:p w:rsidR="00467251" w:rsidRDefault="00E55EA0">
      <w:pPr>
        <w:pStyle w:val="ListParagraph"/>
        <w:numPr>
          <w:ilvl w:val="0"/>
          <w:numId w:val="20"/>
        </w:numPr>
        <w:spacing w:after="0" w:line="240" w:lineRule="auto"/>
        <w:ind w:left="240" w:hanging="120"/>
        <w:rPr>
          <w:rStyle w:val="Emphasis"/>
          <w:rFonts w:ascii="Times New Roman" w:hAnsi="Times New Roman" w:cs="Times New Roman"/>
          <w:i w:val="0"/>
          <w:iCs w:val="0"/>
          <w:noProof/>
          <w:sz w:val="24"/>
          <w:szCs w:val="24"/>
        </w:rPr>
      </w:pPr>
      <w:r>
        <w:rPr>
          <w:rStyle w:val="Emphasis"/>
          <w:rFonts w:ascii="Times New Roman" w:hAnsi="Times New Roman"/>
          <w:i w:val="0"/>
          <w:noProof/>
          <w:sz w:val="24"/>
        </w:rPr>
        <w:t>Обсерватория на енергийната бедност</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Style w:val="Emphasis"/>
          <w:rFonts w:ascii="Times New Roman" w:hAnsi="Times New Roman"/>
          <w:i w:val="0"/>
          <w:noProof/>
          <w:sz w:val="24"/>
        </w:rPr>
        <w:t xml:space="preserve">Прилагане </w:t>
      </w:r>
      <w:r>
        <w:rPr>
          <w:rStyle w:val="Emphasis"/>
          <w:rFonts w:ascii="Times New Roman" w:hAnsi="Times New Roman"/>
          <w:i w:val="0"/>
          <w:noProof/>
          <w:sz w:val="24"/>
        </w:rPr>
        <w:t>на Стратегията за корпоративна социална отговорност</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Пакети „Европа в движение“</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 xml:space="preserve"> „Жените и транспортът“</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Механизъм за свързване на Европа</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Инициатива за европейски процесор</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Стратегия за мобилност с ниски емисии</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Европейски план за външни инвестиции</w:t>
      </w:r>
    </w:p>
    <w:p w:rsidR="00467251" w:rsidRDefault="00E55EA0">
      <w:pPr>
        <w:pStyle w:val="ListParagraph"/>
        <w:numPr>
          <w:ilvl w:val="0"/>
          <w:numId w:val="20"/>
        </w:numPr>
        <w:spacing w:after="0" w:line="240" w:lineRule="auto"/>
        <w:ind w:left="240" w:hanging="120"/>
        <w:rPr>
          <w:rStyle w:val="Emphasis"/>
          <w:rFonts w:ascii="Times New Roman" w:hAnsi="Times New Roman" w:cs="Times New Roman"/>
          <w:i w:val="0"/>
          <w:iCs w:val="0"/>
          <w:noProof/>
          <w:sz w:val="24"/>
          <w:szCs w:val="24"/>
        </w:rPr>
      </w:pPr>
      <w:r>
        <w:rPr>
          <w:rStyle w:val="Emphasis"/>
          <w:rFonts w:ascii="Times New Roman" w:hAnsi="Times New Roman"/>
          <w:i w:val="0"/>
          <w:noProof/>
          <w:sz w:val="24"/>
        </w:rPr>
        <w:t xml:space="preserve">Европейски </w:t>
      </w:r>
      <w:r>
        <w:rPr>
          <w:rStyle w:val="Emphasis"/>
          <w:rFonts w:ascii="Times New Roman" w:hAnsi="Times New Roman"/>
          <w:i w:val="0"/>
          <w:noProof/>
          <w:sz w:val="24"/>
        </w:rPr>
        <w:t>консенсус за развитие</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E55EA0">
      <w:pPr>
        <w:pStyle w:val="ListParagraph"/>
        <w:numPr>
          <w:ilvl w:val="0"/>
          <w:numId w:val="20"/>
        </w:numPr>
        <w:spacing w:after="0" w:line="240" w:lineRule="auto"/>
        <w:ind w:left="240" w:hanging="120"/>
        <w:rPr>
          <w:rFonts w:ascii="Times New Roman" w:hAnsi="Times New Roman" w:cs="Times New Roman"/>
          <w:noProof/>
          <w:sz w:val="24"/>
          <w:szCs w:val="24"/>
        </w:rPr>
      </w:pPr>
      <w:r>
        <w:rPr>
          <w:rFonts w:ascii="Times New Roman" w:hAnsi="Times New Roman"/>
          <w:noProof/>
          <w:sz w:val="24"/>
        </w:rPr>
        <w:t>Нов алианс между Африка и Европа</w:t>
      </w:r>
    </w:p>
    <w:p w:rsidR="00467251" w:rsidRDefault="00467251">
      <w:pPr>
        <w:rPr>
          <w:rFonts w:ascii="Times New Roman" w:hAnsi="Times New Roman" w:cs="Times New Roman"/>
          <w:noProof/>
          <w:sz w:val="24"/>
          <w:szCs w:val="24"/>
        </w:rPr>
        <w:sectPr w:rsidR="00467251">
          <w:headerReference w:type="even" r:id="rId65"/>
          <w:headerReference w:type="default" r:id="rId66"/>
          <w:footerReference w:type="even" r:id="rId67"/>
          <w:footerReference w:type="default" r:id="rId68"/>
          <w:headerReference w:type="first" r:id="rId69"/>
          <w:footerReference w:type="first" r:id="rId70"/>
          <w:type w:val="continuous"/>
          <w:pgSz w:w="11906" w:h="16838"/>
          <w:pgMar w:top="1417" w:right="1417" w:bottom="1417" w:left="1417" w:header="708" w:footer="708" w:gutter="0"/>
          <w:cols w:space="708"/>
          <w:docGrid w:linePitch="360"/>
        </w:sectPr>
      </w:pPr>
    </w:p>
    <w:p w:rsidR="00467251" w:rsidRDefault="00467251">
      <w:pPr>
        <w:rPr>
          <w:rFonts w:ascii="Times New Roman" w:hAnsi="Times New Roman" w:cs="Times New Roman"/>
          <w:noProof/>
          <w:sz w:val="24"/>
          <w:szCs w:val="24"/>
        </w:rPr>
      </w:pPr>
    </w:p>
    <w:p w:rsidR="00467251" w:rsidRDefault="00E55EA0">
      <w:pPr>
        <w:pStyle w:val="ListParagraph"/>
        <w:rPr>
          <w:rFonts w:ascii="Times New Roman" w:hAnsi="Times New Roman" w:cs="Times New Roman"/>
          <w:b/>
          <w:noProof/>
          <w:sz w:val="24"/>
          <w:szCs w:val="24"/>
        </w:rPr>
      </w:pPr>
      <w:r>
        <w:rPr>
          <w:rFonts w:ascii="Times New Roman" w:hAnsi="Times New Roman"/>
          <w:b/>
          <w:noProof/>
          <w:sz w:val="24"/>
        </w:rPr>
        <w:t>ЦУР № 10: Намаляване на неравенствата</w:t>
      </w:r>
    </w:p>
    <w:p w:rsidR="00467251" w:rsidRDefault="00467251">
      <w:pPr>
        <w:pStyle w:val="ListParagraph"/>
        <w:rPr>
          <w:rFonts w:ascii="Times New Roman" w:hAnsi="Times New Roman" w:cs="Times New Roman"/>
          <w:b/>
          <w:noProof/>
          <w:sz w:val="24"/>
          <w:szCs w:val="24"/>
        </w:rPr>
      </w:pP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Европейски стълб на социалните права, набор от социални показатели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Укрепен европейски семестър за координация на социалните и икономическите политики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Европейски акт за достъпност</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 xml:space="preserve">Препоръка </w:t>
      </w:r>
      <w:r>
        <w:rPr>
          <w:rFonts w:ascii="Times New Roman" w:hAnsi="Times New Roman"/>
          <w:noProof/>
          <w:sz w:val="24"/>
        </w:rPr>
        <w:t>относно достъпа до социална закрила за всички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Пакет за равновесието между професионалния и личния живот</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Правила за прозрачни и предвидими условия на труд в целия ЕС</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 xml:space="preserve">Политика на сближаване </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Рамка на ЕС за национални стратегии за интегриране на ромите</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w:t>
      </w:r>
      <w:r>
        <w:rPr>
          <w:rFonts w:ascii="Times New Roman" w:hAnsi="Times New Roman"/>
          <w:noProof/>
          <w:sz w:val="24"/>
        </w:rPr>
        <w:t>йска програма за миграцията</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План за действие на ЕС относно правата на човека и демокрацията (2015—2019 г.)</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Стра</w:t>
      </w:r>
      <w:r>
        <w:rPr>
          <w:rFonts w:ascii="Times New Roman" w:hAnsi="Times New Roman"/>
          <w:noProof/>
          <w:sz w:val="24"/>
        </w:rPr>
        <w:t>тегия „Търговията — за всички“</w:t>
      </w:r>
    </w:p>
    <w:p w:rsidR="00467251" w:rsidRDefault="00E55EA0">
      <w:pPr>
        <w:pStyle w:val="ListParagraph"/>
        <w:numPr>
          <w:ilvl w:val="0"/>
          <w:numId w:val="17"/>
        </w:numPr>
        <w:spacing w:after="0" w:line="240" w:lineRule="auto"/>
        <w:ind w:left="240" w:hanging="240"/>
        <w:rPr>
          <w:rFonts w:ascii="Times New Roman" w:hAnsi="Times New Roman" w:cs="Times New Roman"/>
          <w:noProof/>
          <w:sz w:val="24"/>
          <w:szCs w:val="24"/>
        </w:rPr>
      </w:pPr>
      <w:r>
        <w:rPr>
          <w:rFonts w:ascii="Times New Roman" w:hAnsi="Times New Roman"/>
          <w:noProof/>
          <w:sz w:val="24"/>
        </w:rPr>
        <w:t>Глобална стратегия за външната политика и политиката на сигурност на Европейския съюз</w:t>
      </w:r>
    </w:p>
    <w:p w:rsidR="00467251" w:rsidRDefault="00467251">
      <w:pPr>
        <w:pStyle w:val="ListParagraph"/>
        <w:spacing w:after="0" w:line="240" w:lineRule="auto"/>
        <w:rPr>
          <w:rFonts w:ascii="Times New Roman" w:hAnsi="Times New Roman" w:cs="Times New Roman"/>
          <w:noProof/>
          <w:sz w:val="24"/>
          <w:szCs w:val="24"/>
        </w:rPr>
      </w:pPr>
    </w:p>
    <w:p w:rsidR="00467251" w:rsidRDefault="00467251">
      <w:pPr>
        <w:pStyle w:val="ListParagraph"/>
        <w:spacing w:after="0" w:line="240" w:lineRule="auto"/>
        <w:rPr>
          <w:rFonts w:ascii="Times New Roman" w:hAnsi="Times New Roman" w:cs="Times New Roman"/>
          <w:noProof/>
          <w:sz w:val="24"/>
          <w:szCs w:val="24"/>
        </w:rPr>
      </w:pPr>
    </w:p>
    <w:p w:rsidR="00467251" w:rsidRDefault="00E55EA0">
      <w:pPr>
        <w:pStyle w:val="ListParagraph"/>
        <w:spacing w:after="0" w:line="240" w:lineRule="auto"/>
        <w:rPr>
          <w:rFonts w:ascii="Times New Roman" w:hAnsi="Times New Roman" w:cs="Times New Roman"/>
          <w:b/>
          <w:noProof/>
          <w:sz w:val="24"/>
          <w:szCs w:val="24"/>
        </w:rPr>
      </w:pPr>
      <w:r>
        <w:rPr>
          <w:rFonts w:ascii="Times New Roman" w:hAnsi="Times New Roman"/>
          <w:b/>
          <w:noProof/>
          <w:sz w:val="24"/>
        </w:rPr>
        <w:t>ЦУР № 11: Устойчиви градове и общности</w:t>
      </w:r>
    </w:p>
    <w:p w:rsidR="00467251" w:rsidRDefault="00467251">
      <w:pPr>
        <w:pStyle w:val="ListParagraph"/>
        <w:spacing w:after="0" w:line="240" w:lineRule="auto"/>
        <w:ind w:left="0"/>
        <w:rPr>
          <w:rFonts w:ascii="Times New Roman" w:hAnsi="Times New Roman" w:cs="Times New Roman"/>
          <w:b/>
          <w:noProof/>
          <w:sz w:val="24"/>
          <w:szCs w:val="24"/>
        </w:rPr>
      </w:pP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Програма за градовете в ЕС</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Стратегия за мобилност с ниски емисии</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Европейски стълб на социалните п</w:t>
      </w:r>
      <w:r>
        <w:rPr>
          <w:rFonts w:ascii="Times New Roman" w:hAnsi="Times New Roman"/>
          <w:noProof/>
          <w:sz w:val="24"/>
        </w:rPr>
        <w:t>рава, набор от социални показатели</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Обновена програма за научни изследвания и иновации и програма „Хоризонт 2020“, включително мащабна инициатива относно цифровата трансформация в рамките на инициативата „Интелигентни градове и общини“</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 xml:space="preserve">Съвместно съобщение </w:t>
      </w:r>
      <w:r>
        <w:rPr>
          <w:rFonts w:ascii="Times New Roman" w:hAnsi="Times New Roman"/>
          <w:noProof/>
          <w:sz w:val="24"/>
        </w:rPr>
        <w:t>относно устойчивостта</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Политика на сближаване</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Чиста планета за всички — дългосрочна визия за просперираща, модерна, конкурентоспособна и неутрална по отношение на климата икономика до 2050 г.</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План за действие за кръгова икономика</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pacing w:val="-3"/>
          <w:sz w:val="24"/>
        </w:rPr>
        <w:t>Европейски и Световен конве</w:t>
      </w:r>
      <w:r>
        <w:rPr>
          <w:rFonts w:ascii="Times New Roman" w:hAnsi="Times New Roman"/>
          <w:noProof/>
          <w:spacing w:val="-3"/>
          <w:sz w:val="24"/>
        </w:rPr>
        <w:t>нт на кметовете за климата и енергетиката</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Укрепена система на ЕС за управление на бедствия (rescEU) и преработен Механизъм за гражданска защита на ЕС</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 xml:space="preserve">План за действие относно </w:t>
      </w:r>
      <w:hyperlink r:id="rId71">
        <w:r>
          <w:rPr>
            <w:rStyle w:val="Hyperlink"/>
            <w:rFonts w:ascii="Times New Roman" w:hAnsi="Times New Roman"/>
            <w:noProof/>
            <w:color w:val="auto"/>
            <w:sz w:val="24"/>
            <w:u w:val="none"/>
          </w:rPr>
          <w:t>Рамковата програма от Сендай</w:t>
        </w:r>
      </w:hyperlink>
      <w:r>
        <w:rPr>
          <w:noProof/>
        </w:rPr>
        <w:t xml:space="preserve"> за намаляване на риска от бедствия (2015—2030 г.)</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w:t>
      </w:r>
      <w:r>
        <w:rPr>
          <w:rFonts w:ascii="Times New Roman" w:hAnsi="Times New Roman"/>
          <w:noProof/>
          <w:sz w:val="24"/>
        </w:rPr>
        <w:t>ите Балкани</w:t>
      </w:r>
    </w:p>
    <w:p w:rsidR="00467251" w:rsidRDefault="00E55EA0">
      <w:pPr>
        <w:pStyle w:val="ListParagraph"/>
        <w:numPr>
          <w:ilvl w:val="0"/>
          <w:numId w:val="26"/>
        </w:numPr>
        <w:spacing w:after="0" w:line="240" w:lineRule="auto"/>
        <w:rPr>
          <w:rFonts w:ascii="Times New Roman" w:hAnsi="Times New Roman" w:cs="Times New Roman"/>
          <w:noProof/>
          <w:sz w:val="24"/>
          <w:szCs w:val="24"/>
        </w:rPr>
      </w:pPr>
      <w:r>
        <w:rPr>
          <w:rFonts w:ascii="Times New Roman" w:hAnsi="Times New Roman"/>
          <w:noProof/>
          <w:sz w:val="24"/>
        </w:rPr>
        <w:t>Награда „Европейски град за справедлива и етична търговия“</w:t>
      </w:r>
    </w:p>
    <w:p w:rsidR="00467251" w:rsidRDefault="00467251">
      <w:pPr>
        <w:spacing w:after="0" w:line="240" w:lineRule="auto"/>
        <w:rPr>
          <w:rFonts w:ascii="Times New Roman" w:hAnsi="Times New Roman" w:cs="Times New Roman"/>
          <w:noProof/>
          <w:sz w:val="24"/>
          <w:szCs w:val="24"/>
        </w:rPr>
      </w:pPr>
    </w:p>
    <w:p w:rsidR="00467251" w:rsidRDefault="00467251">
      <w:pPr>
        <w:pStyle w:val="ListParagraph"/>
        <w:spacing w:after="0" w:line="240" w:lineRule="auto"/>
        <w:ind w:left="240"/>
        <w:rPr>
          <w:rFonts w:ascii="Times New Roman" w:hAnsi="Times New Roman" w:cs="Times New Roman"/>
          <w:b/>
          <w:noProof/>
          <w:sz w:val="24"/>
          <w:szCs w:val="24"/>
        </w:rPr>
      </w:pPr>
    </w:p>
    <w:p w:rsidR="00467251" w:rsidRDefault="00E55EA0">
      <w:pPr>
        <w:pStyle w:val="ListParagraph"/>
        <w:spacing w:after="0" w:line="240" w:lineRule="auto"/>
        <w:rPr>
          <w:rFonts w:ascii="Times New Roman" w:hAnsi="Times New Roman" w:cs="Times New Roman"/>
          <w:b/>
          <w:noProof/>
          <w:sz w:val="24"/>
          <w:szCs w:val="24"/>
        </w:rPr>
      </w:pPr>
      <w:r>
        <w:rPr>
          <w:rFonts w:ascii="Times New Roman" w:hAnsi="Times New Roman"/>
          <w:b/>
          <w:noProof/>
          <w:sz w:val="24"/>
        </w:rPr>
        <w:t>ЦУР № 12: Отговорно потребление и производство</w:t>
      </w:r>
    </w:p>
    <w:p w:rsidR="00467251" w:rsidRDefault="00467251">
      <w:pPr>
        <w:pStyle w:val="ListParagraph"/>
        <w:spacing w:after="0" w:line="240" w:lineRule="auto"/>
        <w:rPr>
          <w:rFonts w:ascii="Times New Roman" w:hAnsi="Times New Roman" w:cs="Times New Roman"/>
          <w:b/>
          <w:noProof/>
          <w:sz w:val="24"/>
          <w:szCs w:val="24"/>
        </w:rPr>
      </w:pP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 xml:space="preserve">План за действие за кръгова икономика, включително рамка за мониторинг и Европейска платформа на заинтересованите страни в областта на </w:t>
      </w:r>
      <w:r>
        <w:rPr>
          <w:rFonts w:ascii="Times New Roman" w:hAnsi="Times New Roman"/>
          <w:noProof/>
          <w:sz w:val="24"/>
        </w:rPr>
        <w:t xml:space="preserve">кръговата икономика </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Чиста планета за всички — дългосрочна визия за просперираща, модерна, конкурентоспособна и неутрална по отношение на климата икономика до 2050 г.</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Платформа с участието на множество заинтересовани страни по въпросите на загубата и разхи</w:t>
      </w:r>
      <w:r>
        <w:rPr>
          <w:rFonts w:ascii="Times New Roman" w:hAnsi="Times New Roman"/>
          <w:noProof/>
          <w:sz w:val="24"/>
        </w:rPr>
        <w:t>щението на храни</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 xml:space="preserve">Нови правила на ЕС за отпадъците, включително действия относно загубата и разхищаването на храни </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Стратегия на ЕС за пластмасите</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Широкомащабна инициатива по „Хоризонт 2020“ за цифрова и устойчива трансформация на хранително-вкусовия сектор</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Устойчива биоикономика за Европа: укрепване на връзката между икономика, общество и околна среда</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Работен план в областта на екопроектирането и енергийното етикетиране</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Европейска програма за икономиката на сътрудничеството</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Прилагане на Стратегията за корпо</w:t>
      </w:r>
      <w:r>
        <w:rPr>
          <w:rFonts w:ascii="Times New Roman" w:hAnsi="Times New Roman"/>
          <w:noProof/>
          <w:sz w:val="24"/>
        </w:rPr>
        <w:t>ративна социална отговорност</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 xml:space="preserve">Правила относно полезните изкопаеми от зони на конфликт </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 xml:space="preserve">Европейски консенсус за развитие </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27"/>
        </w:numPr>
        <w:spacing w:after="0" w:line="240" w:lineRule="auto"/>
        <w:rPr>
          <w:rFonts w:ascii="Times New Roman" w:hAnsi="Times New Roman" w:cs="Times New Roman"/>
          <w:noProof/>
          <w:sz w:val="24"/>
          <w:szCs w:val="24"/>
        </w:rPr>
      </w:pPr>
      <w:r>
        <w:rPr>
          <w:rFonts w:ascii="Times New Roman" w:hAnsi="Times New Roman"/>
          <w:noProof/>
          <w:sz w:val="24"/>
        </w:rPr>
        <w:t xml:space="preserve">Стратегия „Търговията — </w:t>
      </w:r>
      <w:r>
        <w:rPr>
          <w:rFonts w:ascii="Times New Roman" w:hAnsi="Times New Roman"/>
          <w:noProof/>
          <w:sz w:val="24"/>
        </w:rPr>
        <w:t>за всички“</w:t>
      </w:r>
    </w:p>
    <w:p w:rsidR="00467251" w:rsidRDefault="00467251">
      <w:pPr>
        <w:rPr>
          <w:rFonts w:ascii="Times New Roman" w:hAnsi="Times New Roman" w:cs="Times New Roman"/>
          <w:noProof/>
          <w:sz w:val="24"/>
          <w:szCs w:val="24"/>
        </w:rPr>
      </w:pPr>
    </w:p>
    <w:p w:rsidR="00467251" w:rsidRDefault="00E55EA0">
      <w:pPr>
        <w:pStyle w:val="ListParagraph"/>
        <w:rPr>
          <w:rFonts w:ascii="Times New Roman" w:hAnsi="Times New Roman" w:cs="Times New Roman"/>
          <w:b/>
          <w:noProof/>
          <w:sz w:val="24"/>
          <w:szCs w:val="24"/>
        </w:rPr>
      </w:pPr>
      <w:r>
        <w:rPr>
          <w:rFonts w:ascii="Times New Roman" w:hAnsi="Times New Roman"/>
          <w:b/>
          <w:noProof/>
          <w:sz w:val="24"/>
        </w:rPr>
        <w:t>ЦУР № 13: Действия във връзка с климата</w:t>
      </w:r>
    </w:p>
    <w:p w:rsidR="00467251" w:rsidRDefault="00467251">
      <w:pPr>
        <w:rPr>
          <w:rFonts w:ascii="Times New Roman" w:hAnsi="Times New Roman" w:cs="Times New Roman"/>
          <w:b/>
          <w:noProof/>
          <w:sz w:val="24"/>
          <w:szCs w:val="24"/>
        </w:rPr>
        <w:sectPr w:rsidR="00467251">
          <w:headerReference w:type="even" r:id="rId72"/>
          <w:headerReference w:type="default" r:id="rId73"/>
          <w:footerReference w:type="even" r:id="rId74"/>
          <w:footerReference w:type="default" r:id="rId75"/>
          <w:headerReference w:type="first" r:id="rId76"/>
          <w:footerReference w:type="first" r:id="rId77"/>
          <w:type w:val="continuous"/>
          <w:pgSz w:w="11906" w:h="16838"/>
          <w:pgMar w:top="1417" w:right="1417" w:bottom="1417" w:left="1417" w:header="708" w:footer="708" w:gutter="0"/>
          <w:cols w:space="708"/>
          <w:docGrid w:linePitch="360"/>
        </w:sectPr>
      </w:pP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Влизане в сила на Парижкото споразумение за действия в областта на климата</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 xml:space="preserve">Чиста планета за всички — дългосрочна визия за просперираща, </w:t>
      </w:r>
      <w:r>
        <w:rPr>
          <w:rFonts w:ascii="Times New Roman" w:hAnsi="Times New Roman"/>
          <w:noProof/>
          <w:sz w:val="24"/>
        </w:rPr>
        <w:t>модерна, конкурентоспособна и неутрална по отношение на климата икономика до 2050 г.</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Рамка в областта на климата и енергетиката до 2030 г.</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Подновена схема на ЕС за търговия с емисии</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Пакет „Чиста енергия за всички европейци“</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Пакети „Европа в движение“</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Страт</w:t>
      </w:r>
      <w:r>
        <w:rPr>
          <w:rFonts w:ascii="Times New Roman" w:hAnsi="Times New Roman"/>
          <w:noProof/>
          <w:sz w:val="24"/>
        </w:rPr>
        <w:t>егия за мобилност с ниски емисии</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План за действие за кръгова икономика</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Принос за управлението на океаните</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Списък на суровините от изключителна важност</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pacing w:val="-3"/>
          <w:sz w:val="24"/>
        </w:rPr>
        <w:t>Европейски и Световен конвент на кметовете за климата и енергетиката</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Укрепена система на ЕС за управление</w:t>
      </w:r>
      <w:r>
        <w:rPr>
          <w:rFonts w:ascii="Times New Roman" w:hAnsi="Times New Roman"/>
          <w:noProof/>
          <w:sz w:val="24"/>
        </w:rPr>
        <w:t xml:space="preserve"> на бедствия (rescEU) и преработен Механизъм за гражданска защита на ЕС</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hyperlink r:id="rId78">
        <w:r>
          <w:rPr>
            <w:rStyle w:val="Hyperlink"/>
            <w:rFonts w:ascii="Times New Roman" w:hAnsi="Times New Roman"/>
            <w:noProof/>
            <w:color w:val="auto"/>
            <w:sz w:val="24"/>
            <w:u w:val="none"/>
          </w:rPr>
          <w:t>План за действие относно Рамковата програма от Сендай за намаляване на риска от бедствия (20</w:t>
        </w:r>
        <w:r>
          <w:rPr>
            <w:rStyle w:val="Hyperlink"/>
            <w:rFonts w:ascii="Times New Roman" w:hAnsi="Times New Roman"/>
            <w:noProof/>
            <w:color w:val="auto"/>
            <w:sz w:val="24"/>
            <w:u w:val="none"/>
          </w:rPr>
          <w:t>15—2030 г.)</w:t>
        </w:r>
      </w:hyperlink>
      <w:r>
        <w:rPr>
          <w:rFonts w:ascii="Times New Roman" w:hAnsi="Times New Roman"/>
          <w:noProof/>
          <w:sz w:val="24"/>
        </w:rPr>
        <w:t xml:space="preserve"> </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28"/>
        </w:numPr>
        <w:spacing w:after="0" w:line="240" w:lineRule="auto"/>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E55EA0">
      <w:pPr>
        <w:pStyle w:val="ListParagraph"/>
        <w:numPr>
          <w:ilvl w:val="0"/>
          <w:numId w:val="24"/>
        </w:numPr>
        <w:spacing w:after="0" w:line="240" w:lineRule="auto"/>
        <w:rPr>
          <w:rFonts w:ascii="Times New Roman" w:hAnsi="Times New Roman" w:cs="Times New Roman"/>
          <w:b/>
          <w:noProof/>
          <w:sz w:val="24"/>
          <w:szCs w:val="24"/>
        </w:rPr>
      </w:pPr>
      <w:r>
        <w:rPr>
          <w:rFonts w:ascii="Times New Roman" w:hAnsi="Times New Roman"/>
          <w:noProof/>
          <w:sz w:val="24"/>
        </w:rPr>
        <w:t xml:space="preserve">Глобална стратегия за външната политика и политиката на </w:t>
      </w:r>
      <w:r>
        <w:rPr>
          <w:rFonts w:ascii="Times New Roman" w:hAnsi="Times New Roman"/>
          <w:noProof/>
          <w:sz w:val="24"/>
        </w:rPr>
        <w:t>сигурност на Европейския съюз</w:t>
      </w:r>
    </w:p>
    <w:p w:rsidR="00467251" w:rsidRDefault="00467251">
      <w:pPr>
        <w:pStyle w:val="ListParagraph"/>
        <w:spacing w:after="0" w:line="240" w:lineRule="auto"/>
        <w:rPr>
          <w:rFonts w:ascii="Times New Roman" w:hAnsi="Times New Roman" w:cs="Times New Roman"/>
          <w:b/>
          <w:noProof/>
          <w:sz w:val="24"/>
          <w:szCs w:val="24"/>
        </w:rPr>
      </w:pPr>
    </w:p>
    <w:p w:rsidR="00467251" w:rsidRDefault="00E55EA0">
      <w:pPr>
        <w:pStyle w:val="ListParagraph"/>
        <w:spacing w:after="0" w:line="240" w:lineRule="auto"/>
        <w:rPr>
          <w:rFonts w:ascii="Times New Roman" w:hAnsi="Times New Roman" w:cs="Times New Roman"/>
          <w:b/>
          <w:noProof/>
          <w:sz w:val="24"/>
          <w:szCs w:val="24"/>
        </w:rPr>
      </w:pPr>
      <w:r>
        <w:rPr>
          <w:rFonts w:ascii="Times New Roman" w:hAnsi="Times New Roman"/>
          <w:b/>
          <w:noProof/>
          <w:sz w:val="24"/>
        </w:rPr>
        <w:t>ЦУР № 14: Живот под водата</w:t>
      </w:r>
    </w:p>
    <w:p w:rsidR="00467251" w:rsidRDefault="00467251">
      <w:pPr>
        <w:pStyle w:val="ListParagraph"/>
        <w:spacing w:after="0" w:line="240" w:lineRule="auto"/>
        <w:rPr>
          <w:rFonts w:ascii="Times New Roman" w:hAnsi="Times New Roman" w:cs="Times New Roman"/>
          <w:b/>
          <w:noProof/>
          <w:sz w:val="24"/>
          <w:szCs w:val="24"/>
        </w:rPr>
      </w:pP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Стратегия на ЕС за пластмасите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Принос за международното управление на океаните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Стратегия на ЕС за син растеж</w:t>
      </w:r>
    </w:p>
    <w:p w:rsidR="00467251" w:rsidRDefault="00E55EA0">
      <w:pPr>
        <w:pStyle w:val="ListParagraph"/>
        <w:numPr>
          <w:ilvl w:val="0"/>
          <w:numId w:val="24"/>
        </w:numPr>
        <w:spacing w:after="0" w:line="240" w:lineRule="auto"/>
        <w:rPr>
          <w:rStyle w:val="Strong"/>
          <w:rFonts w:ascii="Times New Roman" w:hAnsi="Times New Roman" w:cs="Times New Roman"/>
          <w:bCs w:val="0"/>
          <w:noProof/>
          <w:sz w:val="24"/>
          <w:szCs w:val="24"/>
        </w:rPr>
      </w:pPr>
      <w:r>
        <w:rPr>
          <w:rFonts w:ascii="Times New Roman" w:hAnsi="Times New Roman"/>
          <w:noProof/>
          <w:sz w:val="24"/>
        </w:rPr>
        <w:t xml:space="preserve">Нови правила относно </w:t>
      </w:r>
      <w:r>
        <w:rPr>
          <w:rStyle w:val="Strong"/>
          <w:rFonts w:ascii="Times New Roman" w:hAnsi="Times New Roman"/>
          <w:b w:val="0"/>
          <w:noProof/>
          <w:sz w:val="24"/>
        </w:rPr>
        <w:t>устойчивото управление на външните риболовни флотове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Предложение за</w:t>
      </w:r>
      <w:r>
        <w:rPr>
          <w:rFonts w:ascii="Times New Roman" w:hAnsi="Times New Roman"/>
          <w:noProof/>
          <w:sz w:val="24"/>
        </w:rPr>
        <w:t xml:space="preserve"> преразглеждане на системата на ЕС за контрол на рибарството</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 xml:space="preserve">Борбата с незаконния, недеклариран и нерегулиран риболов </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Чиста планета за всички — дългосрочна визия за просперираща, модерна, конкурентоспособна и неутрална по отношение на климата икономика до</w:t>
      </w:r>
      <w:r>
        <w:rPr>
          <w:rFonts w:ascii="Times New Roman" w:hAnsi="Times New Roman"/>
          <w:noProof/>
          <w:sz w:val="24"/>
        </w:rPr>
        <w:t xml:space="preserve"> 2050 г.</w:t>
      </w:r>
    </w:p>
    <w:p w:rsidR="00467251" w:rsidRDefault="00E55EA0">
      <w:pPr>
        <w:pStyle w:val="ListParagraph"/>
        <w:numPr>
          <w:ilvl w:val="0"/>
          <w:numId w:val="24"/>
        </w:numPr>
        <w:spacing w:after="0" w:line="240" w:lineRule="auto"/>
        <w:rPr>
          <w:rStyle w:val="Emphasis"/>
          <w:rFonts w:ascii="Times New Roman" w:hAnsi="Times New Roman" w:cs="Times New Roman"/>
          <w:i w:val="0"/>
          <w:iCs w:val="0"/>
          <w:noProof/>
          <w:sz w:val="24"/>
          <w:szCs w:val="24"/>
        </w:rPr>
      </w:pPr>
      <w:r>
        <w:rPr>
          <w:rStyle w:val="Emphasis"/>
          <w:rFonts w:ascii="Times New Roman" w:hAnsi="Times New Roman"/>
          <w:i w:val="0"/>
          <w:noProof/>
          <w:sz w:val="24"/>
        </w:rPr>
        <w:t>Европейски консенсус за развитие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Глобална стратегия за външната политика и политиката на сигурност н</w:t>
      </w:r>
      <w:r>
        <w:rPr>
          <w:rFonts w:ascii="Times New Roman" w:hAnsi="Times New Roman"/>
          <w:noProof/>
          <w:sz w:val="24"/>
        </w:rPr>
        <w:t xml:space="preserve">а Европейския съюз </w:t>
      </w:r>
    </w:p>
    <w:p w:rsidR="00467251" w:rsidRDefault="00467251">
      <w:pPr>
        <w:spacing w:after="0" w:line="240" w:lineRule="auto"/>
        <w:rPr>
          <w:rFonts w:ascii="Times New Roman" w:hAnsi="Times New Roman" w:cs="Times New Roman"/>
          <w:noProof/>
          <w:sz w:val="24"/>
          <w:szCs w:val="24"/>
        </w:rPr>
      </w:pPr>
    </w:p>
    <w:p w:rsidR="00467251" w:rsidRDefault="00E55EA0">
      <w:pPr>
        <w:pStyle w:val="ListParagraph"/>
        <w:spacing w:after="0" w:line="240" w:lineRule="auto"/>
        <w:rPr>
          <w:rFonts w:ascii="Times New Roman" w:hAnsi="Times New Roman" w:cs="Times New Roman"/>
          <w:b/>
          <w:noProof/>
          <w:sz w:val="24"/>
          <w:szCs w:val="24"/>
        </w:rPr>
      </w:pPr>
      <w:r>
        <w:rPr>
          <w:rFonts w:ascii="Times New Roman" w:hAnsi="Times New Roman"/>
          <w:b/>
          <w:noProof/>
          <w:sz w:val="24"/>
        </w:rPr>
        <w:t>ЦУР № 15: Живот на земята</w:t>
      </w:r>
    </w:p>
    <w:p w:rsidR="00467251" w:rsidRDefault="00467251">
      <w:pPr>
        <w:pStyle w:val="ListParagraph"/>
        <w:spacing w:after="0" w:line="240" w:lineRule="auto"/>
        <w:rPr>
          <w:rFonts w:ascii="Times New Roman" w:hAnsi="Times New Roman" w:cs="Times New Roman"/>
          <w:b/>
          <w:noProof/>
          <w:sz w:val="24"/>
          <w:szCs w:val="24"/>
        </w:rPr>
      </w:pP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План за действие за природата, хората и икономиката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Инициатива на ЕС за опрашителите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Нови правила относно инвазивните чуждоземни видове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eastAsiaTheme="majorEastAsia" w:hAnsi="Times New Roman"/>
          <w:noProof/>
          <w:sz w:val="24"/>
        </w:rPr>
        <w:t>Нови правила за биологичното земеделие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 xml:space="preserve">План за действие на ЕС срещу </w:t>
      </w:r>
      <w:r>
        <w:rPr>
          <w:rFonts w:ascii="Times New Roman" w:hAnsi="Times New Roman"/>
          <w:noProof/>
          <w:sz w:val="24"/>
        </w:rPr>
        <w:t>трафика на екземпляри от дивата флора и фауна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Чиста планета за всички — дългосрочна визия за просперираща, модерна, конкурентоспособна и неутрална по отношение на климата икономика до 2050 г.</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 xml:space="preserve">Преразгледана европейска </w:t>
      </w:r>
      <w:r>
        <w:rPr>
          <w:rFonts w:ascii="Times New Roman" w:hAnsi="Times New Roman"/>
          <w:noProof/>
          <w:sz w:val="24"/>
        </w:rPr>
        <w:t>политика за съседство и Стратегия на ЕС за разширяване, Стратегия за Западните Балкани</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467251">
      <w:pPr>
        <w:spacing w:after="0" w:line="240" w:lineRule="auto"/>
        <w:rPr>
          <w:rFonts w:ascii="Times New Roman" w:hAnsi="Times New Roman" w:cs="Times New Roman"/>
          <w:noProof/>
          <w:sz w:val="24"/>
          <w:szCs w:val="24"/>
        </w:rPr>
      </w:pPr>
    </w:p>
    <w:p w:rsidR="00467251" w:rsidRDefault="00E55EA0">
      <w:pPr>
        <w:pStyle w:val="ListParagraph"/>
        <w:spacing w:after="0" w:line="240" w:lineRule="auto"/>
        <w:rPr>
          <w:rFonts w:ascii="Times New Roman" w:hAnsi="Times New Roman" w:cs="Times New Roman"/>
          <w:b/>
          <w:noProof/>
          <w:sz w:val="24"/>
          <w:szCs w:val="24"/>
        </w:rPr>
      </w:pPr>
      <w:r>
        <w:rPr>
          <w:rFonts w:ascii="Times New Roman" w:hAnsi="Times New Roman"/>
          <w:b/>
          <w:noProof/>
          <w:sz w:val="24"/>
        </w:rPr>
        <w:t>ЦУР № 16: Мир, правосъдие и силни институции</w:t>
      </w:r>
    </w:p>
    <w:p w:rsidR="00467251" w:rsidRDefault="00467251">
      <w:pPr>
        <w:pStyle w:val="ListParagraph"/>
        <w:spacing w:after="0" w:line="240" w:lineRule="auto"/>
        <w:rPr>
          <w:rFonts w:ascii="Times New Roman" w:hAnsi="Times New Roman" w:cs="Times New Roman"/>
          <w:noProof/>
          <w:sz w:val="24"/>
          <w:szCs w:val="24"/>
        </w:rPr>
      </w:pP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Глобална стратегия за външната политика и политиката на сигурност на Европейския съюз</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Е</w:t>
      </w:r>
      <w:r>
        <w:rPr>
          <w:rFonts w:ascii="Times New Roman" w:hAnsi="Times New Roman"/>
          <w:noProof/>
          <w:sz w:val="24"/>
        </w:rPr>
        <w:t>вропейски консенсус за развитие</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 xml:space="preserve">Стратегия „Търговията — за всички“ </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Нов алианс между Африка и Европа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Европейска програма за сигурност</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План за де</w:t>
      </w:r>
      <w:r>
        <w:rPr>
          <w:rFonts w:ascii="Times New Roman" w:hAnsi="Times New Roman"/>
          <w:noProof/>
          <w:sz w:val="24"/>
        </w:rPr>
        <w:t>йствие за защита на обществените пространства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Мерки за борба с незаконното съдържание онлайн</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План за действие на ЕС относно правата на човека и демокрацията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Прилагане на Стратегията за корпоративна социална отговорност</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Европейска прокуратура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Правила относн</w:t>
      </w:r>
      <w:r>
        <w:rPr>
          <w:rFonts w:ascii="Times New Roman" w:hAnsi="Times New Roman"/>
          <w:noProof/>
          <w:sz w:val="24"/>
        </w:rPr>
        <w:t>о борбата с изпирането на пари и финансирането на тероризма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Правила относно мерките за данъчна прозрачност и за борба с избягването на данъци</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 xml:space="preserve">По-строги правила относно процесуалните права на заподозрените лица и на обвиняемите </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Преразгледани правила за огн</w:t>
      </w:r>
      <w:r>
        <w:rPr>
          <w:rFonts w:ascii="Times New Roman" w:hAnsi="Times New Roman"/>
          <w:noProof/>
          <w:sz w:val="24"/>
        </w:rPr>
        <w:t>естрелните оръжия</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Мерки за гарантиране на свободни и честни избори за Европейски парламент</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План за действие срещу дезинформацията</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Укрепен европейски семестър за координация на социалните и икономическите политики</w:t>
      </w:r>
    </w:p>
    <w:p w:rsidR="00467251" w:rsidRDefault="00E55EA0">
      <w:pPr>
        <w:pStyle w:val="ListParagraph"/>
        <w:numPr>
          <w:ilvl w:val="0"/>
          <w:numId w:val="24"/>
        </w:numPr>
        <w:spacing w:after="0" w:line="240" w:lineRule="auto"/>
        <w:rPr>
          <w:rFonts w:ascii="Times New Roman" w:hAnsi="Times New Roman" w:cs="Times New Roman"/>
          <w:noProof/>
          <w:sz w:val="24"/>
          <w:szCs w:val="24"/>
        </w:rPr>
      </w:pPr>
      <w:r>
        <w:rPr>
          <w:rFonts w:ascii="Times New Roman" w:hAnsi="Times New Roman"/>
          <w:noProof/>
          <w:sz w:val="24"/>
        </w:rPr>
        <w:t>Чиста планета за всички — дългосрочна визия</w:t>
      </w:r>
      <w:r>
        <w:rPr>
          <w:rFonts w:ascii="Times New Roman" w:hAnsi="Times New Roman"/>
          <w:noProof/>
          <w:sz w:val="24"/>
        </w:rPr>
        <w:t xml:space="preserve"> за просперираща, модерна, конкурентоспособна и неутрална по отношение на климата икономика до 2050 г.</w:t>
      </w:r>
    </w:p>
    <w:p w:rsidR="00467251" w:rsidRDefault="00467251">
      <w:pPr>
        <w:pStyle w:val="ListParagraph"/>
        <w:spacing w:after="0" w:line="240" w:lineRule="auto"/>
        <w:ind w:left="240"/>
        <w:rPr>
          <w:rFonts w:ascii="Times New Roman" w:hAnsi="Times New Roman" w:cs="Times New Roman"/>
          <w:noProof/>
          <w:sz w:val="24"/>
          <w:szCs w:val="24"/>
        </w:rPr>
      </w:pPr>
    </w:p>
    <w:p w:rsidR="00467251" w:rsidRDefault="00467251">
      <w:pPr>
        <w:spacing w:after="0" w:line="240" w:lineRule="auto"/>
        <w:rPr>
          <w:rFonts w:ascii="Times New Roman" w:hAnsi="Times New Roman" w:cs="Times New Roman"/>
          <w:noProof/>
          <w:sz w:val="24"/>
          <w:szCs w:val="24"/>
        </w:rPr>
      </w:pPr>
    </w:p>
    <w:p w:rsidR="00467251" w:rsidRDefault="00E55EA0">
      <w:pPr>
        <w:pStyle w:val="ListParagraph"/>
        <w:spacing w:after="0" w:line="240" w:lineRule="auto"/>
        <w:ind w:left="240" w:firstLine="480"/>
        <w:rPr>
          <w:rFonts w:ascii="Times New Roman" w:hAnsi="Times New Roman" w:cs="Times New Roman"/>
          <w:noProof/>
          <w:sz w:val="24"/>
          <w:szCs w:val="24"/>
        </w:rPr>
      </w:pPr>
      <w:r>
        <w:rPr>
          <w:rFonts w:ascii="Times New Roman" w:hAnsi="Times New Roman"/>
          <w:b/>
          <w:noProof/>
          <w:sz w:val="24"/>
        </w:rPr>
        <w:t>ЦУР № 17: Партньорства за изпълнение на целите</w:t>
      </w:r>
    </w:p>
    <w:p w:rsidR="00467251" w:rsidRDefault="00467251">
      <w:pPr>
        <w:pStyle w:val="ListParagraph"/>
        <w:spacing w:after="0" w:line="240" w:lineRule="auto"/>
        <w:ind w:left="240"/>
        <w:rPr>
          <w:rFonts w:ascii="Times New Roman" w:hAnsi="Times New Roman" w:cs="Times New Roman"/>
          <w:noProof/>
          <w:sz w:val="24"/>
          <w:szCs w:val="24"/>
        </w:rPr>
      </w:pP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Програма на ЕС за по-добро регулиране</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Многостранна платформа по въпросите на изпълнението на ЦУР в ЕС</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И</w:t>
      </w:r>
      <w:r>
        <w:rPr>
          <w:rFonts w:ascii="Times New Roman" w:hAnsi="Times New Roman"/>
          <w:noProof/>
          <w:sz w:val="24"/>
        </w:rPr>
        <w:t xml:space="preserve">нициатива „Следващи стъпки към устойчиво европейско бъдеще“ </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Годишен мониторингов доклад за напредъка на ЕС в постигането на ЦУР</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Европейски стълб на социалните права</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Платформа на ЕС за здравната политика</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Европейски корпус за солидарност</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Ново начало за соци</w:t>
      </w:r>
      <w:r>
        <w:rPr>
          <w:rFonts w:ascii="Times New Roman" w:hAnsi="Times New Roman"/>
          <w:noProof/>
          <w:sz w:val="24"/>
        </w:rPr>
        <w:t>алния диалог</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Инициатива „Повече приходи, по-разумни разходи“</w:t>
      </w:r>
    </w:p>
    <w:p w:rsidR="00467251" w:rsidRDefault="00E55EA0">
      <w:pPr>
        <w:pStyle w:val="ListParagraph"/>
        <w:numPr>
          <w:ilvl w:val="0"/>
          <w:numId w:val="30"/>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noProof/>
          <w:color w:val="000000"/>
          <w:sz w:val="24"/>
        </w:rPr>
        <w:t>План за действие за устойчиво финансиране</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Европейски план за външни инвестиции и Европейски фонд за устойчиво развитие</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Списък на суровините от изключителна важност</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 xml:space="preserve">Чиста планета за всички — </w:t>
      </w:r>
      <w:r>
        <w:rPr>
          <w:rFonts w:ascii="Times New Roman" w:hAnsi="Times New Roman"/>
          <w:noProof/>
          <w:sz w:val="24"/>
        </w:rPr>
        <w:t>дългосрочна визия за просперираща, модерна, конкурентоспособна и неутрална по отношение на климата икономика до 2050 г.</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Международно градско сътрудничество</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Инициатива за интелигентно финансиране за интелигентни сгради</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 xml:space="preserve">Укрепен европейски семестър за </w:t>
      </w:r>
      <w:r>
        <w:rPr>
          <w:rFonts w:ascii="Times New Roman" w:hAnsi="Times New Roman"/>
          <w:noProof/>
          <w:sz w:val="24"/>
        </w:rPr>
        <w:t>координация на социалните и икономическите политики</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Европейски консенсус за развитие</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Преразгледана европейска политика за съседство и Стратегия на ЕС за разширяване, Стратегия за Западните Балкани</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Стратегия „Търговията — за всички“</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 xml:space="preserve">Актуализирана стратегия </w:t>
      </w:r>
      <w:r>
        <w:rPr>
          <w:rFonts w:ascii="Times New Roman" w:hAnsi="Times New Roman"/>
          <w:noProof/>
          <w:sz w:val="24"/>
        </w:rPr>
        <w:t>за подпомагане на търговията</w:t>
      </w:r>
    </w:p>
    <w:p w:rsidR="00467251" w:rsidRDefault="00E55EA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Глобална стратегия за външната политика и политиката на сигурност на Европейския съюз</w:t>
      </w:r>
      <w:r>
        <w:rPr>
          <w:noProof/>
        </w:rPr>
        <w:br w:type="page"/>
      </w:r>
    </w:p>
    <w:p w:rsidR="00467251" w:rsidRDefault="00E55EA0">
      <w:pPr>
        <w:pStyle w:val="Annexetitre"/>
        <w:rPr>
          <w:noProof/>
        </w:rPr>
      </w:pPr>
      <w:r>
        <w:rPr>
          <w:noProof/>
        </w:rPr>
        <w:t>ПРИЛОЖЕНИЕ II Резултати, постигнати от ЕС по целите за устойчиво развитие (ЦУР)</w:t>
      </w:r>
    </w:p>
    <w:p w:rsidR="00467251" w:rsidRDefault="00467251">
      <w:pPr>
        <w:jc w:val="both"/>
        <w:rPr>
          <w:rFonts w:ascii="Times New Roman" w:hAnsi="Times New Roman" w:cs="Times New Roman"/>
          <w:noProof/>
        </w:rPr>
      </w:pPr>
    </w:p>
    <w:p w:rsidR="00467251" w:rsidRDefault="00E55EA0">
      <w:pPr>
        <w:jc w:val="both"/>
        <w:rPr>
          <w:rFonts w:ascii="Times New Roman" w:hAnsi="Times New Roman" w:cs="Times New Roman"/>
          <w:noProof/>
          <w:sz w:val="24"/>
          <w:szCs w:val="24"/>
        </w:rPr>
      </w:pPr>
      <w:r>
        <w:rPr>
          <w:rFonts w:ascii="Times New Roman" w:hAnsi="Times New Roman"/>
          <w:noProof/>
          <w:sz w:val="24"/>
        </w:rPr>
        <w:t>ЕС е едно от най-добрите места за живеене в света, а негови</w:t>
      </w:r>
      <w:r>
        <w:rPr>
          <w:rFonts w:ascii="Times New Roman" w:hAnsi="Times New Roman"/>
          <w:noProof/>
          <w:sz w:val="24"/>
        </w:rPr>
        <w:t>те държави вече имат водеща роля в изпълнението на целите за устойчиво развитие (ЦУР). Въпреки това нито една държава в света не е постигнала всички договорени цели, а по-внимателната оценка на резултатите, постигнати от ЕС по изпълнението на ЦУР, показва,</w:t>
      </w:r>
      <w:r>
        <w:rPr>
          <w:rFonts w:ascii="Times New Roman" w:hAnsi="Times New Roman"/>
          <w:noProof/>
          <w:sz w:val="24"/>
        </w:rPr>
        <w:t xml:space="preserve"> че и в ЕС е необходимо да продължат усилията на всички фронтове. </w:t>
      </w:r>
    </w:p>
    <w:p w:rsidR="00467251" w:rsidRDefault="00E55EA0">
      <w:pPr>
        <w:jc w:val="both"/>
        <w:rPr>
          <w:rFonts w:ascii="Times New Roman" w:hAnsi="Times New Roman" w:cs="Times New Roman"/>
          <w:noProof/>
          <w:sz w:val="24"/>
          <w:szCs w:val="24"/>
        </w:rPr>
      </w:pPr>
      <w:r>
        <w:rPr>
          <w:rFonts w:ascii="Times New Roman" w:hAnsi="Times New Roman"/>
          <w:noProof/>
          <w:sz w:val="24"/>
        </w:rPr>
        <w:t>Седемнадесетте ЦУР на Програмата на ООН за устойчиво развитие до 2030 г. са тясно свързани помежду си и са замислени да бъдат неотделими една от друга, поради което тяхното интегриране в де</w:t>
      </w:r>
      <w:r>
        <w:rPr>
          <w:rFonts w:ascii="Times New Roman" w:hAnsi="Times New Roman"/>
          <w:noProof/>
          <w:sz w:val="24"/>
        </w:rPr>
        <w:t>йствията на всички участници е от съществено значение за успешното им изпълнение на място. Важно е да се осигурят по-добри синергии и съгласуваност между политиките и да се създаде благоприятстваща регулаторна, финансова и поведенческа среда за превръщанет</w:t>
      </w:r>
      <w:r>
        <w:rPr>
          <w:rFonts w:ascii="Times New Roman" w:hAnsi="Times New Roman"/>
          <w:noProof/>
          <w:sz w:val="24"/>
        </w:rPr>
        <w:t>о им в реалност.</w:t>
      </w:r>
    </w:p>
    <w:p w:rsidR="00467251" w:rsidRDefault="00E55EA0">
      <w:pPr>
        <w:jc w:val="both"/>
        <w:rPr>
          <w:rFonts w:ascii="Times New Roman" w:hAnsi="Times New Roman" w:cs="Times New Roman"/>
          <w:noProof/>
          <w:sz w:val="24"/>
          <w:szCs w:val="24"/>
        </w:rPr>
      </w:pPr>
      <w:r>
        <w:rPr>
          <w:rFonts w:ascii="Times New Roman" w:hAnsi="Times New Roman"/>
          <w:noProof/>
          <w:sz w:val="24"/>
        </w:rPr>
        <w:t xml:space="preserve">Следва да отдадем приоритет на промяната към по-голяма устойчивост на нашите модели на производство, разпространение и потребление, на борбата с изменението на климата и засилването на нашите действия за защита на океаните, екосистемите и </w:t>
      </w:r>
      <w:r>
        <w:rPr>
          <w:rFonts w:ascii="Times New Roman" w:hAnsi="Times New Roman"/>
          <w:noProof/>
          <w:sz w:val="24"/>
        </w:rPr>
        <w:t>биологичното разнообразие, тъй като природните системи на планетата, които поддържат живота, достигат своя предел. Борбата с бедността, социалното изключване, неравенството и неравнопоставеността между половете следва да се засили, за да се гарантира благо</w:t>
      </w:r>
      <w:r>
        <w:rPr>
          <w:rFonts w:ascii="Times New Roman" w:hAnsi="Times New Roman"/>
          <w:noProof/>
          <w:sz w:val="24"/>
        </w:rPr>
        <w:t>денствието и благосъстоянието на всички, да се гарантират социалната и политическата стабилност и да се запази подкрепата за европейския проект. Трябва да продължат да се отстояват и подхранват принципите на върховенство на закона, демокрация и основни пра</w:t>
      </w:r>
      <w:r>
        <w:rPr>
          <w:rFonts w:ascii="Times New Roman" w:hAnsi="Times New Roman"/>
          <w:noProof/>
          <w:sz w:val="24"/>
        </w:rPr>
        <w:t xml:space="preserve">ва, както и силно и основано на правила многостранно сътрудничество и търговия. </w:t>
      </w:r>
    </w:p>
    <w:p w:rsidR="00467251" w:rsidRDefault="00E55EA0">
      <w:pPr>
        <w:jc w:val="both"/>
        <w:rPr>
          <w:rFonts w:ascii="Times New Roman" w:hAnsi="Times New Roman" w:cs="Times New Roman"/>
          <w:noProof/>
          <w:sz w:val="24"/>
          <w:szCs w:val="24"/>
        </w:rPr>
      </w:pPr>
      <w:r>
        <w:rPr>
          <w:rFonts w:ascii="Times New Roman" w:hAnsi="Times New Roman"/>
          <w:noProof/>
          <w:sz w:val="24"/>
        </w:rPr>
        <w:t>В настоящия документ се дава информация за резултатите, постигнати от ЕС в изпълнение на ЦУР. За всяка от целите е представен общ преглед на постигнатото от ЕС до момента, тен</w:t>
      </w:r>
      <w:r>
        <w:rPr>
          <w:rFonts w:ascii="Times New Roman" w:hAnsi="Times New Roman"/>
          <w:noProof/>
          <w:sz w:val="24"/>
        </w:rPr>
        <w:t>денциите за развитие и сравнение на резултатите на ЕС с постигнатото в световен план. Представено е обобщение на очаквания напредък на ЕС до 2030 г., както и възможните стимули и пречки за прехода към устойчива Европа. Устойчивото развитие трябва да бъде о</w:t>
      </w:r>
      <w:r>
        <w:rPr>
          <w:rFonts w:ascii="Times New Roman" w:hAnsi="Times New Roman"/>
          <w:noProof/>
          <w:sz w:val="24"/>
        </w:rPr>
        <w:t xml:space="preserve">бщо начинание, в което участват всички членове на обществото. Представени са и някои примери на добри практики от различни участници на различни равнища. </w:t>
      </w:r>
    </w:p>
    <w:p w:rsidR="00467251" w:rsidRDefault="00E55EA0">
      <w:pPr>
        <w:jc w:val="both"/>
        <w:rPr>
          <w:rFonts w:ascii="Times New Roman" w:hAnsi="Times New Roman" w:cs="Times New Roman"/>
          <w:noProof/>
          <w:sz w:val="24"/>
          <w:szCs w:val="24"/>
        </w:rPr>
      </w:pPr>
      <w:r>
        <w:rPr>
          <w:rFonts w:ascii="Times New Roman" w:hAnsi="Times New Roman"/>
          <w:noProof/>
          <w:sz w:val="24"/>
        </w:rPr>
        <w:t>При сравнение в световен план седем държави — членки от ЕС-27, са сред първите 10 в класацията на све</w:t>
      </w:r>
      <w:r>
        <w:rPr>
          <w:rFonts w:ascii="Times New Roman" w:hAnsi="Times New Roman"/>
          <w:noProof/>
          <w:sz w:val="24"/>
        </w:rPr>
        <w:t>товния индекс на ЦУР и всички държави от ЕС-27 са сред първите 50 от общо 156-те оценявани държави</w:t>
      </w:r>
      <w:r>
        <w:rPr>
          <w:rStyle w:val="FootnoteReference"/>
          <w:rFonts w:ascii="Times New Roman" w:hAnsi="Times New Roman"/>
          <w:noProof/>
          <w:sz w:val="24"/>
        </w:rPr>
        <w:footnoteReference w:id="1"/>
      </w:r>
      <w:r>
        <w:rPr>
          <w:rFonts w:ascii="Times New Roman" w:hAnsi="Times New Roman"/>
          <w:noProof/>
          <w:sz w:val="24"/>
        </w:rPr>
        <w:t>. През последните пет години ЕС като цяло отбеляза напредък по отношение на почти всички ЦУР. Най-голям беше напредъкът по ЦУР 3 „Осигуряване на здравословен</w:t>
      </w:r>
      <w:r>
        <w:rPr>
          <w:rFonts w:ascii="Times New Roman" w:hAnsi="Times New Roman"/>
          <w:noProof/>
          <w:sz w:val="24"/>
        </w:rPr>
        <w:t xml:space="preserve"> живот и насърчаване благосъстоянието на всички във всяка възраст“ и ЦУР 4 „Осигуряване на приобщаващо и справедливо качествено образование и насърчаване на възможностите за учене през целия живот за всички“, като тези две цели са също сред първите три от </w:t>
      </w:r>
      <w:r>
        <w:rPr>
          <w:rFonts w:ascii="Times New Roman" w:hAnsi="Times New Roman"/>
          <w:noProof/>
          <w:sz w:val="24"/>
        </w:rPr>
        <w:t>най-високо оценените ЦУР за държавите членки на ЕС-27 в световната класация. Средно в световната класация държавите от ЕС-27 постигат най-високи резултати по ЦУР 1 „Премахване на бедността във всичките ѝ форми и навсякъде“. ЕС обаче се отдалечи от изпълнен</w:t>
      </w:r>
      <w:r>
        <w:rPr>
          <w:rFonts w:ascii="Times New Roman" w:hAnsi="Times New Roman"/>
          <w:noProof/>
          <w:sz w:val="24"/>
        </w:rPr>
        <w:t>ието на ЦУР 10 „Намаляване на неравенството между и в рамките на държавите“, със значителни разлики между държавите членки. Важно е да се отбележи, че постигането на напредък не означава непременно, че настоящото състояние по отношение на съответната цел е</w:t>
      </w:r>
      <w:r>
        <w:rPr>
          <w:rFonts w:ascii="Times New Roman" w:hAnsi="Times New Roman"/>
          <w:noProof/>
          <w:sz w:val="24"/>
        </w:rPr>
        <w:t xml:space="preserve"> задоволително за ЕС. Така например по ЦУР 12 „Осигуряване на устойчиви модели на потребление и производство“ беше постигнат забележителен напредък, но това е също така и ЦУР, за която в световната класация държавите от ЕС-27 са с втория най-нисък среден р</w:t>
      </w:r>
      <w:r>
        <w:rPr>
          <w:rFonts w:ascii="Times New Roman" w:hAnsi="Times New Roman"/>
          <w:noProof/>
          <w:sz w:val="24"/>
        </w:rPr>
        <w:t>езултат, като е необходима още много работа. Като цяло в световната класация държавите от ЕС-27 отчитат най-ниски резултати по ЦУР 14 „Опазване и устойчиво използване на океаните, моретата и морските ресурси за устойчиво развитие“.</w:t>
      </w:r>
    </w:p>
    <w:p w:rsidR="00467251" w:rsidRDefault="00E55EA0">
      <w:pPr>
        <w:rPr>
          <w:rFonts w:ascii="Times New Roman" w:hAnsi="Times New Roman"/>
          <w:b/>
          <w:noProof/>
          <w:sz w:val="28"/>
        </w:rPr>
      </w:pPr>
      <w:r>
        <w:rPr>
          <w:rFonts w:ascii="Times New Roman" w:hAnsi="Times New Roman"/>
          <w:b/>
          <w:noProof/>
          <w:sz w:val="28"/>
        </w:rPr>
        <w:br w:type="page"/>
      </w:r>
    </w:p>
    <w:p w:rsidR="00467251" w:rsidRDefault="00E55EA0">
      <w:pPr>
        <w:jc w:val="center"/>
        <w:rPr>
          <w:rFonts w:ascii="Times New Roman" w:hAnsi="Times New Roman" w:cs="Times New Roman"/>
          <w:b/>
          <w:noProof/>
          <w:sz w:val="24"/>
          <w:szCs w:val="24"/>
        </w:rPr>
      </w:pPr>
      <w:r>
        <w:rPr>
          <w:rFonts w:ascii="Times New Roman" w:hAnsi="Times New Roman"/>
          <w:b/>
          <w:noProof/>
          <w:sz w:val="28"/>
        </w:rPr>
        <w:t>Преглед на напредъка п</w:t>
      </w:r>
      <w:r>
        <w:rPr>
          <w:rFonts w:ascii="Times New Roman" w:hAnsi="Times New Roman"/>
          <w:b/>
          <w:noProof/>
          <w:sz w:val="28"/>
        </w:rPr>
        <w:t>о ЦУР в контекста на ЕС</w:t>
      </w:r>
      <w:r>
        <w:rPr>
          <w:rStyle w:val="FootnoteReference"/>
          <w:rFonts w:ascii="Times New Roman" w:hAnsi="Times New Roman"/>
          <w:b/>
          <w:noProof/>
        </w:rPr>
        <w:footnoteReference w:id="2"/>
      </w:r>
    </w:p>
    <w:p w:rsidR="00467251" w:rsidRDefault="00E55EA0">
      <w:pPr>
        <w:jc w:val="center"/>
        <w:rPr>
          <w:rFonts w:ascii="Times New Roman" w:hAnsi="Times New Roman" w:cs="Times New Roman"/>
          <w:noProof/>
        </w:rPr>
      </w:pPr>
      <w:r>
        <w:rPr>
          <w:noProof/>
          <w:lang w:val="en-GB" w:eastAsia="en-GB" w:bidi="ar-SA"/>
        </w:rPr>
        <w:drawing>
          <wp:inline distT="0" distB="0" distL="0" distR="0">
            <wp:extent cx="5760720" cy="74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760720" cy="7400025"/>
                    </a:xfrm>
                    <a:prstGeom prst="rect">
                      <a:avLst/>
                    </a:prstGeom>
                  </pic:spPr>
                </pic:pic>
              </a:graphicData>
            </a:graphic>
          </wp:inline>
        </w:drawing>
      </w: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806400" cy="79920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06400" cy="7992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C00000"/>
                <w:sz w:val="24"/>
                <w:szCs w:val="24"/>
              </w:rPr>
            </w:pPr>
            <w:r>
              <w:rPr>
                <w:rFonts w:ascii="Times New Roman" w:hAnsi="Times New Roman"/>
                <w:b/>
                <w:noProof/>
                <w:color w:val="C00000"/>
                <w:sz w:val="24"/>
              </w:rPr>
              <w:t>Премахване на бедността във всичките ѝ форми и навсякъде</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color w:val="auto"/>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pStyle w:val="Default"/>
              <w:jc w:val="both"/>
              <w:rPr>
                <w:iCs/>
                <w:noProof/>
                <w:color w:val="auto"/>
              </w:rPr>
            </w:pPr>
            <w:r>
              <w:rPr>
                <w:rFonts w:eastAsiaTheme="majorEastAsia"/>
                <w:b w:val="0"/>
                <w:noProof/>
                <w:color w:val="auto"/>
              </w:rPr>
              <w:t xml:space="preserve">Въпреки че ЕС е на челни позиции в повечето направления в областта на заетостта и социалните въпроси, нашето общество все още е </w:t>
            </w:r>
            <w:r>
              <w:rPr>
                <w:rFonts w:eastAsiaTheme="majorEastAsia"/>
                <w:b w:val="0"/>
                <w:noProof/>
                <w:color w:val="auto"/>
              </w:rPr>
              <w:t>изправено пред предизвикателства, които трябва да бъдат преодолени. Бедността пречи на хората да реализират своя потенциал, да участват активно в обществото и да упражняват правата си на достъп до качествени услуги. Бедността има много измерения: тя не е п</w:t>
            </w:r>
            <w:r>
              <w:rPr>
                <w:rFonts w:eastAsiaTheme="majorEastAsia"/>
                <w:b w:val="0"/>
                <w:noProof/>
                <w:color w:val="auto"/>
              </w:rPr>
              <w:t>росто липсата на адекватен доход, а включва и други аспекти, от материалните лишения, до дискриминацията и неучастието в процеса на вземане на решения.</w:t>
            </w:r>
            <w:r>
              <w:rPr>
                <w:noProof/>
              </w:rPr>
              <w:t xml:space="preserve"> </w:t>
            </w:r>
            <w:r>
              <w:rPr>
                <w:rFonts w:eastAsiaTheme="majorEastAsia"/>
                <w:b w:val="0"/>
                <w:noProof/>
                <w:color w:val="auto"/>
              </w:rPr>
              <w:t>Бедността може да просъществува във времето и да се пренася от поколение на поколение. За премахването н</w:t>
            </w:r>
            <w:r>
              <w:rPr>
                <w:rFonts w:eastAsiaTheme="majorEastAsia"/>
                <w:b w:val="0"/>
                <w:noProof/>
                <w:color w:val="auto"/>
              </w:rPr>
              <w:t>а бедността във вътрешен и външен план ЕС предприе действия в различни области, включително законодателна намеса, специално финансиране, координиране на политиките, насърчаване на корпоративната социална отговорност / отговорно бизнес поведение и на социал</w:t>
            </w:r>
            <w:r>
              <w:rPr>
                <w:rFonts w:eastAsiaTheme="majorEastAsia"/>
                <w:b w:val="0"/>
                <w:noProof/>
                <w:color w:val="auto"/>
              </w:rPr>
              <w:t xml:space="preserve">ния диалог, като същевременно зачита своите компетенции и принципите на субсидиарност и пропорционалност. </w:t>
            </w:r>
            <w:r>
              <w:rPr>
                <w:b w:val="0"/>
                <w:noProof/>
              </w:rPr>
              <w:t>През 2017 г. за първи път от началото на световната криза броят на хората, изложени на риск от бедност или социално изключване в ЕС, намаля под рефере</w:t>
            </w:r>
            <w:r>
              <w:rPr>
                <w:b w:val="0"/>
                <w:noProof/>
              </w:rPr>
              <w:t>нтната 2008 година</w:t>
            </w:r>
            <w:r>
              <w:rPr>
                <w:noProof/>
              </w:rPr>
              <w:t>:</w:t>
            </w:r>
            <w:r>
              <w:rPr>
                <w:rFonts w:eastAsiaTheme="majorEastAsia"/>
                <w:b w:val="0"/>
                <w:noProof/>
                <w:color w:val="auto"/>
              </w:rPr>
              <w:t xml:space="preserve"> 3,1 милиона души, застрашени от бедност или социално изключване, по-малко в сравнение с 2008 г. или 10,8 милиона души по-малко в сравнение с върховото ниво от 2012 г. Въпреки това, целта на ЕС за изваждане на поне 20 милиона души от пол</w:t>
            </w:r>
            <w:r>
              <w:rPr>
                <w:rFonts w:eastAsiaTheme="majorEastAsia"/>
                <w:b w:val="0"/>
                <w:noProof/>
                <w:color w:val="auto"/>
              </w:rPr>
              <w:t>ожение на бедност или социално изключване до 2020 г. в сравнение с 2008 г. продължава да бъде сериозно предизвикателство. Лицата в уязвимо положение, като например децата, младите хора, хората с увреждания, хората с ниско ниво на образование, безработните,</w:t>
            </w:r>
            <w:r>
              <w:rPr>
                <w:rFonts w:eastAsiaTheme="majorEastAsia"/>
                <w:b w:val="0"/>
                <w:noProof/>
                <w:color w:val="auto"/>
              </w:rPr>
              <w:t xml:space="preserve"> хората, родени извън ЕС, хората от маргинализирани общности, тези, които живеят в домакинства с много ниска степен на трудова заетост или работещи при несигурна заетост са с по-висок риск от бедност или социално изключване. </w:t>
            </w:r>
            <w:r>
              <w:rPr>
                <w:b w:val="0"/>
                <w:noProof/>
              </w:rPr>
              <w:t>Във външен план ЕС има водеща р</w:t>
            </w:r>
            <w:r>
              <w:rPr>
                <w:b w:val="0"/>
                <w:noProof/>
              </w:rPr>
              <w:t>оля в приноса за премахване на бедността благодарение на съгласуван набор от политики, включително сътрудничеството за развитие, различните инструменти на търговската политика и европейската политика за съседство и политиката на разширяване. Изкореняването</w:t>
            </w:r>
            <w:r>
              <w:rPr>
                <w:b w:val="0"/>
                <w:noProof/>
              </w:rPr>
              <w:t xml:space="preserve"> на бедността, борбата с дискриминацията и неравенствата и стремежът никой да не бъде изоставен бяха поставени в центъра на Европейския консенсус за развитие (рамката за сътрудничество за развитие на ЕС и неговите държави членки). Споразуменията за свободн</w:t>
            </w:r>
            <w:r>
              <w:rPr>
                <w:b w:val="0"/>
                <w:noProof/>
              </w:rPr>
              <w:t>а търговия на ЕС, едностранните търговски преференции и актуализираната през 2017 г. стратегия за подпомагане на търговията съдействат за намаляване на бедността в развиващите се страни.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1"/>
              </w:numPr>
              <w:ind w:left="142" w:hanging="142"/>
              <w:jc w:val="both"/>
              <w:rPr>
                <w:rFonts w:ascii="Times New Roman" w:eastAsiaTheme="majorEastAsia" w:hAnsi="Times New Roman" w:cs="Times New Roman"/>
                <w:iCs/>
                <w:noProof/>
                <w:sz w:val="24"/>
                <w:szCs w:val="24"/>
              </w:rPr>
            </w:pPr>
            <w:r>
              <w:rPr>
                <w:rFonts w:ascii="Times New Roman" w:eastAsiaTheme="majorEastAsia" w:hAnsi="Times New Roman"/>
                <w:b w:val="0"/>
                <w:noProof/>
                <w:sz w:val="24"/>
              </w:rPr>
              <w:t xml:space="preserve">По последни данни през 2017 г. около 112,9 милиона души или 22,5 % от населението на ЕС бяха изложени на </w:t>
            </w:r>
            <w:r>
              <w:rPr>
                <w:rFonts w:ascii="Times New Roman" w:eastAsiaTheme="majorEastAsia" w:hAnsi="Times New Roman"/>
                <w:noProof/>
                <w:sz w:val="24"/>
              </w:rPr>
              <w:t>риск от бедност или социално изключване</w:t>
            </w:r>
            <w:r>
              <w:rPr>
                <w:rFonts w:ascii="Times New Roman" w:eastAsiaTheme="majorEastAsia" w:hAnsi="Times New Roman"/>
                <w:b w:val="0"/>
                <w:noProof/>
                <w:sz w:val="24"/>
              </w:rPr>
              <w:t>, т.е. се намираха в едно от следните положения: изложеност на риск от изпадане в бедност, тежки материални лише</w:t>
            </w:r>
            <w:r>
              <w:rPr>
                <w:rFonts w:ascii="Times New Roman" w:eastAsiaTheme="majorEastAsia" w:hAnsi="Times New Roman"/>
                <w:b w:val="0"/>
                <w:noProof/>
                <w:sz w:val="24"/>
              </w:rPr>
              <w:t>ния или много нисък интензитет на икономическа активност. Това е продължение на низходящата тенденция от 2012 г. насам, когато броят на хората, изложени на риск от бедност или социално изключване, достигна своя връх от 123.8 милиона души. В целия ЕС жените</w:t>
            </w:r>
            <w:r>
              <w:rPr>
                <w:rFonts w:ascii="Times New Roman" w:eastAsiaTheme="majorEastAsia" w:hAnsi="Times New Roman"/>
                <w:b w:val="0"/>
                <w:noProof/>
                <w:sz w:val="24"/>
              </w:rPr>
              <w:t xml:space="preserve"> са изправени пред по-голям риск от бедност, преди всичко поради неравенствата между половете на пазара на труда в течение на трудовата кариера.</w:t>
            </w:r>
            <w:r>
              <w:rPr>
                <w:rFonts w:ascii="Times New Roman" w:eastAsiaTheme="majorEastAsia" w:hAnsi="Times New Roman"/>
                <w:noProof/>
                <w:sz w:val="24"/>
              </w:rPr>
              <w:t xml:space="preserve"> </w:t>
            </w:r>
            <w:r>
              <w:rPr>
                <w:rFonts w:ascii="Times New Roman" w:eastAsiaTheme="majorEastAsia" w:hAnsi="Times New Roman"/>
                <w:b w:val="0"/>
                <w:noProof/>
                <w:sz w:val="24"/>
              </w:rPr>
              <w:t>Макар и да намалява, в повечето държави членки процентът на децата (на възраст 0—17 г.), които са изложени на р</w:t>
            </w:r>
            <w:r>
              <w:rPr>
                <w:rFonts w:ascii="Times New Roman" w:eastAsiaTheme="majorEastAsia" w:hAnsi="Times New Roman"/>
                <w:b w:val="0"/>
                <w:noProof/>
                <w:sz w:val="24"/>
              </w:rPr>
              <w:t>иск от бедност или социално изключване, продължава да бъде значително над този за останалата част от населението. В рамките на ЕС продължават да съществуват значителни различия между отделните държави.</w:t>
            </w:r>
          </w:p>
          <w:p w:rsidR="00467251" w:rsidRDefault="00E55EA0">
            <w:pPr>
              <w:pStyle w:val="ListParagraph"/>
              <w:numPr>
                <w:ilvl w:val="0"/>
                <w:numId w:val="1"/>
              </w:numPr>
              <w:ind w:left="142" w:hanging="142"/>
              <w:jc w:val="both"/>
              <w:rPr>
                <w:rFonts w:ascii="Times New Roman" w:eastAsiaTheme="majorEastAsia" w:hAnsi="Times New Roman" w:cs="Times New Roman"/>
                <w:iCs/>
                <w:noProof/>
                <w:sz w:val="24"/>
                <w:szCs w:val="24"/>
              </w:rPr>
            </w:pPr>
            <w:r>
              <w:rPr>
                <w:rFonts w:ascii="Times New Roman" w:hAnsi="Times New Roman"/>
                <w:b w:val="0"/>
                <w:noProof/>
                <w:sz w:val="24"/>
              </w:rPr>
              <w:t xml:space="preserve">Делът на </w:t>
            </w:r>
            <w:r>
              <w:rPr>
                <w:rFonts w:ascii="Times New Roman" w:hAnsi="Times New Roman"/>
                <w:noProof/>
                <w:sz w:val="24"/>
              </w:rPr>
              <w:t>хората, изложени на риск от бедност поради ни</w:t>
            </w:r>
            <w:r>
              <w:rPr>
                <w:rFonts w:ascii="Times New Roman" w:hAnsi="Times New Roman"/>
                <w:noProof/>
                <w:sz w:val="24"/>
              </w:rPr>
              <w:t>ски доходи</w:t>
            </w:r>
            <w:r>
              <w:rPr>
                <w:rFonts w:ascii="Times New Roman" w:hAnsi="Times New Roman"/>
                <w:b w:val="0"/>
                <w:noProof/>
                <w:sz w:val="24"/>
              </w:rPr>
              <w:t>, нарастваше в продължение на няколко години след кризата, но се стабилизира през периода 2015—2016 г. (около 17,3 %), а през 2017 г. намаля до 16,9 % от населението на ЕС благодарение на текущото икономическо възстановяване и подобряването на ус</w:t>
            </w:r>
            <w:r>
              <w:rPr>
                <w:rFonts w:ascii="Times New Roman" w:hAnsi="Times New Roman"/>
                <w:b w:val="0"/>
                <w:noProof/>
                <w:sz w:val="24"/>
              </w:rPr>
              <w:t>ловията на пазара на труда. Що се отнася до работещите бедни, през 2017 г. 9,6 % от заетите лица бяха засегнати от бедност поради ниски доходи. През последните четири години този цял се е стабилизирал, макар и на по-високо ниво от това през 2008 г. (8,6 %)</w:t>
            </w:r>
            <w:r>
              <w:rPr>
                <w:rFonts w:ascii="Times New Roman" w:hAnsi="Times New Roman"/>
                <w:b w:val="0"/>
                <w:noProof/>
                <w:sz w:val="24"/>
              </w:rPr>
              <w:t>.</w:t>
            </w:r>
          </w:p>
          <w:p w:rsidR="00467251" w:rsidRDefault="00E55EA0">
            <w:pPr>
              <w:pStyle w:val="ListParagraph"/>
              <w:numPr>
                <w:ilvl w:val="0"/>
                <w:numId w:val="1"/>
              </w:numPr>
              <w:ind w:left="142" w:hanging="142"/>
              <w:jc w:val="both"/>
              <w:rPr>
                <w:rFonts w:ascii="Times New Roman" w:eastAsiaTheme="majorEastAsia" w:hAnsi="Times New Roman" w:cs="Times New Roman"/>
                <w:b w:val="0"/>
                <w:iCs/>
                <w:noProof/>
                <w:sz w:val="24"/>
                <w:szCs w:val="24"/>
              </w:rPr>
            </w:pPr>
            <w:r>
              <w:rPr>
                <w:rFonts w:ascii="Times New Roman" w:eastAsiaTheme="majorEastAsia" w:hAnsi="Times New Roman"/>
                <w:noProof/>
                <w:sz w:val="24"/>
              </w:rPr>
              <w:t>Делът на хората, които изпитват тежки материални лишения</w:t>
            </w:r>
            <w:r>
              <w:rPr>
                <w:rFonts w:ascii="Times New Roman" w:eastAsiaTheme="majorEastAsia" w:hAnsi="Times New Roman"/>
                <w:b w:val="0"/>
                <w:noProof/>
                <w:sz w:val="24"/>
              </w:rPr>
              <w:t>, намаляваше последователно след своя пик от 9,9 % през 2012 г., за да достигне през 2017 г. 6,9 % от населението на ЕС, и е под равнището от 2008 г. (8,5 %); това означава, че около един на всеки 1</w:t>
            </w:r>
            <w:r>
              <w:rPr>
                <w:rFonts w:ascii="Times New Roman" w:eastAsiaTheme="majorEastAsia" w:hAnsi="Times New Roman"/>
                <w:b w:val="0"/>
                <w:noProof/>
                <w:sz w:val="24"/>
              </w:rPr>
              <w:t xml:space="preserve">4 души не разполага с достатъчно средства, например за да плаща битовите си сметки, да поддържа адекватно отопление в жилището си или да си позволи едноседмична почивка извън дома. </w:t>
            </w:r>
          </w:p>
          <w:p w:rsidR="00467251" w:rsidRDefault="00E55EA0">
            <w:pPr>
              <w:pStyle w:val="ListParagraph"/>
              <w:numPr>
                <w:ilvl w:val="0"/>
                <w:numId w:val="1"/>
              </w:numPr>
              <w:ind w:left="142" w:hanging="142"/>
              <w:jc w:val="both"/>
              <w:rPr>
                <w:rFonts w:ascii="Times New Roman" w:eastAsiaTheme="majorEastAsia" w:hAnsi="Times New Roman" w:cs="Times New Roman"/>
                <w:iCs/>
                <w:noProof/>
                <w:sz w:val="24"/>
                <w:szCs w:val="24"/>
              </w:rPr>
            </w:pPr>
            <w:r>
              <w:rPr>
                <w:rFonts w:ascii="Times New Roman" w:eastAsiaTheme="majorEastAsia" w:hAnsi="Times New Roman"/>
                <w:b w:val="0"/>
                <w:noProof/>
                <w:sz w:val="24"/>
              </w:rPr>
              <w:t>За хората, изложени на риск от бедност, има по-голяма вероятност да обитав</w:t>
            </w:r>
            <w:r>
              <w:rPr>
                <w:rFonts w:ascii="Times New Roman" w:eastAsiaTheme="majorEastAsia" w:hAnsi="Times New Roman"/>
                <w:b w:val="0"/>
                <w:noProof/>
                <w:sz w:val="24"/>
              </w:rPr>
              <w:t xml:space="preserve">ат </w:t>
            </w:r>
            <w:r>
              <w:rPr>
                <w:rFonts w:ascii="Times New Roman" w:eastAsiaTheme="majorEastAsia" w:hAnsi="Times New Roman"/>
                <w:noProof/>
                <w:sz w:val="24"/>
              </w:rPr>
              <w:t>жилища с редица недостатъци</w:t>
            </w:r>
            <w:r>
              <w:rPr>
                <w:rFonts w:ascii="Times New Roman" w:eastAsiaTheme="majorEastAsia" w:hAnsi="Times New Roman"/>
                <w:b w:val="0"/>
                <w:noProof/>
                <w:sz w:val="24"/>
              </w:rPr>
              <w:t>, като например теч от покрива, влажни стени или липса на основни санитарни съоръжения. Въпреки низходящата тенденция, през 2017 г. това положение засягаше 13,1 % от населението на ЕС.</w:t>
            </w:r>
            <w:r>
              <w:rPr>
                <w:rFonts w:ascii="Times New Roman" w:eastAsiaTheme="majorEastAsia" w:hAnsi="Times New Roman"/>
                <w:noProof/>
                <w:sz w:val="24"/>
                <w:highlight w:val="yellow"/>
              </w:rPr>
              <w:t xml:space="preserve">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Световна класация </w:t>
            </w:r>
          </w:p>
          <w:p w:rsidR="00467251" w:rsidRDefault="00E55EA0">
            <w:pPr>
              <w:pStyle w:val="ListParagraph"/>
              <w:ind w:left="29"/>
              <w:jc w:val="both"/>
              <w:rPr>
                <w:rFonts w:ascii="Times New Roman" w:eastAsiaTheme="majorEastAsia" w:hAnsi="Times New Roman" w:cs="Times New Roman"/>
                <w:b w:val="0"/>
                <w:iCs/>
                <w:noProof/>
                <w:sz w:val="24"/>
                <w:szCs w:val="24"/>
              </w:rPr>
            </w:pPr>
            <w:r>
              <w:rPr>
                <w:rFonts w:ascii="Times New Roman" w:eastAsiaTheme="majorEastAsia" w:hAnsi="Times New Roman"/>
                <w:b w:val="0"/>
                <w:noProof/>
                <w:sz w:val="24"/>
              </w:rPr>
              <w:t>Според общия доклад „Индекс и показатели за ЦУР, 2018 г.“ (Bertelsmann Stiftung и Sustainable Development Solutions Network) всички държави — членки на ЕС, постигат над 95 от общо 100 точки за ЦУР 1, като това е средно най-добре класираната цел за държавит</w:t>
            </w:r>
            <w:r>
              <w:rPr>
                <w:rFonts w:ascii="Times New Roman" w:eastAsiaTheme="majorEastAsia" w:hAnsi="Times New Roman"/>
                <w:b w:val="0"/>
                <w:noProof/>
                <w:sz w:val="24"/>
              </w:rPr>
              <w:t xml:space="preserve">е — членки на ЕС.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Въпреки че все още ще има сериозни предизвикателства, до 2030 г. се очаква ЕС да е постигнал по-нататъшен значителен напредък в борбата с бедността и социалн</w:t>
            </w:r>
            <w:r>
              <w:rPr>
                <w:rFonts w:ascii="Times New Roman" w:hAnsi="Times New Roman"/>
                <w:b w:val="0"/>
                <w:noProof/>
                <w:sz w:val="24"/>
              </w:rPr>
              <w:t xml:space="preserve">ото изключване. Ръстът на заетостта ще играе важна роля, но няма да бъде достатъчен за извеждане на всички хора от бедността. Достъпът за всички до адекватна социална закрила, качествени здравни грижи, образование, жилищно настаняване и социални услуги ще </w:t>
            </w:r>
            <w:r>
              <w:rPr>
                <w:rFonts w:ascii="Times New Roman" w:hAnsi="Times New Roman"/>
                <w:b w:val="0"/>
                <w:noProof/>
                <w:sz w:val="24"/>
              </w:rPr>
              <w:t>трябва да бъде адаптиран към бъдещите демографски промени, новите технологии, променящите се форми на заетост, предизвикателствата, свързани с миграцията и изменението на климата. От широк кръг заинтересовани страни на всички равнища, включително местно, н</w:t>
            </w:r>
            <w:r>
              <w:rPr>
                <w:rFonts w:ascii="Times New Roman" w:hAnsi="Times New Roman"/>
                <w:b w:val="0"/>
                <w:noProof/>
                <w:sz w:val="24"/>
              </w:rPr>
              <w:t>ационално и европейско, се очаква непрекъснат напредък. Външните политики на ЕС ще продължат да допринасят за изкореняването на бедността в трети държави.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rsidP="00E55EA0">
            <w:pPr>
              <w:keepNext/>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Лостове на политиките, свързани със заетостта и социалното </w:t>
            </w:r>
            <w:r>
              <w:rPr>
                <w:rFonts w:ascii="Times New Roman" w:eastAsiaTheme="majorEastAsia" w:hAnsi="Times New Roman"/>
                <w:b w:val="0"/>
                <w:noProof/>
                <w:sz w:val="24"/>
              </w:rPr>
              <w:t>благоденствие (по-специално системите за социална закрила и социално приобщаване, политиките за пазара на труда, равенството между половете, нивото на образование, ученето през целия живот, здравеопазването и дългосрочните грижи), равен достъп до новите те</w:t>
            </w:r>
            <w:r>
              <w:rPr>
                <w:rFonts w:ascii="Times New Roman" w:eastAsiaTheme="majorEastAsia" w:hAnsi="Times New Roman"/>
                <w:b w:val="0"/>
                <w:noProof/>
                <w:sz w:val="24"/>
              </w:rPr>
              <w:t>хнологии, социални иновации, устойчиво финансиране, многостранно сътрудничество, отворена и справедлива търговия, ангажираност на обществото и участие в политическия живот, корпоративна социална отговорност / отговорно бизнес поведение, данъчно облагане.</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rsidP="00E55EA0">
            <w:pPr>
              <w:keepNext/>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Неравенство по отношение на възможностите, застаряващи общества, промяна на състава на домакинството (напр. едночленни домакинства), изменението на климата, отслабване на политиките и движенията за равенство между полове</w:t>
            </w:r>
            <w:r>
              <w:rPr>
                <w:rFonts w:ascii="Times New Roman" w:hAnsi="Times New Roman"/>
                <w:b w:val="0"/>
                <w:noProof/>
                <w:sz w:val="24"/>
              </w:rPr>
              <w:t xml:space="preserve">те, геополитическа нестабилност и опасности за сигурността, връщане към икономическия протекционизъм в световен мащаб, сегментация на пазара на труда и несигурност на работните места, цифрово разделение.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ЕС: </w:t>
            </w:r>
            <w:hyperlink r:id="rId81">
              <w:r>
                <w:rPr>
                  <w:rFonts w:ascii="Times New Roman" w:eastAsiaTheme="majorEastAsia" w:hAnsi="Times New Roman"/>
                  <w:b w:val="0"/>
                  <w:noProof/>
                  <w:sz w:val="24"/>
                </w:rPr>
                <w:t>Европейският стълб на социалните права</w:t>
              </w:r>
            </w:hyperlink>
            <w:r>
              <w:rPr>
                <w:rFonts w:ascii="Times New Roman" w:eastAsiaTheme="majorEastAsia" w:hAnsi="Times New Roman"/>
                <w:b w:val="0"/>
                <w:noProof/>
                <w:sz w:val="24"/>
              </w:rPr>
              <w:t xml:space="preserve"> представлява основната рамка за борба с бедността на равнище ЕС. Повечето от н</w:t>
            </w:r>
            <w:r>
              <w:rPr>
                <w:rFonts w:ascii="Times New Roman" w:eastAsiaTheme="majorEastAsia" w:hAnsi="Times New Roman"/>
                <w:b w:val="0"/>
                <w:noProof/>
                <w:sz w:val="24"/>
              </w:rPr>
              <w:t>еговите 20 принципа са пряко насочени към направленията на ЦУР относно бедността, като например намаляване на бедността във всички нейни измерения, изпълнение на подходящи в национален контекст системи за закрила и създаване на стабилни политически рамки в</w:t>
            </w:r>
            <w:r>
              <w:rPr>
                <w:rFonts w:ascii="Times New Roman" w:eastAsiaTheme="majorEastAsia" w:hAnsi="Times New Roman"/>
                <w:b w:val="0"/>
                <w:noProof/>
                <w:sz w:val="24"/>
              </w:rPr>
              <w:t xml:space="preserve"> подкрепа на инвестиции в областта на изкореняването на бедността. Наборът от социални показатели подпомага наблюдението на постигнатите резултати и проследяването на тенденциите в държавите членки в областта на заетостта и социалните въпроси, включително </w:t>
            </w:r>
            <w:r>
              <w:rPr>
                <w:rFonts w:ascii="Times New Roman" w:eastAsiaTheme="majorEastAsia" w:hAnsi="Times New Roman"/>
                <w:b w:val="0"/>
                <w:noProof/>
                <w:sz w:val="24"/>
              </w:rPr>
              <w:t xml:space="preserve">на риска от бедност или социално изключване.   </w:t>
            </w: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държави членки: </w:t>
            </w:r>
            <w:r>
              <w:rPr>
                <w:rFonts w:ascii="Times New Roman" w:eastAsiaTheme="majorEastAsia" w:hAnsi="Times New Roman"/>
                <w:b w:val="0"/>
                <w:noProof/>
                <w:sz w:val="24"/>
              </w:rPr>
              <w:t>Португалия предприе няколко мерки за укрепване на социалната закрила и борбата срещу бедността, социалното изключване и неравенствата. Така нареченият „пакет за доходите“ подкрепя д</w:t>
            </w:r>
            <w:r>
              <w:rPr>
                <w:rFonts w:ascii="Times New Roman" w:eastAsiaTheme="majorEastAsia" w:hAnsi="Times New Roman"/>
                <w:b w:val="0"/>
                <w:noProof/>
                <w:sz w:val="24"/>
              </w:rPr>
              <w:t>оходите на домакинствата чрез актуализиране на размера на пенсиите, възстановяване на референтната стойност за социално солидарните доходи, както и скалите за еквивалентност на минималния доход, и увеличаване на по-ниските равнища на детски и семейни помощ</w:t>
            </w:r>
            <w:r>
              <w:rPr>
                <w:rFonts w:ascii="Times New Roman" w:eastAsiaTheme="majorEastAsia" w:hAnsi="Times New Roman"/>
                <w:b w:val="0"/>
                <w:noProof/>
                <w:sz w:val="24"/>
              </w:rPr>
              <w:t xml:space="preserve">и. Индексът за социално подпомагане — референтната стойност за мерките за социална закрила — беше завишен, а покритието на схемата за минимален доход беше разширено. </w:t>
            </w:r>
          </w:p>
          <w:p w:rsidR="00467251" w:rsidRDefault="00467251">
            <w:pPr>
              <w:jc w:val="both"/>
              <w:rPr>
                <w:rFonts w:ascii="Times New Roman" w:eastAsiaTheme="majorEastAsia" w:hAnsi="Times New Roman" w:cs="Times New Roman"/>
                <w:b w:val="0"/>
                <w:iCs/>
                <w:noProof/>
                <w:sz w:val="24"/>
                <w:szCs w:val="24"/>
              </w:rPr>
            </w:pP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На регионално/местно равнище:</w:t>
            </w:r>
            <w:r>
              <w:rPr>
                <w:rFonts w:ascii="Times New Roman" w:eastAsiaTheme="majorEastAsia" w:hAnsi="Times New Roman"/>
                <w:noProof/>
                <w:sz w:val="24"/>
              </w:rPr>
              <w:t xml:space="preserve"> </w:t>
            </w:r>
            <w:r>
              <w:rPr>
                <w:rFonts w:ascii="Times New Roman" w:eastAsiaTheme="majorEastAsia" w:hAnsi="Times New Roman"/>
                <w:b w:val="0"/>
                <w:noProof/>
                <w:sz w:val="24"/>
              </w:rPr>
              <w:t>през периода 2015—2018 г. град Мюнхен в Германия осъществи</w:t>
            </w:r>
            <w:r>
              <w:rPr>
                <w:rFonts w:ascii="Times New Roman" w:eastAsiaTheme="majorEastAsia" w:hAnsi="Times New Roman"/>
                <w:b w:val="0"/>
                <w:noProof/>
                <w:sz w:val="24"/>
              </w:rPr>
              <w:t xml:space="preserve"> няколко инициативи с помощта на Европейския социален фонд, насочени към подпомагане на интегрирането на безработните на местния пазар на труда, и по този начин допринесе за намаляване на бедността. Инициативите включваха проекта „Work &amp; Act“, който позвол</w:t>
            </w:r>
            <w:r>
              <w:rPr>
                <w:rFonts w:ascii="Times New Roman" w:eastAsiaTheme="majorEastAsia" w:hAnsi="Times New Roman"/>
                <w:b w:val="0"/>
                <w:noProof/>
                <w:sz w:val="24"/>
              </w:rPr>
              <w:t>и на безработни да намерят работа, проекта „Power-M“, който подкрепи предоставянето на повече възможности за жените да се върнат на работа след отпуск по майчинство, проекта „Guide“, който предложи насоки за жените предприемачи, и проектите „FIBA“ и „Migra</w:t>
            </w:r>
            <w:r>
              <w:rPr>
                <w:rFonts w:ascii="Times New Roman" w:eastAsiaTheme="majorEastAsia" w:hAnsi="Times New Roman"/>
                <w:b w:val="0"/>
                <w:noProof/>
                <w:sz w:val="24"/>
              </w:rPr>
              <w:t>Net“, които подкрепяха интеграцията на мигрантите на пазара на труда.</w:t>
            </w:r>
          </w:p>
          <w:p w:rsidR="00467251" w:rsidRDefault="00467251">
            <w:pPr>
              <w:jc w:val="both"/>
              <w:rPr>
                <w:rFonts w:ascii="Times New Roman" w:eastAsiaTheme="majorEastAsia" w:hAnsi="Times New Roman" w:cs="Times New Roman"/>
                <w:b w:val="0"/>
                <w:iCs/>
                <w:noProof/>
                <w:sz w:val="24"/>
                <w:szCs w:val="24"/>
              </w:rPr>
            </w:pP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предприятия: </w:t>
            </w:r>
            <w:r>
              <w:rPr>
                <w:rFonts w:ascii="Times New Roman" w:eastAsiaTheme="majorEastAsia" w:hAnsi="Times New Roman"/>
                <w:b w:val="0"/>
                <w:noProof/>
                <w:sz w:val="24"/>
              </w:rPr>
              <w:t>Naturgy, дружество за газ и електроенергия в Испания, е въвело план за енергийна уязвимост, който гарантира защита на уязвимите клиенти. Социалното въздействие н</w:t>
            </w:r>
            <w:r>
              <w:rPr>
                <w:rFonts w:ascii="Times New Roman" w:eastAsiaTheme="majorEastAsia" w:hAnsi="Times New Roman"/>
                <w:b w:val="0"/>
                <w:noProof/>
                <w:sz w:val="24"/>
              </w:rPr>
              <w:t xml:space="preserve">а плана се стреми да позиционира новото частно предприятие като катализатор в борбата с бедността и и да подкрепя социалните работници в борбата със социалното изключване. </w:t>
            </w:r>
          </w:p>
          <w:p w:rsidR="00467251" w:rsidRDefault="00467251">
            <w:pPr>
              <w:jc w:val="both"/>
              <w:rPr>
                <w:rFonts w:ascii="Times New Roman" w:eastAsiaTheme="majorEastAsia" w:hAnsi="Times New Roman" w:cs="Times New Roman"/>
                <w:b w:val="0"/>
                <w:iCs/>
                <w:noProof/>
                <w:sz w:val="24"/>
                <w:szCs w:val="24"/>
              </w:rPr>
            </w:pPr>
          </w:p>
          <w:p w:rsidR="00467251" w:rsidRDefault="00E55EA0">
            <w:pPr>
              <w:jc w:val="both"/>
              <w:rPr>
                <w:rFonts w:ascii="Times New Roman" w:eastAsiaTheme="majorEastAsia" w:hAnsi="Times New Roman" w:cs="Times New Roman"/>
                <w:b w:val="0"/>
                <w:iCs/>
                <w:noProof/>
                <w:sz w:val="24"/>
                <w:szCs w:val="24"/>
              </w:rPr>
            </w:pPr>
            <w:r>
              <w:rPr>
                <w:rFonts w:ascii="Times New Roman" w:hAnsi="Times New Roman"/>
                <w:i/>
                <w:noProof/>
                <w:sz w:val="24"/>
              </w:rPr>
              <w:t>На равнище гражданско общество:</w:t>
            </w:r>
            <w:r>
              <w:rPr>
                <w:rFonts w:ascii="Times New Roman" w:hAnsi="Times New Roman"/>
                <w:noProof/>
                <w:sz w:val="24"/>
              </w:rPr>
              <w:t xml:space="preserve"> </w:t>
            </w:r>
            <w:r>
              <w:rPr>
                <w:rFonts w:ascii="Times New Roman" w:hAnsi="Times New Roman"/>
                <w:b w:val="0"/>
                <w:noProof/>
                <w:sz w:val="24"/>
              </w:rPr>
              <w:t>Европейската мрежа за минимален доход провежда инф</w:t>
            </w:r>
            <w:r>
              <w:rPr>
                <w:rFonts w:ascii="Times New Roman" w:hAnsi="Times New Roman"/>
                <w:b w:val="0"/>
                <w:noProof/>
                <w:sz w:val="24"/>
              </w:rPr>
              <w:t>ормационни кампании за необходимостта да се осигурят подходящи обезщетения за минимален доход, гарантиращ достоен живот на всички етапи от живота, както и ефективен достъп до основни стоки и услуги. В нея участват различни организации, експерти, специалист</w:t>
            </w:r>
            <w:r>
              <w:rPr>
                <w:rFonts w:ascii="Times New Roman" w:hAnsi="Times New Roman"/>
                <w:b w:val="0"/>
                <w:noProof/>
                <w:sz w:val="24"/>
              </w:rPr>
              <w:t>и, представители на академичните среди и други организации, работещи в областта на борбата с бедността и социалното изключване.</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802800" cy="792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2800" cy="7920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AFA847"/>
                <w:sz w:val="24"/>
                <w:szCs w:val="24"/>
              </w:rPr>
            </w:pPr>
            <w:r>
              <w:rPr>
                <w:rFonts w:ascii="Times New Roman" w:hAnsi="Times New Roman"/>
                <w:b/>
                <w:noProof/>
                <w:color w:val="AFA847"/>
                <w:sz w:val="24"/>
              </w:rPr>
              <w:t xml:space="preserve">Премахване на глада, постигане на продоволствена сигурност и подобряване на храненето, както и насърчаване на устойчивото </w:t>
            </w:r>
            <w:r>
              <w:rPr>
                <w:rFonts w:ascii="Times New Roman" w:hAnsi="Times New Roman"/>
                <w:b/>
                <w:noProof/>
                <w:color w:val="AFA847"/>
                <w:sz w:val="24"/>
              </w:rPr>
              <w:t>селско стопанство</w:t>
            </w:r>
          </w:p>
          <w:p w:rsidR="00467251" w:rsidRDefault="00467251">
            <w:pPr>
              <w:jc w:val="center"/>
              <w:rPr>
                <w:rFonts w:ascii="Times New Roman" w:hAnsi="Times New Roman" w:cs="Times New Roman"/>
                <w:b/>
                <w:noProof/>
                <w:color w:val="AFA847"/>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AFA847"/>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В ЕС постигането на безопасен и здравословен начин на хранене и осигуряването на продуктивни и устойчиви селскостопански системи, рибарство и аквакултура е приоритет. Със своите политики ЕС помага</w:t>
            </w:r>
            <w:r>
              <w:rPr>
                <w:rFonts w:ascii="Times New Roman" w:eastAsiaTheme="majorEastAsia" w:hAnsi="Times New Roman"/>
                <w:b w:val="0"/>
                <w:noProof/>
                <w:sz w:val="24"/>
              </w:rPr>
              <w:t xml:space="preserve"> на фермерите и рибарите да задоволяват търсенето на храна и да предоставят на населението достатъчно безопасни и висококачествени храни, произведени по устойчив начин и на достъпни цени. Устойчивите селско стопанство, рибарство и аквакултура, които отделя</w:t>
            </w:r>
            <w:r>
              <w:rPr>
                <w:rFonts w:ascii="Times New Roman" w:eastAsiaTheme="majorEastAsia" w:hAnsi="Times New Roman"/>
                <w:b w:val="0"/>
                <w:noProof/>
                <w:sz w:val="24"/>
              </w:rPr>
              <w:t>т внимание на хранителните качества на храните, са от съществено значение за осигуряването на постоянни доставки на безопасна и здравословна храна за потребителите, сега и в бъдеще, особено на фона на предизвикателства като изменението на климата и демогра</w:t>
            </w:r>
            <w:r>
              <w:rPr>
                <w:rFonts w:ascii="Times New Roman" w:eastAsiaTheme="majorEastAsia" w:hAnsi="Times New Roman"/>
                <w:b w:val="0"/>
                <w:noProof/>
                <w:sz w:val="24"/>
              </w:rPr>
              <w:t xml:space="preserve">фския растеж. В този контекст износът на ЕС е основен фактор в доставките на храни в световен мащаб. През последното десетилетие производството на храна в Европа продължи да нараства, макар и с по-бавни темпове отколкото в миналото, но едновременно с това </w:t>
            </w:r>
            <w:r>
              <w:rPr>
                <w:rFonts w:ascii="Times New Roman" w:eastAsiaTheme="majorEastAsia" w:hAnsi="Times New Roman"/>
                <w:b w:val="0"/>
                <w:noProof/>
                <w:sz w:val="24"/>
              </w:rPr>
              <w:t>се предприемат мерки за по-добри резултати в селското стопанство, рибарството и аквакултурата във връзка с околната среда и климата, така че да се гарантира дългосрочната устойчивост на тези сектори, отчитайки също и въздействието върху трети държави.</w:t>
            </w:r>
            <w:r>
              <w:rPr>
                <w:rFonts w:ascii="Times New Roman" w:hAnsi="Times New Roman"/>
                <w:noProof/>
                <w:sz w:val="24"/>
              </w:rPr>
              <w:t xml:space="preserve"> </w:t>
            </w:r>
            <w:r>
              <w:rPr>
                <w:rFonts w:ascii="Times New Roman" w:eastAsiaTheme="majorEastAsia" w:hAnsi="Times New Roman"/>
                <w:b w:val="0"/>
                <w:noProof/>
                <w:sz w:val="24"/>
              </w:rPr>
              <w:t>За р</w:t>
            </w:r>
            <w:r>
              <w:rPr>
                <w:rFonts w:ascii="Times New Roman" w:eastAsiaTheme="majorEastAsia" w:hAnsi="Times New Roman"/>
                <w:b w:val="0"/>
                <w:noProof/>
                <w:sz w:val="24"/>
              </w:rPr>
              <w:t xml:space="preserve">азлика от други райони в света, които са застрашени от глад, основните въпроси в ЕС, които са свързани с храненето, се отнасят до наднорменото тегло, затлъстяването и недостига на микроелементи в храната. В световен мащаб две трети от бедните хора в света </w:t>
            </w:r>
            <w:r>
              <w:rPr>
                <w:rFonts w:ascii="Times New Roman" w:eastAsiaTheme="majorEastAsia" w:hAnsi="Times New Roman"/>
                <w:b w:val="0"/>
                <w:noProof/>
                <w:sz w:val="24"/>
              </w:rPr>
              <w:t>живеят в селски райони и зависят от селското стопанство за своето препитание. ЕС винаги е поставял продоволствената и хранителната сигурност в основата на сътрудничеството за развитие и обръща специално внимание на продоволствената сигурност, устойчивото с</w:t>
            </w:r>
            <w:r>
              <w:rPr>
                <w:rFonts w:ascii="Times New Roman" w:eastAsiaTheme="majorEastAsia" w:hAnsi="Times New Roman"/>
                <w:b w:val="0"/>
                <w:noProof/>
                <w:sz w:val="24"/>
              </w:rPr>
              <w:t xml:space="preserve">елско стопанство и рибарство в търговските си отношения и политиките за съседство и разширяване. ЕС е най-големият донор на хуманитарна хранителна помощ за жертвите на хранителни кризи по света и инвестира масово в помощта за страните, изложени на риск от </w:t>
            </w:r>
            <w:r>
              <w:rPr>
                <w:rFonts w:ascii="Times New Roman" w:eastAsiaTheme="majorEastAsia" w:hAnsi="Times New Roman"/>
                <w:b w:val="0"/>
                <w:noProof/>
                <w:sz w:val="24"/>
              </w:rPr>
              <w:t>глад.</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2"/>
              </w:numPr>
              <w:ind w:left="29" w:hanging="142"/>
              <w:jc w:val="both"/>
              <w:rPr>
                <w:rFonts w:ascii="Times New Roman" w:eastAsiaTheme="majorEastAsia" w:hAnsi="Times New Roman" w:cs="Times New Roman"/>
                <w:b w:val="0"/>
                <w:iCs/>
                <w:noProof/>
                <w:sz w:val="24"/>
                <w:szCs w:val="24"/>
              </w:rPr>
            </w:pPr>
            <w:r>
              <w:rPr>
                <w:rFonts w:ascii="Times New Roman" w:hAnsi="Times New Roman"/>
                <w:noProof/>
                <w:sz w:val="24"/>
              </w:rPr>
              <w:t xml:space="preserve">Затлъстяването </w:t>
            </w:r>
            <w:r>
              <w:rPr>
                <w:rFonts w:ascii="Times New Roman" w:hAnsi="Times New Roman"/>
                <w:b w:val="0"/>
                <w:noProof/>
                <w:sz w:val="24"/>
              </w:rPr>
              <w:t>е значителен здравен проблем в ЕС — през 2014 г. 15,9 % от възрастното население страдаше от затлъстяване. Затлъстяването засяга непропорционално хората с по-ниско ниво на образование и по-възрастните хора в Европа. Ако към затлъстяването се добави делът н</w:t>
            </w:r>
            <w:r>
              <w:rPr>
                <w:rFonts w:ascii="Times New Roman" w:hAnsi="Times New Roman"/>
                <w:b w:val="0"/>
                <w:noProof/>
                <w:sz w:val="24"/>
              </w:rPr>
              <w:t xml:space="preserve">а хората с наднормено тегло, проблемът става още по-сериозен, като са засегнати малко над 50 % общо от възрастното население на ЕС и се очаква положението да се влоши през идните години. </w:t>
            </w:r>
          </w:p>
          <w:p w:rsidR="00467251" w:rsidRDefault="00E55EA0">
            <w:pPr>
              <w:pStyle w:val="ListParagraph"/>
              <w:numPr>
                <w:ilvl w:val="0"/>
                <w:numId w:val="2"/>
              </w:numPr>
              <w:ind w:left="29" w:hanging="142"/>
              <w:jc w:val="both"/>
              <w:rPr>
                <w:rFonts w:ascii="Times New Roman" w:eastAsiaTheme="majorEastAsia" w:hAnsi="Times New Roman" w:cs="Times New Roman"/>
                <w:iCs/>
                <w:noProof/>
                <w:sz w:val="24"/>
                <w:szCs w:val="24"/>
              </w:rPr>
            </w:pPr>
            <w:r>
              <w:rPr>
                <w:rFonts w:ascii="Times New Roman" w:hAnsi="Times New Roman"/>
                <w:noProof/>
                <w:sz w:val="24"/>
              </w:rPr>
              <w:t xml:space="preserve">Селскостопанският сектор в Европа </w:t>
            </w:r>
            <w:r>
              <w:rPr>
                <w:rFonts w:ascii="Times New Roman" w:hAnsi="Times New Roman"/>
                <w:b w:val="0"/>
                <w:noProof/>
                <w:sz w:val="24"/>
              </w:rPr>
              <w:t>трябва да постигне</w:t>
            </w:r>
            <w:r>
              <w:rPr>
                <w:rFonts w:ascii="Times New Roman" w:hAnsi="Times New Roman"/>
                <w:noProof/>
                <w:sz w:val="24"/>
              </w:rPr>
              <w:t xml:space="preserve"> икономическа устойчивост</w:t>
            </w:r>
            <w:r>
              <w:rPr>
                <w:rFonts w:ascii="Times New Roman" w:hAnsi="Times New Roman"/>
                <w:b w:val="0"/>
                <w:noProof/>
                <w:sz w:val="24"/>
              </w:rPr>
              <w:t>, за да се осигури дългосрочната му жизнеспособност</w:t>
            </w:r>
            <w:r>
              <w:rPr>
                <w:rFonts w:ascii="Times New Roman" w:hAnsi="Times New Roman"/>
                <w:noProof/>
                <w:sz w:val="24"/>
              </w:rPr>
              <w:t>.</w:t>
            </w:r>
            <w:r>
              <w:rPr>
                <w:rFonts w:ascii="Times New Roman" w:hAnsi="Times New Roman"/>
                <w:b w:val="0"/>
                <w:noProof/>
                <w:sz w:val="24"/>
              </w:rPr>
              <w:t xml:space="preserve"> Факторният доход на годишна работна единица — показател за производителността на труда — в селското стопанство следва лека възходяща тенденция в ЕС и понастоящем е 21,6 %, което </w:t>
            </w:r>
            <w:r>
              <w:rPr>
                <w:rFonts w:ascii="Times New Roman" w:hAnsi="Times New Roman"/>
                <w:b w:val="0"/>
                <w:noProof/>
                <w:sz w:val="24"/>
              </w:rPr>
              <w:t xml:space="preserve">е над нивата от 2010 г. Въпреки това съществуват значителни различия между държавите членки. </w:t>
            </w:r>
          </w:p>
          <w:p w:rsidR="00467251" w:rsidRDefault="00E55EA0">
            <w:pPr>
              <w:pStyle w:val="ListParagraph"/>
              <w:numPr>
                <w:ilvl w:val="0"/>
                <w:numId w:val="2"/>
              </w:numPr>
              <w:ind w:left="29" w:hanging="142"/>
              <w:jc w:val="both"/>
              <w:rPr>
                <w:rFonts w:ascii="Times New Roman" w:eastAsiaTheme="majorEastAsia" w:hAnsi="Times New Roman" w:cs="Times New Roman"/>
                <w:b w:val="0"/>
                <w:bCs w:val="0"/>
                <w:iCs/>
                <w:noProof/>
                <w:sz w:val="24"/>
                <w:szCs w:val="24"/>
              </w:rPr>
            </w:pPr>
            <w:r>
              <w:rPr>
                <w:rFonts w:ascii="Times New Roman" w:hAnsi="Times New Roman"/>
                <w:b w:val="0"/>
                <w:noProof/>
                <w:sz w:val="24"/>
              </w:rPr>
              <w:t xml:space="preserve">В периода 2005—2017 г. делът на </w:t>
            </w:r>
            <w:r>
              <w:rPr>
                <w:rFonts w:ascii="Times New Roman" w:hAnsi="Times New Roman"/>
                <w:noProof/>
                <w:sz w:val="24"/>
              </w:rPr>
              <w:t>биологичното земеделие</w:t>
            </w:r>
            <w:r>
              <w:rPr>
                <w:rFonts w:ascii="Times New Roman" w:hAnsi="Times New Roman"/>
                <w:b w:val="0"/>
                <w:noProof/>
                <w:sz w:val="24"/>
              </w:rPr>
              <w:t>, изразен в обща земеделска площ, почти се удвои — от 3,6 % на 7,0 %. През 2016 г. общата площ за биологично</w:t>
            </w:r>
            <w:r>
              <w:rPr>
                <w:rFonts w:ascii="Times New Roman" w:hAnsi="Times New Roman"/>
                <w:b w:val="0"/>
                <w:noProof/>
                <w:sz w:val="24"/>
              </w:rPr>
              <w:t xml:space="preserve"> производство в ЕС-28 (т.е. напълно преобразуваната площ и площта в процес на преобразуване) бе почти 12 милиона хектара. Пак през 2016 г. стойността на </w:t>
            </w:r>
            <w:r>
              <w:rPr>
                <w:rFonts w:ascii="Times New Roman" w:hAnsi="Times New Roman"/>
                <w:noProof/>
                <w:sz w:val="24"/>
              </w:rPr>
              <w:t>пазара на дребно на биологични продукти</w:t>
            </w:r>
            <w:r>
              <w:rPr>
                <w:rFonts w:ascii="Times New Roman" w:hAnsi="Times New Roman"/>
                <w:b w:val="0"/>
                <w:noProof/>
                <w:sz w:val="24"/>
              </w:rPr>
              <w:t xml:space="preserve"> в ЕС беше 30,7 милиарда евро с ръст от 12 % на продажбите на др</w:t>
            </w:r>
            <w:r>
              <w:rPr>
                <w:rFonts w:ascii="Times New Roman" w:hAnsi="Times New Roman"/>
                <w:b w:val="0"/>
                <w:noProof/>
                <w:sz w:val="24"/>
              </w:rPr>
              <w:t>ебно между 2015 и 2016 г.</w:t>
            </w:r>
          </w:p>
          <w:p w:rsidR="00467251" w:rsidRDefault="00E55EA0">
            <w:pPr>
              <w:pStyle w:val="ListParagraph"/>
              <w:numPr>
                <w:ilvl w:val="0"/>
                <w:numId w:val="2"/>
              </w:numPr>
              <w:ind w:left="29" w:hanging="142"/>
              <w:jc w:val="both"/>
              <w:rPr>
                <w:rFonts w:ascii="Times New Roman" w:eastAsiaTheme="majorEastAsia" w:hAnsi="Times New Roman" w:cs="Times New Roman"/>
                <w:b w:val="0"/>
                <w:bCs w:val="0"/>
                <w:iCs/>
                <w:noProof/>
                <w:sz w:val="24"/>
                <w:szCs w:val="24"/>
              </w:rPr>
            </w:pPr>
            <w:r>
              <w:rPr>
                <w:rFonts w:ascii="Times New Roman" w:hAnsi="Times New Roman"/>
                <w:b w:val="0"/>
                <w:noProof/>
                <w:sz w:val="24"/>
              </w:rPr>
              <w:t xml:space="preserve">Няколко от показателите, които измерват </w:t>
            </w:r>
            <w:r>
              <w:rPr>
                <w:rFonts w:ascii="Times New Roman" w:hAnsi="Times New Roman"/>
                <w:noProof/>
                <w:sz w:val="24"/>
              </w:rPr>
              <w:t>вредното въздействие на селското стопанство върху околната среда</w:t>
            </w:r>
            <w:r>
              <w:rPr>
                <w:rFonts w:ascii="Times New Roman" w:hAnsi="Times New Roman"/>
                <w:b w:val="0"/>
                <w:noProof/>
                <w:sz w:val="24"/>
              </w:rPr>
              <w:t>, показват известни положителни тенденции, но същевременно през последните години са налице и някои тревожни развития, включит</w:t>
            </w:r>
            <w:r>
              <w:rPr>
                <w:rFonts w:ascii="Times New Roman" w:hAnsi="Times New Roman"/>
                <w:b w:val="0"/>
                <w:noProof/>
                <w:sz w:val="24"/>
              </w:rPr>
              <w:t>елно увеличаване на употребата на пестициди в определени части на Европа и все още високо потребление на антимикробни продукти (в ЕС 70 % от антимикробните продукти се използват чрез животни, отглеждани за производство на храни), както и не е постигнат зна</w:t>
            </w:r>
            <w:r>
              <w:rPr>
                <w:rFonts w:ascii="Times New Roman" w:hAnsi="Times New Roman"/>
                <w:b w:val="0"/>
                <w:noProof/>
                <w:sz w:val="24"/>
              </w:rPr>
              <w:t xml:space="preserve">чителен напредък в борбата с цялостното намаляване на биологичното разнообразие. </w:t>
            </w:r>
          </w:p>
          <w:p w:rsidR="00467251" w:rsidRDefault="00E55EA0">
            <w:pPr>
              <w:pStyle w:val="ListParagraph"/>
              <w:numPr>
                <w:ilvl w:val="0"/>
                <w:numId w:val="2"/>
              </w:numPr>
              <w:ind w:left="29" w:hanging="142"/>
              <w:jc w:val="both"/>
              <w:rPr>
                <w:rFonts w:ascii="Times New Roman" w:eastAsiaTheme="majorEastAsia" w:hAnsi="Times New Roman" w:cs="Times New Roman"/>
                <w:b w:val="0"/>
                <w:bCs w:val="0"/>
                <w:iCs/>
                <w:noProof/>
                <w:sz w:val="24"/>
                <w:szCs w:val="24"/>
              </w:rPr>
            </w:pPr>
            <w:r>
              <w:rPr>
                <w:rFonts w:ascii="Times New Roman" w:hAnsi="Times New Roman"/>
                <w:noProof/>
                <w:sz w:val="24"/>
              </w:rPr>
              <w:t xml:space="preserve">Емисиите на парникови газове от селското стопанство </w:t>
            </w:r>
            <w:r>
              <w:rPr>
                <w:rFonts w:ascii="Times New Roman" w:hAnsi="Times New Roman"/>
                <w:b w:val="0"/>
                <w:noProof/>
                <w:sz w:val="24"/>
              </w:rPr>
              <w:t>бавно се увеличават от 2010 г. насам, въпреки че все още са далеч под нивата от 1990 г. Това увеличение може да се дължи н</w:t>
            </w:r>
            <w:r>
              <w:rPr>
                <w:rFonts w:ascii="Times New Roman" w:hAnsi="Times New Roman"/>
                <w:b w:val="0"/>
                <w:noProof/>
                <w:sz w:val="24"/>
              </w:rPr>
              <w:t xml:space="preserve">а увеличаване на производителността и производството в селскостопанския сектор. </w:t>
            </w:r>
          </w:p>
          <w:p w:rsidR="00467251" w:rsidRDefault="00E55EA0">
            <w:pPr>
              <w:pStyle w:val="ListParagraph"/>
              <w:numPr>
                <w:ilvl w:val="0"/>
                <w:numId w:val="2"/>
              </w:numPr>
              <w:ind w:left="29" w:hanging="142"/>
              <w:jc w:val="both"/>
              <w:rPr>
                <w:rFonts w:ascii="Times New Roman" w:eastAsiaTheme="majorEastAsia" w:hAnsi="Times New Roman" w:cs="Times New Roman"/>
                <w:bCs w:val="0"/>
                <w:iCs/>
                <w:noProof/>
                <w:sz w:val="24"/>
                <w:szCs w:val="24"/>
              </w:rPr>
            </w:pPr>
            <w:r>
              <w:rPr>
                <w:rFonts w:ascii="Times New Roman" w:hAnsi="Times New Roman"/>
                <w:b w:val="0"/>
                <w:noProof/>
                <w:sz w:val="24"/>
              </w:rPr>
              <w:t xml:space="preserve">Намалява размерът на земята, засегната от риск от сериозна </w:t>
            </w:r>
            <w:r>
              <w:rPr>
                <w:rFonts w:ascii="Times New Roman" w:hAnsi="Times New Roman"/>
                <w:noProof/>
                <w:sz w:val="24"/>
              </w:rPr>
              <w:t>ерозия на почвата</w:t>
            </w:r>
            <w:r>
              <w:rPr>
                <w:rFonts w:ascii="Times New Roman" w:hAnsi="Times New Roman"/>
                <w:b w:val="0"/>
                <w:noProof/>
                <w:sz w:val="24"/>
              </w:rPr>
              <w:t>, отчасти благодарение на задължителните мерки за кръстосано спазване по общата селскостопанска пол</w:t>
            </w:r>
            <w:r>
              <w:rPr>
                <w:rFonts w:ascii="Times New Roman" w:hAnsi="Times New Roman"/>
                <w:b w:val="0"/>
                <w:noProof/>
                <w:sz w:val="24"/>
              </w:rPr>
              <w:t xml:space="preserve">итика на ЕС. Делът на естествената ерозивна площ, за която се счита, че е изложена на риск от тежка почвена ерозия от вода, намаля от 6,0 % на 5,2 % между 2000 г. и 2012 г. </w:t>
            </w:r>
          </w:p>
          <w:p w:rsidR="00467251" w:rsidRDefault="00E55EA0">
            <w:pPr>
              <w:pStyle w:val="ListParagraph"/>
              <w:numPr>
                <w:ilvl w:val="0"/>
                <w:numId w:val="2"/>
              </w:numPr>
              <w:ind w:left="29" w:hanging="142"/>
              <w:jc w:val="both"/>
              <w:rPr>
                <w:rFonts w:ascii="Times New Roman" w:eastAsiaTheme="majorEastAsia" w:hAnsi="Times New Roman" w:cs="Times New Roman"/>
                <w:bCs w:val="0"/>
                <w:iCs/>
                <w:noProof/>
                <w:sz w:val="24"/>
                <w:szCs w:val="24"/>
              </w:rPr>
            </w:pPr>
            <w:r>
              <w:rPr>
                <w:rFonts w:ascii="Times New Roman" w:eastAsiaTheme="majorEastAsia" w:hAnsi="Times New Roman"/>
                <w:b w:val="0"/>
                <w:noProof/>
                <w:sz w:val="24"/>
              </w:rPr>
              <w:t xml:space="preserve">В периода между 2014 г. и 2016 г. </w:t>
            </w:r>
            <w:r>
              <w:rPr>
                <w:rFonts w:ascii="Times New Roman" w:eastAsiaTheme="majorEastAsia" w:hAnsi="Times New Roman"/>
                <w:noProof/>
                <w:sz w:val="24"/>
              </w:rPr>
              <w:t>секторът на аквакултурите в ЕС</w:t>
            </w:r>
            <w:r>
              <w:rPr>
                <w:rFonts w:ascii="Times New Roman" w:eastAsiaTheme="majorEastAsia" w:hAnsi="Times New Roman"/>
                <w:b w:val="0"/>
                <w:noProof/>
                <w:sz w:val="24"/>
              </w:rPr>
              <w:t xml:space="preserve"> подобри своите ре</w:t>
            </w:r>
            <w:r>
              <w:rPr>
                <w:rFonts w:ascii="Times New Roman" w:eastAsiaTheme="majorEastAsia" w:hAnsi="Times New Roman"/>
                <w:b w:val="0"/>
                <w:noProof/>
                <w:sz w:val="24"/>
              </w:rPr>
              <w:t>зултати. През 2016 г. секторът на аквакултурите в ЕС предложи на пазара 1,4 милиона тона морски дарове на стойност почти 5 милиарда евро; ежегодното нарастване на обема между 2014 г. и 2016 г. беше от 2,2 %, а на стойността — 3,1 %.</w:t>
            </w:r>
            <w:r>
              <w:rPr>
                <w:rFonts w:ascii="Times New Roman" w:eastAsiaTheme="majorEastAsia" w:hAnsi="Times New Roman"/>
                <w:noProof/>
                <w:sz w:val="24"/>
              </w:rPr>
              <w:t xml:space="preserve"> </w:t>
            </w:r>
            <w:r>
              <w:rPr>
                <w:rFonts w:ascii="Times New Roman" w:eastAsiaTheme="majorEastAsia" w:hAnsi="Times New Roman"/>
                <w:b w:val="0"/>
                <w:noProof/>
                <w:sz w:val="24"/>
              </w:rPr>
              <w:t>Освен това е налице нар</w:t>
            </w:r>
            <w:r>
              <w:rPr>
                <w:rFonts w:ascii="Times New Roman" w:eastAsiaTheme="majorEastAsia" w:hAnsi="Times New Roman"/>
                <w:b w:val="0"/>
                <w:noProof/>
                <w:sz w:val="24"/>
              </w:rPr>
              <w:t xml:space="preserve">астваща тенденция на преход от конвенционална към биологична аквакултура.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Световна класация </w:t>
            </w:r>
          </w:p>
          <w:p w:rsidR="00467251" w:rsidRDefault="00E55EA0">
            <w:pPr>
              <w:jc w:val="both"/>
              <w:rPr>
                <w:rFonts w:ascii="Times New Roman" w:eastAsiaTheme="majorEastAsia" w:hAnsi="Times New Roman" w:cs="Times New Roman"/>
                <w:b w:val="0"/>
                <w:bCs w:val="0"/>
                <w:i/>
                <w:iCs/>
                <w:noProof/>
                <w:sz w:val="24"/>
                <w:szCs w:val="24"/>
              </w:rPr>
            </w:pPr>
            <w:r>
              <w:rPr>
                <w:rFonts w:ascii="Times New Roman" w:eastAsiaTheme="majorEastAsia" w:hAnsi="Times New Roman"/>
                <w:b w:val="0"/>
                <w:noProof/>
                <w:sz w:val="24"/>
              </w:rPr>
              <w:t>Според общия доклад „Индекс и показатели за ЦУР, 2018 г.“ (Bertelsmann Stiftung и Sustainable Development Solutions Network) 14 държави — членки на ЕС, постигат над 70 от общо 100 точки за ЦУР 2. Тринадесет държави — членки на ЕС, са сред първите 20 в свет</w:t>
            </w:r>
            <w:r>
              <w:rPr>
                <w:rFonts w:ascii="Times New Roman" w:eastAsiaTheme="majorEastAsia" w:hAnsi="Times New Roman"/>
                <w:b w:val="0"/>
                <w:noProof/>
                <w:sz w:val="24"/>
              </w:rPr>
              <w:t xml:space="preserve">а. </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AFA847"/>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От ЕС се очаква да продължи да работи за премахването на глада и насърчаването на устойчиви практики в бъдеще. Въз основа на „Перспективите на селското стопанство на ЕС за 2030 г.“ не се очакват значителни слабости по отношение на продоволствената сигурнос</w:t>
            </w:r>
            <w:r>
              <w:rPr>
                <w:rFonts w:ascii="Times New Roman" w:hAnsi="Times New Roman"/>
                <w:b w:val="0"/>
                <w:noProof/>
                <w:sz w:val="24"/>
              </w:rPr>
              <w:t>т на ЕС при отсъствието на сериозни сътресения на пазара. Политиките за безопасност на храните гарантират високо равнище на безопасност на храните и здравето на животните и растенията в ЕС, като същевременно гарантират ефективен вътрешен пазар. Винаги ще с</w:t>
            </w:r>
            <w:r>
              <w:rPr>
                <w:rFonts w:ascii="Times New Roman" w:hAnsi="Times New Roman"/>
                <w:b w:val="0"/>
                <w:noProof/>
                <w:sz w:val="24"/>
              </w:rPr>
              <w:t>ъществува несигурност, поради което определени рискове са под наблюдение. Постигането на тази ЦУР ще зависи до голяма степен от осъзнаването от страна на промишлеността, неправителствените организации, властите и гражданите на социалните, търговските и инд</w:t>
            </w:r>
            <w:r>
              <w:rPr>
                <w:rFonts w:ascii="Times New Roman" w:hAnsi="Times New Roman"/>
                <w:b w:val="0"/>
                <w:noProof/>
                <w:sz w:val="24"/>
              </w:rPr>
              <w:t>ивидуалните фактори за нездравословно хранене, както и на тяхното въздействие както върху човешкото здраве, така и върху публичните бюджети. Във връзка с това продължаващите усилия за преформулиране на състава на храните могат да играят важна роля за преод</w:t>
            </w:r>
            <w:r>
              <w:rPr>
                <w:rFonts w:ascii="Times New Roman" w:hAnsi="Times New Roman"/>
                <w:b w:val="0"/>
                <w:noProof/>
                <w:sz w:val="24"/>
              </w:rPr>
              <w:t>оляване на наднорменото тегло и затлъстяването, както и тяхното икономическо въздействие. То ще зависи и от образоването на хората как да използват новите технологии или да преодоляват новите предизвикателства. Засиленото обществено участие на всички равни</w:t>
            </w:r>
            <w:r>
              <w:rPr>
                <w:rFonts w:ascii="Times New Roman" w:hAnsi="Times New Roman"/>
                <w:b w:val="0"/>
                <w:noProof/>
                <w:sz w:val="24"/>
              </w:rPr>
              <w:t>ща (асоциации, правителства, частния сектор, научни работници и здравни експерти) ще бъде от решаващо значение за подобряване на въздействието на продоволствените системи върху околната среда и здравето чрез набелязването на най-добри практики, ефективното</w:t>
            </w:r>
            <w:r>
              <w:rPr>
                <w:rFonts w:ascii="Times New Roman" w:hAnsi="Times New Roman"/>
                <w:b w:val="0"/>
                <w:noProof/>
                <w:sz w:val="24"/>
              </w:rPr>
              <w:t xml:space="preserve"> управление на хранителните ресурси, намаляването на разхищението на храни и пр. Инвестирането в по-устойчиво селско стопанство ще има положително въздействие и върху подобряването на сигурността на хранителните доставки, което е необходимо за посрещането </w:t>
            </w:r>
            <w:r>
              <w:rPr>
                <w:rFonts w:ascii="Times New Roman" w:hAnsi="Times New Roman"/>
                <w:b w:val="0"/>
                <w:noProof/>
                <w:sz w:val="24"/>
              </w:rPr>
              <w:t>на такива предизвикателства, като увеличаването на световното население или изменението на климата. Хората биха имали полза от интегрираното управление на вредителите или от храна с оптимални хранителни качества, тъй като това доведе до подобряване на тяхн</w:t>
            </w:r>
            <w:r>
              <w:rPr>
                <w:rFonts w:ascii="Times New Roman" w:hAnsi="Times New Roman"/>
                <w:b w:val="0"/>
                <w:noProof/>
                <w:sz w:val="24"/>
              </w:rPr>
              <w:t xml:space="preserve">ото благосъстояние и качество на живот. </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Обществена ангажираност и участие в политическия живот, промяна на поведението, корпоративна социална отговорност / отговорно бизнес поведение, устойчиво финансиране, </w:t>
            </w:r>
            <w:r>
              <w:rPr>
                <w:rFonts w:ascii="Times New Roman" w:hAnsi="Times New Roman"/>
                <w:b w:val="0"/>
                <w:noProof/>
                <w:sz w:val="24"/>
              </w:rPr>
              <w:t>публично-частни партньорства, устойчиви продоволствени системи, нови технологии, изкуствен интелект, научни изследвания и иновации, акцент върху устойчиви общества, образование, публични и частни инвестиции, отворена и справедлива търговия.</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w:t>
            </w:r>
            <w:r>
              <w:rPr>
                <w:rFonts w:ascii="Times New Roman" w:eastAsiaTheme="majorEastAsia" w:hAnsi="Times New Roman"/>
                <w:i/>
                <w:noProof/>
                <w:sz w:val="24"/>
              </w:rPr>
              <w:t>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Бедност, социални и здравни неравенства, застаряване на населението, геополитическа нестабилност, изменение на климата и загуба на биологично разнообразие, неконтролирано разпространение на болести по животните, вредители по растеният</w:t>
            </w:r>
            <w:r>
              <w:rPr>
                <w:rFonts w:ascii="Times New Roman" w:eastAsiaTheme="majorEastAsia" w:hAnsi="Times New Roman"/>
                <w:b w:val="0"/>
                <w:noProof/>
                <w:sz w:val="24"/>
              </w:rPr>
              <w:t>а и замърсители.</w:t>
            </w:r>
          </w:p>
        </w:tc>
      </w:tr>
      <w:tr w:rsidR="00467251" w:rsidTr="00467251">
        <w:tblPrEx>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Ex>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C0504D" w:themeColor="accent2"/>
            </w:tcBorders>
            <w:shd w:val="clear" w:color="auto" w:fill="AFA847"/>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blPrEx>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left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ЕС на международно равнище: </w:t>
            </w:r>
            <w:r>
              <w:rPr>
                <w:rFonts w:ascii="Times New Roman" w:eastAsiaTheme="majorEastAsia" w:hAnsi="Times New Roman"/>
                <w:b w:val="0"/>
                <w:noProof/>
                <w:sz w:val="24"/>
              </w:rPr>
              <w:t>партньорството между ЕС и Африка за продоволствена и хранителна сигурност и устойчиво селско стопанство, на което беше дадено начало през април 2016 г., насърчава научноизследователското</w:t>
            </w:r>
            <w:r>
              <w:rPr>
                <w:rFonts w:ascii="Times New Roman" w:eastAsiaTheme="majorEastAsia" w:hAnsi="Times New Roman"/>
                <w:b w:val="0"/>
                <w:noProof/>
                <w:sz w:val="24"/>
              </w:rPr>
              <w:t xml:space="preserve"> и иновационното сътрудничество в областта на устойчивата интензификация, селското стопанство и продоволствените системи за пазарите и търговията на хранителни и селскостопански продукти.</w:t>
            </w:r>
          </w:p>
          <w:p w:rsidR="00467251" w:rsidRDefault="00467251">
            <w:pPr>
              <w:jc w:val="both"/>
              <w:rPr>
                <w:rFonts w:ascii="Times New Roman" w:eastAsiaTheme="majorEastAsia" w:hAnsi="Times New Roman" w:cs="Times New Roman"/>
                <w:i/>
                <w:iCs/>
                <w:noProof/>
                <w:sz w:val="24"/>
                <w:szCs w:val="24"/>
              </w:rPr>
            </w:pP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ЕС: </w:t>
            </w:r>
            <w:r>
              <w:rPr>
                <w:rFonts w:ascii="Times New Roman" w:eastAsiaTheme="majorEastAsia" w:hAnsi="Times New Roman"/>
                <w:b w:val="0"/>
                <w:noProof/>
                <w:sz w:val="24"/>
              </w:rPr>
              <w:t>модернизирана и опростена, Общата селскостопанска по</w:t>
            </w:r>
            <w:r>
              <w:rPr>
                <w:rFonts w:ascii="Times New Roman" w:eastAsiaTheme="majorEastAsia" w:hAnsi="Times New Roman"/>
                <w:b w:val="0"/>
                <w:noProof/>
                <w:sz w:val="24"/>
              </w:rPr>
              <w:t>литика има за цел да увеличи максимално своя принос за изпълнението на ЦУР. В предложенията на Комисията за следващия многогодишен бюджет за периода 2021—2027 г. изрично се посочва целта за по-нататъшно подобряване на устойчивото развитие на селското стопа</w:t>
            </w:r>
            <w:r>
              <w:rPr>
                <w:rFonts w:ascii="Times New Roman" w:eastAsiaTheme="majorEastAsia" w:hAnsi="Times New Roman"/>
                <w:b w:val="0"/>
                <w:noProof/>
                <w:sz w:val="24"/>
              </w:rPr>
              <w:t>нство, хранително-вкусовата промишленост и селските райони.</w:t>
            </w:r>
          </w:p>
          <w:p w:rsidR="00467251" w:rsidRDefault="00467251">
            <w:pPr>
              <w:jc w:val="both"/>
              <w:rPr>
                <w:rFonts w:ascii="Times New Roman" w:eastAsiaTheme="majorEastAsia" w:hAnsi="Times New Roman" w:cs="Times New Roman"/>
                <w:b w:val="0"/>
                <w:iCs/>
                <w:noProof/>
                <w:sz w:val="24"/>
                <w:szCs w:val="24"/>
              </w:rPr>
            </w:pPr>
          </w:p>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На равнище държави членки:</w:t>
            </w:r>
            <w:r>
              <w:rPr>
                <w:rFonts w:ascii="Times New Roman" w:eastAsiaTheme="majorEastAsia" w:hAnsi="Times New Roman"/>
                <w:b w:val="0"/>
                <w:noProof/>
                <w:sz w:val="24"/>
              </w:rPr>
              <w:t xml:space="preserve"> Програмата за разнообразие на култивираните растения е национална програма, замислена като гъвкав инструмент, с който да се определи интелигентен и устойчив начин за за</w:t>
            </w:r>
            <w:r>
              <w:rPr>
                <w:rFonts w:ascii="Times New Roman" w:eastAsiaTheme="majorEastAsia" w:hAnsi="Times New Roman"/>
                <w:b w:val="0"/>
                <w:noProof/>
                <w:sz w:val="24"/>
              </w:rPr>
              <w:t xml:space="preserve">пазването и използването на растителното богатство на Швеция. В цялата страна се събират семена и други стари сортове и се съхраняват в Nordic Gene Bank (генна банка). Старите сортове култивирани растения отново се предлагат на пазара. </w:t>
            </w:r>
          </w:p>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На регионално/местн</w:t>
            </w:r>
            <w:r>
              <w:rPr>
                <w:rFonts w:ascii="Times New Roman" w:eastAsiaTheme="majorEastAsia" w:hAnsi="Times New Roman"/>
                <w:i/>
                <w:noProof/>
                <w:sz w:val="24"/>
              </w:rPr>
              <w:t xml:space="preserve">о равнище: </w:t>
            </w:r>
            <w:r>
              <w:rPr>
                <w:rFonts w:ascii="Times New Roman" w:eastAsiaTheme="majorEastAsia" w:hAnsi="Times New Roman"/>
                <w:b w:val="0"/>
                <w:noProof/>
                <w:sz w:val="24"/>
              </w:rPr>
              <w:t>Програмата за развитие на селските райони за периода 2014—2020 г. за континентална Португалия насърчава инвестициите в селското стопанство с цел да се повиши капацитетът за генериране на добавена стойност, да се увеличи производителността, да се</w:t>
            </w:r>
            <w:r>
              <w:rPr>
                <w:rFonts w:ascii="Times New Roman" w:eastAsiaTheme="majorEastAsia" w:hAnsi="Times New Roman"/>
                <w:b w:val="0"/>
                <w:noProof/>
                <w:sz w:val="24"/>
              </w:rPr>
              <w:t xml:space="preserve"> насърчава по-ефективното използване на ресурсите и да се оказва подкрепа на производствената и социалната структура в селските райони.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предприятия: </w:t>
            </w:r>
            <w:r>
              <w:rPr>
                <w:rFonts w:ascii="Times New Roman" w:hAnsi="Times New Roman"/>
                <w:b w:val="0"/>
                <w:noProof/>
                <w:sz w:val="24"/>
              </w:rPr>
              <w:t xml:space="preserve">Grupo Cooperativo Cajamar в Испания е част от проекта TomGEM, който разработва нови стратегии, </w:t>
            </w:r>
            <w:r>
              <w:rPr>
                <w:rFonts w:ascii="Times New Roman" w:hAnsi="Times New Roman"/>
                <w:b w:val="0"/>
                <w:noProof/>
                <w:sz w:val="24"/>
              </w:rPr>
              <w:t xml:space="preserve">насочени към поддържането на високи добиви от производството на плодове и зеленчуци при висока температура. Проектът е насочен към определяне на фенотип за широк кръг генетични ресурси с цел да се идентифицират сортове/генотипове, които дават добър добив, </w:t>
            </w:r>
            <w:r>
              <w:rPr>
                <w:rFonts w:ascii="Times New Roman" w:hAnsi="Times New Roman"/>
                <w:b w:val="0"/>
                <w:noProof/>
                <w:sz w:val="24"/>
              </w:rPr>
              <w:t>и да се открият гените, които контролират началото на цъфтежа, оплодителната способност на цветния прашец и образуването на плода.</w:t>
            </w:r>
          </w:p>
          <w:p w:rsidR="00467251" w:rsidRDefault="00467251">
            <w:pPr>
              <w:jc w:val="both"/>
              <w:rPr>
                <w:rFonts w:ascii="Times New Roman" w:hAnsi="Times New Roman" w:cs="Times New Roman"/>
                <w:b w:val="0"/>
                <w:noProof/>
                <w:sz w:val="24"/>
                <w:szCs w:val="24"/>
              </w:rPr>
            </w:pP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гражданско общество: </w:t>
            </w:r>
            <w:r>
              <w:rPr>
                <w:rFonts w:ascii="Times New Roman" w:eastAsiaTheme="majorEastAsia" w:hAnsi="Times New Roman"/>
                <w:b w:val="0"/>
                <w:noProof/>
                <w:sz w:val="24"/>
              </w:rPr>
              <w:t>„Селско стопанство, което опазва Балтийско море“ е поредица от работни срещи, организирани о</w:t>
            </w:r>
            <w:r>
              <w:rPr>
                <w:rFonts w:ascii="Times New Roman" w:eastAsiaTheme="majorEastAsia" w:hAnsi="Times New Roman"/>
                <w:b w:val="0"/>
                <w:noProof/>
                <w:sz w:val="24"/>
              </w:rPr>
              <w:t>т фондация WWF Полша под егидата на Консултативния център за селско стопанство в Brwinów. Работните срещи дадоха възможност да се разширят познанията на земеделските производители относно методите за намаляване на загубите на азотни и фосфорни съединения о</w:t>
            </w:r>
            <w:r>
              <w:rPr>
                <w:rFonts w:ascii="Times New Roman" w:eastAsiaTheme="majorEastAsia" w:hAnsi="Times New Roman"/>
                <w:b w:val="0"/>
                <w:noProof/>
                <w:sz w:val="24"/>
              </w:rPr>
              <w:t xml:space="preserve">т селскостопански предприятия, които допринасят за замърсяването на водите. </w:t>
            </w:r>
          </w:p>
        </w:tc>
      </w:tr>
    </w:tbl>
    <w:p w:rsidR="00467251" w:rsidRDefault="00467251">
      <w:pPr>
        <w:rPr>
          <w:rFonts w:ascii="Times New Roman" w:hAnsi="Times New Roman" w:cs="Times New Roman"/>
          <w:noProof/>
          <w:sz w:val="24"/>
          <w:szCs w:val="24"/>
        </w:rPr>
      </w:pPr>
    </w:p>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802800" cy="77760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2800" cy="7776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00B050"/>
                <w:sz w:val="24"/>
                <w:szCs w:val="24"/>
              </w:rPr>
            </w:pPr>
            <w:r>
              <w:rPr>
                <w:rFonts w:ascii="Times New Roman" w:hAnsi="Times New Roman"/>
                <w:b/>
                <w:noProof/>
                <w:color w:val="00B050"/>
                <w:sz w:val="24"/>
              </w:rPr>
              <w:t>Осигуряване на здравословен живот и насърчаване благосъстоянието на всички във всяка възраст</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A44A"/>
          </w:tcPr>
          <w:p w:rsidR="00467251" w:rsidRDefault="00E55EA0">
            <w:pPr>
              <w:jc w:val="center"/>
              <w:rPr>
                <w:rFonts w:ascii="Times New Roman" w:hAnsi="Times New Roman" w:cs="Times New Roman"/>
                <w:noProof/>
                <w:sz w:val="24"/>
                <w:szCs w:val="24"/>
              </w:rPr>
            </w:pPr>
            <w:r>
              <w:rPr>
                <w:rFonts w:ascii="Times New Roman" w:hAnsi="Times New Roman"/>
                <w:noProof/>
                <w:color w:val="auto"/>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Height w:val="3995"/>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Здравето е основна човешка потребност и ЕС отбеляза значителен напредък в преодоляването на неравенствата по отношение на здравето и екологичните и социалните фактори за това. Доброто здраве е не само от полза за отделния човек като основен определящ факто</w:t>
            </w:r>
            <w:r>
              <w:rPr>
                <w:rFonts w:ascii="Times New Roman" w:hAnsi="Times New Roman"/>
                <w:b w:val="0"/>
                <w:noProof/>
                <w:sz w:val="24"/>
              </w:rPr>
              <w:t xml:space="preserve">р за качеството на живот, благополучието и социалното участие, но допринася и за създаването на устойчива европейска икономика. </w:t>
            </w:r>
            <w:r>
              <w:rPr>
                <w:rFonts w:ascii="Times New Roman" w:hAnsi="Times New Roman" w:cs="Times New Roman"/>
                <w:b w:val="0"/>
                <w:noProof/>
                <w:sz w:val="24"/>
                <w:szCs w:val="24"/>
              </w:rPr>
              <w:t xml:space="preserve">Всеобщият достъп до здравеопазване е сред целите на </w:t>
            </w:r>
            <w:hyperlink r:id="rId84">
              <w:r>
                <w:rPr>
                  <w:rFonts w:ascii="Times New Roman" w:hAnsi="Times New Roman" w:cs="Times New Roman"/>
                  <w:b w:val="0"/>
                  <w:noProof/>
                  <w:sz w:val="24"/>
                  <w:szCs w:val="24"/>
                </w:rPr>
                <w:t>Хар</w:t>
              </w:r>
              <w:r>
                <w:rPr>
                  <w:rFonts w:ascii="Times New Roman" w:hAnsi="Times New Roman" w:cs="Times New Roman"/>
                  <w:b w:val="0"/>
                  <w:noProof/>
                  <w:sz w:val="24"/>
                  <w:szCs w:val="24"/>
                </w:rPr>
                <w:t>тата на основните права на ЕС</w:t>
              </w:r>
            </w:hyperlink>
            <w:r>
              <w:rPr>
                <w:rFonts w:ascii="Times New Roman" w:hAnsi="Times New Roman" w:cs="Times New Roman"/>
                <w:noProof/>
                <w:sz w:val="24"/>
                <w:szCs w:val="24"/>
              </w:rPr>
              <w:t xml:space="preserve"> </w:t>
            </w:r>
            <w:r>
              <w:rPr>
                <w:rFonts w:ascii="Times New Roman" w:hAnsi="Times New Roman" w:cs="Times New Roman"/>
                <w:b w:val="0"/>
                <w:noProof/>
                <w:sz w:val="24"/>
                <w:szCs w:val="24"/>
              </w:rPr>
              <w:t xml:space="preserve">и едно от правата, признати от европейския стълб на социалните права, и следователно е важна цел на политиката за ЕС и неговите държави членки. Достъпността и финансовата постижимост на здравните грижи за пациентите, заедно с </w:t>
            </w:r>
            <w:r>
              <w:rPr>
                <w:rFonts w:ascii="Times New Roman" w:hAnsi="Times New Roman" w:cs="Times New Roman"/>
                <w:b w:val="0"/>
                <w:noProof/>
                <w:sz w:val="24"/>
                <w:szCs w:val="24"/>
              </w:rPr>
              <w:t>ефективността и бюджетната устойчивост, продължават да бъдат основните цели на политиката за реформиране на здравните системи, които се обсъждат в контекста на ЕС. Въпреки това тютюнопушенето и прекомерната консумация на алкохол, наднорменото тегло, липсат</w:t>
            </w:r>
            <w:r>
              <w:rPr>
                <w:rFonts w:ascii="Times New Roman" w:hAnsi="Times New Roman" w:cs="Times New Roman"/>
                <w:b w:val="0"/>
                <w:noProof/>
                <w:sz w:val="24"/>
                <w:szCs w:val="24"/>
              </w:rPr>
              <w:t>а на физическа активност, проблемите, свързани с психичното здраве, като депресията и самоубийството,</w:t>
            </w:r>
            <w:r>
              <w:rPr>
                <w:rFonts w:ascii="Times New Roman" w:hAnsi="Times New Roman"/>
                <w:b w:val="0"/>
                <w:noProof/>
                <w:sz w:val="24"/>
              </w:rPr>
              <w:t xml:space="preserve"> наред със заразните болести продължават да вредят на здравето и заедно с демографските и социалните промени, те създават допълнителна тежест за системите </w:t>
            </w:r>
            <w:r>
              <w:rPr>
                <w:rFonts w:ascii="Times New Roman" w:hAnsi="Times New Roman"/>
                <w:b w:val="0"/>
                <w:noProof/>
                <w:sz w:val="24"/>
              </w:rPr>
              <w:t>на здравеопазването в ЕС. ЕС подкрепя държавите членки, например като участва в борбата с рисковите фактори за незаразни болести и обмена на най-добри практики, като подпомага гарантирането на достъп до качествено здравеопазване и укрепва капацитета за пре</w:t>
            </w:r>
            <w:r>
              <w:rPr>
                <w:rFonts w:ascii="Times New Roman" w:hAnsi="Times New Roman"/>
                <w:b w:val="0"/>
                <w:noProof/>
                <w:sz w:val="24"/>
              </w:rPr>
              <w:t>дотвратяване и справяне с глобалните заплахи за здравето, например антимикробната резистентност, както и като инвестира в научни изследвания и иновации. В международен план помощта на ЕС за развитие насърчава достъпа до качествени здравни услуги. В съответ</w:t>
            </w:r>
            <w:r>
              <w:rPr>
                <w:rFonts w:ascii="Times New Roman" w:hAnsi="Times New Roman"/>
                <w:b w:val="0"/>
                <w:noProof/>
                <w:sz w:val="24"/>
              </w:rPr>
              <w:t xml:space="preserve">ствие с Европейския консенсус за развитие ЕС спомага за укрепване на всички области на здравните системи и за напредък към постигането на всеобщ достъп до здравеопазване.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3"/>
              </w:numPr>
              <w:ind w:left="360"/>
              <w:jc w:val="both"/>
              <w:rPr>
                <w:rFonts w:ascii="Times New Roman" w:hAnsi="Times New Roman" w:cs="Times New Roman"/>
                <w:b w:val="0"/>
                <w:noProof/>
                <w:sz w:val="24"/>
                <w:szCs w:val="24"/>
              </w:rPr>
            </w:pPr>
            <w:r>
              <w:rPr>
                <w:rFonts w:ascii="Times New Roman" w:hAnsi="Times New Roman"/>
                <w:noProof/>
                <w:sz w:val="24"/>
              </w:rPr>
              <w:t xml:space="preserve">Европейците живеят по-дълго от всякога </w:t>
            </w:r>
            <w:r>
              <w:rPr>
                <w:rFonts w:ascii="Times New Roman" w:hAnsi="Times New Roman"/>
                <w:b w:val="0"/>
                <w:noProof/>
                <w:sz w:val="24"/>
              </w:rPr>
              <w:t xml:space="preserve">и тази тенденция се очаква да продължи. През 2016 г. средната продължителност на живота в ЕС беше 81 години, което е с 3,3 години повече, отколкото през 2002 г. </w:t>
            </w:r>
          </w:p>
          <w:p w:rsidR="00467251" w:rsidRDefault="00E55EA0">
            <w:pPr>
              <w:pStyle w:val="Heading3"/>
              <w:numPr>
                <w:ilvl w:val="0"/>
                <w:numId w:val="3"/>
              </w:numPr>
              <w:ind w:left="360"/>
              <w:jc w:val="both"/>
              <w:outlineLvl w:val="2"/>
              <w:rPr>
                <w:rFonts w:ascii="Times New Roman" w:eastAsiaTheme="minorHAnsi" w:hAnsi="Times New Roman" w:cs="Times New Roman"/>
                <w:bCs/>
                <w:noProof/>
                <w:color w:val="auto"/>
                <w:sz w:val="24"/>
              </w:rPr>
            </w:pPr>
            <w:r>
              <w:rPr>
                <w:rFonts w:ascii="Times New Roman" w:eastAsiaTheme="minorHAnsi" w:hAnsi="Times New Roman" w:cs="Times New Roman"/>
                <w:b/>
                <w:noProof/>
                <w:color w:val="auto"/>
                <w:sz w:val="24"/>
              </w:rPr>
              <w:t xml:space="preserve">Нездравословният начин на живот </w:t>
            </w:r>
            <w:r>
              <w:rPr>
                <w:rFonts w:ascii="Times New Roman" w:eastAsiaTheme="minorHAnsi" w:hAnsi="Times New Roman" w:cs="Times New Roman"/>
                <w:noProof/>
                <w:color w:val="auto"/>
                <w:sz w:val="24"/>
              </w:rPr>
              <w:t>има отражение върху човешкото здраве, публичните бюджети и про</w:t>
            </w:r>
            <w:r>
              <w:rPr>
                <w:rFonts w:ascii="Times New Roman" w:eastAsiaTheme="minorHAnsi" w:hAnsi="Times New Roman" w:cs="Times New Roman"/>
                <w:noProof/>
                <w:color w:val="auto"/>
                <w:sz w:val="24"/>
              </w:rPr>
              <w:t xml:space="preserve">изводителността. Разпространението на тютюнопушенето сред населението на възраст 15 или повече години намаля до 26 % през 2017 г. Въпреки това през 2014 г. все още над половината от възрастното население на ЕС беше с наднормено тегло. </w:t>
            </w:r>
          </w:p>
          <w:p w:rsidR="00467251" w:rsidRDefault="00E55EA0">
            <w:pPr>
              <w:pStyle w:val="ListParagraph"/>
              <w:numPr>
                <w:ilvl w:val="0"/>
                <w:numId w:val="3"/>
              </w:numPr>
              <w:ind w:left="360"/>
              <w:jc w:val="both"/>
              <w:rPr>
                <w:rFonts w:ascii="Times New Roman" w:hAnsi="Times New Roman" w:cs="Times New Roman"/>
                <w:b w:val="0"/>
                <w:noProof/>
                <w:sz w:val="24"/>
                <w:szCs w:val="24"/>
              </w:rPr>
            </w:pPr>
            <w:r>
              <w:rPr>
                <w:rFonts w:ascii="Times New Roman" w:hAnsi="Times New Roman" w:cs="Times New Roman"/>
                <w:b w:val="0"/>
                <w:noProof/>
                <w:sz w:val="24"/>
                <w:szCs w:val="24"/>
              </w:rPr>
              <w:t>През 2017 г. делът н</w:t>
            </w:r>
            <w:r>
              <w:rPr>
                <w:rFonts w:ascii="Times New Roman" w:hAnsi="Times New Roman" w:cs="Times New Roman"/>
                <w:b w:val="0"/>
                <w:noProof/>
                <w:sz w:val="24"/>
                <w:szCs w:val="24"/>
              </w:rPr>
              <w:t xml:space="preserve">а хората в ЕС, съобщили за </w:t>
            </w:r>
            <w:r>
              <w:rPr>
                <w:rFonts w:ascii="Times New Roman" w:hAnsi="Times New Roman" w:cs="Times New Roman"/>
                <w:noProof/>
                <w:sz w:val="24"/>
                <w:szCs w:val="24"/>
              </w:rPr>
              <w:t>неудовлетворени потребности от здравни грижи</w:t>
            </w:r>
            <w:r>
              <w:rPr>
                <w:rFonts w:ascii="Times New Roman" w:hAnsi="Times New Roman" w:cs="Times New Roman"/>
                <w:b w:val="0"/>
                <w:noProof/>
                <w:sz w:val="24"/>
                <w:szCs w:val="24"/>
              </w:rPr>
              <w:t>, беше 1,6 % в сравнение с 3,4 % през 2011 г. Основните причини за неудовлетворените медицински потребности са разходите и дългите списъци на чакащи.</w:t>
            </w:r>
          </w:p>
          <w:p w:rsidR="00467251" w:rsidRDefault="00E55EA0">
            <w:pPr>
              <w:pStyle w:val="ListParagraph"/>
              <w:numPr>
                <w:ilvl w:val="0"/>
                <w:numId w:val="3"/>
              </w:numPr>
              <w:ind w:left="360"/>
              <w:jc w:val="both"/>
              <w:rPr>
                <w:rFonts w:ascii="Times New Roman" w:hAnsi="Times New Roman" w:cs="Times New Roman"/>
                <w:b w:val="0"/>
                <w:bCs w:val="0"/>
                <w:noProof/>
                <w:sz w:val="24"/>
                <w:szCs w:val="24"/>
              </w:rPr>
            </w:pPr>
            <w:r>
              <w:rPr>
                <w:rFonts w:ascii="Times New Roman" w:hAnsi="Times New Roman" w:cs="Times New Roman"/>
                <w:b w:val="0"/>
                <w:noProof/>
                <w:sz w:val="24"/>
                <w:szCs w:val="24"/>
              </w:rPr>
              <w:t xml:space="preserve">Броят на смъртните случаи преди 65-годишна възраст, дължащи се на </w:t>
            </w:r>
            <w:r>
              <w:rPr>
                <w:rFonts w:ascii="Times New Roman" w:hAnsi="Times New Roman" w:cs="Times New Roman"/>
                <w:noProof/>
                <w:sz w:val="24"/>
                <w:szCs w:val="24"/>
              </w:rPr>
              <w:t>незаразни болести,</w:t>
            </w:r>
            <w:r>
              <w:rPr>
                <w:rFonts w:ascii="Times New Roman" w:hAnsi="Times New Roman" w:cs="Times New Roman"/>
                <w:b w:val="0"/>
                <w:noProof/>
                <w:sz w:val="24"/>
                <w:szCs w:val="24"/>
              </w:rPr>
              <w:t xml:space="preserve"> намаля между 2002 г. и 2015 г. Въпреки това</w:t>
            </w:r>
            <w:r>
              <w:rPr>
                <w:rStyle w:val="A0"/>
                <w:rFonts w:ascii="Times New Roman" w:hAnsi="Times New Roman" w:cs="Times New Roman"/>
                <w:b w:val="0"/>
                <w:noProof/>
                <w:sz w:val="24"/>
                <w:szCs w:val="24"/>
              </w:rPr>
              <w:t xml:space="preserve"> незаразните болести съставляват до 80 % от разходите за здравеопазване</w:t>
            </w:r>
            <w:r>
              <w:rPr>
                <w:rFonts w:ascii="Times New Roman" w:hAnsi="Times New Roman" w:cs="Times New Roman"/>
                <w:b w:val="0"/>
                <w:noProof/>
                <w:sz w:val="24"/>
                <w:szCs w:val="24"/>
              </w:rPr>
              <w:t>.</w:t>
            </w:r>
            <w:r>
              <w:rPr>
                <w:rStyle w:val="A0"/>
                <w:rFonts w:ascii="Times New Roman" w:hAnsi="Times New Roman" w:cs="Times New Roman"/>
                <w:b w:val="0"/>
                <w:noProof/>
                <w:sz w:val="24"/>
                <w:szCs w:val="24"/>
              </w:rPr>
              <w:t xml:space="preserve"> Едва около 3 % от бюджетите за здравеопазване обаче се </w:t>
            </w:r>
            <w:r>
              <w:rPr>
                <w:rStyle w:val="A0"/>
                <w:rFonts w:ascii="Times New Roman" w:hAnsi="Times New Roman" w:cs="Times New Roman"/>
                <w:b w:val="0"/>
                <w:noProof/>
                <w:sz w:val="24"/>
                <w:szCs w:val="24"/>
              </w:rPr>
              <w:t xml:space="preserve">изразходват за профилактика. </w:t>
            </w:r>
            <w:r>
              <w:rPr>
                <w:rFonts w:ascii="Times New Roman" w:hAnsi="Times New Roman" w:cs="Times New Roman"/>
                <w:b w:val="0"/>
                <w:noProof/>
                <w:sz w:val="24"/>
                <w:szCs w:val="24"/>
              </w:rPr>
              <w:t xml:space="preserve">Смъртните случаи в ЕС вследствие на </w:t>
            </w:r>
            <w:r>
              <w:rPr>
                <w:rFonts w:ascii="Times New Roman" w:hAnsi="Times New Roman" w:cs="Times New Roman"/>
                <w:noProof/>
                <w:sz w:val="24"/>
                <w:szCs w:val="24"/>
              </w:rPr>
              <w:t xml:space="preserve">ХИВ, туберкулоза и хепатит </w:t>
            </w:r>
            <w:r>
              <w:rPr>
                <w:rFonts w:ascii="Times New Roman" w:hAnsi="Times New Roman" w:cs="Times New Roman"/>
                <w:b w:val="0"/>
                <w:noProof/>
                <w:sz w:val="24"/>
                <w:szCs w:val="24"/>
              </w:rPr>
              <w:t>намаляваха стабилно между 2002 г. и 2015 г.</w:t>
            </w:r>
            <w:r>
              <w:rPr>
                <w:rFonts w:ascii="Times New Roman" w:hAnsi="Times New Roman" w:cs="Times New Roman"/>
                <w:noProof/>
                <w:sz w:val="24"/>
                <w:szCs w:val="24"/>
              </w:rPr>
              <w:t xml:space="preserve"> Антимикробната резистентност </w:t>
            </w:r>
            <w:r>
              <w:rPr>
                <w:rFonts w:ascii="Times New Roman" w:hAnsi="Times New Roman" w:cs="Times New Roman"/>
                <w:b w:val="0"/>
                <w:noProof/>
                <w:sz w:val="24"/>
                <w:szCs w:val="24"/>
              </w:rPr>
              <w:t>е причина за около 33 000 смъртни случая годишно в ЕС и струва 1,5 милиарда евро годишно за</w:t>
            </w:r>
            <w:r>
              <w:rPr>
                <w:rFonts w:ascii="Times New Roman" w:hAnsi="Times New Roman" w:cs="Times New Roman"/>
                <w:b w:val="0"/>
                <w:noProof/>
                <w:sz w:val="24"/>
                <w:szCs w:val="24"/>
              </w:rPr>
              <w:t xml:space="preserve"> разходи за здравни грижи и загуба на производителност. </w:t>
            </w:r>
          </w:p>
          <w:p w:rsidR="00467251" w:rsidRDefault="00E55EA0">
            <w:pPr>
              <w:pStyle w:val="ListParagraph"/>
              <w:numPr>
                <w:ilvl w:val="0"/>
                <w:numId w:val="3"/>
              </w:numPr>
              <w:ind w:left="360"/>
              <w:jc w:val="both"/>
              <w:rPr>
                <w:rFonts w:ascii="Times New Roman" w:hAnsi="Times New Roman" w:cs="Times New Roman"/>
                <w:b w:val="0"/>
                <w:noProof/>
                <w:sz w:val="24"/>
                <w:szCs w:val="24"/>
              </w:rPr>
            </w:pPr>
            <w:r>
              <w:rPr>
                <w:rFonts w:ascii="Times New Roman" w:hAnsi="Times New Roman" w:cs="Times New Roman"/>
                <w:b w:val="0"/>
                <w:noProof/>
                <w:sz w:val="24"/>
                <w:szCs w:val="24"/>
              </w:rPr>
              <w:t>Излагането в ЕС на замърсяване на въздуха с фини прахови частици в градските райони намаля с почти 20 % през периода 2010—2015 г. Въпреки това</w:t>
            </w:r>
            <w:r>
              <w:rPr>
                <w:rFonts w:ascii="Times New Roman" w:hAnsi="Times New Roman" w:cs="Times New Roman"/>
                <w:noProof/>
                <w:sz w:val="24"/>
                <w:szCs w:val="24"/>
              </w:rPr>
              <w:t xml:space="preserve"> замърсяването на въздуха </w:t>
            </w:r>
            <w:r>
              <w:rPr>
                <w:rFonts w:ascii="Times New Roman" w:hAnsi="Times New Roman" w:cs="Times New Roman"/>
                <w:b w:val="0"/>
                <w:noProof/>
                <w:sz w:val="24"/>
                <w:szCs w:val="24"/>
              </w:rPr>
              <w:t>продължава да бъде основната ек</w:t>
            </w:r>
            <w:r>
              <w:rPr>
                <w:rFonts w:ascii="Times New Roman" w:hAnsi="Times New Roman" w:cs="Times New Roman"/>
                <w:b w:val="0"/>
                <w:noProof/>
                <w:sz w:val="24"/>
                <w:szCs w:val="24"/>
              </w:rPr>
              <w:t>ологична причина за преждевременна смърт. Всяка година над 400 000 души в ЕС умират преждевременно поради лошото качество на въздуха, милиони хора страдат от респираторни и сърдечносъдови проблеми, причинени от замърсяването на въздуха.</w:t>
            </w:r>
          </w:p>
          <w:p w:rsidR="00467251" w:rsidRDefault="00E55EA0">
            <w:pPr>
              <w:pStyle w:val="ListParagraph"/>
              <w:numPr>
                <w:ilvl w:val="0"/>
                <w:numId w:val="3"/>
              </w:numPr>
              <w:ind w:left="360"/>
              <w:jc w:val="both"/>
              <w:rPr>
                <w:rFonts w:ascii="Times New Roman" w:hAnsi="Times New Roman" w:cs="Times New Roman"/>
                <w:b w:val="0"/>
                <w:noProof/>
                <w:sz w:val="24"/>
                <w:szCs w:val="24"/>
              </w:rPr>
            </w:pPr>
            <w:r>
              <w:rPr>
                <w:rFonts w:ascii="Times New Roman" w:hAnsi="Times New Roman" w:cs="Times New Roman"/>
                <w:b w:val="0"/>
                <w:noProof/>
                <w:sz w:val="24"/>
                <w:szCs w:val="24"/>
              </w:rPr>
              <w:t>През последните дес</w:t>
            </w:r>
            <w:r>
              <w:rPr>
                <w:rFonts w:ascii="Times New Roman" w:hAnsi="Times New Roman" w:cs="Times New Roman"/>
                <w:b w:val="0"/>
                <w:noProof/>
                <w:sz w:val="24"/>
                <w:szCs w:val="24"/>
              </w:rPr>
              <w:t>етилетия</w:t>
            </w:r>
            <w:r>
              <w:rPr>
                <w:rFonts w:ascii="Times New Roman" w:hAnsi="Times New Roman" w:cs="Times New Roman"/>
                <w:noProof/>
                <w:sz w:val="24"/>
                <w:szCs w:val="24"/>
              </w:rPr>
              <w:t xml:space="preserve"> безопасността</w:t>
            </w:r>
            <w:r>
              <w:rPr>
                <w:rFonts w:ascii="Times New Roman" w:hAnsi="Times New Roman" w:cs="Times New Roman"/>
                <w:b w:val="0"/>
                <w:noProof/>
                <w:sz w:val="24"/>
                <w:szCs w:val="24"/>
              </w:rPr>
              <w:t xml:space="preserve"> на движението по пътищата в ЕС се подобри значително. ЕС се превърна в най-безопасния регион с 49 смъртни случая на един милион жители, дължащи се на пътнотранспортни произшествия. В периода 2001—2010 г. броят на загиналите при пътно</w:t>
            </w:r>
            <w:r>
              <w:rPr>
                <w:rFonts w:ascii="Times New Roman" w:hAnsi="Times New Roman" w:cs="Times New Roman"/>
                <w:b w:val="0"/>
                <w:noProof/>
                <w:sz w:val="24"/>
                <w:szCs w:val="24"/>
              </w:rPr>
              <w:t>транспортни произшествия в ЕС намаля с 43 %, а в периода 2010—2017 г. с още 20 %.</w:t>
            </w:r>
          </w:p>
        </w:tc>
      </w:tr>
      <w:tr w:rsidR="00467251" w:rsidTr="0046725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Световна класация </w:t>
            </w:r>
          </w:p>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b w:val="0"/>
                <w:noProof/>
                <w:sz w:val="24"/>
              </w:rPr>
              <w:t>Според общия доклад „Индекс и показатели за ЦУР, 2018 г.“ (Bertelsmann Stiftung и Sustainable Development Solutions Network) 18 държави — членки на ЕС, постигат над 90 от общо 100 точки за ЦУР 3. Единадесет държави — членки на ЕС, са сред първите 20 в свет</w:t>
            </w:r>
            <w:r>
              <w:rPr>
                <w:rFonts w:ascii="Times New Roman" w:eastAsiaTheme="majorEastAsia" w:hAnsi="Times New Roman"/>
                <w:b w:val="0"/>
                <w:noProof/>
                <w:sz w:val="24"/>
              </w:rPr>
              <w:t xml:space="preserve">а. Като цяло тази цел се нарежда в първите 3 ЦУР, по които държавите — членки на ЕС, се представят най-добре. </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A44A"/>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noProof/>
                <w:sz w:val="24"/>
                <w:szCs w:val="24"/>
              </w:rPr>
            </w:pPr>
            <w:r>
              <w:rPr>
                <w:rFonts w:ascii="Times New Roman" w:hAnsi="Times New Roman"/>
                <w:b w:val="0"/>
                <w:noProof/>
                <w:sz w:val="24"/>
              </w:rPr>
              <w:t xml:space="preserve">За да продължат да гарантират всеобщ достъп до здравеопазване в </w:t>
            </w:r>
            <w:r>
              <w:rPr>
                <w:rFonts w:ascii="Times New Roman" w:hAnsi="Times New Roman"/>
                <w:b w:val="0"/>
                <w:noProof/>
                <w:sz w:val="24"/>
              </w:rPr>
              <w:t>ЕС, здравните системи трябва да бъдат устойчиви на бъдещите промени, да осигуряват достъпност и ефективност. Ще е необходимо да се премине към модел, който поставя по-голям акцент върху профилактиката и промоцията на здравето, който е персонализиран и изпо</w:t>
            </w:r>
            <w:r>
              <w:rPr>
                <w:rFonts w:ascii="Times New Roman" w:hAnsi="Times New Roman"/>
                <w:b w:val="0"/>
                <w:noProof/>
                <w:sz w:val="24"/>
              </w:rPr>
              <w:t>лзва цифровите технологии, както и да се укрепят първичната медицинска помощ и разработването на интегрирани и ориентирани към пациента грижи. Освен това е важно да се ограничат търсенето и предлагането на незаконни наркотици. ЕС продължава да бъде ангажир</w:t>
            </w:r>
            <w:r>
              <w:rPr>
                <w:rFonts w:ascii="Times New Roman" w:hAnsi="Times New Roman"/>
                <w:b w:val="0"/>
                <w:noProof/>
                <w:sz w:val="24"/>
              </w:rPr>
              <w:t>ан в борбата със заразните и незаразните болести и антимикробната резистентност. Полагат се значителни усилия за насърчаване на по-широкото прилагане на утвърдени най-добри практики. ЕС ще се стреми да постигне новите междинни цели за намаляване на смъртни</w:t>
            </w:r>
            <w:r>
              <w:rPr>
                <w:rFonts w:ascii="Times New Roman" w:hAnsi="Times New Roman"/>
                <w:b w:val="0"/>
                <w:noProof/>
                <w:sz w:val="24"/>
              </w:rPr>
              <w:t>те случаи по пътищата с 50 % между 2020 г. и 2030 г. и намаляване наполовина на броя на тежко ранените през същия период.</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rsidP="00E55EA0">
            <w:pPr>
              <w:keepNext/>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Обществена ангажираност и участие в политическия живот, промяна на поведението, по-здрава </w:t>
            </w:r>
            <w:r>
              <w:rPr>
                <w:rFonts w:ascii="Times New Roman" w:hAnsi="Times New Roman"/>
                <w:b w:val="0"/>
                <w:noProof/>
                <w:sz w:val="24"/>
              </w:rPr>
              <w:t>работна сила и население, корпоративна социална отговорност / отговорно бизнес поведение, устойчиво финансиране, публично-частни партньорства, профилактика и промоция на здравето, научни изследвания и иновации, нови технологии, цифрова трансформация в обла</w:t>
            </w:r>
            <w:r>
              <w:rPr>
                <w:rFonts w:ascii="Times New Roman" w:hAnsi="Times New Roman"/>
                <w:b w:val="0"/>
                <w:noProof/>
                <w:sz w:val="24"/>
              </w:rPr>
              <w:t>стта на здравето и здравните грижи, акцент върху устойчиви общества, образование, публични и частни инвестиции, отворена и справедлива търговия.</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Бедност, неравенства по отношение на социалните аспекти и здравето, биолог</w:t>
            </w:r>
            <w:r>
              <w:rPr>
                <w:rFonts w:ascii="Times New Roman" w:hAnsi="Times New Roman"/>
                <w:b w:val="0"/>
                <w:noProof/>
                <w:sz w:val="24"/>
              </w:rPr>
              <w:t xml:space="preserve">ични заплахи, изменение на климата и рискове, свързани с околната среда, фискална устойчивост, засегната от застаряването на населението, и инфлация на разходите във връзка с новите технологии и социално-икономическите рискове, застаряване на населението, </w:t>
            </w:r>
            <w:r>
              <w:rPr>
                <w:rFonts w:ascii="Times New Roman" w:hAnsi="Times New Roman"/>
                <w:b w:val="0"/>
                <w:noProof/>
                <w:sz w:val="24"/>
              </w:rPr>
              <w:t xml:space="preserve">вредни навици, геополитическа нестабилност и заплахи за здравната сигурност. </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A44A"/>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hAnsi="Times New Roman" w:cs="Times New Roman"/>
                <w:b w:val="0"/>
                <w:noProof/>
                <w:sz w:val="24"/>
                <w:szCs w:val="24"/>
              </w:rPr>
            </w:pPr>
            <w:r>
              <w:rPr>
                <w:rFonts w:ascii="Times New Roman" w:eastAsiaTheme="majorEastAsia" w:hAnsi="Times New Roman" w:cs="Times New Roman"/>
                <w:i/>
                <w:noProof/>
                <w:sz w:val="24"/>
                <w:szCs w:val="24"/>
              </w:rPr>
              <w:t>ЕС на международно равнище:</w:t>
            </w:r>
            <w:r>
              <w:rPr>
                <w:rFonts w:ascii="Times New Roman" w:eastAsiaTheme="majorEastAsia" w:hAnsi="Times New Roman" w:cs="Times New Roman"/>
                <w:b w:val="0"/>
                <w:noProof/>
                <w:sz w:val="24"/>
                <w:szCs w:val="24"/>
              </w:rPr>
              <w:t xml:space="preserve"> ЕС допринесе за програмата за партньорство в здравната сфера между ЕС и Световната здравна организация с цел укрепване на системите на здравеопазване в над 35 </w:t>
            </w:r>
            <w:r>
              <w:rPr>
                <w:rFonts w:ascii="Times New Roman" w:hAnsi="Times New Roman" w:cs="Times New Roman"/>
                <w:b w:val="0"/>
                <w:noProof/>
                <w:sz w:val="24"/>
                <w:szCs w:val="24"/>
              </w:rPr>
              <w:t>страни партньори</w:t>
            </w:r>
            <w:r>
              <w:rPr>
                <w:rFonts w:ascii="Times New Roman" w:hAnsi="Times New Roman" w:cs="Times New Roman"/>
                <w:noProof/>
                <w:sz w:val="24"/>
                <w:szCs w:val="24"/>
              </w:rPr>
              <w:t xml:space="preserve"> </w:t>
            </w:r>
            <w:r>
              <w:rPr>
                <w:rFonts w:ascii="Times New Roman" w:eastAsiaTheme="majorEastAsia" w:hAnsi="Times New Roman" w:cs="Times New Roman"/>
                <w:b w:val="0"/>
                <w:noProof/>
                <w:sz w:val="24"/>
                <w:szCs w:val="24"/>
              </w:rPr>
              <w:t>и заедно с ООН подкрепя подобряването на достъпа и търсенето на семейно планира</w:t>
            </w:r>
            <w:r>
              <w:rPr>
                <w:rFonts w:ascii="Times New Roman" w:eastAsiaTheme="majorEastAsia" w:hAnsi="Times New Roman" w:cs="Times New Roman"/>
                <w:b w:val="0"/>
                <w:noProof/>
                <w:sz w:val="24"/>
                <w:szCs w:val="24"/>
              </w:rPr>
              <w:t xml:space="preserve">не, намаляването на вредните традиционни практики и основаното на пола насилие.  </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cs="Times New Roman"/>
                <w:i/>
                <w:noProof/>
                <w:sz w:val="24"/>
                <w:szCs w:val="24"/>
              </w:rPr>
              <w:t xml:space="preserve">На равнище ЕС: </w:t>
            </w:r>
            <w:r>
              <w:rPr>
                <w:rFonts w:ascii="Times New Roman" w:hAnsi="Times New Roman" w:cs="Times New Roman"/>
                <w:b w:val="0"/>
                <w:noProof/>
                <w:sz w:val="24"/>
                <w:szCs w:val="24"/>
              </w:rPr>
              <w:t xml:space="preserve">в областта на антимикробната резистентност ЕС прие амбициозен </w:t>
            </w:r>
            <w:hyperlink r:id="rId85">
              <w:r>
                <w:rPr>
                  <w:rFonts w:ascii="Times New Roman" w:hAnsi="Times New Roman" w:cs="Times New Roman"/>
                  <w:b w:val="0"/>
                  <w:noProof/>
                  <w:sz w:val="24"/>
                  <w:szCs w:val="24"/>
                </w:rPr>
                <w:t>план за действие „Едно здраве“</w:t>
              </w:r>
            </w:hyperlink>
            <w:r>
              <w:rPr>
                <w:rFonts w:ascii="Times New Roman" w:hAnsi="Times New Roman" w:cs="Times New Roman"/>
                <w:noProof/>
                <w:sz w:val="24"/>
                <w:szCs w:val="24"/>
              </w:rPr>
              <w:t xml:space="preserve"> </w:t>
            </w:r>
            <w:r>
              <w:rPr>
                <w:rFonts w:ascii="Times New Roman" w:hAnsi="Times New Roman" w:cs="Times New Roman"/>
                <w:b w:val="0"/>
                <w:noProof/>
                <w:sz w:val="24"/>
                <w:szCs w:val="24"/>
              </w:rPr>
              <w:t xml:space="preserve">с </w:t>
            </w:r>
            <w:r>
              <w:rPr>
                <w:rFonts w:ascii="Times New Roman" w:hAnsi="Times New Roman" w:cs="Times New Roman"/>
                <w:b w:val="0"/>
                <w:noProof/>
                <w:sz w:val="24"/>
                <w:szCs w:val="24"/>
              </w:rPr>
              <w:t>цел да се запази възможността за ефективно лечение на инфекции при хората и животните</w:t>
            </w:r>
            <w:r>
              <w:rPr>
                <w:rFonts w:ascii="Times New Roman" w:hAnsi="Times New Roman" w:cs="Times New Roman"/>
                <w:noProof/>
                <w:sz w:val="24"/>
                <w:szCs w:val="24"/>
              </w:rPr>
              <w:t>.</w:t>
            </w:r>
            <w:r>
              <w:rPr>
                <w:rFonts w:ascii="Times New Roman" w:hAnsi="Times New Roman" w:cs="Times New Roman"/>
                <w:b w:val="0"/>
                <w:noProof/>
                <w:sz w:val="24"/>
                <w:szCs w:val="24"/>
              </w:rPr>
              <w:t xml:space="preserve"> С него се предоставят насоки относно разумната употреба на антимикробни средства в хуманната медицина, насърчават се изследванията за нови антимикробни агенти, ваксини и</w:t>
            </w:r>
            <w:r>
              <w:rPr>
                <w:rFonts w:ascii="Times New Roman" w:hAnsi="Times New Roman" w:cs="Times New Roman"/>
                <w:b w:val="0"/>
                <w:noProof/>
                <w:sz w:val="24"/>
                <w:szCs w:val="24"/>
              </w:rPr>
              <w:t xml:space="preserve"> диагностика, стимулират се иновациите, осигурява се принос за научнообосновани политики и правни мерки и се разглеждат пропуските в знанията. В областта на профилактиката в тясно сътрудничество с държавите — членки на ЕС, се прилагат в по-широк мащаб утвъ</w:t>
            </w:r>
            <w:r>
              <w:rPr>
                <w:rFonts w:ascii="Times New Roman" w:hAnsi="Times New Roman" w:cs="Times New Roman"/>
                <w:b w:val="0"/>
                <w:noProof/>
                <w:sz w:val="24"/>
                <w:szCs w:val="24"/>
              </w:rPr>
              <w:t xml:space="preserve">рдени най-добри практики.  </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cs="Times New Roman"/>
                <w:i/>
                <w:noProof/>
                <w:sz w:val="24"/>
                <w:szCs w:val="24"/>
              </w:rPr>
              <w:t>На равнище държави членки:</w:t>
            </w:r>
            <w:r>
              <w:rPr>
                <w:rFonts w:ascii="Times New Roman" w:hAnsi="Times New Roman" w:cs="Times New Roman"/>
                <w:noProof/>
                <w:sz w:val="24"/>
                <w:szCs w:val="24"/>
              </w:rPr>
              <w:t xml:space="preserve"> </w:t>
            </w:r>
            <w:r>
              <w:rPr>
                <w:rFonts w:ascii="Times New Roman" w:hAnsi="Times New Roman" w:cs="Times New Roman"/>
                <w:b w:val="0"/>
                <w:noProof/>
                <w:sz w:val="24"/>
                <w:szCs w:val="24"/>
              </w:rPr>
              <w:t>в сектора на общественото здравеопазване в Словашката република са създадени специализирани консултативни центрове, които предоставят здравни съвети въз основа на основните лични рискови фактори (като</w:t>
            </w:r>
            <w:r>
              <w:rPr>
                <w:rFonts w:ascii="Times New Roman" w:hAnsi="Times New Roman" w:cs="Times New Roman"/>
                <w:b w:val="0"/>
                <w:noProof/>
                <w:sz w:val="24"/>
                <w:szCs w:val="24"/>
              </w:rPr>
              <w:t xml:space="preserve"> тютюнопушене, хранене, физическа активност или стрес). Те също така служат за повишаване на информираността и допринасят за увеличаване на броя на хората, които преминават профилактични медицински прегледи.</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hAnsi="Times New Roman" w:cs="Times New Roman"/>
                <w:i/>
                <w:noProof/>
                <w:sz w:val="24"/>
                <w:szCs w:val="24"/>
              </w:rPr>
              <w:t>На регионално/местно равнище:</w:t>
            </w:r>
            <w:r>
              <w:rPr>
                <w:rFonts w:ascii="Times New Roman" w:hAnsi="Times New Roman" w:cs="Times New Roman"/>
                <w:noProof/>
                <w:sz w:val="24"/>
                <w:szCs w:val="24"/>
              </w:rPr>
              <w:t xml:space="preserve"> </w:t>
            </w:r>
            <w:r>
              <w:rPr>
                <w:rFonts w:ascii="Times New Roman" w:hAnsi="Times New Roman" w:cs="Times New Roman"/>
                <w:b w:val="0"/>
                <w:noProof/>
                <w:sz w:val="24"/>
                <w:szCs w:val="24"/>
              </w:rPr>
              <w:t>през 2011 г. межд</w:t>
            </w:r>
            <w:r>
              <w:rPr>
                <w:rFonts w:ascii="Times New Roman" w:hAnsi="Times New Roman" w:cs="Times New Roman"/>
                <w:b w:val="0"/>
                <w:noProof/>
                <w:sz w:val="24"/>
                <w:szCs w:val="24"/>
              </w:rPr>
              <w:t>уобщинското сдружение за опазване на природата в Люксембург стартира проекта „Вкусете природата — консумация на регионални, биологични и справедливо търгувани храни“. Този проект има за цел да насърчи наличието на устойчиво произведени храни в училищните с</w:t>
            </w:r>
            <w:r>
              <w:rPr>
                <w:rFonts w:ascii="Times New Roman" w:hAnsi="Times New Roman" w:cs="Times New Roman"/>
                <w:b w:val="0"/>
                <w:noProof/>
                <w:sz w:val="24"/>
                <w:szCs w:val="24"/>
              </w:rPr>
              <w:t>толове на 33-те членуващи общини и да открие икономически възможности за земеделските стопани в региона, които</w:t>
            </w:r>
            <w:r>
              <w:rPr>
                <w:rFonts w:ascii="Times New Roman" w:hAnsi="Times New Roman"/>
                <w:b w:val="0"/>
                <w:noProof/>
                <w:sz w:val="24"/>
              </w:rPr>
              <w:t xml:space="preserve"> са особено ангажирани с опазването на околната среда. Освен че трябва да отговарят на критериите, гарантиращи опазването на околната среда и хума</w:t>
            </w:r>
            <w:r>
              <w:rPr>
                <w:rFonts w:ascii="Times New Roman" w:hAnsi="Times New Roman"/>
                <w:b w:val="0"/>
                <w:noProof/>
                <w:sz w:val="24"/>
              </w:rPr>
              <w:t>нното отношение към животните, селскостопанските производители, желаещи да се присъединят към проекта, трябва да използват 5 % от своята селскостопанска земя за опазване на биологичното разнообразие. В училищните столове на персонала се предлагат специални</w:t>
            </w:r>
            <w:r>
              <w:rPr>
                <w:rFonts w:ascii="Times New Roman" w:hAnsi="Times New Roman"/>
                <w:b w:val="0"/>
                <w:noProof/>
                <w:sz w:val="24"/>
              </w:rPr>
              <w:t xml:space="preserve"> курсове за обучение: срещи с производителите, здравословна храна, сезонни менюта, въздействието на храните върху климата и развиващите се страни. </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предприятия: </w:t>
            </w:r>
            <w:r>
              <w:rPr>
                <w:rFonts w:ascii="Times New Roman" w:eastAsiaTheme="majorEastAsia" w:hAnsi="Times New Roman"/>
                <w:b w:val="0"/>
                <w:noProof/>
                <w:sz w:val="24"/>
              </w:rPr>
              <w:t>с подкрепата на фондацията на Бил и Мелинда Гейтс CureVac GmbH в Германия спечели п</w:t>
            </w:r>
            <w:r>
              <w:rPr>
                <w:rFonts w:ascii="Times New Roman" w:eastAsiaTheme="majorEastAsia" w:hAnsi="Times New Roman"/>
                <w:b w:val="0"/>
                <w:noProof/>
                <w:sz w:val="24"/>
              </w:rPr>
              <w:t xml:space="preserve">ървата в историята на ЕС поощрителна награда за иновации за своя напредък в разработването на новаторска технология за ваксини, която поддържа ваксините стабилни при всяка стайна температура. </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гражданско общество: </w:t>
            </w:r>
            <w:r>
              <w:rPr>
                <w:rFonts w:ascii="Times New Roman" w:hAnsi="Times New Roman"/>
                <w:b w:val="0"/>
                <w:noProof/>
                <w:sz w:val="24"/>
              </w:rPr>
              <w:t>в рамките на националната здра</w:t>
            </w:r>
            <w:r>
              <w:rPr>
                <w:rFonts w:ascii="Times New Roman" w:hAnsi="Times New Roman"/>
                <w:b w:val="0"/>
                <w:noProof/>
                <w:sz w:val="24"/>
              </w:rPr>
              <w:t>вна програма в Полша неправителствени организации разработиха инструменти за скрининг на афективни разстройства, материали за помощ при психични проблеми, радиопрограми, публикации и образователни филми, създадоха онлайн форум и проведоха информационни кам</w:t>
            </w:r>
            <w:r>
              <w:rPr>
                <w:rFonts w:ascii="Times New Roman" w:hAnsi="Times New Roman"/>
                <w:b w:val="0"/>
                <w:noProof/>
                <w:sz w:val="24"/>
              </w:rPr>
              <w:t xml:space="preserve">пании. </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92000" cy="784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92000" cy="7848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C00000"/>
                <w:sz w:val="24"/>
                <w:szCs w:val="24"/>
              </w:rPr>
            </w:pPr>
            <w:r>
              <w:rPr>
                <w:rFonts w:ascii="Times New Roman" w:hAnsi="Times New Roman"/>
                <w:b/>
                <w:noProof/>
                <w:color w:val="C00000"/>
                <w:sz w:val="24"/>
              </w:rPr>
              <w:t>Осигуряване на приобщаващо и справедливо качествено образование и насърчаване на възможностите за учене през целия живот за всички</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color w:val="auto"/>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Height w:val="2478"/>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rsidR="00467251" w:rsidRDefault="00E55EA0">
            <w:p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Кратък преглед</w:t>
            </w:r>
          </w:p>
          <w:p w:rsidR="00467251" w:rsidRDefault="00E55EA0">
            <w:pPr>
              <w:pStyle w:val="NormalWeb"/>
              <w:jc w:val="both"/>
              <w:rPr>
                <w:rFonts w:eastAsiaTheme="majorEastAsia"/>
                <w:b w:val="0"/>
                <w:iCs/>
                <w:noProof/>
              </w:rPr>
            </w:pPr>
            <w:r>
              <w:rPr>
                <w:rFonts w:eastAsiaTheme="majorEastAsia"/>
                <w:b w:val="0"/>
                <w:noProof/>
              </w:rPr>
              <w:t xml:space="preserve">Образованието, професионалното обучение и ученето през целия живот </w:t>
            </w:r>
            <w:r>
              <w:rPr>
                <w:rFonts w:eastAsiaTheme="majorEastAsia"/>
                <w:b w:val="0"/>
                <w:noProof/>
              </w:rPr>
              <w:t>играят централна роля за изграждането с бъдеще на устойчива, силна, конкурентоспособна и сплотена Европа, тъй като дават възможност на хората да реализират своя пълен потенциал. През всички етапи от живота образованието и обучението са ключови аспекти на ч</w:t>
            </w:r>
            <w:r>
              <w:rPr>
                <w:rFonts w:eastAsiaTheme="majorEastAsia"/>
                <w:b w:val="0"/>
                <w:noProof/>
              </w:rPr>
              <w:t xml:space="preserve">овешкото развитие и основен двигател за растеж, работни места и социално сближаване. Нивото на образование сред младите хора в Европа непрекъснато се подобрява. ЕС е на път да постигне целите на стратегията „Европа 2020“ относно преждевременното напускане </w:t>
            </w:r>
            <w:r>
              <w:rPr>
                <w:rFonts w:eastAsiaTheme="majorEastAsia"/>
                <w:b w:val="0"/>
                <w:noProof/>
              </w:rPr>
              <w:t>на училище и завършването на висше образование. Беше отбелязан добър напредък във връзка с участието в образованието и грижите в ранна детска възраст, докато все още е необходим напредък за преодоляване на слабите резултати по математика, точни науки и чет</w:t>
            </w:r>
            <w:r>
              <w:rPr>
                <w:rFonts w:eastAsiaTheme="majorEastAsia"/>
                <w:b w:val="0"/>
                <w:noProof/>
              </w:rPr>
              <w:t xml:space="preserve">ене, за усвояването на цифрови умения и участието на възрастните в учебни дейности. Младите хора с увреждания или от мигрантски произход постигат значително по-ниска степен на образование. Преждевременно напусналите училище и слабо образованите млади хора </w:t>
            </w:r>
            <w:r>
              <w:rPr>
                <w:rFonts w:eastAsiaTheme="majorEastAsia"/>
                <w:b w:val="0"/>
                <w:noProof/>
              </w:rPr>
              <w:t>са изправени пред особено сериозни проблеми на пазара на труда. В международен план много страни партньори на ЕС се възползват от двустранни програми за подкрепа, които подпомагат укрепването на техните образователни системи с акцент върху подобряване на д</w:t>
            </w:r>
            <w:r>
              <w:rPr>
                <w:rFonts w:eastAsiaTheme="majorEastAsia"/>
                <w:b w:val="0"/>
                <w:noProof/>
              </w:rPr>
              <w:t>остъпа до качествено основно образование, по-специално за момичетата и маргинализираните групи, в държави с ниски доходи, както и в нестабилни и засегнати от конфликти държави.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4"/>
              </w:numPr>
              <w:ind w:left="142" w:hanging="142"/>
              <w:jc w:val="both"/>
              <w:rPr>
                <w:rFonts w:ascii="Times New Roman" w:hAnsi="Times New Roman" w:cs="Times New Roman"/>
                <w:b w:val="0"/>
                <w:noProof/>
                <w:color w:val="000000" w:themeColor="text1"/>
                <w:sz w:val="24"/>
                <w:szCs w:val="24"/>
              </w:rPr>
            </w:pPr>
            <w:r>
              <w:rPr>
                <w:rFonts w:ascii="Times New Roman" w:hAnsi="Times New Roman"/>
                <w:b w:val="0"/>
                <w:noProof/>
                <w:color w:val="000000" w:themeColor="text1"/>
                <w:sz w:val="24"/>
              </w:rPr>
              <w:t xml:space="preserve">От 2002 г. насам делът на </w:t>
            </w:r>
            <w:r>
              <w:rPr>
                <w:rFonts w:ascii="Times New Roman" w:hAnsi="Times New Roman"/>
                <w:noProof/>
                <w:color w:val="000000" w:themeColor="text1"/>
                <w:sz w:val="24"/>
              </w:rPr>
              <w:t>преждевременно напусналите училищ</w:t>
            </w:r>
            <w:r>
              <w:rPr>
                <w:rFonts w:ascii="Times New Roman" w:hAnsi="Times New Roman"/>
                <w:noProof/>
                <w:color w:val="000000" w:themeColor="text1"/>
                <w:sz w:val="24"/>
              </w:rPr>
              <w:t>е</w:t>
            </w:r>
            <w:r>
              <w:rPr>
                <w:rFonts w:ascii="Times New Roman" w:hAnsi="Times New Roman"/>
                <w:b w:val="0"/>
                <w:noProof/>
                <w:color w:val="000000" w:themeColor="text1"/>
                <w:sz w:val="24"/>
              </w:rPr>
              <w:t xml:space="preserve"> непрекъснато намалява. Спадът от 17 % през 2002 г. на 10,6 % през 2017 г. представлява ясна крачка напред към постигането на водещата цел на „Европа 2020“ от 10 %. </w:t>
            </w:r>
          </w:p>
          <w:p w:rsidR="00467251" w:rsidRDefault="00E55EA0">
            <w:pPr>
              <w:pStyle w:val="ListParagraph"/>
              <w:numPr>
                <w:ilvl w:val="0"/>
                <w:numId w:val="4"/>
              </w:numPr>
              <w:ind w:left="142" w:hanging="142"/>
              <w:jc w:val="both"/>
              <w:rPr>
                <w:rFonts w:ascii="Times New Roman" w:hAnsi="Times New Roman" w:cs="Times New Roman"/>
                <w:b w:val="0"/>
                <w:noProof/>
                <w:color w:val="000000" w:themeColor="text1"/>
                <w:sz w:val="24"/>
                <w:szCs w:val="24"/>
              </w:rPr>
            </w:pPr>
            <w:r>
              <w:rPr>
                <w:rFonts w:ascii="Times New Roman" w:hAnsi="Times New Roman"/>
                <w:b w:val="0"/>
                <w:noProof/>
                <w:color w:val="000000" w:themeColor="text1"/>
                <w:sz w:val="24"/>
              </w:rPr>
              <w:t xml:space="preserve">Водещата цел на „Европа 2020“ за дял на </w:t>
            </w:r>
            <w:r>
              <w:rPr>
                <w:rFonts w:ascii="Times New Roman" w:hAnsi="Times New Roman"/>
                <w:noProof/>
                <w:color w:val="000000" w:themeColor="text1"/>
                <w:sz w:val="24"/>
              </w:rPr>
              <w:t>завършилите висше образование</w:t>
            </w:r>
            <w:r>
              <w:rPr>
                <w:rFonts w:ascii="Times New Roman" w:hAnsi="Times New Roman"/>
                <w:b w:val="0"/>
                <w:noProof/>
                <w:color w:val="000000" w:themeColor="text1"/>
                <w:sz w:val="24"/>
              </w:rPr>
              <w:t xml:space="preserve"> от 40 % за хората на възраст 30—34 години на практика е постигната (39,9 % през 2017 г.). </w:t>
            </w:r>
          </w:p>
          <w:p w:rsidR="00467251" w:rsidRDefault="00E55EA0">
            <w:pPr>
              <w:pStyle w:val="ListParagraph"/>
              <w:numPr>
                <w:ilvl w:val="0"/>
                <w:numId w:val="4"/>
              </w:numPr>
              <w:ind w:left="142" w:hanging="142"/>
              <w:jc w:val="both"/>
              <w:rPr>
                <w:rFonts w:ascii="Times New Roman" w:hAnsi="Times New Roman" w:cs="Times New Roman"/>
                <w:b w:val="0"/>
                <w:noProof/>
                <w:color w:val="000000" w:themeColor="text1"/>
                <w:sz w:val="24"/>
                <w:szCs w:val="24"/>
              </w:rPr>
            </w:pPr>
            <w:r>
              <w:rPr>
                <w:rFonts w:ascii="Times New Roman" w:hAnsi="Times New Roman"/>
                <w:noProof/>
                <w:color w:val="000000" w:themeColor="text1"/>
                <w:sz w:val="24"/>
              </w:rPr>
              <w:t xml:space="preserve">Участието в образованието и грижите в ранна детска </w:t>
            </w:r>
            <w:r>
              <w:rPr>
                <w:rFonts w:ascii="Times New Roman" w:hAnsi="Times New Roman"/>
                <w:b w:val="0"/>
                <w:noProof/>
                <w:color w:val="000000" w:themeColor="text1"/>
                <w:sz w:val="24"/>
              </w:rPr>
              <w:t xml:space="preserve">възраст се увеличава непрекъснато от 2003 г. насам. Целта на ЕС за участие в предучилищно образование на 95 % от </w:t>
            </w:r>
            <w:r>
              <w:rPr>
                <w:rFonts w:ascii="Times New Roman" w:hAnsi="Times New Roman"/>
                <w:b w:val="0"/>
                <w:noProof/>
                <w:color w:val="000000" w:themeColor="text1"/>
                <w:sz w:val="24"/>
              </w:rPr>
              <w:t>децата на възраст между 4 години и възрастта за започване на задължително образование беше постигната през 2016 г., въпреки че продължават да съществуват различия между отделните държави.</w:t>
            </w:r>
          </w:p>
          <w:p w:rsidR="00467251" w:rsidRDefault="00E55EA0">
            <w:pPr>
              <w:pStyle w:val="ListParagraph"/>
              <w:numPr>
                <w:ilvl w:val="0"/>
                <w:numId w:val="4"/>
              </w:numPr>
              <w:ind w:left="142" w:hanging="142"/>
              <w:jc w:val="both"/>
              <w:rPr>
                <w:rFonts w:ascii="Times New Roman" w:hAnsi="Times New Roman" w:cs="Times New Roman"/>
                <w:b w:val="0"/>
                <w:noProof/>
                <w:color w:val="000000" w:themeColor="text1"/>
                <w:sz w:val="24"/>
                <w:szCs w:val="24"/>
              </w:rPr>
            </w:pPr>
            <w:r>
              <w:rPr>
                <w:rFonts w:ascii="Times New Roman" w:hAnsi="Times New Roman"/>
                <w:b w:val="0"/>
                <w:noProof/>
                <w:sz w:val="24"/>
              </w:rPr>
              <w:t xml:space="preserve">ЕС също така си постави за цел да намали до под 15 % до 2020 г. </w:t>
            </w:r>
            <w:r>
              <w:rPr>
                <w:rFonts w:ascii="Times New Roman" w:hAnsi="Times New Roman"/>
                <w:noProof/>
                <w:sz w:val="24"/>
              </w:rPr>
              <w:t>дела</w:t>
            </w:r>
            <w:r>
              <w:rPr>
                <w:rFonts w:ascii="Times New Roman" w:hAnsi="Times New Roman"/>
                <w:noProof/>
                <w:sz w:val="24"/>
              </w:rPr>
              <w:t xml:space="preserve"> на 15-годишните с ниски постижения по четене, математика и точни науки</w:t>
            </w:r>
            <w:r>
              <w:rPr>
                <w:rFonts w:ascii="Times New Roman" w:hAnsi="Times New Roman"/>
                <w:b w:val="0"/>
                <w:noProof/>
                <w:sz w:val="24"/>
              </w:rPr>
              <w:t>. И по трите предмета между държавите — членки на ЕС, съществуват големи различия по отношение на дела на учениците със слаби резултати. ЕС като цяло изостава и в трите области и съглас</w:t>
            </w:r>
            <w:r>
              <w:rPr>
                <w:rFonts w:ascii="Times New Roman" w:hAnsi="Times New Roman"/>
                <w:b w:val="0"/>
                <w:noProof/>
                <w:sz w:val="24"/>
              </w:rPr>
              <w:t xml:space="preserve">но последните налични данни от 2015 г. бележи стъпка назад в сравнение с резултатите от 2012 г. (наука: 20,6%, +4,0 процентни пункта; четене: 19,7 %, +1,9 процентни пункта; математика: 22,2%, + 0,1 процентни пункта). </w:t>
            </w:r>
          </w:p>
          <w:p w:rsidR="00467251" w:rsidRDefault="00E55EA0">
            <w:pPr>
              <w:pStyle w:val="ListParagraph"/>
              <w:numPr>
                <w:ilvl w:val="0"/>
                <w:numId w:val="4"/>
              </w:numPr>
              <w:ind w:left="142" w:hanging="142"/>
              <w:jc w:val="both"/>
              <w:rPr>
                <w:rFonts w:ascii="Times New Roman" w:hAnsi="Times New Roman" w:cs="Times New Roman"/>
                <w:b w:val="0"/>
                <w:noProof/>
                <w:color w:val="000000" w:themeColor="text1"/>
                <w:sz w:val="24"/>
                <w:szCs w:val="24"/>
              </w:rPr>
            </w:pPr>
            <w:r>
              <w:rPr>
                <w:rFonts w:ascii="Times New Roman" w:hAnsi="Times New Roman"/>
                <w:b w:val="0"/>
                <w:noProof/>
                <w:sz w:val="24"/>
              </w:rPr>
              <w:t>През 2017 г. 57 % от населението на ЕС</w:t>
            </w:r>
            <w:r>
              <w:rPr>
                <w:rFonts w:ascii="Times New Roman" w:hAnsi="Times New Roman"/>
                <w:b w:val="0"/>
                <w:noProof/>
                <w:sz w:val="24"/>
              </w:rPr>
              <w:t xml:space="preserve"> на възраст между 16 и 64 години притежаваха поне </w:t>
            </w:r>
            <w:r>
              <w:rPr>
                <w:rFonts w:ascii="Times New Roman" w:hAnsi="Times New Roman"/>
                <w:noProof/>
                <w:sz w:val="24"/>
              </w:rPr>
              <w:t>основни цифрови умения</w:t>
            </w:r>
            <w:r>
              <w:rPr>
                <w:rFonts w:ascii="Times New Roman" w:hAnsi="Times New Roman"/>
                <w:b w:val="0"/>
                <w:noProof/>
                <w:sz w:val="24"/>
              </w:rPr>
              <w:t>.</w:t>
            </w:r>
          </w:p>
          <w:p w:rsidR="00467251" w:rsidRDefault="00E55EA0">
            <w:pPr>
              <w:pStyle w:val="ListParagraph"/>
              <w:numPr>
                <w:ilvl w:val="0"/>
                <w:numId w:val="4"/>
              </w:numPr>
              <w:ind w:left="142" w:hanging="142"/>
              <w:jc w:val="both"/>
              <w:rPr>
                <w:rFonts w:ascii="Times New Roman" w:hAnsi="Times New Roman" w:cs="Times New Roman"/>
                <w:b w:val="0"/>
                <w:noProof/>
                <w:color w:val="000000" w:themeColor="text1"/>
                <w:sz w:val="24"/>
                <w:szCs w:val="24"/>
              </w:rPr>
            </w:pPr>
            <w:r>
              <w:rPr>
                <w:rFonts w:ascii="Times New Roman" w:hAnsi="Times New Roman"/>
                <w:noProof/>
                <w:sz w:val="24"/>
              </w:rPr>
              <w:t>Процентът на заетост на наскоро завършилите висше образование</w:t>
            </w:r>
            <w:r>
              <w:rPr>
                <w:rFonts w:ascii="Times New Roman" w:hAnsi="Times New Roman"/>
                <w:b w:val="0"/>
                <w:noProof/>
                <w:sz w:val="24"/>
              </w:rPr>
              <w:t xml:space="preserve"> нарасна от 76,9 % през 2015 г. на 80,2 % през 2017 г., приближавайки се до целта на ЕС от 82 %. </w:t>
            </w:r>
          </w:p>
          <w:p w:rsidR="00467251" w:rsidRDefault="00E55EA0">
            <w:pPr>
              <w:pStyle w:val="ListParagraph"/>
              <w:numPr>
                <w:ilvl w:val="0"/>
                <w:numId w:val="4"/>
              </w:numPr>
              <w:ind w:left="142" w:hanging="142"/>
              <w:jc w:val="both"/>
              <w:rPr>
                <w:rFonts w:ascii="Times New Roman" w:hAnsi="Times New Roman" w:cs="Times New Roman"/>
                <w:b w:val="0"/>
                <w:noProof/>
                <w:color w:val="000000" w:themeColor="text1"/>
                <w:sz w:val="24"/>
                <w:szCs w:val="24"/>
              </w:rPr>
            </w:pPr>
            <w:r>
              <w:rPr>
                <w:rFonts w:ascii="Times New Roman" w:hAnsi="Times New Roman"/>
                <w:b w:val="0"/>
                <w:noProof/>
                <w:color w:val="000000" w:themeColor="text1"/>
                <w:sz w:val="24"/>
              </w:rPr>
              <w:t xml:space="preserve">Делът на </w:t>
            </w:r>
            <w:r>
              <w:rPr>
                <w:rFonts w:ascii="Times New Roman" w:hAnsi="Times New Roman"/>
                <w:noProof/>
                <w:color w:val="000000" w:themeColor="text1"/>
                <w:sz w:val="24"/>
              </w:rPr>
              <w:t xml:space="preserve">младите хора, </w:t>
            </w:r>
            <w:r>
              <w:rPr>
                <w:rFonts w:ascii="Times New Roman" w:hAnsi="Times New Roman"/>
                <w:noProof/>
                <w:color w:val="000000" w:themeColor="text1"/>
                <w:sz w:val="24"/>
              </w:rPr>
              <w:t>които не участват във форма на заетост, образование или обучение</w:t>
            </w:r>
            <w:r>
              <w:rPr>
                <w:rFonts w:ascii="Times New Roman" w:hAnsi="Times New Roman"/>
                <w:b w:val="0"/>
                <w:noProof/>
                <w:color w:val="000000" w:themeColor="text1"/>
                <w:sz w:val="24"/>
              </w:rPr>
              <w:t>, продължи да спада, достигайки 10,9 % през 2017 г. след върховото си равнище от 13,2 % през 2012 г.</w:t>
            </w:r>
          </w:p>
          <w:p w:rsidR="00467251" w:rsidRDefault="00E55EA0">
            <w:pPr>
              <w:pStyle w:val="ListParagraph"/>
              <w:numPr>
                <w:ilvl w:val="0"/>
                <w:numId w:val="4"/>
              </w:numPr>
              <w:ind w:left="142" w:hanging="142"/>
              <w:jc w:val="both"/>
              <w:rPr>
                <w:rFonts w:ascii="Times New Roman" w:eastAsiaTheme="majorEastAsia" w:hAnsi="Times New Roman" w:cs="Times New Roman"/>
                <w:bCs w:val="0"/>
                <w:iCs/>
                <w:noProof/>
                <w:sz w:val="24"/>
                <w:szCs w:val="24"/>
              </w:rPr>
            </w:pPr>
            <w:r>
              <w:rPr>
                <w:rFonts w:ascii="Times New Roman" w:hAnsi="Times New Roman"/>
                <w:b w:val="0"/>
                <w:noProof/>
                <w:color w:val="000000" w:themeColor="text1"/>
                <w:sz w:val="24"/>
              </w:rPr>
              <w:t>През 2017 г.</w:t>
            </w:r>
            <w:r>
              <w:rPr>
                <w:rFonts w:ascii="Times New Roman" w:hAnsi="Times New Roman"/>
                <w:noProof/>
                <w:color w:val="000000" w:themeColor="text1"/>
                <w:sz w:val="24"/>
              </w:rPr>
              <w:t xml:space="preserve"> </w:t>
            </w:r>
            <w:r>
              <w:rPr>
                <w:rFonts w:ascii="Times New Roman" w:hAnsi="Times New Roman"/>
                <w:b w:val="0"/>
                <w:noProof/>
                <w:color w:val="000000" w:themeColor="text1"/>
                <w:sz w:val="24"/>
              </w:rPr>
              <w:t>делът на</w:t>
            </w:r>
            <w:r>
              <w:rPr>
                <w:rFonts w:ascii="Times New Roman" w:hAnsi="Times New Roman"/>
                <w:noProof/>
                <w:color w:val="000000" w:themeColor="text1"/>
                <w:sz w:val="24"/>
              </w:rPr>
              <w:t xml:space="preserve"> участието на възрастни </w:t>
            </w:r>
            <w:r>
              <w:rPr>
                <w:rFonts w:ascii="Times New Roman" w:hAnsi="Times New Roman"/>
                <w:b w:val="0"/>
                <w:noProof/>
                <w:color w:val="000000" w:themeColor="text1"/>
                <w:sz w:val="24"/>
              </w:rPr>
              <w:t>(на възраст 25—64 години) в учебни дейности бе</w:t>
            </w:r>
            <w:r>
              <w:rPr>
                <w:rFonts w:ascii="Times New Roman" w:hAnsi="Times New Roman"/>
                <w:b w:val="0"/>
                <w:noProof/>
                <w:color w:val="000000" w:themeColor="text1"/>
                <w:sz w:val="24"/>
              </w:rPr>
              <w:t xml:space="preserve">ше 10,9 %, което е значително под целта от поне 15 %.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Световна класация </w:t>
            </w:r>
          </w:p>
          <w:p w:rsidR="00467251" w:rsidRDefault="00E55EA0">
            <w:pPr>
              <w:jc w:val="both"/>
              <w:rPr>
                <w:rFonts w:ascii="Times New Roman" w:eastAsiaTheme="majorEastAsia" w:hAnsi="Times New Roman" w:cs="Times New Roman"/>
                <w:b w:val="0"/>
                <w:i/>
                <w:iCs/>
                <w:noProof/>
                <w:sz w:val="24"/>
                <w:szCs w:val="24"/>
              </w:rPr>
            </w:pPr>
            <w:r>
              <w:rPr>
                <w:rFonts w:ascii="Times New Roman" w:eastAsiaTheme="majorEastAsia" w:hAnsi="Times New Roman"/>
                <w:b w:val="0"/>
                <w:noProof/>
                <w:sz w:val="24"/>
              </w:rPr>
              <w:t xml:space="preserve">Според общия доклад „Индекс и показатели за ЦУР, 2018 г.“ (Bertelsmann Stiftung и Sustainable Development Solutions Network) 16 държави — членки на ЕС, постигат над 90 от общо 100 </w:t>
            </w:r>
            <w:r>
              <w:rPr>
                <w:rFonts w:ascii="Times New Roman" w:eastAsiaTheme="majorEastAsia" w:hAnsi="Times New Roman"/>
                <w:b w:val="0"/>
                <w:noProof/>
                <w:sz w:val="24"/>
              </w:rPr>
              <w:t>точки за ЦУР 4. Седем държави — членки на ЕС, са сред първите 20 в света. Средно тази цел се нарежда в първите 3 ЦУР, по които държавите — членки на ЕС, се представят най-добре.</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Cs/>
                <w:noProof/>
                <w:sz w:val="24"/>
                <w:szCs w:val="24"/>
              </w:rPr>
            </w:pPr>
            <w:r>
              <w:rPr>
                <w:rFonts w:ascii="Times New Roman" w:eastAsiaTheme="majorEastAsia" w:hAnsi="Times New Roman"/>
                <w:i/>
                <w:noProof/>
                <w:sz w:val="24"/>
              </w:rPr>
              <w:t xml:space="preserve">При настоящите тенденции и равни други </w:t>
            </w:r>
            <w:r>
              <w:rPr>
                <w:rFonts w:ascii="Times New Roman" w:eastAsiaTheme="majorEastAsia" w:hAnsi="Times New Roman"/>
                <w:i/>
                <w:noProof/>
                <w:sz w:val="24"/>
              </w:rPr>
              <w:t>условия</w:t>
            </w:r>
          </w:p>
          <w:p w:rsidR="00467251" w:rsidRDefault="00E55EA0">
            <w:pPr>
              <w:jc w:val="both"/>
              <w:rPr>
                <w:rFonts w:ascii="Times New Roman" w:hAnsi="Times New Roman" w:cs="Times New Roman"/>
                <w:b w:val="0"/>
                <w:noProof/>
                <w:sz w:val="24"/>
                <w:szCs w:val="24"/>
                <w:highlight w:val="yellow"/>
              </w:rPr>
            </w:pPr>
            <w:r>
              <w:rPr>
                <w:rFonts w:ascii="Times New Roman" w:hAnsi="Times New Roman"/>
                <w:b w:val="0"/>
                <w:noProof/>
                <w:sz w:val="24"/>
              </w:rPr>
              <w:t>Като резултат на структурните промени на пазарите на труда, демографското развитие и реформите на политиките се очаква в бъдеще равнището на образование сред младото население да продължи да се повишава. До 2030 г. европейското пространство за обра</w:t>
            </w:r>
            <w:r>
              <w:rPr>
                <w:rFonts w:ascii="Times New Roman" w:hAnsi="Times New Roman"/>
                <w:b w:val="0"/>
                <w:noProof/>
                <w:sz w:val="24"/>
              </w:rPr>
              <w:t>зование ще бъде утвърдено и надеждата е да няма граници или пречки пред приобщаваща учебна мобилност и академично сътрудничество. Всички млади хора трябва да получат по-добро образование и обучение, независимо от социално-икономическия си произход, което д</w:t>
            </w:r>
            <w:r>
              <w:rPr>
                <w:rFonts w:ascii="Times New Roman" w:hAnsi="Times New Roman"/>
                <w:b w:val="0"/>
                <w:noProof/>
                <w:sz w:val="24"/>
              </w:rPr>
              <w:t xml:space="preserve">а доведе до усвояването на повече и по-добри умения. Освен това се очаква приобщаващото образование и ученето през целия живот да доведе до по-малко на брой преждевременно напускащи училище и повече учащи се на всички равнища. Трансформациите на пазара на </w:t>
            </w:r>
            <w:r>
              <w:rPr>
                <w:rFonts w:ascii="Times New Roman" w:hAnsi="Times New Roman"/>
                <w:b w:val="0"/>
                <w:noProof/>
                <w:sz w:val="24"/>
              </w:rPr>
              <w:t>труда се очаква също така да стимулират по-голямо участие на възрастните в образованието и обучението. Хората ще могат да получат признание на своите умения, получени извън формалното образование и обучение. Всички програми за образование и обучение ще вкл</w:t>
            </w:r>
            <w:r>
              <w:rPr>
                <w:rFonts w:ascii="Times New Roman" w:hAnsi="Times New Roman"/>
                <w:b w:val="0"/>
                <w:noProof/>
                <w:sz w:val="24"/>
              </w:rPr>
              <w:t>ючват по-ясно изразено измерение на учене в процеса на работата и ще се възползват от по-тясно сътрудничество с деловите среди и гражданското общество. Ще продължи да е важно да се полагат по-големи усилия за интегрирането на образованието за устойчиво раз</w:t>
            </w:r>
            <w:r>
              <w:rPr>
                <w:rFonts w:ascii="Times New Roman" w:hAnsi="Times New Roman"/>
                <w:b w:val="0"/>
                <w:noProof/>
                <w:sz w:val="24"/>
              </w:rPr>
              <w:t>витие в учебните планове на всички образователни равнища.</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Обществена ангажираност и участие в политическия живот, промяна на поведението, корпоративна социална отговорност / отговорно бизнес поведение, устойчиво </w:t>
            </w:r>
            <w:r>
              <w:rPr>
                <w:rFonts w:ascii="Times New Roman" w:hAnsi="Times New Roman"/>
                <w:b w:val="0"/>
                <w:noProof/>
                <w:sz w:val="24"/>
              </w:rPr>
              <w:t>финансиране, публично-частни партньорства, научни изследвания и иновации, цифрови технологии и онлайн платформи, изкуствен интелект, променящи се пазари на труда и нужди от умения, акцент върху устойчиви и издръжливи общества.</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 xml:space="preserve">Рискове/отрицателни движещи </w:t>
            </w:r>
            <w:r>
              <w:rPr>
                <w:rFonts w:ascii="Times New Roman" w:eastAsiaTheme="majorEastAsia" w:hAnsi="Times New Roman"/>
                <w:i/>
                <w:noProof/>
                <w:sz w:val="24"/>
              </w:rPr>
              <w:t>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Неравни възможности, бедност, ниско равнище на публични и частни инвестиции, несъответствие между търсените и предлаганите умения, увеличаване на недостига на знания.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ЕС: </w:t>
            </w:r>
            <w:r>
              <w:rPr>
                <w:rFonts w:ascii="Times New Roman" w:hAnsi="Times New Roman"/>
                <w:b w:val="0"/>
                <w:noProof/>
                <w:sz w:val="24"/>
              </w:rPr>
              <w:t>следвайки първия принцип на европейския стълб на социалните права, Комисията координира новата европейска програма за умения и работи с държавите членки за създаването на европейско пространство на образование до 2025 г. Целта е да се подобрят образователн</w:t>
            </w:r>
            <w:r>
              <w:rPr>
                <w:rFonts w:ascii="Times New Roman" w:hAnsi="Times New Roman"/>
                <w:b w:val="0"/>
                <w:noProof/>
                <w:sz w:val="24"/>
              </w:rPr>
              <w:t>ите системи и системите за обучение, за да станат по-приобщаващи, базирани на учене през целия живот и направлявани от иновациите. Мерките, представени през 2018 г. и насочени към създаване на европейското пространство на образование до 2025 г., обхващат а</w:t>
            </w:r>
            <w:r>
              <w:rPr>
                <w:rFonts w:ascii="Times New Roman" w:hAnsi="Times New Roman"/>
                <w:b w:val="0"/>
                <w:noProof/>
                <w:sz w:val="24"/>
              </w:rPr>
              <w:t>втоматичното взаимно признаване на дипломите и периодите на обучение в чужбина, основните компетентности, цифровите умения, общите ценности и приобщаващото образование, висококачественото образование и грижи в ранна детска възраст и подобряване на преподав</w:t>
            </w:r>
            <w:r>
              <w:rPr>
                <w:rFonts w:ascii="Times New Roman" w:hAnsi="Times New Roman"/>
                <w:b w:val="0"/>
                <w:noProof/>
                <w:sz w:val="24"/>
              </w:rPr>
              <w:t xml:space="preserve">ането и изучаването на езици. </w:t>
            </w: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държави членки: </w:t>
            </w:r>
            <w:r>
              <w:rPr>
                <w:rFonts w:ascii="Times New Roman" w:hAnsi="Times New Roman"/>
                <w:b w:val="0"/>
                <w:noProof/>
                <w:sz w:val="24"/>
              </w:rPr>
              <w:t>през 2016 г. Словения стартира програма, която ще подобри качеството на преподаването и опита на обучаващите се, като предостави на учителите и наставниците възможности да повишат своите знания, уме</w:t>
            </w:r>
            <w:r>
              <w:rPr>
                <w:rFonts w:ascii="Times New Roman" w:hAnsi="Times New Roman"/>
                <w:b w:val="0"/>
                <w:noProof/>
                <w:sz w:val="24"/>
              </w:rPr>
              <w:t xml:space="preserve">ния и компетентности чрез ротация на работните места. Програмата ще се изпълнява до 2022 г. и разполага с финансиране в размер на 1,65 милиона евро, от които 1,32 милиона евро са от Европейския социален фонд. </w:t>
            </w: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регионално/местно равнище: </w:t>
            </w:r>
            <w:r>
              <w:rPr>
                <w:rFonts w:ascii="Times New Roman" w:hAnsi="Times New Roman"/>
                <w:b w:val="0"/>
                <w:noProof/>
                <w:sz w:val="24"/>
              </w:rPr>
              <w:t>в регион Венето,</w:t>
            </w:r>
            <w:r>
              <w:rPr>
                <w:rFonts w:ascii="Times New Roman" w:hAnsi="Times New Roman"/>
                <w:b w:val="0"/>
                <w:noProof/>
                <w:sz w:val="24"/>
              </w:rPr>
              <w:t xml:space="preserve"> Италия, се осъществява инициатива, финансирана от Европейския социален фонд, благодарение на която на възрастни хора, които не са завършили горен курс на средно образование, включително хора с по-ниска професионална квалификация, която вече не съответства</w:t>
            </w:r>
            <w:r>
              <w:rPr>
                <w:rFonts w:ascii="Times New Roman" w:hAnsi="Times New Roman"/>
                <w:b w:val="0"/>
                <w:noProof/>
                <w:sz w:val="24"/>
              </w:rPr>
              <w:t xml:space="preserve"> на нуждите на пазара на труда, могат да бъдат признати учебни кредити за предишния им трудов опит или обучения и те могат да започнат персонализиран учебен процес.</w:t>
            </w:r>
          </w:p>
          <w:p w:rsidR="00467251" w:rsidRDefault="00E55EA0">
            <w:pPr>
              <w:spacing w:after="120"/>
              <w:jc w:val="both"/>
              <w:rPr>
                <w:rFonts w:ascii="Times New Roman" w:hAnsi="Times New Roman" w:cs="Times New Roman"/>
                <w:b w:val="0"/>
                <w:noProof/>
                <w:sz w:val="24"/>
                <w:szCs w:val="24"/>
              </w:rPr>
            </w:pPr>
            <w:r>
              <w:rPr>
                <w:rFonts w:ascii="Times New Roman" w:hAnsi="Times New Roman"/>
                <w:i/>
                <w:noProof/>
                <w:sz w:val="24"/>
              </w:rPr>
              <w:t>На равнище предприятия</w:t>
            </w:r>
            <w:r>
              <w:rPr>
                <w:rFonts w:ascii="Times New Roman" w:hAnsi="Times New Roman"/>
                <w:noProof/>
                <w:sz w:val="24"/>
              </w:rPr>
              <w:t>:</w:t>
            </w:r>
            <w:r>
              <w:rPr>
                <w:rFonts w:ascii="Times New Roman" w:hAnsi="Times New Roman"/>
                <w:b w:val="0"/>
                <w:noProof/>
                <w:sz w:val="24"/>
              </w:rPr>
              <w:t xml:space="preserve"> през 2018 г. в регион Нувел-Акитен във Франция беше подписано трист</w:t>
            </w:r>
            <w:r>
              <w:rPr>
                <w:rFonts w:ascii="Times New Roman" w:hAnsi="Times New Roman"/>
                <w:b w:val="0"/>
                <w:noProof/>
                <w:sz w:val="24"/>
              </w:rPr>
              <w:t>ранно споразумение за откриването на секция за приобщаващо обучение на млади хора и възрастни с увреждания. Дузина стажанти с увреждания ще бъдат обучени в секторите на електротехниката, електрониката и електроинженерство, електрически и сектори. Половинат</w:t>
            </w:r>
            <w:r>
              <w:rPr>
                <w:rFonts w:ascii="Times New Roman" w:hAnsi="Times New Roman"/>
                <w:b w:val="0"/>
                <w:noProof/>
                <w:sz w:val="24"/>
              </w:rPr>
              <w:t>а от тях ще бъдат в приети в обекти на електроенергийното предприятие Enedis, а другата половина — в други подходящи дружества.</w:t>
            </w: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гражданско общество: </w:t>
            </w:r>
            <w:r>
              <w:rPr>
                <w:rFonts w:ascii="Times New Roman" w:hAnsi="Times New Roman"/>
                <w:b w:val="0"/>
                <w:noProof/>
                <w:sz w:val="24"/>
              </w:rPr>
              <w:t>ToekomstATELIERdelAvenir (или TADA) предоставя допълнително, доброволно и ориентирано към общест</w:t>
            </w:r>
            <w:r>
              <w:rPr>
                <w:rFonts w:ascii="Times New Roman" w:hAnsi="Times New Roman"/>
                <w:b w:val="0"/>
                <w:noProof/>
                <w:sz w:val="24"/>
              </w:rPr>
              <w:t>вото образование на уязвими младежи от необлагодетелствани квартали в Брюксел, Белгия. Организацията се стреми да открие възможности за младите участници и да предотврати загубата на мотивация и свързаните с това отрицателни последици (като например учебна</w:t>
            </w:r>
            <w:r>
              <w:rPr>
                <w:rFonts w:ascii="Times New Roman" w:hAnsi="Times New Roman"/>
                <w:b w:val="0"/>
                <w:noProof/>
                <w:sz w:val="24"/>
              </w:rPr>
              <w:t xml:space="preserve"> умора, преждевременно напускане на училище, престъпност, безработица, крайна радикализация) и да допринесе за по-голяма интеграция и социално сближаване.</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rPr>
          <w:trHeight w:val="1400"/>
        </w:trPr>
        <w:tc>
          <w:tcPr>
            <w:tcW w:w="1526" w:type="dxa"/>
          </w:tcPr>
          <w:p w:rsidR="00467251" w:rsidRDefault="00E55EA0">
            <w:pPr>
              <w:rPr>
                <w:rFonts w:ascii="Times New Roman" w:hAnsi="Times New Roman" w:cs="Times New Roman"/>
                <w:noProof/>
                <w:sz w:val="24"/>
                <w:szCs w:val="24"/>
              </w:rPr>
            </w:pPr>
            <w:r>
              <w:rPr>
                <w:noProof/>
              </w:rPr>
              <w:br w:type="page"/>
            </w:r>
            <w:r>
              <w:rPr>
                <w:rFonts w:ascii="Times New Roman" w:hAnsi="Times New Roman"/>
                <w:noProof/>
                <w:sz w:val="24"/>
              </w:rPr>
              <w:t xml:space="preserve">  </w:t>
            </w:r>
            <w:r>
              <w:rPr>
                <w:rFonts w:ascii="Times New Roman" w:hAnsi="Times New Roman" w:cs="Times New Roman"/>
                <w:noProof/>
                <w:sz w:val="24"/>
                <w:szCs w:val="24"/>
                <w:lang w:val="en-GB" w:eastAsia="en-GB" w:bidi="ar-SA"/>
              </w:rPr>
              <w:drawing>
                <wp:inline distT="0" distB="0" distL="0" distR="0">
                  <wp:extent cx="788400" cy="78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C00000"/>
                <w:sz w:val="24"/>
                <w:szCs w:val="24"/>
              </w:rPr>
            </w:pPr>
            <w:r>
              <w:rPr>
                <w:rFonts w:ascii="Times New Roman" w:hAnsi="Times New Roman"/>
                <w:b/>
                <w:noProof/>
                <w:color w:val="C00000"/>
                <w:sz w:val="24"/>
              </w:rPr>
              <w:t>Постигане на равенство между половете и предоставяне на повече права на всички жени и момичета</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spacing w:after="192"/>
              <w:jc w:val="both"/>
              <w:rPr>
                <w:rFonts w:ascii="Times New Roman" w:hAnsi="Times New Roman" w:cs="Times New Roman"/>
                <w:b w:val="0"/>
                <w:iCs/>
                <w:noProof/>
                <w:sz w:val="24"/>
                <w:szCs w:val="24"/>
              </w:rPr>
            </w:pPr>
            <w:r>
              <w:rPr>
                <w:rFonts w:ascii="Times New Roman" w:hAnsi="Times New Roman"/>
                <w:b w:val="0"/>
                <w:noProof/>
                <w:sz w:val="24"/>
              </w:rPr>
              <w:t>ЕС е сред световните лидери по въпросите на равенството между половете и през последните десетилетия беше постигнат напредък. Той се дължи на приемането на законодателство в областта на равното третиране, интегрирането на принципа на равенство между полове</w:t>
            </w:r>
            <w:r>
              <w:rPr>
                <w:rFonts w:ascii="Times New Roman" w:hAnsi="Times New Roman"/>
                <w:b w:val="0"/>
                <w:noProof/>
                <w:sz w:val="24"/>
              </w:rPr>
              <w:t xml:space="preserve">те и специални мерки за напредък по отношение на правата на </w:t>
            </w:r>
            <w:r>
              <w:rPr>
                <w:rFonts w:ascii="Times New Roman" w:hAnsi="Times New Roman" w:cs="Times New Roman"/>
                <w:b w:val="0"/>
                <w:noProof/>
                <w:sz w:val="24"/>
                <w:szCs w:val="24"/>
              </w:rPr>
              <w:t>жените и равенството между половете. На пазара на труда в ЕС има повече жени и те получават по-добро образование и обучение; въпреки това жените все още имат по-голямо присъствие в секторите с по-</w:t>
            </w:r>
            <w:r>
              <w:rPr>
                <w:rFonts w:ascii="Times New Roman" w:hAnsi="Times New Roman" w:cs="Times New Roman"/>
                <w:b w:val="0"/>
                <w:noProof/>
                <w:sz w:val="24"/>
                <w:szCs w:val="24"/>
              </w:rPr>
              <w:t>ниско заплащане и са недостатъчно представени на ръководни длъжности. Разликите между половете при доходите и моделите на професионално развитие често водят до по-ниски пенсионни права за жените. Продължават да са необходими по-нататъшни подобрения и стиму</w:t>
            </w:r>
            <w:r>
              <w:rPr>
                <w:rFonts w:ascii="Times New Roman" w:hAnsi="Times New Roman" w:cs="Times New Roman"/>
                <w:b w:val="0"/>
                <w:noProof/>
                <w:sz w:val="24"/>
                <w:szCs w:val="24"/>
              </w:rPr>
              <w:t xml:space="preserve">лът за това е налице. Специално </w:t>
            </w:r>
            <w:hyperlink r:id="rId88">
              <w:r>
                <w:rPr>
                  <w:rFonts w:ascii="Times New Roman" w:hAnsi="Times New Roman" w:cs="Times New Roman"/>
                  <w:b w:val="0"/>
                  <w:noProof/>
                  <w:sz w:val="24"/>
                  <w:szCs w:val="24"/>
                </w:rPr>
                <w:t>проучване</w:t>
              </w:r>
            </w:hyperlink>
            <w:r>
              <w:rPr>
                <w:rFonts w:ascii="Times New Roman" w:hAnsi="Times New Roman" w:cs="Times New Roman"/>
                <w:noProof/>
                <w:sz w:val="24"/>
                <w:szCs w:val="24"/>
              </w:rPr>
              <w:t xml:space="preserve"> </w:t>
            </w:r>
            <w:r>
              <w:rPr>
                <w:rFonts w:ascii="Times New Roman" w:hAnsi="Times New Roman" w:cs="Times New Roman"/>
                <w:b w:val="0"/>
                <w:noProof/>
                <w:sz w:val="24"/>
                <w:szCs w:val="24"/>
              </w:rPr>
              <w:t>на Евробарометър през 2017 г. показа, че населението в ЕС като цяло подкрепя равенството между половете: 84 % от европейците смятат, че равенството между половете е важно за тях в личен план (включително 80 % от мъжете). На международно равнище ЕС отчита р</w:t>
            </w:r>
            <w:r>
              <w:rPr>
                <w:rFonts w:ascii="Times New Roman" w:hAnsi="Times New Roman" w:cs="Times New Roman"/>
                <w:b w:val="0"/>
                <w:noProof/>
                <w:sz w:val="24"/>
                <w:szCs w:val="24"/>
              </w:rPr>
              <w:t xml:space="preserve">авенството между половете чрез своите външни политики — от търговските инструменти до Европейския </w:t>
            </w:r>
            <w:r>
              <w:rPr>
                <w:rFonts w:ascii="Times New Roman" w:hAnsi="Times New Roman"/>
                <w:b w:val="0"/>
                <w:noProof/>
                <w:sz w:val="24"/>
              </w:rPr>
              <w:t>консенсус за развитие и политиките за съседство и разширяване на ЕС.</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5"/>
              </w:numPr>
              <w:ind w:left="142" w:hanging="142"/>
              <w:jc w:val="both"/>
              <w:rPr>
                <w:rFonts w:ascii="Times New Roman" w:hAnsi="Times New Roman" w:cs="Times New Roman"/>
                <w:b w:val="0"/>
                <w:bCs w:val="0"/>
                <w:noProof/>
                <w:sz w:val="24"/>
                <w:szCs w:val="24"/>
              </w:rPr>
            </w:pPr>
            <w:hyperlink r:id="rId89">
              <w:r>
                <w:rPr>
                  <w:rFonts w:ascii="Times New Roman" w:hAnsi="Times New Roman" w:cs="Times New Roman"/>
                  <w:b w:val="0"/>
                  <w:noProof/>
                  <w:sz w:val="24"/>
                  <w:szCs w:val="24"/>
                </w:rPr>
                <w:t xml:space="preserve">Индексът за </w:t>
              </w:r>
              <w:r>
                <w:rPr>
                  <w:rFonts w:ascii="Times New Roman" w:hAnsi="Times New Roman" w:cs="Times New Roman"/>
                  <w:noProof/>
                  <w:sz w:val="24"/>
                  <w:szCs w:val="24"/>
                </w:rPr>
                <w:t>равенство между половете</w:t>
              </w:r>
            </w:hyperlink>
            <w:r>
              <w:rPr>
                <w:rFonts w:ascii="Times New Roman" w:hAnsi="Times New Roman" w:cs="Times New Roman"/>
                <w:noProof/>
                <w:sz w:val="24"/>
                <w:szCs w:val="24"/>
              </w:rPr>
              <w:t xml:space="preserve"> </w:t>
            </w:r>
            <w:r>
              <w:rPr>
                <w:rFonts w:ascii="Times New Roman" w:hAnsi="Times New Roman" w:cs="Times New Roman"/>
                <w:b w:val="0"/>
                <w:noProof/>
                <w:sz w:val="24"/>
                <w:szCs w:val="24"/>
              </w:rPr>
              <w:t>на Европейския институт за равенство между половете (2017 г.) подчертава,</w:t>
            </w:r>
            <w:r>
              <w:rPr>
                <w:rFonts w:ascii="Times New Roman" w:hAnsi="Times New Roman" w:cs="Times New Roman"/>
                <w:b w:val="0"/>
                <w:noProof/>
                <w:sz w:val="24"/>
                <w:szCs w:val="24"/>
              </w:rPr>
              <w:t xml:space="preserve"> че през последното десетилетие се наблюдава като цяло положителен, но бавен напредък към постигане на равенство между половете. Най-значително подобрение беше постигнато в областта на правомощията (напр. ръководни постове в частния и публичния сектор), до</w:t>
            </w:r>
            <w:r>
              <w:rPr>
                <w:rFonts w:ascii="Times New Roman" w:hAnsi="Times New Roman" w:cs="Times New Roman"/>
                <w:b w:val="0"/>
                <w:noProof/>
                <w:sz w:val="24"/>
                <w:szCs w:val="24"/>
              </w:rPr>
              <w:t>като неравенството между половете нарасна в областта на времето (например поемането на домакинската работа, свободно време, неплатени грижи). Има големи различия в представянето на отделните държави членки. По-голямата част от държавите членки подобриха св</w:t>
            </w:r>
            <w:r>
              <w:rPr>
                <w:rFonts w:ascii="Times New Roman" w:hAnsi="Times New Roman" w:cs="Times New Roman"/>
                <w:b w:val="0"/>
                <w:noProof/>
                <w:sz w:val="24"/>
                <w:szCs w:val="24"/>
              </w:rPr>
              <w:t>оите общи оценки от 2005 г. насам. Няколко държави членки не отбелязаха напредък или дори имаше лек спад в тяхната оценка.</w:t>
            </w:r>
          </w:p>
          <w:p w:rsidR="00467251" w:rsidRDefault="00E55EA0">
            <w:pPr>
              <w:pStyle w:val="ListParagraph"/>
              <w:numPr>
                <w:ilvl w:val="0"/>
                <w:numId w:val="5"/>
              </w:numPr>
              <w:ind w:left="142" w:hanging="142"/>
              <w:jc w:val="both"/>
              <w:rPr>
                <w:rFonts w:ascii="Times New Roman" w:hAnsi="Times New Roman" w:cs="Times New Roman"/>
                <w:b w:val="0"/>
                <w:bCs w:val="0"/>
                <w:noProof/>
                <w:sz w:val="24"/>
                <w:szCs w:val="24"/>
              </w:rPr>
            </w:pPr>
            <w:r>
              <w:rPr>
                <w:rFonts w:ascii="Times New Roman" w:hAnsi="Times New Roman" w:cs="Times New Roman"/>
                <w:b w:val="0"/>
                <w:noProof/>
                <w:sz w:val="24"/>
                <w:szCs w:val="24"/>
              </w:rPr>
              <w:t xml:space="preserve">През 2017 г. </w:t>
            </w:r>
            <w:r>
              <w:rPr>
                <w:rFonts w:ascii="Times New Roman" w:hAnsi="Times New Roman" w:cs="Times New Roman"/>
                <w:noProof/>
                <w:sz w:val="24"/>
                <w:szCs w:val="24"/>
              </w:rPr>
              <w:t>разликата в заетостта</w:t>
            </w:r>
            <w:r>
              <w:rPr>
                <w:rFonts w:ascii="Times New Roman" w:hAnsi="Times New Roman" w:cs="Times New Roman"/>
                <w:b w:val="0"/>
                <w:noProof/>
                <w:sz w:val="24"/>
                <w:szCs w:val="24"/>
              </w:rPr>
              <w:t xml:space="preserve"> между мъжете и жените на равнище ЕС беше под 12 процентни пункта, което е значително по-ниско равн</w:t>
            </w:r>
            <w:r>
              <w:rPr>
                <w:rFonts w:ascii="Times New Roman" w:hAnsi="Times New Roman" w:cs="Times New Roman"/>
                <w:b w:val="0"/>
                <w:noProof/>
                <w:sz w:val="24"/>
                <w:szCs w:val="24"/>
              </w:rPr>
              <w:t>ище в сравнение с 2008 г., когато то достигна 15,1 процентни пункта. Това подобрение се дължеше в голяма степен на увеличаването на процента на заетост на жените. Липсата на достъпни, евтини и качествени формални услуги за полагане на грижи, особено за мал</w:t>
            </w:r>
            <w:r>
              <w:rPr>
                <w:rFonts w:ascii="Times New Roman" w:hAnsi="Times New Roman" w:cs="Times New Roman"/>
                <w:b w:val="0"/>
                <w:noProof/>
                <w:sz w:val="24"/>
                <w:szCs w:val="24"/>
              </w:rPr>
              <w:t xml:space="preserve">ки деца, е един от основните фактори, възпрепятстващи участието на жените на пазара на труда. През 2016 г. едва 32,9 % от децата на възраст между 0 и 3 години в ЕС посещаваха официално заведение за образование и грижи, което представлява увеличение спрямо </w:t>
            </w:r>
            <w:r>
              <w:rPr>
                <w:rFonts w:ascii="Times New Roman" w:hAnsi="Times New Roman" w:cs="Times New Roman"/>
                <w:b w:val="0"/>
                <w:noProof/>
                <w:sz w:val="24"/>
                <w:szCs w:val="24"/>
              </w:rPr>
              <w:t>дела от 28 % през 2008 г.</w:t>
            </w:r>
          </w:p>
          <w:p w:rsidR="00467251" w:rsidRDefault="00E55EA0">
            <w:pPr>
              <w:pStyle w:val="ListParagraph"/>
              <w:numPr>
                <w:ilvl w:val="0"/>
                <w:numId w:val="5"/>
              </w:numPr>
              <w:ind w:left="142" w:hanging="142"/>
              <w:jc w:val="both"/>
              <w:rPr>
                <w:rFonts w:ascii="Times New Roman" w:hAnsi="Times New Roman" w:cs="Times New Roman"/>
                <w:b w:val="0"/>
                <w:bCs w:val="0"/>
                <w:noProof/>
                <w:sz w:val="24"/>
                <w:szCs w:val="24"/>
              </w:rPr>
            </w:pPr>
            <w:r>
              <w:rPr>
                <w:rFonts w:ascii="Times New Roman" w:hAnsi="Times New Roman" w:cs="Times New Roman"/>
                <w:b w:val="0"/>
                <w:noProof/>
                <w:sz w:val="24"/>
                <w:szCs w:val="24"/>
              </w:rPr>
              <w:t xml:space="preserve">През последните няколко години </w:t>
            </w:r>
            <w:r>
              <w:rPr>
                <w:rFonts w:ascii="Times New Roman" w:hAnsi="Times New Roman" w:cs="Times New Roman"/>
                <w:noProof/>
                <w:sz w:val="24"/>
                <w:szCs w:val="24"/>
              </w:rPr>
              <w:t>разликата в заплащането между половете</w:t>
            </w:r>
            <w:r>
              <w:rPr>
                <w:rFonts w:ascii="Times New Roman" w:hAnsi="Times New Roman" w:cs="Times New Roman"/>
                <w:b w:val="0"/>
                <w:noProof/>
                <w:sz w:val="24"/>
                <w:szCs w:val="24"/>
              </w:rPr>
              <w:t xml:space="preserve"> леко намаля. През 2016 г. брутното почасово възнаграждение на жените беше средно с 16,2 % по-ниско от това на мъжете. След пенсиониране обаче тази разлика се ув</w:t>
            </w:r>
            <w:r>
              <w:rPr>
                <w:rFonts w:ascii="Times New Roman" w:hAnsi="Times New Roman" w:cs="Times New Roman"/>
                <w:b w:val="0"/>
                <w:noProof/>
                <w:sz w:val="24"/>
                <w:szCs w:val="24"/>
              </w:rPr>
              <w:t>еличава експоненциално, като</w:t>
            </w:r>
            <w:r>
              <w:rPr>
                <w:rFonts w:ascii="Times New Roman" w:hAnsi="Times New Roman" w:cs="Times New Roman"/>
                <w:noProof/>
                <w:sz w:val="24"/>
                <w:szCs w:val="24"/>
              </w:rPr>
              <w:t xml:space="preserve"> разликата в пенсиите на м</w:t>
            </w:r>
            <w:r>
              <w:rPr>
                <w:rFonts w:ascii="Times New Roman" w:hAnsi="Times New Roman"/>
                <w:noProof/>
                <w:sz w:val="24"/>
              </w:rPr>
              <w:t xml:space="preserve">ъжете и жените </w:t>
            </w:r>
            <w:r>
              <w:rPr>
                <w:rFonts w:ascii="Times New Roman" w:hAnsi="Times New Roman"/>
                <w:b w:val="0"/>
                <w:noProof/>
                <w:sz w:val="24"/>
              </w:rPr>
              <w:t xml:space="preserve">е 36,6 %.  </w:t>
            </w:r>
          </w:p>
          <w:p w:rsidR="00467251" w:rsidRDefault="00E55EA0">
            <w:pPr>
              <w:pStyle w:val="ListParagraph"/>
              <w:numPr>
                <w:ilvl w:val="0"/>
                <w:numId w:val="5"/>
              </w:numPr>
              <w:ind w:left="142" w:hanging="142"/>
              <w:jc w:val="both"/>
              <w:rPr>
                <w:rFonts w:ascii="Times New Roman" w:hAnsi="Times New Roman" w:cs="Times New Roman"/>
                <w:b w:val="0"/>
                <w:bCs w:val="0"/>
                <w:noProof/>
                <w:sz w:val="24"/>
                <w:szCs w:val="24"/>
              </w:rPr>
            </w:pPr>
            <w:r>
              <w:rPr>
                <w:rFonts w:ascii="Times New Roman" w:hAnsi="Times New Roman"/>
                <w:b w:val="0"/>
                <w:noProof/>
                <w:sz w:val="24"/>
              </w:rPr>
              <w:t xml:space="preserve">По отношение на </w:t>
            </w:r>
            <w:r>
              <w:rPr>
                <w:rFonts w:ascii="Times New Roman" w:hAnsi="Times New Roman"/>
                <w:noProof/>
                <w:sz w:val="24"/>
              </w:rPr>
              <w:t>равенството между половете</w:t>
            </w:r>
            <w:r>
              <w:rPr>
                <w:rFonts w:ascii="Times New Roman" w:hAnsi="Times New Roman"/>
                <w:b w:val="0"/>
                <w:noProof/>
                <w:sz w:val="24"/>
              </w:rPr>
              <w:t xml:space="preserve"> в политиката в ЕС, делът на местата, заемани от жени в националните парламенти, нарасна от 20,9 % през 2004 г. на 29,7 % през 2018 г</w:t>
            </w:r>
            <w:r>
              <w:rPr>
                <w:rFonts w:ascii="Times New Roman" w:hAnsi="Times New Roman"/>
                <w:b w:val="0"/>
                <w:noProof/>
                <w:sz w:val="24"/>
              </w:rPr>
              <w:t>.</w:t>
            </w:r>
          </w:p>
          <w:p w:rsidR="00467251" w:rsidRDefault="00E55EA0">
            <w:pPr>
              <w:pStyle w:val="ListParagraph"/>
              <w:numPr>
                <w:ilvl w:val="0"/>
                <w:numId w:val="5"/>
              </w:numPr>
              <w:ind w:left="142" w:hanging="142"/>
              <w:jc w:val="both"/>
              <w:rPr>
                <w:rFonts w:ascii="Times New Roman" w:hAnsi="Times New Roman" w:cs="Times New Roman"/>
                <w:b w:val="0"/>
                <w:bCs w:val="0"/>
                <w:noProof/>
                <w:sz w:val="24"/>
                <w:szCs w:val="24"/>
              </w:rPr>
            </w:pPr>
            <w:r>
              <w:rPr>
                <w:rFonts w:ascii="Times New Roman" w:hAnsi="Times New Roman"/>
                <w:b w:val="0"/>
                <w:noProof/>
                <w:sz w:val="24"/>
              </w:rPr>
              <w:t xml:space="preserve">През 2017 г. една четвърт от </w:t>
            </w:r>
            <w:r>
              <w:rPr>
                <w:rFonts w:ascii="Times New Roman" w:hAnsi="Times New Roman"/>
                <w:noProof/>
                <w:sz w:val="24"/>
              </w:rPr>
              <w:t>членовете на управителните съвети на най-големите дружества, търгувани на борсата</w:t>
            </w:r>
            <w:r>
              <w:rPr>
                <w:rFonts w:ascii="Times New Roman" w:hAnsi="Times New Roman"/>
                <w:b w:val="0"/>
                <w:noProof/>
                <w:sz w:val="24"/>
              </w:rPr>
              <w:t>, бяха жени. Между 2003 г. и 2017 г. имаше почти равномерно ежегодно увеличение, достигайки общо 16,8 процентни пункта.</w:t>
            </w:r>
          </w:p>
          <w:p w:rsidR="00467251" w:rsidRDefault="00E55EA0">
            <w:pPr>
              <w:pStyle w:val="ListParagraph"/>
              <w:numPr>
                <w:ilvl w:val="0"/>
                <w:numId w:val="5"/>
              </w:numPr>
              <w:ind w:left="142" w:hanging="142"/>
              <w:jc w:val="both"/>
              <w:rPr>
                <w:rFonts w:ascii="Times New Roman" w:hAnsi="Times New Roman" w:cs="Times New Roman"/>
                <w:noProof/>
                <w:sz w:val="24"/>
                <w:szCs w:val="24"/>
              </w:rPr>
            </w:pPr>
            <w:r>
              <w:rPr>
                <w:rFonts w:ascii="Times New Roman" w:hAnsi="Times New Roman"/>
                <w:b w:val="0"/>
                <w:noProof/>
                <w:sz w:val="24"/>
              </w:rPr>
              <w:t>През последните 10 годин</w:t>
            </w:r>
            <w:r>
              <w:rPr>
                <w:rFonts w:ascii="Times New Roman" w:hAnsi="Times New Roman"/>
                <w:b w:val="0"/>
                <w:noProof/>
                <w:sz w:val="24"/>
              </w:rPr>
              <w:t xml:space="preserve">и начинът, по който жените и мъжете отделят </w:t>
            </w:r>
            <w:r>
              <w:rPr>
                <w:rFonts w:ascii="Times New Roman" w:hAnsi="Times New Roman"/>
                <w:noProof/>
                <w:sz w:val="24"/>
              </w:rPr>
              <w:t>време за грижи, домакинска работа и социални дейности</w:t>
            </w:r>
            <w:r>
              <w:rPr>
                <w:rFonts w:ascii="Times New Roman" w:hAnsi="Times New Roman"/>
                <w:b w:val="0"/>
                <w:noProof/>
                <w:sz w:val="24"/>
              </w:rPr>
              <w:t xml:space="preserve"> в ЕС, намали равнопоставеността. Този спад в равенството беше отбелязан в дванадесет държави членки, докато в други осем държави членки бяха постигнати подобр</w:t>
            </w:r>
            <w:r>
              <w:rPr>
                <w:rFonts w:ascii="Times New Roman" w:hAnsi="Times New Roman"/>
                <w:b w:val="0"/>
                <w:noProof/>
                <w:sz w:val="24"/>
              </w:rPr>
              <w:t>ения.</w:t>
            </w:r>
          </w:p>
          <w:p w:rsidR="00467251" w:rsidRDefault="00E55EA0">
            <w:pPr>
              <w:pStyle w:val="ListParagraph"/>
              <w:numPr>
                <w:ilvl w:val="0"/>
                <w:numId w:val="5"/>
              </w:numPr>
              <w:ind w:left="142" w:hanging="142"/>
              <w:jc w:val="both"/>
              <w:rPr>
                <w:rFonts w:ascii="Times New Roman" w:hAnsi="Times New Roman" w:cs="Times New Roman"/>
                <w:noProof/>
                <w:sz w:val="24"/>
                <w:szCs w:val="24"/>
              </w:rPr>
            </w:pPr>
            <w:r>
              <w:rPr>
                <w:rFonts w:ascii="Times New Roman" w:hAnsi="Times New Roman"/>
                <w:b w:val="0"/>
                <w:noProof/>
                <w:sz w:val="24"/>
              </w:rPr>
              <w:t xml:space="preserve">Една трета от жените в Европа са били обект на </w:t>
            </w:r>
            <w:r>
              <w:rPr>
                <w:rFonts w:ascii="Times New Roman" w:hAnsi="Times New Roman"/>
                <w:noProof/>
                <w:sz w:val="24"/>
              </w:rPr>
              <w:t>физическо и/или сексуално насилие</w:t>
            </w:r>
            <w:r>
              <w:rPr>
                <w:rFonts w:ascii="Times New Roman" w:hAnsi="Times New Roman"/>
                <w:b w:val="0"/>
                <w:noProof/>
                <w:sz w:val="24"/>
              </w:rPr>
              <w:t xml:space="preserve"> след навършване на 15 години.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Световна класация </w:t>
            </w:r>
          </w:p>
          <w:p w:rsidR="00467251" w:rsidRDefault="00E55EA0">
            <w:pPr>
              <w:autoSpaceDE w:val="0"/>
              <w:autoSpaceDN w:val="0"/>
              <w:adjustRightInd w:val="0"/>
              <w:jc w:val="both"/>
              <w:rPr>
                <w:rFonts w:ascii="Times New Roman" w:eastAsiaTheme="majorEastAsia" w:hAnsi="Times New Roman" w:cs="Times New Roman"/>
                <w:b w:val="0"/>
                <w:bCs w:val="0"/>
                <w:i/>
                <w:iCs/>
                <w:noProof/>
                <w:sz w:val="24"/>
                <w:szCs w:val="24"/>
              </w:rPr>
            </w:pPr>
            <w:r>
              <w:rPr>
                <w:rFonts w:ascii="Times New Roman" w:eastAsiaTheme="majorEastAsia" w:hAnsi="Times New Roman"/>
                <w:b w:val="0"/>
                <w:noProof/>
                <w:sz w:val="24"/>
              </w:rPr>
              <w:t xml:space="preserve">Според общия доклад „Индекс и показатели за ЦУР, 2018 г.“ (Bertelsmann Stiftung и Sustainable Development Solutions </w:t>
            </w:r>
            <w:r>
              <w:rPr>
                <w:rFonts w:ascii="Times New Roman" w:eastAsiaTheme="majorEastAsia" w:hAnsi="Times New Roman"/>
                <w:b w:val="0"/>
                <w:noProof/>
                <w:sz w:val="24"/>
              </w:rPr>
              <w:t>Network) 11 държави — членки на ЕС, постигат над 80 от общо 100 точки за ЦУР 5. Единадесет държави — членки на ЕС, са сред първите 20 в света.</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00000"/>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spacing w:after="192"/>
              <w:jc w:val="both"/>
              <w:rPr>
                <w:rFonts w:ascii="Times New Roman" w:hAnsi="Times New Roman" w:cs="Times New Roman"/>
                <w:b w:val="0"/>
                <w:noProof/>
                <w:sz w:val="24"/>
                <w:szCs w:val="24"/>
              </w:rPr>
            </w:pPr>
            <w:r>
              <w:rPr>
                <w:rFonts w:ascii="Times New Roman" w:hAnsi="Times New Roman"/>
                <w:b w:val="0"/>
                <w:noProof/>
                <w:sz w:val="24"/>
              </w:rPr>
              <w:t xml:space="preserve">По-нататъшният напредък в </w:t>
            </w:r>
            <w:r>
              <w:rPr>
                <w:rFonts w:ascii="Times New Roman" w:hAnsi="Times New Roman"/>
                <w:b w:val="0"/>
                <w:noProof/>
                <w:sz w:val="24"/>
              </w:rPr>
              <w:t>областта на равенството между половете и овластяването на жените и момичетата изисква ангажираност, повече финансиране и постоянни усилия от участниците на всички нива — от отделното домакинство до институциите на ЕС. Въпреки че нормативните стимули са важ</w:t>
            </w:r>
            <w:r>
              <w:rPr>
                <w:rFonts w:ascii="Times New Roman" w:hAnsi="Times New Roman"/>
                <w:b w:val="0"/>
                <w:noProof/>
                <w:sz w:val="24"/>
              </w:rPr>
              <w:t>ни за ускоряването на таози напредък, равенството между половете зависи особено силно от културните и етичните ценности и от хода на обществените промени. До 2030 г. можем да очакваме ЕС да е постигнал допълнителен напредък за икономическо овластяване на ж</w:t>
            </w:r>
            <w:r>
              <w:rPr>
                <w:rFonts w:ascii="Times New Roman" w:hAnsi="Times New Roman"/>
                <w:b w:val="0"/>
                <w:noProof/>
                <w:sz w:val="24"/>
              </w:rPr>
              <w:t>ените, равновесие между половете при вземането на решения и борба с насилието срещу жените и момичетата. Постигането и обхватът на този напредък зависят от развитието на културния и политическия контекст, както и от бъдещите нормативни мерки.</w:t>
            </w:r>
          </w:p>
        </w:tc>
      </w:tr>
      <w:tr w:rsidR="00467251" w:rsidTr="00467251">
        <w:trPr>
          <w:trHeight w:val="1316"/>
        </w:trPr>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w:t>
            </w:r>
            <w:r>
              <w:rPr>
                <w:rFonts w:ascii="Times New Roman" w:eastAsiaTheme="majorEastAsia" w:hAnsi="Times New Roman"/>
                <w:i/>
                <w:noProof/>
                <w:sz w:val="24"/>
              </w:rPr>
              <w:t>положителни движещи фактори</w:t>
            </w:r>
          </w:p>
          <w:p w:rsidR="00467251" w:rsidRDefault="00E55EA0">
            <w:pPr>
              <w:spacing w:after="192"/>
              <w:jc w:val="both"/>
              <w:rPr>
                <w:rFonts w:ascii="Times New Roman" w:hAnsi="Times New Roman" w:cs="Times New Roman"/>
                <w:b w:val="0"/>
                <w:noProof/>
                <w:sz w:val="24"/>
                <w:szCs w:val="24"/>
              </w:rPr>
            </w:pPr>
            <w:r>
              <w:rPr>
                <w:rFonts w:ascii="Times New Roman" w:hAnsi="Times New Roman"/>
                <w:b w:val="0"/>
                <w:noProof/>
                <w:sz w:val="24"/>
              </w:rPr>
              <w:t>Обществена ангажираност и участие в политическия живот, промени в социалните норми, промяна на поведението, корпоративна социална отговорност/отговорно бизнес поведение, официални детски заведения, балансирани схеми за отпуск по</w:t>
            </w:r>
            <w:r>
              <w:rPr>
                <w:rFonts w:ascii="Times New Roman" w:hAnsi="Times New Roman"/>
                <w:b w:val="0"/>
                <w:noProof/>
                <w:sz w:val="24"/>
              </w:rPr>
              <w:t xml:space="preserve"> семейни причини, гъвкави режими на работа, балансирана образователна система, достъп до нови технологии, подобряване на техническите умения на жените, отворена и справедлива търговия.</w:t>
            </w:r>
          </w:p>
        </w:tc>
      </w:tr>
      <w:tr w:rsidR="00467251" w:rsidTr="00467251">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Неравенство по отношение на възмож</w:t>
            </w:r>
            <w:r>
              <w:rPr>
                <w:rFonts w:ascii="Times New Roman" w:hAnsi="Times New Roman"/>
                <w:b w:val="0"/>
                <w:noProof/>
                <w:sz w:val="24"/>
              </w:rPr>
              <w:t>ностите, спъване на напредъка, несъответствия между търсените и предлаганите умения, заплахи за сигурността, връщане към икономически протекционизъм в световен мащаб.</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3300"/>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ЕС на международно равнище:</w:t>
            </w:r>
            <w:r>
              <w:rPr>
                <w:rFonts w:ascii="Times New Roman" w:eastAsiaTheme="majorEastAsia" w:hAnsi="Times New Roman"/>
                <w:b w:val="0"/>
                <w:noProof/>
                <w:sz w:val="24"/>
              </w:rPr>
              <w:t xml:space="preserve"> през 2015 г. ЕС прие своя втори план за действие за равенство между половете и овластяване на жените във външните отношения (2016—2020 г.). През септември 2017 г. Комисията постави началото на съвместната инициатива Spotlight на ЕС и ООН за премахване на </w:t>
            </w:r>
            <w:r>
              <w:rPr>
                <w:rFonts w:ascii="Times New Roman" w:eastAsiaTheme="majorEastAsia" w:hAnsi="Times New Roman"/>
                <w:b w:val="0"/>
                <w:noProof/>
                <w:sz w:val="24"/>
              </w:rPr>
              <w:t>насилието срещу жените и момичетата.</w:t>
            </w:r>
          </w:p>
          <w:p w:rsidR="00467251" w:rsidRDefault="00467251">
            <w:pPr>
              <w:jc w:val="both"/>
              <w:rPr>
                <w:rFonts w:ascii="Times New Roman" w:hAnsi="Times New Roman" w:cs="Times New Roman"/>
                <w:b w:val="0"/>
                <w:i/>
                <w:noProof/>
                <w:sz w:val="24"/>
                <w:szCs w:val="24"/>
              </w:rPr>
            </w:pP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На равнище ЕС:</w:t>
            </w:r>
            <w:r>
              <w:rPr>
                <w:rFonts w:ascii="Times New Roman" w:eastAsiaTheme="majorEastAsia" w:hAnsi="Times New Roman"/>
                <w:noProof/>
                <w:sz w:val="24"/>
              </w:rPr>
              <w:t xml:space="preserve"> </w:t>
            </w:r>
            <w:r>
              <w:rPr>
                <w:rFonts w:ascii="Times New Roman" w:hAnsi="Times New Roman"/>
                <w:b w:val="0"/>
                <w:noProof/>
                <w:sz w:val="24"/>
              </w:rPr>
              <w:t>през 2015 г. Комисията прие стратегически ангажимент за равенство между половете за периода 2016—2019 г. Той определя рамката на продължаващата работа на Комисията за насърчаване на равенството между пол</w:t>
            </w:r>
            <w:r>
              <w:rPr>
                <w:rFonts w:ascii="Times New Roman" w:hAnsi="Times New Roman"/>
                <w:b w:val="0"/>
                <w:noProof/>
                <w:sz w:val="24"/>
              </w:rPr>
              <w:t>овете и овластяването на жените и е съсредоточен върху следните пет приоритетни области: 1) увеличаване на участието на жените на пазара на труда и равна икономическа независимост; 2) намаляване на разликите в заплащането, доходите и пенсиите на жените и м</w:t>
            </w:r>
            <w:r>
              <w:rPr>
                <w:rFonts w:ascii="Times New Roman" w:hAnsi="Times New Roman"/>
                <w:b w:val="0"/>
                <w:noProof/>
                <w:sz w:val="24"/>
              </w:rPr>
              <w:t>ъжете; 3) насърчаване на равенството между жените и мъжете в процеса на вземане на решения; 4) борба с насилието, основано на пола; 5) насърчаване на равенството между половете и правата на жените по целия свят. Освен това в стратегическия ангажимент се пр</w:t>
            </w:r>
            <w:r>
              <w:rPr>
                <w:rFonts w:ascii="Times New Roman" w:hAnsi="Times New Roman"/>
                <w:b w:val="0"/>
                <w:noProof/>
                <w:sz w:val="24"/>
              </w:rPr>
              <w:t xml:space="preserve">едвижда, че перспективата за равенство между половете се интегрира във всички политики и програми за финансиране на ЕС. </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На равнище държави членки:</w:t>
            </w:r>
            <w:r>
              <w:rPr>
                <w:rFonts w:ascii="Times New Roman" w:hAnsi="Times New Roman"/>
                <w:b w:val="0"/>
                <w:noProof/>
                <w:sz w:val="24"/>
              </w:rPr>
              <w:t xml:space="preserve"> Дания обикновено отбелязва добри резултати в областта на равенството между половете. Жените в Дания като цяло работят извън дома и градят кариера, докато отглеждат децата си с подкрепата на щедрия родителски отпуск и държавно субсидираните детски заведени</w:t>
            </w:r>
            <w:r>
              <w:rPr>
                <w:rFonts w:ascii="Times New Roman" w:hAnsi="Times New Roman"/>
                <w:b w:val="0"/>
                <w:noProof/>
                <w:sz w:val="24"/>
              </w:rPr>
              <w:t>я в страната. Мъжете в Дания също се възползват от равенството между половете. Те имат повече време със семействата си в сравнение с много други страни. Родителският отпуск след раждането на дете може да бъде разделен между родителите и често бащите са тез</w:t>
            </w:r>
            <w:r>
              <w:rPr>
                <w:rFonts w:ascii="Times New Roman" w:hAnsi="Times New Roman"/>
                <w:b w:val="0"/>
                <w:noProof/>
                <w:sz w:val="24"/>
              </w:rPr>
              <w:t>и, които прибират детето от детското заведение.</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На регионално/местно равнище:</w:t>
            </w:r>
            <w:r>
              <w:rPr>
                <w:rFonts w:ascii="Times New Roman" w:eastAsiaTheme="majorEastAsia" w:hAnsi="Times New Roman"/>
                <w:noProof/>
                <w:sz w:val="24"/>
              </w:rPr>
              <w:t xml:space="preserve"> </w:t>
            </w:r>
            <w:r>
              <w:rPr>
                <w:rFonts w:ascii="Times New Roman" w:hAnsi="Times New Roman"/>
                <w:b w:val="0"/>
                <w:noProof/>
                <w:sz w:val="24"/>
              </w:rPr>
              <w:t>Франция въведе система за двойни кандидатури в изборите за департаменти, в които гласът се подава за екип от мъж и жена кандидати. Това гарантира равновесие на половете на равни</w:t>
            </w:r>
            <w:r>
              <w:rPr>
                <w:rFonts w:ascii="Times New Roman" w:hAnsi="Times New Roman"/>
                <w:b w:val="0"/>
                <w:noProof/>
                <w:sz w:val="24"/>
              </w:rPr>
              <w:t>ще департамент и създава споделени ръководни постове в политиката на териториално ниво, споделяне на отговорностите и възможност за подобряване на равновесието между професионалния и личния живот на политиците.</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равнище предприятия:</w:t>
            </w:r>
            <w:r>
              <w:rPr>
                <w:rFonts w:ascii="Times New Roman" w:hAnsi="Times New Roman"/>
                <w:b w:val="0"/>
                <w:noProof/>
                <w:sz w:val="24"/>
              </w:rPr>
              <w:t xml:space="preserve"> GründerRegio M e.V. </w:t>
            </w:r>
            <w:r>
              <w:rPr>
                <w:rFonts w:ascii="Times New Roman" w:hAnsi="Times New Roman"/>
                <w:b w:val="0"/>
                <w:noProof/>
                <w:sz w:val="24"/>
              </w:rPr>
              <w:t>беше съфинансирано по линия на Европейския социален фонд, за да предостави професионално обучение, съвети и изграждане на мрежи за жени предприемачи в Мюнхен. Целевата група са жените, които се връщат на пазара на труда след отсъствие за отглеждане на деца</w:t>
            </w:r>
            <w:r>
              <w:rPr>
                <w:rFonts w:ascii="Times New Roman" w:hAnsi="Times New Roman"/>
                <w:b w:val="0"/>
                <w:noProof/>
                <w:sz w:val="24"/>
              </w:rPr>
              <w:t>, както и жените над 50-годишна възраст. Проектът, който се казва GUIDE, е предоставил подкрепа за около 5 000 жени предприемачи, от които 56 % са започнали свой собствен бизнес.</w:t>
            </w:r>
          </w:p>
          <w:p w:rsidR="00467251" w:rsidRDefault="00467251">
            <w:pPr>
              <w:jc w:val="both"/>
              <w:rPr>
                <w:rFonts w:ascii="Times New Roman" w:hAnsi="Times New Roman" w:cs="Times New Roman"/>
                <w:b w:val="0"/>
                <w:noProof/>
                <w:sz w:val="24"/>
                <w:szCs w:val="24"/>
              </w:rPr>
            </w:pPr>
          </w:p>
          <w:p w:rsidR="00467251" w:rsidRDefault="00E55EA0">
            <w:pPr>
              <w:pStyle w:val="CommentText"/>
              <w:jc w:val="both"/>
              <w:rPr>
                <w:rFonts w:ascii="Times New Roman" w:hAnsi="Times New Roman" w:cs="Times New Roman"/>
                <w:b w:val="0"/>
                <w:noProof/>
                <w:sz w:val="24"/>
                <w:szCs w:val="24"/>
              </w:rPr>
            </w:pPr>
            <w:r>
              <w:rPr>
                <w:rFonts w:ascii="Times New Roman" w:hAnsi="Times New Roman"/>
                <w:i/>
                <w:noProof/>
                <w:sz w:val="24"/>
              </w:rPr>
              <w:t>На равнище гражданско общество</w:t>
            </w:r>
            <w:r>
              <w:rPr>
                <w:rFonts w:ascii="Times New Roman" w:hAnsi="Times New Roman"/>
                <w:noProof/>
                <w:sz w:val="24"/>
              </w:rPr>
              <w:t>:</w:t>
            </w:r>
            <w:r>
              <w:rPr>
                <w:rFonts w:ascii="Times New Roman" w:hAnsi="Times New Roman"/>
                <w:b w:val="0"/>
                <w:noProof/>
                <w:sz w:val="24"/>
              </w:rPr>
              <w:t xml:space="preserve"> две български организации осъществяват проекта „Career ROCKET“. На учители, училищни директори и консултанти за професионално развитие в училищата се предоставя обучение как да въведат равенството между половете във всички учебни предмети в средното образ</w:t>
            </w:r>
            <w:r>
              <w:rPr>
                <w:rFonts w:ascii="Times New Roman" w:hAnsi="Times New Roman"/>
                <w:b w:val="0"/>
                <w:noProof/>
                <w:sz w:val="24"/>
              </w:rPr>
              <w:t>ование, като предлагат информация за приноса на жените в областта на природните науки, технологиите, политиката, историята, географията, математиката, литературата, изкуството и музиката.</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92000" cy="806400"/>
                  <wp:effectExtent l="0" t="0" r="8255" b="0"/>
                  <wp:docPr id="28672" name="Picture 2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92000" cy="8064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00B0F0"/>
                <w:sz w:val="24"/>
                <w:szCs w:val="24"/>
              </w:rPr>
            </w:pPr>
            <w:r>
              <w:rPr>
                <w:rFonts w:ascii="Times New Roman" w:hAnsi="Times New Roman"/>
                <w:b/>
                <w:noProof/>
                <w:color w:val="00B0F0"/>
                <w:sz w:val="24"/>
              </w:rPr>
              <w:t>Осигуряване на наличност и устойчиво управление на водите и кана</w:t>
            </w:r>
            <w:r>
              <w:rPr>
                <w:rFonts w:ascii="Times New Roman" w:hAnsi="Times New Roman"/>
                <w:b/>
                <w:noProof/>
                <w:color w:val="00B0F0"/>
                <w:sz w:val="24"/>
              </w:rPr>
              <w:t>лизация за всички</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00B0F0"/>
          </w:tcPr>
          <w:p w:rsidR="00467251" w:rsidRDefault="00E55EA0">
            <w:pPr>
              <w:jc w:val="center"/>
              <w:rPr>
                <w:rFonts w:ascii="Times New Roman" w:hAnsi="Times New Roman" w:cs="Times New Roman"/>
                <w:noProof/>
                <w:sz w:val="24"/>
                <w:szCs w:val="24"/>
              </w:rPr>
            </w:pPr>
            <w:r>
              <w:rPr>
                <w:rFonts w:ascii="Times New Roman" w:hAnsi="Times New Roman"/>
                <w:noProof/>
                <w:color w:val="auto"/>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b w:val="0"/>
                <w:noProof/>
                <w:sz w:val="24"/>
              </w:rPr>
              <w:t>Достъпът до вода е основна човешка необходимост. Водата е също така важен икономически ресурс и е основа за регулирането на екосистемите, биологичното разнообразие и климата. Опазването на водните</w:t>
            </w:r>
            <w:r>
              <w:rPr>
                <w:rFonts w:ascii="Times New Roman" w:eastAsiaTheme="majorEastAsia" w:hAnsi="Times New Roman"/>
                <w:b w:val="0"/>
                <w:noProof/>
                <w:sz w:val="24"/>
              </w:rPr>
              <w:t xml:space="preserve"> екосистеми от замърсяване и хидроморфологични промени, и използването на водата по устойчив начин са от решаващо значение за посрещане на нуждите на настоящото и бъдещите поколения, както и за поддържане на политическа стабилност на национално и регионалн</w:t>
            </w:r>
            <w:r>
              <w:rPr>
                <w:rFonts w:ascii="Times New Roman" w:eastAsiaTheme="majorEastAsia" w:hAnsi="Times New Roman"/>
                <w:b w:val="0"/>
                <w:noProof/>
                <w:sz w:val="24"/>
              </w:rPr>
              <w:t>о равнище. В ЕС е въведена всеобхватна политика в областта на водите, чиято цел е да гарантира наличието на достатъчно количество вода с добро качество за нуждите на хората и на околната среда, като регулира основните видове натиск (селско стопанство, пром</w:t>
            </w:r>
            <w:r>
              <w:rPr>
                <w:rFonts w:ascii="Times New Roman" w:eastAsiaTheme="majorEastAsia" w:hAnsi="Times New Roman"/>
                <w:b w:val="0"/>
                <w:noProof/>
                <w:sz w:val="24"/>
              </w:rPr>
              <w:t xml:space="preserve">ишленост, градски отпадъчни води) и потребление на водите (води за къпане, подпочвени води, питейна вода) и чрез интегрирано управление на водите. По-голямата част от европейските граждани имат достъп до основни санитарни условия и жилищата им са свързани </w:t>
            </w:r>
            <w:r>
              <w:rPr>
                <w:rFonts w:ascii="Times New Roman" w:eastAsiaTheme="majorEastAsia" w:hAnsi="Times New Roman"/>
                <w:b w:val="0"/>
                <w:noProof/>
                <w:sz w:val="24"/>
              </w:rPr>
              <w:t>със системи за поне вторично пречистване на отпадъчните води. Освен това европейските граждани имат достъп до много високо качество на питейната вода. Въпреки това натискът в резултат на урбанизацията, дифузното замърсяване от селското стопанство, промишле</w:t>
            </w:r>
            <w:r>
              <w:rPr>
                <w:rFonts w:ascii="Times New Roman" w:eastAsiaTheme="majorEastAsia" w:hAnsi="Times New Roman"/>
                <w:b w:val="0"/>
                <w:noProof/>
                <w:sz w:val="24"/>
              </w:rPr>
              <w:t>ността и изменението на климата оказва влияние върху качеството на водите и дългосрочната сигурност на водоснабдяването.</w:t>
            </w:r>
            <w:r>
              <w:rPr>
                <w:rFonts w:ascii="Times New Roman" w:hAnsi="Times New Roman"/>
                <w:noProof/>
                <w:sz w:val="24"/>
              </w:rPr>
              <w:t xml:space="preserve"> </w:t>
            </w:r>
            <w:r>
              <w:rPr>
                <w:rFonts w:ascii="Times New Roman" w:hAnsi="Times New Roman"/>
                <w:b w:val="0"/>
                <w:noProof/>
                <w:sz w:val="24"/>
              </w:rPr>
              <w:t>В международен план ЕС насърчава наличността и устойчивото управление на водите и санитарни условия за всички чрез Европейския консенсу</w:t>
            </w:r>
            <w:r>
              <w:rPr>
                <w:rFonts w:ascii="Times New Roman" w:hAnsi="Times New Roman"/>
                <w:b w:val="0"/>
                <w:noProof/>
                <w:sz w:val="24"/>
              </w:rPr>
              <w:t>с за развитие и политиките за съседство и разширяване на ЕС.</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2"/>
              </w:numPr>
              <w:ind w:left="29" w:hanging="142"/>
              <w:jc w:val="both"/>
              <w:rPr>
                <w:rFonts w:ascii="Times New Roman" w:eastAsiaTheme="majorEastAsia" w:hAnsi="Times New Roman" w:cs="Times New Roman"/>
                <w:iCs/>
                <w:noProof/>
                <w:sz w:val="24"/>
                <w:szCs w:val="24"/>
              </w:rPr>
            </w:pPr>
            <w:r>
              <w:rPr>
                <w:rFonts w:ascii="Times New Roman" w:eastAsiaTheme="majorEastAsia" w:hAnsi="Times New Roman"/>
                <w:b w:val="0"/>
                <w:noProof/>
                <w:sz w:val="24"/>
              </w:rPr>
              <w:t xml:space="preserve">Делът на хората без </w:t>
            </w:r>
            <w:r>
              <w:rPr>
                <w:rFonts w:ascii="Times New Roman" w:eastAsiaTheme="majorEastAsia" w:hAnsi="Times New Roman"/>
                <w:noProof/>
                <w:sz w:val="24"/>
              </w:rPr>
              <w:t>подобрени санитарни съоръжения</w:t>
            </w:r>
            <w:r>
              <w:rPr>
                <w:rFonts w:ascii="Times New Roman" w:eastAsiaTheme="majorEastAsia" w:hAnsi="Times New Roman"/>
                <w:b w:val="0"/>
                <w:noProof/>
                <w:sz w:val="24"/>
              </w:rPr>
              <w:t xml:space="preserve"> в техните домакинства намаля от 3,2 % през 2007 г. до едва 2,0 % от населението на ЕС през 2017 г. Броят на хората, чиито жилища са свързани със </w:t>
            </w:r>
            <w:r>
              <w:rPr>
                <w:rFonts w:ascii="Times New Roman" w:eastAsiaTheme="majorEastAsia" w:hAnsi="Times New Roman"/>
                <w:noProof/>
                <w:sz w:val="24"/>
              </w:rPr>
              <w:t>вторично пречистване на отпадъчните води</w:t>
            </w:r>
            <w:r>
              <w:rPr>
                <w:rFonts w:ascii="Times New Roman" w:eastAsiaTheme="majorEastAsia" w:hAnsi="Times New Roman"/>
                <w:b w:val="0"/>
                <w:noProof/>
                <w:sz w:val="24"/>
              </w:rPr>
              <w:t>, се увеличи между 2010 г. и 2015 г. Въпреки това остават различия меж</w:t>
            </w:r>
            <w:r>
              <w:rPr>
                <w:rFonts w:ascii="Times New Roman" w:eastAsiaTheme="majorEastAsia" w:hAnsi="Times New Roman"/>
                <w:b w:val="0"/>
                <w:noProof/>
                <w:sz w:val="24"/>
              </w:rPr>
              <w:t>ду държавите членки, като някои от тях все още са изправени пред значителни проблеми</w:t>
            </w:r>
            <w:r>
              <w:rPr>
                <w:rFonts w:ascii="Times New Roman" w:eastAsiaTheme="majorEastAsia" w:hAnsi="Times New Roman"/>
                <w:noProof/>
                <w:sz w:val="24"/>
              </w:rPr>
              <w:t>.</w:t>
            </w:r>
            <w:r>
              <w:rPr>
                <w:rFonts w:ascii="Times New Roman" w:eastAsiaTheme="majorEastAsia" w:hAnsi="Times New Roman"/>
                <w:b w:val="0"/>
                <w:noProof/>
                <w:sz w:val="24"/>
              </w:rPr>
              <w:t xml:space="preserve"> Увеличава се значението на нов вид замърсяване — от градски отточни води или комбинирани канализационни системи, от замърсяват значително в случай на силни дъждове.</w:t>
            </w:r>
          </w:p>
          <w:p w:rsidR="00467251" w:rsidRDefault="00E55EA0">
            <w:pPr>
              <w:pStyle w:val="ListParagraph"/>
              <w:numPr>
                <w:ilvl w:val="0"/>
                <w:numId w:val="2"/>
              </w:numPr>
              <w:ind w:left="29" w:hanging="142"/>
              <w:jc w:val="both"/>
              <w:rPr>
                <w:rFonts w:ascii="Times New Roman" w:eastAsiaTheme="majorEastAsia" w:hAnsi="Times New Roman" w:cs="Times New Roman"/>
                <w:iCs/>
                <w:noProof/>
                <w:color w:val="000000" w:themeColor="text1"/>
                <w:sz w:val="24"/>
                <w:szCs w:val="24"/>
              </w:rPr>
            </w:pPr>
            <w:r>
              <w:rPr>
                <w:rFonts w:ascii="Times New Roman" w:eastAsiaTheme="majorEastAsia" w:hAnsi="Times New Roman"/>
                <w:b w:val="0"/>
                <w:noProof/>
                <w:sz w:val="24"/>
              </w:rPr>
              <w:t xml:space="preserve">През </w:t>
            </w:r>
            <w:r>
              <w:rPr>
                <w:rFonts w:ascii="Times New Roman" w:eastAsiaTheme="majorEastAsia" w:hAnsi="Times New Roman"/>
                <w:b w:val="0"/>
                <w:noProof/>
                <w:sz w:val="24"/>
              </w:rPr>
              <w:t xml:space="preserve">2017 г. 86,3 % от всички </w:t>
            </w:r>
            <w:r>
              <w:rPr>
                <w:rFonts w:ascii="Times New Roman" w:eastAsiaTheme="majorEastAsia" w:hAnsi="Times New Roman"/>
                <w:noProof/>
                <w:sz w:val="24"/>
              </w:rPr>
              <w:t>крайбрежни зони за къпане</w:t>
            </w:r>
            <w:r>
              <w:rPr>
                <w:rFonts w:ascii="Times New Roman" w:eastAsiaTheme="majorEastAsia" w:hAnsi="Times New Roman"/>
                <w:b w:val="0"/>
                <w:noProof/>
                <w:sz w:val="24"/>
              </w:rPr>
              <w:t xml:space="preserve"> и 82,1 % от </w:t>
            </w:r>
            <w:r>
              <w:rPr>
                <w:rFonts w:ascii="Times New Roman" w:eastAsiaTheme="majorEastAsia" w:hAnsi="Times New Roman"/>
                <w:noProof/>
                <w:sz w:val="24"/>
              </w:rPr>
              <w:t xml:space="preserve">вътрешните зони за къпане </w:t>
            </w:r>
            <w:r>
              <w:rPr>
                <w:rFonts w:ascii="Times New Roman" w:eastAsiaTheme="majorEastAsia" w:hAnsi="Times New Roman"/>
                <w:b w:val="0"/>
                <w:noProof/>
                <w:sz w:val="24"/>
              </w:rPr>
              <w:t xml:space="preserve">бяха с отлично качество на водата за къпане.  </w:t>
            </w:r>
          </w:p>
          <w:p w:rsidR="00467251" w:rsidRDefault="00E55EA0">
            <w:pPr>
              <w:pStyle w:val="ListParagraph"/>
              <w:numPr>
                <w:ilvl w:val="0"/>
                <w:numId w:val="2"/>
              </w:numPr>
              <w:ind w:left="29" w:hanging="142"/>
              <w:jc w:val="both"/>
              <w:rPr>
                <w:rFonts w:ascii="Times New Roman" w:eastAsiaTheme="majorEastAsia" w:hAnsi="Times New Roman" w:cs="Times New Roman"/>
                <w:iCs/>
                <w:noProof/>
                <w:color w:val="000000" w:themeColor="text1"/>
                <w:sz w:val="24"/>
                <w:szCs w:val="24"/>
              </w:rPr>
            </w:pPr>
            <w:r>
              <w:rPr>
                <w:rFonts w:ascii="Times New Roman" w:hAnsi="Times New Roman"/>
                <w:noProof/>
                <w:color w:val="000000" w:themeColor="text1"/>
                <w:sz w:val="24"/>
              </w:rPr>
              <w:t xml:space="preserve">Качеството на водите в европейските реки </w:t>
            </w:r>
            <w:r>
              <w:rPr>
                <w:rFonts w:ascii="Times New Roman" w:hAnsi="Times New Roman"/>
                <w:b w:val="0"/>
                <w:noProof/>
                <w:color w:val="000000" w:themeColor="text1"/>
                <w:sz w:val="24"/>
              </w:rPr>
              <w:t>се увеличи значително между 2000 г. и 2014 г.</w:t>
            </w:r>
            <w:r>
              <w:rPr>
                <w:rFonts w:ascii="Times New Roman" w:hAnsi="Times New Roman"/>
                <w:noProof/>
                <w:color w:val="000000" w:themeColor="text1"/>
                <w:sz w:val="24"/>
              </w:rPr>
              <w:t>;</w:t>
            </w:r>
            <w:r>
              <w:rPr>
                <w:rFonts w:ascii="Times New Roman" w:hAnsi="Times New Roman"/>
                <w:b w:val="0"/>
                <w:noProof/>
                <w:color w:val="000000" w:themeColor="text1"/>
                <w:sz w:val="24"/>
              </w:rPr>
              <w:t xml:space="preserve"> средните концентрации на фосфат в европейските реки спадат.  </w:t>
            </w:r>
          </w:p>
          <w:p w:rsidR="00467251" w:rsidRDefault="00E55EA0">
            <w:pPr>
              <w:pStyle w:val="ListParagraph"/>
              <w:numPr>
                <w:ilvl w:val="0"/>
                <w:numId w:val="2"/>
              </w:numPr>
              <w:ind w:left="29" w:hanging="142"/>
              <w:jc w:val="both"/>
              <w:rPr>
                <w:rFonts w:ascii="Times New Roman" w:eastAsia="Times New Roman" w:hAnsi="Times New Roman" w:cs="Times New Roman"/>
                <w:b w:val="0"/>
                <w:noProof/>
                <w:color w:val="000000" w:themeColor="text1"/>
                <w:sz w:val="24"/>
                <w:szCs w:val="24"/>
              </w:rPr>
            </w:pPr>
            <w:r>
              <w:rPr>
                <w:rFonts w:ascii="Times New Roman" w:hAnsi="Times New Roman"/>
                <w:b w:val="0"/>
                <w:noProof/>
                <w:color w:val="000000" w:themeColor="text1"/>
                <w:sz w:val="24"/>
              </w:rPr>
              <w:t xml:space="preserve">Въпреки постигнатия напредък в различни области, едва около 40 % от </w:t>
            </w:r>
            <w:r>
              <w:rPr>
                <w:rFonts w:ascii="Times New Roman" w:hAnsi="Times New Roman"/>
                <w:noProof/>
                <w:color w:val="000000" w:themeColor="text1"/>
                <w:sz w:val="24"/>
              </w:rPr>
              <w:t>повърхностните води</w:t>
            </w:r>
            <w:r>
              <w:rPr>
                <w:rFonts w:ascii="Times New Roman" w:hAnsi="Times New Roman"/>
                <w:b w:val="0"/>
                <w:noProof/>
                <w:color w:val="000000" w:themeColor="text1"/>
                <w:sz w:val="24"/>
              </w:rPr>
              <w:t xml:space="preserve"> бяха в добро екологично състояние през 2015 г.; </w:t>
            </w:r>
            <w:r>
              <w:rPr>
                <w:rFonts w:ascii="Times New Roman" w:hAnsi="Times New Roman"/>
                <w:noProof/>
                <w:color w:val="000000" w:themeColor="text1"/>
                <w:sz w:val="24"/>
              </w:rPr>
              <w:t xml:space="preserve">подземните води </w:t>
            </w:r>
            <w:r>
              <w:rPr>
                <w:rFonts w:ascii="Times New Roman" w:hAnsi="Times New Roman"/>
                <w:b w:val="0"/>
                <w:noProof/>
                <w:color w:val="000000" w:themeColor="text1"/>
                <w:sz w:val="24"/>
              </w:rPr>
              <w:t xml:space="preserve">са в по-добро състояние, със 74 % от тях </w:t>
            </w:r>
            <w:r>
              <w:rPr>
                <w:rFonts w:ascii="Times New Roman" w:hAnsi="Times New Roman"/>
                <w:b w:val="0"/>
                <w:noProof/>
                <w:color w:val="000000" w:themeColor="text1"/>
                <w:sz w:val="24"/>
              </w:rPr>
              <w:t>в добро химично състояние, а 89 % — в добро количествено състояние. Въпреки че през последните две десетилетия замърсяването с нитрати от селското стопанство намаля, проблемът остава. Нитратите са най-често срещаните замърсители, които влошават химичното с</w:t>
            </w:r>
            <w:r>
              <w:rPr>
                <w:rFonts w:ascii="Times New Roman" w:hAnsi="Times New Roman"/>
                <w:b w:val="0"/>
                <w:noProof/>
                <w:color w:val="000000" w:themeColor="text1"/>
                <w:sz w:val="24"/>
              </w:rPr>
              <w:t>ъстояние на подземните води в ЕС. Това е особено проблематично, тъй като подпочвените води, заедно с течащите повърхностни води, са важен източник на питейна вода в Европа.</w:t>
            </w:r>
          </w:p>
          <w:p w:rsidR="00467251" w:rsidRDefault="00E55EA0">
            <w:pPr>
              <w:pStyle w:val="ListParagraph"/>
              <w:numPr>
                <w:ilvl w:val="0"/>
                <w:numId w:val="2"/>
              </w:numPr>
              <w:ind w:left="29" w:hanging="142"/>
              <w:jc w:val="both"/>
              <w:rPr>
                <w:rFonts w:ascii="Times New Roman" w:eastAsiaTheme="majorEastAsia" w:hAnsi="Times New Roman" w:cs="Times New Roman"/>
                <w:b w:val="0"/>
                <w:iCs/>
                <w:noProof/>
                <w:sz w:val="24"/>
                <w:szCs w:val="24"/>
              </w:rPr>
            </w:pPr>
            <w:r>
              <w:rPr>
                <w:rFonts w:ascii="Times New Roman" w:hAnsi="Times New Roman"/>
                <w:b w:val="0"/>
                <w:noProof/>
                <w:color w:val="000000" w:themeColor="text1"/>
                <w:sz w:val="24"/>
              </w:rPr>
              <w:t xml:space="preserve">В повечето държави членки няма особен </w:t>
            </w:r>
            <w:r>
              <w:rPr>
                <w:rFonts w:ascii="Times New Roman" w:hAnsi="Times New Roman"/>
                <w:noProof/>
                <w:color w:val="000000" w:themeColor="text1"/>
                <w:sz w:val="24"/>
              </w:rPr>
              <w:t>недостиг на вода</w:t>
            </w:r>
            <w:r>
              <w:rPr>
                <w:rFonts w:ascii="Times New Roman" w:hAnsi="Times New Roman"/>
                <w:b w:val="0"/>
                <w:noProof/>
                <w:color w:val="000000" w:themeColor="text1"/>
                <w:sz w:val="24"/>
              </w:rPr>
              <w:t>, но в няколко държави членки</w:t>
            </w:r>
            <w:r>
              <w:rPr>
                <w:rFonts w:ascii="Times New Roman" w:hAnsi="Times New Roman"/>
                <w:b w:val="0"/>
                <w:noProof/>
                <w:color w:val="000000" w:themeColor="text1"/>
                <w:sz w:val="24"/>
              </w:rPr>
              <w:t xml:space="preserve">, по-специално в Южна Европа, този недостиг е силно изразен, като това явление се разраства и в Западна и Северна Европа. </w:t>
            </w:r>
          </w:p>
          <w:p w:rsidR="00467251" w:rsidRDefault="00E55EA0">
            <w:pPr>
              <w:pStyle w:val="ListParagraph"/>
              <w:numPr>
                <w:ilvl w:val="0"/>
                <w:numId w:val="2"/>
              </w:numPr>
              <w:ind w:left="29" w:hanging="142"/>
              <w:jc w:val="both"/>
              <w:rPr>
                <w:rFonts w:ascii="Times New Roman" w:eastAsiaTheme="majorEastAsia" w:hAnsi="Times New Roman" w:cs="Times New Roman"/>
                <w:iCs/>
                <w:noProof/>
                <w:sz w:val="24"/>
                <w:szCs w:val="24"/>
              </w:rPr>
            </w:pPr>
            <w:r>
              <w:rPr>
                <w:rFonts w:ascii="Times New Roman" w:hAnsi="Times New Roman"/>
                <w:b w:val="0"/>
                <w:noProof/>
                <w:color w:val="000000" w:themeColor="text1"/>
                <w:sz w:val="24"/>
              </w:rPr>
              <w:t>За да се намали натиска върху водните ресурси, е необходимо всички съответни сектори да използват сладководните води ефикасно. През п</w:t>
            </w:r>
            <w:r>
              <w:rPr>
                <w:rFonts w:ascii="Times New Roman" w:hAnsi="Times New Roman"/>
                <w:b w:val="0"/>
                <w:noProof/>
                <w:color w:val="000000" w:themeColor="text1"/>
                <w:sz w:val="24"/>
              </w:rPr>
              <w:t xml:space="preserve">оследното десетилетие </w:t>
            </w:r>
            <w:r>
              <w:rPr>
                <w:rFonts w:ascii="Times New Roman" w:hAnsi="Times New Roman"/>
                <w:noProof/>
                <w:color w:val="000000" w:themeColor="text1"/>
                <w:sz w:val="24"/>
              </w:rPr>
              <w:t>каптирането на вода</w:t>
            </w:r>
            <w:r>
              <w:rPr>
                <w:rFonts w:ascii="Times New Roman" w:hAnsi="Times New Roman"/>
                <w:b w:val="0"/>
                <w:noProof/>
                <w:color w:val="000000" w:themeColor="text1"/>
                <w:sz w:val="24"/>
              </w:rPr>
              <w:t xml:space="preserve"> намаля в Европа, а </w:t>
            </w:r>
            <w:r>
              <w:rPr>
                <w:rFonts w:ascii="Times New Roman" w:hAnsi="Times New Roman"/>
                <w:noProof/>
                <w:color w:val="000000" w:themeColor="text1"/>
                <w:sz w:val="24"/>
              </w:rPr>
              <w:t>ефективността при използването на водата</w:t>
            </w:r>
            <w:r>
              <w:rPr>
                <w:rFonts w:ascii="Times New Roman" w:hAnsi="Times New Roman"/>
                <w:b w:val="0"/>
                <w:noProof/>
                <w:color w:val="000000" w:themeColor="text1"/>
                <w:sz w:val="24"/>
              </w:rPr>
              <w:t xml:space="preserve"> се увеличи. </w:t>
            </w:r>
            <w:r>
              <w:rPr>
                <w:rFonts w:ascii="Times New Roman" w:hAnsi="Times New Roman"/>
                <w:noProof/>
                <w:color w:val="000000" w:themeColor="text1"/>
                <w:sz w:val="24"/>
              </w:rPr>
              <w:t xml:space="preserve">Средното потребление на питейна </w:t>
            </w:r>
            <w:r>
              <w:rPr>
                <w:rFonts w:ascii="Times New Roman" w:hAnsi="Times New Roman"/>
                <w:b w:val="0"/>
                <w:noProof/>
                <w:color w:val="000000" w:themeColor="text1"/>
                <w:sz w:val="24"/>
              </w:rPr>
              <w:t xml:space="preserve">вода спадна през последните 20 години от около 200 l на лице и на ден на около 120 l. </w:t>
            </w:r>
          </w:p>
        </w:tc>
      </w:tr>
      <w:tr w:rsidR="00467251" w:rsidTr="00467251">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autoSpaceDE w:val="0"/>
              <w:autoSpaceDN w:val="0"/>
              <w:adjustRightInd w:val="0"/>
              <w:jc w:val="both"/>
              <w:rPr>
                <w:rFonts w:ascii="Times New Roman" w:eastAsiaTheme="majorEastAsia" w:hAnsi="Times New Roman" w:cs="Times New Roman"/>
                <w:i/>
                <w:iCs/>
                <w:noProof/>
                <w:sz w:val="24"/>
                <w:szCs w:val="24"/>
              </w:rPr>
            </w:pPr>
            <w:r>
              <w:rPr>
                <w:rFonts w:ascii="Times New Roman" w:eastAsiaTheme="majorEastAsia" w:hAnsi="Times New Roman"/>
                <w:b w:val="0"/>
                <w:noProof/>
                <w:sz w:val="24"/>
              </w:rPr>
              <w:t>Спор</w:t>
            </w:r>
            <w:r>
              <w:rPr>
                <w:rFonts w:ascii="Times New Roman" w:eastAsiaTheme="majorEastAsia" w:hAnsi="Times New Roman"/>
                <w:b w:val="0"/>
                <w:noProof/>
                <w:sz w:val="24"/>
              </w:rPr>
              <w:t>ед общия доклад „Индекс и показатели за ЦУР, 2018 г.“ (Bertelsmann Stiftung и Sustainable Development Solutions Network) 25 държави — членки на ЕС, постигат над 80 от общо 100 точки за ЦУР 6. Три държави — членки на ЕС, са сред първите 20 в света.</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C0504D" w:themeColor="accent2"/>
            </w:tcBorders>
            <w:shd w:val="clear" w:color="auto" w:fill="00B0F0"/>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rsidR="00467251" w:rsidRDefault="00E55EA0">
            <w:pPr>
              <w:rPr>
                <w:rFonts w:ascii="Times New Roman" w:eastAsiaTheme="majorEastAsia" w:hAnsi="Times New Roman" w:cs="Times New Roman"/>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b w:val="0"/>
                <w:noProof/>
                <w:sz w:val="24"/>
              </w:rPr>
              <w:t xml:space="preserve">Като цяло се очаква ЕС да продължи да бележи напредък във връзка с устойчивото управление на водата и канализацията. Почти всички граждани ще се радват на добър достъп до </w:t>
            </w:r>
            <w:r>
              <w:rPr>
                <w:rFonts w:ascii="Times New Roman" w:eastAsiaTheme="majorEastAsia" w:hAnsi="Times New Roman"/>
                <w:b w:val="0"/>
                <w:noProof/>
                <w:sz w:val="24"/>
              </w:rPr>
              <w:t>водоснабдителни услуги — като питейна вода и пречистване на отпадъчните води — и санитарни съоръжения. Въпреки това ще бъдат необходими допълнителни усилия, за да се осигури пълен достъп за всички граждани на ЕС, да се гарантира, че отпадъчните води се пре</w:t>
            </w:r>
            <w:r>
              <w:rPr>
                <w:rFonts w:ascii="Times New Roman" w:eastAsiaTheme="majorEastAsia" w:hAnsi="Times New Roman"/>
                <w:b w:val="0"/>
                <w:noProof/>
                <w:sz w:val="24"/>
              </w:rPr>
              <w:t>чистват до изискваните стандарти на цялата територия и да се постигне добро състояние на европейските водоеми. През идните години следва да се обърне специално внимание и на новите замърсители, които будят загриженост, като например микропластмасите и фарм</w:t>
            </w:r>
            <w:r>
              <w:rPr>
                <w:rFonts w:ascii="Times New Roman" w:eastAsiaTheme="majorEastAsia" w:hAnsi="Times New Roman"/>
                <w:b w:val="0"/>
                <w:noProof/>
                <w:sz w:val="24"/>
              </w:rPr>
              <w:t>ацевтичните продукти. Дифузното замърсяване от селското стопанство трябва да се намали в още по-голяма степен. Използването на водата трябва да стане още по-ефективно. Накрая, изменението на климата и неговите утежняващи последици като засушаването и навод</w:t>
            </w:r>
            <w:r>
              <w:rPr>
                <w:rFonts w:ascii="Times New Roman" w:eastAsiaTheme="majorEastAsia" w:hAnsi="Times New Roman"/>
                <w:b w:val="0"/>
                <w:noProof/>
                <w:sz w:val="24"/>
              </w:rPr>
              <w:t xml:space="preserve">ненията в регионите на ЕС увеличават нуждата от по-устойчиво управление на водите. Изменението на климата ще се прибави към натиска върху водните ресурси, който вече е налице във водоемите основно в Южна Европа, но във все по-голяма степен и в други части </w:t>
            </w:r>
            <w:r>
              <w:rPr>
                <w:rFonts w:ascii="Times New Roman" w:eastAsiaTheme="majorEastAsia" w:hAnsi="Times New Roman"/>
                <w:b w:val="0"/>
                <w:noProof/>
                <w:sz w:val="24"/>
              </w:rPr>
              <w:t>на континента. За справяне с тези предизвикателства ще спомогне прилагането на съществуващото законодателство и изработването на ново законодателство в областта на водите, като например последните предложения за питейната вода и повторната употреба. Текуща</w:t>
            </w:r>
            <w:r>
              <w:rPr>
                <w:rFonts w:ascii="Times New Roman" w:eastAsiaTheme="majorEastAsia" w:hAnsi="Times New Roman"/>
                <w:b w:val="0"/>
                <w:noProof/>
                <w:sz w:val="24"/>
              </w:rPr>
              <w:t>та проверка за пригодност на значителна част от законодателството на ЕС в областта на водите ще помогне да се установи дали законодателната рамка трябва да бъде приспособена, за да бъдат изцяло постигнати съответните ЦУР.</w:t>
            </w:r>
          </w:p>
          <w:p w:rsidR="00467251" w:rsidRDefault="00467251">
            <w:pPr>
              <w:jc w:val="both"/>
              <w:rPr>
                <w:rFonts w:ascii="Times New Roman" w:hAnsi="Times New Roman" w:cs="Times New Roman"/>
                <w:b w:val="0"/>
                <w:noProof/>
                <w:sz w:val="24"/>
                <w:szCs w:val="24"/>
              </w:rPr>
            </w:pP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 xml:space="preserve">Възможности/положителни движещи </w:t>
            </w:r>
            <w:r>
              <w:rPr>
                <w:rFonts w:ascii="Times New Roman" w:eastAsiaTheme="majorEastAsia" w:hAnsi="Times New Roman"/>
                <w:i/>
                <w:noProof/>
                <w:sz w:val="24"/>
              </w:rPr>
              <w:t>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Промяна в поведението, обществена ангажираност и участие в политическия живот, обществен натиск за устойчива продоволствена система и производствени вериги, корпоративна социална отговорност / отговорно бизнес поведение, устойчиво финансиране, публ</w:t>
            </w:r>
            <w:r>
              <w:rPr>
                <w:rFonts w:ascii="Times New Roman" w:eastAsiaTheme="majorEastAsia" w:hAnsi="Times New Roman"/>
                <w:b w:val="0"/>
                <w:noProof/>
                <w:sz w:val="24"/>
              </w:rPr>
              <w:t xml:space="preserve">ично-частни партньорства, цифровизация, по-добри данни чрез използването на апаратура за наблюдение на Земята, като например глобалния компонент на услугата на „Коперник“ за мониторинг на земната повърхност, увеличаване на повторното използване на водата, </w:t>
            </w:r>
            <w:r>
              <w:rPr>
                <w:rFonts w:ascii="Times New Roman" w:eastAsiaTheme="majorEastAsia" w:hAnsi="Times New Roman"/>
                <w:b w:val="0"/>
                <w:noProof/>
                <w:sz w:val="24"/>
              </w:rPr>
              <w:t xml:space="preserve">изкуствен интелект и нови технологии, научни изследвания и иновации, „интернет на предметите“, кръгова икономика, многостранно сътрудничество.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Бедност и неравенство по отношение на възможностите, изменение на климата, </w:t>
            </w:r>
            <w:r>
              <w:rPr>
                <w:rFonts w:ascii="Times New Roman" w:hAnsi="Times New Roman"/>
                <w:b w:val="0"/>
                <w:noProof/>
                <w:sz w:val="24"/>
              </w:rPr>
              <w:t>дифузно замърсяване от селското стопанство, урбанизация, органични замърсители, остатъчни вещества от фармацевтични продукти, пластмасови отпадъци, промишлено производство, битови отпадъци, геополитическа нестабилност и заплахи за сигурността, достъпност и</w:t>
            </w:r>
            <w:r>
              <w:rPr>
                <w:rFonts w:ascii="Times New Roman" w:hAnsi="Times New Roman"/>
                <w:b w:val="0"/>
                <w:noProof/>
                <w:sz w:val="24"/>
              </w:rPr>
              <w:t xml:space="preserve"> цена на водата.</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00B0F0"/>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ЕС: </w:t>
            </w:r>
            <w:r>
              <w:rPr>
                <w:rFonts w:ascii="Times New Roman" w:eastAsiaTheme="majorEastAsia" w:hAnsi="Times New Roman"/>
                <w:b w:val="0"/>
                <w:noProof/>
                <w:sz w:val="24"/>
              </w:rPr>
              <w:t>европейските изследвания и иновации насърчават откриването на решения на предизвикателствата във връзка с водата. Партньорството за научни изследвания и иновации в Средиземноморския регион (PRIMA) — инициатива на стойност 494 милиона евро, се съсредоточава</w:t>
            </w:r>
            <w:r>
              <w:rPr>
                <w:rFonts w:ascii="Times New Roman" w:eastAsiaTheme="majorEastAsia" w:hAnsi="Times New Roman"/>
                <w:b w:val="0"/>
                <w:noProof/>
                <w:sz w:val="24"/>
              </w:rPr>
              <w:t xml:space="preserve"> върху недостига на вода, селското стопанство и продоволствената сигурност в региона на Средиземно море. </w:t>
            </w:r>
          </w:p>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На равнище държави членки:</w:t>
            </w:r>
            <w:r>
              <w:rPr>
                <w:rFonts w:ascii="Times New Roman" w:eastAsiaTheme="majorEastAsia" w:hAnsi="Times New Roman"/>
                <w:b w:val="0"/>
                <w:noProof/>
                <w:sz w:val="24"/>
              </w:rPr>
              <w:t xml:space="preserve"> в Кипър рециклираната вода се използва все по-често като надежден ресурс, например за напояване и защита срещу сушата. С по</w:t>
            </w:r>
            <w:r>
              <w:rPr>
                <w:rFonts w:ascii="Times New Roman" w:eastAsiaTheme="majorEastAsia" w:hAnsi="Times New Roman"/>
                <w:b w:val="0"/>
                <w:noProof/>
                <w:sz w:val="24"/>
              </w:rPr>
              <w:t xml:space="preserve">мощта на европейските фондове вече са в ход два проекта: схема за повторно използване на водите в Антуполис и подобна схема в Ларнака. </w:t>
            </w:r>
          </w:p>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На регионално/местно равнище</w:t>
            </w:r>
            <w:r>
              <w:rPr>
                <w:rFonts w:ascii="Times New Roman" w:eastAsiaTheme="majorEastAsia" w:hAnsi="Times New Roman"/>
                <w:noProof/>
                <w:sz w:val="24"/>
              </w:rPr>
              <w:t>:</w:t>
            </w:r>
            <w:r>
              <w:rPr>
                <w:rFonts w:ascii="Times New Roman" w:eastAsiaTheme="majorEastAsia" w:hAnsi="Times New Roman"/>
                <w:b w:val="0"/>
                <w:noProof/>
                <w:sz w:val="24"/>
              </w:rPr>
              <w:t xml:space="preserve"> в Полша, в региона на Долна Силезия се изгражда резервоарът за защита от наводнения Racibó</w:t>
            </w:r>
            <w:r>
              <w:rPr>
                <w:rFonts w:ascii="Times New Roman" w:eastAsiaTheme="majorEastAsia" w:hAnsi="Times New Roman"/>
                <w:b w:val="0"/>
                <w:noProof/>
                <w:sz w:val="24"/>
              </w:rPr>
              <w:t>rz Dolny. Широкообхватната програма за защита от наводнения има за цел да осигури защита от наводнения от река Одер, като се възстанови естествената способност на долината на река Одер да задържа прииждането на водите и естествената заливна тераса на рекат</w:t>
            </w:r>
            <w:r>
              <w:rPr>
                <w:rFonts w:ascii="Times New Roman" w:eastAsiaTheme="majorEastAsia" w:hAnsi="Times New Roman"/>
                <w:b w:val="0"/>
                <w:noProof/>
                <w:sz w:val="24"/>
              </w:rPr>
              <w:t>а.</w:t>
            </w:r>
          </w:p>
          <w:p w:rsidR="00467251" w:rsidRDefault="00E55EA0">
            <w:pPr>
              <w:spacing w:after="120"/>
              <w:jc w:val="both"/>
              <w:rPr>
                <w:rFonts w:ascii="Times New Roman" w:eastAsiaTheme="majorEastAsia" w:hAnsi="Times New Roman" w:cs="Times New Roman"/>
                <w:b w:val="0"/>
                <w:i/>
                <w:iCs/>
                <w:noProof/>
                <w:color w:val="FF0000"/>
                <w:sz w:val="24"/>
                <w:szCs w:val="24"/>
              </w:rPr>
            </w:pPr>
            <w:r>
              <w:rPr>
                <w:rFonts w:ascii="Times New Roman" w:eastAsiaTheme="majorEastAsia" w:hAnsi="Times New Roman"/>
                <w:i/>
                <w:noProof/>
                <w:sz w:val="24"/>
              </w:rPr>
              <w:t xml:space="preserve">На равнище предприятия: </w:t>
            </w:r>
            <w:r>
              <w:rPr>
                <w:rFonts w:ascii="Times New Roman" w:eastAsiaTheme="majorEastAsia" w:hAnsi="Times New Roman"/>
                <w:b w:val="0"/>
                <w:noProof/>
                <w:sz w:val="24"/>
              </w:rPr>
              <w:t>пречиствателни станции за отпадъчни води в цяла Европа започват да използват енергията и други ресурси от отпадъците, за да намалят своето потребление и дори да произвеждат енергия. Отличен пример за това е пречиствателна станция</w:t>
            </w:r>
            <w:r>
              <w:rPr>
                <w:rFonts w:ascii="Times New Roman" w:eastAsiaTheme="majorEastAsia" w:hAnsi="Times New Roman"/>
                <w:b w:val="0"/>
                <w:noProof/>
                <w:sz w:val="24"/>
              </w:rPr>
              <w:t xml:space="preserve"> в Орхус в Марселисборг, Дания, която произвежда над 150 % от нужната за функционирането ѝ енергия, като инвестират в по-ефикасни технологии.</w:t>
            </w:r>
            <w:r>
              <w:rPr>
                <w:rFonts w:ascii="Times New Roman" w:eastAsiaTheme="majorEastAsia" w:hAnsi="Times New Roman"/>
                <w:b w:val="0"/>
                <w:i/>
                <w:noProof/>
                <w:sz w:val="24"/>
              </w:rPr>
              <w:t xml:space="preserve"> </w:t>
            </w: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гражданско общество: </w:t>
            </w:r>
            <w:r>
              <w:rPr>
                <w:rFonts w:ascii="Times New Roman" w:eastAsiaTheme="majorEastAsia" w:hAnsi="Times New Roman"/>
                <w:b w:val="0"/>
                <w:noProof/>
                <w:sz w:val="24"/>
              </w:rPr>
              <w:t>Малта насърчава участието на местните общности в подобряване на управлението на водоснабдяването и канализацията. Цикълът на планиране на речните басейни гарантира високо участие на общностите и заинтересованите страни, тъй като решенията по някои мерки вк</w:t>
            </w:r>
            <w:r>
              <w:rPr>
                <w:rFonts w:ascii="Times New Roman" w:eastAsiaTheme="majorEastAsia" w:hAnsi="Times New Roman"/>
                <w:b w:val="0"/>
                <w:noProof/>
                <w:sz w:val="24"/>
              </w:rPr>
              <w:t xml:space="preserve">лючват намирането на баланс между интересите на различни групи. </w:t>
            </w:r>
          </w:p>
        </w:tc>
      </w:tr>
    </w:tbl>
    <w:p w:rsidR="00467251" w:rsidRDefault="00467251">
      <w:pPr>
        <w:rPr>
          <w:rFonts w:ascii="Times New Roman" w:hAnsi="Times New Roman" w:cs="Times New Roman"/>
          <w:noProof/>
          <w:sz w:val="24"/>
          <w:szCs w:val="24"/>
        </w:rPr>
      </w:pPr>
    </w:p>
    <w:p w:rsidR="00467251" w:rsidRDefault="00467251">
      <w:pPr>
        <w:rPr>
          <w:rFonts w:ascii="Times New Roman" w:hAnsi="Times New Roman" w:cs="Times New Roman"/>
          <w:noProof/>
          <w:sz w:val="24"/>
          <w:szCs w:val="24"/>
        </w:rPr>
      </w:pPr>
    </w:p>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88400" cy="788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FFC000"/>
                <w:sz w:val="24"/>
                <w:szCs w:val="24"/>
              </w:rPr>
            </w:pPr>
            <w:r>
              <w:rPr>
                <w:rFonts w:ascii="Times New Roman" w:hAnsi="Times New Roman"/>
                <w:b/>
                <w:noProof/>
                <w:color w:val="FFC000"/>
                <w:sz w:val="24"/>
              </w:rPr>
              <w:t>Осигуряване на достъп до финансово достъпна, надеждна, устойчива и модерна енергетика за всички</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FC000"/>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Height w:val="357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Целите на ЕС до 2020 г. в областта на </w:t>
            </w:r>
            <w:r>
              <w:rPr>
                <w:rFonts w:ascii="Times New Roman" w:hAnsi="Times New Roman"/>
                <w:b w:val="0"/>
                <w:noProof/>
                <w:sz w:val="24"/>
              </w:rPr>
              <w:t>енергетиката и климата насочиха ЕС в правилната посока за осигуряването на сигурна, достъпна и чиста енергия за всички европейци. Вече беше постигнат добър напредък, като се увеличи използването на енергията от възобновяеми източници и се повиши енергийнат</w:t>
            </w:r>
            <w:r>
              <w:rPr>
                <w:rFonts w:ascii="Times New Roman" w:hAnsi="Times New Roman"/>
                <w:b w:val="0"/>
                <w:noProof/>
                <w:sz w:val="24"/>
              </w:rPr>
              <w:t>а ефективност, а ЕС продължава напред с прехода към чиста енергия. Новата реалност е преход на ЕС от икономика, основана на изкопаемите горива, към нисковъглеродна икономика с цифрова и ориентирана към потребителите енергийна система. Прекъсването на връзк</w:t>
            </w:r>
            <w:r>
              <w:rPr>
                <w:rFonts w:ascii="Times New Roman" w:hAnsi="Times New Roman"/>
                <w:b w:val="0"/>
                <w:noProof/>
                <w:sz w:val="24"/>
              </w:rPr>
              <w:t>ата между емисиите на парникови газове и брутния вътрешен продукт продължи, преди всичко в резултат на иновациите. Прекъсната бе и връзката между икономическия растеж и енергийното потребление. Глобалните промени в производството и търсенето на енергия ока</w:t>
            </w:r>
            <w:r>
              <w:rPr>
                <w:rFonts w:ascii="Times New Roman" w:hAnsi="Times New Roman"/>
                <w:b w:val="0"/>
                <w:noProof/>
                <w:sz w:val="24"/>
              </w:rPr>
              <w:t>зват значително влияние върху геополитиката и промишлената конкурентоспособност. Това поставя сериозни предизвикателства пред Европа, но също така създава уникални възможности. В този контекст ЕС иска да засили ролята си на световен лидер в прехода към чис</w:t>
            </w:r>
            <w:r>
              <w:rPr>
                <w:rFonts w:ascii="Times New Roman" w:hAnsi="Times New Roman"/>
                <w:b w:val="0"/>
                <w:noProof/>
                <w:sz w:val="24"/>
              </w:rPr>
              <w:t xml:space="preserve">та енергия, като същевременно гарантира енергийна сигурност на всички свои граждани. Със своя енергиен съюз ЕС има за цел да осигури сигурна, достъпна, устойчива и чиста енергия за гражданите и предприятията в ЕС. Във външен план Европейският консенсус за </w:t>
            </w:r>
            <w:r>
              <w:rPr>
                <w:rFonts w:ascii="Times New Roman" w:hAnsi="Times New Roman"/>
                <w:b w:val="0"/>
                <w:noProof/>
                <w:sz w:val="24"/>
              </w:rPr>
              <w:t>развитие е насочен към увеличаване на достъпа до енергийни услуги, които са достъпни, модерни, надеждни и устойчиви, към по-широко въвеждане на мерки за възобновяема енергия и енергийна ефективност, както и към принос за борбата с изменението на климата. Б</w:t>
            </w:r>
            <w:r>
              <w:rPr>
                <w:rFonts w:ascii="Times New Roman" w:hAnsi="Times New Roman"/>
                <w:b w:val="0"/>
                <w:noProof/>
                <w:sz w:val="24"/>
              </w:rPr>
              <w:t xml:space="preserve">лагодарение на своите инструменти за смесено финансиране, Плана на ЕС за външни инвестиции и инициативата за финансиране на електрифицирането ЕС е пионер в стимулирането на инвестиции от частния сектор в устойчив енергиен сектор. Принос в тази област имат </w:t>
            </w:r>
            <w:r>
              <w:rPr>
                <w:rFonts w:ascii="Times New Roman" w:hAnsi="Times New Roman"/>
                <w:b w:val="0"/>
                <w:noProof/>
                <w:sz w:val="24"/>
              </w:rPr>
              <w:t>и политиките за съседство и разширяване.</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rsidR="00467251" w:rsidRDefault="00E55EA0">
            <w:pPr>
              <w:jc w:val="both"/>
              <w:rPr>
                <w:rFonts w:ascii="Times New Roman" w:hAnsi="Times New Roman" w:cs="Times New Roman"/>
                <w:i/>
                <w:noProof/>
                <w:sz w:val="24"/>
                <w:szCs w:val="24"/>
              </w:rPr>
            </w:pPr>
            <w:r>
              <w:rPr>
                <w:rFonts w:ascii="Times New Roman" w:hAnsi="Times New Roman"/>
                <w:i/>
                <w:noProof/>
                <w:sz w:val="24"/>
              </w:rPr>
              <w:t xml:space="preserve">Основни тенденции </w:t>
            </w:r>
          </w:p>
          <w:p w:rsidR="00467251" w:rsidRDefault="00E55EA0">
            <w:pPr>
              <w:pStyle w:val="Default"/>
              <w:numPr>
                <w:ilvl w:val="0"/>
                <w:numId w:val="6"/>
              </w:numPr>
              <w:ind w:left="142" w:hanging="142"/>
              <w:contextualSpacing/>
              <w:jc w:val="both"/>
              <w:rPr>
                <w:b w:val="0"/>
                <w:noProof/>
                <w:color w:val="auto"/>
              </w:rPr>
            </w:pPr>
            <w:r>
              <w:rPr>
                <w:b w:val="0"/>
                <w:noProof/>
              </w:rPr>
              <w:t>Тенденциите в Европа сочат за</w:t>
            </w:r>
            <w:r>
              <w:rPr>
                <w:noProof/>
              </w:rPr>
              <w:t xml:space="preserve"> „прекъсване на връзката“ между икономическия растеж </w:t>
            </w:r>
            <w:r>
              <w:rPr>
                <w:b w:val="0"/>
                <w:noProof/>
              </w:rPr>
              <w:t>и енергийното производство и свързаните с него</w:t>
            </w:r>
            <w:r>
              <w:rPr>
                <w:noProof/>
              </w:rPr>
              <w:t xml:space="preserve"> емисии на парникови газове.</w:t>
            </w:r>
            <w:r>
              <w:rPr>
                <w:b w:val="0"/>
                <w:noProof/>
                <w:color w:val="auto"/>
              </w:rPr>
              <w:t xml:space="preserve"> Между 1990 г. и 2017 г. емисиите на парникови газове намляха с 22 %, а БВП се увеличи с 58 %. Както производителността на енергията, така и интензитетът на емисиите на парникови газове от потреблението на енергия се подобряват почти непрекъснато от 2000 г</w:t>
            </w:r>
            <w:r>
              <w:rPr>
                <w:b w:val="0"/>
                <w:noProof/>
                <w:color w:val="auto"/>
              </w:rPr>
              <w:t xml:space="preserve">. насам в ЕС. </w:t>
            </w:r>
          </w:p>
          <w:p w:rsidR="00467251" w:rsidRDefault="00E55EA0">
            <w:pPr>
              <w:pStyle w:val="ListParagraph"/>
              <w:numPr>
                <w:ilvl w:val="0"/>
                <w:numId w:val="6"/>
              </w:numPr>
              <w:ind w:left="142" w:hanging="142"/>
              <w:jc w:val="both"/>
              <w:rPr>
                <w:rFonts w:ascii="Times New Roman" w:hAnsi="Times New Roman" w:cs="Times New Roman"/>
                <w:b w:val="0"/>
                <w:noProof/>
                <w:sz w:val="24"/>
                <w:szCs w:val="24"/>
              </w:rPr>
            </w:pPr>
            <w:r>
              <w:rPr>
                <w:rFonts w:ascii="Times New Roman" w:hAnsi="Times New Roman"/>
                <w:b w:val="0"/>
                <w:noProof/>
                <w:sz w:val="24"/>
              </w:rPr>
              <w:t xml:space="preserve">ЕС се стреми да постигне своята цел за </w:t>
            </w:r>
            <w:r>
              <w:rPr>
                <w:rFonts w:ascii="Times New Roman" w:hAnsi="Times New Roman"/>
                <w:noProof/>
                <w:sz w:val="24"/>
              </w:rPr>
              <w:t>енергийна ефективност</w:t>
            </w:r>
            <w:r>
              <w:rPr>
                <w:rFonts w:ascii="Times New Roman" w:hAnsi="Times New Roman"/>
                <w:b w:val="0"/>
                <w:noProof/>
                <w:sz w:val="24"/>
              </w:rPr>
              <w:t xml:space="preserve"> от 20 % до 2020 г. Между 2005 г. и 2016 г. първичното енергопотребление в ЕС спадна с 9,9 %, а крайното енергопотребление — със 7,1 %. </w:t>
            </w:r>
          </w:p>
          <w:p w:rsidR="00467251" w:rsidRDefault="00E55EA0">
            <w:pPr>
              <w:pStyle w:val="ListParagraph"/>
              <w:numPr>
                <w:ilvl w:val="0"/>
                <w:numId w:val="6"/>
              </w:numPr>
              <w:ind w:left="142" w:hanging="142"/>
              <w:jc w:val="both"/>
              <w:rPr>
                <w:rFonts w:ascii="Times New Roman" w:hAnsi="Times New Roman" w:cs="Times New Roman"/>
                <w:b w:val="0"/>
                <w:noProof/>
                <w:sz w:val="24"/>
                <w:szCs w:val="24"/>
              </w:rPr>
            </w:pPr>
            <w:r>
              <w:rPr>
                <w:rFonts w:ascii="Times New Roman" w:hAnsi="Times New Roman"/>
                <w:b w:val="0"/>
                <w:noProof/>
                <w:sz w:val="24"/>
              </w:rPr>
              <w:t>ЕС е на път да изпълни своята цел до 2020 г.</w:t>
            </w:r>
            <w:r>
              <w:rPr>
                <w:rFonts w:ascii="Times New Roman" w:hAnsi="Times New Roman"/>
                <w:b w:val="0"/>
                <w:noProof/>
                <w:sz w:val="24"/>
              </w:rPr>
              <w:t xml:space="preserve"> за 20 % крайно потребление на енергия от </w:t>
            </w:r>
            <w:r>
              <w:rPr>
                <w:rFonts w:ascii="Times New Roman" w:hAnsi="Times New Roman"/>
                <w:noProof/>
                <w:sz w:val="24"/>
              </w:rPr>
              <w:t>възобновяеми енергийни източници</w:t>
            </w:r>
            <w:r>
              <w:rPr>
                <w:rFonts w:ascii="Times New Roman" w:hAnsi="Times New Roman"/>
                <w:b w:val="0"/>
                <w:noProof/>
                <w:sz w:val="24"/>
              </w:rPr>
              <w:t>. През последното десетилетие потреблението на енергия от възобновяеми източници в ЕС се увеличава непрекъснато, като между 2005 г. и 2016 г. нарасна от 9,0 % на 17 % от брутното кра</w:t>
            </w:r>
            <w:r>
              <w:rPr>
                <w:rFonts w:ascii="Times New Roman" w:hAnsi="Times New Roman"/>
                <w:b w:val="0"/>
                <w:noProof/>
                <w:sz w:val="24"/>
              </w:rPr>
              <w:t>йно енергийно потребление. Основните двигатели за това увеличение бяха предвидимата регулаторна рамка на ЕС, по-ефикасните технологии, намаляващите разходи за технологиите за възобновяеми енергийни източници и подкрепата, ориентирана в по-голяма степен към</w:t>
            </w:r>
            <w:r>
              <w:rPr>
                <w:rFonts w:ascii="Times New Roman" w:hAnsi="Times New Roman"/>
                <w:b w:val="0"/>
                <w:noProof/>
                <w:sz w:val="24"/>
              </w:rPr>
              <w:t xml:space="preserve"> пазара.</w:t>
            </w:r>
          </w:p>
          <w:p w:rsidR="00467251" w:rsidRDefault="00E55EA0">
            <w:pPr>
              <w:pStyle w:val="Default"/>
              <w:numPr>
                <w:ilvl w:val="0"/>
                <w:numId w:val="6"/>
              </w:numPr>
              <w:spacing w:after="120"/>
              <w:ind w:left="142" w:hanging="142"/>
              <w:contextualSpacing/>
              <w:jc w:val="both"/>
              <w:rPr>
                <w:b w:val="0"/>
                <w:noProof/>
                <w:color w:val="auto"/>
              </w:rPr>
            </w:pPr>
            <w:r>
              <w:rPr>
                <w:b w:val="0"/>
                <w:noProof/>
              </w:rPr>
              <w:t xml:space="preserve">ЕС все още разчита на </w:t>
            </w:r>
            <w:r>
              <w:rPr>
                <w:noProof/>
              </w:rPr>
              <w:t>вноса на горива от държави извън ЕС</w:t>
            </w:r>
            <w:r>
              <w:rPr>
                <w:b w:val="0"/>
                <w:noProof/>
              </w:rPr>
              <w:t>, за да задоволи своите енергийни нужди.На равнище 53.6 % зависимостта на ЕС от енергиен внос остана почти непроменена между 2006 г. и 2016 г., докато през същия период производството на ене</w:t>
            </w:r>
            <w:r>
              <w:rPr>
                <w:b w:val="0"/>
                <w:noProof/>
              </w:rPr>
              <w:t>ргия намаля с 14 %</w:t>
            </w:r>
            <w:r>
              <w:rPr>
                <w:noProof/>
              </w:rPr>
              <w:t xml:space="preserve"> .</w:t>
            </w:r>
            <w:r>
              <w:rPr>
                <w:b w:val="0"/>
                <w:noProof/>
              </w:rPr>
              <w:t xml:space="preserve"> В същия период се наблюдаваше последователно намаляване на потреблението на първична енергия с около 10 %.</w:t>
            </w:r>
            <w:r>
              <w:rPr>
                <w:b w:val="0"/>
                <w:noProof/>
                <w:color w:val="auto"/>
              </w:rPr>
              <w:t xml:space="preserve"> </w:t>
            </w:r>
          </w:p>
          <w:p w:rsidR="00467251" w:rsidRDefault="00E55EA0">
            <w:pPr>
              <w:pStyle w:val="Default"/>
              <w:numPr>
                <w:ilvl w:val="0"/>
                <w:numId w:val="6"/>
              </w:numPr>
              <w:spacing w:after="120"/>
              <w:ind w:left="142" w:hanging="142"/>
              <w:contextualSpacing/>
              <w:jc w:val="both"/>
              <w:rPr>
                <w:b w:val="0"/>
                <w:noProof/>
                <w:color w:val="auto"/>
              </w:rPr>
            </w:pPr>
            <w:r>
              <w:rPr>
                <w:b w:val="0"/>
                <w:noProof/>
              </w:rPr>
              <w:t>ЕС постигна напредък в подобряването на</w:t>
            </w:r>
            <w:r>
              <w:rPr>
                <w:noProof/>
              </w:rPr>
              <w:t xml:space="preserve"> достъпа до енергия на достъпни цени.</w:t>
            </w:r>
            <w:r>
              <w:rPr>
                <w:b w:val="0"/>
                <w:noProof/>
                <w:color w:val="auto"/>
              </w:rPr>
              <w:t xml:space="preserve"> През последните години по-малко хора бяха изправен</w:t>
            </w:r>
            <w:r>
              <w:rPr>
                <w:b w:val="0"/>
                <w:noProof/>
                <w:color w:val="auto"/>
              </w:rPr>
              <w:t xml:space="preserve">и пред невъзможността да отопляват адекватно дома си. През 2017 г. 8,1 % от населението на ЕС посочиха, че нямат достъп до енергия на достъпни цени — с 2,8 процентни пункта по-малко, отколкото през 2007 г.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i/>
                <w:iCs/>
                <w:noProof/>
                <w:sz w:val="24"/>
                <w:szCs w:val="24"/>
              </w:rPr>
            </w:pPr>
            <w:r>
              <w:rPr>
                <w:rFonts w:ascii="Times New Roman" w:eastAsiaTheme="majorEastAsia" w:hAnsi="Times New Roman"/>
                <w:b w:val="0"/>
                <w:noProof/>
                <w:sz w:val="24"/>
              </w:rPr>
              <w:t xml:space="preserve">Според общия доклад „Индекс и показатели за ЦУР, 2018 г.“ (Bertelsmann Stiftung и Sustainable Development Solutions Network) 26 държави — членки на ЕС, постигат над 80 от общо 100 точки за ЦУР 7. Седем държави — членки на ЕС, са сред първите 20 в света.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FFC000"/>
          </w:tcPr>
          <w:p w:rsidR="00467251" w:rsidRDefault="00E55EA0">
            <w:pPr>
              <w:jc w:val="center"/>
              <w:rPr>
                <w:rFonts w:ascii="Times New Roman" w:hAnsi="Times New Roman" w:cs="Times New Roman"/>
                <w:noProof/>
                <w:color w:val="000000" w:themeColor="text1"/>
                <w:sz w:val="24"/>
                <w:szCs w:val="24"/>
              </w:rPr>
            </w:pPr>
            <w:r>
              <w:rPr>
                <w:rFonts w:ascii="Times New Roman" w:hAnsi="Times New Roman"/>
                <w:noProof/>
                <w:color w:val="000000" w:themeColor="text1"/>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ЕС ще продължи да напредва към постигането на достъпна, надеждна, устойчива и модерна енергия за всички въз основа на амбициозна регулаторна рамка, договорена на равнище ЕС.</w:t>
            </w:r>
            <w:r>
              <w:rPr>
                <w:rFonts w:ascii="Times New Roman" w:hAnsi="Times New Roman"/>
                <w:noProof/>
                <w:sz w:val="24"/>
              </w:rPr>
              <w:t xml:space="preserve"> </w:t>
            </w:r>
            <w:r>
              <w:rPr>
                <w:rFonts w:ascii="Times New Roman" w:hAnsi="Times New Roman"/>
                <w:b w:val="0"/>
                <w:noProof/>
                <w:sz w:val="24"/>
              </w:rPr>
              <w:t>Основните цели на ЕС до 2030 г. се изразяват в намаляване с поне 40 % на емисиите на парникови газове, поне 32 % енергия от възобновяеми източници и увеличаване на енергийната ефективност с най-малко 32,5 %. Тези цели подготвят почвата за дълбоки обществен</w:t>
            </w:r>
            <w:r>
              <w:rPr>
                <w:rFonts w:ascii="Times New Roman" w:hAnsi="Times New Roman"/>
                <w:b w:val="0"/>
                <w:noProof/>
                <w:sz w:val="24"/>
              </w:rPr>
              <w:t>и промени, които да доведат до чисто и устойчиво енергийно бъдеще. Развитието на енергийните инфраструктури ще продължи да се подпомага по линия на Механизма за свързване на Европа. Като част от новата рамковата програма „Хоризонт Европа“ е предложена инте</w:t>
            </w:r>
            <w:r>
              <w:rPr>
                <w:rFonts w:ascii="Times New Roman" w:hAnsi="Times New Roman"/>
                <w:b w:val="0"/>
                <w:noProof/>
                <w:sz w:val="24"/>
              </w:rPr>
              <w:t>нзивна програма за научни изследвания и иновации с бюджет в размер на 15 милиарда евро за енергетиката, климата и мобилността. В общ план заложената в многогодишната финансова рамка за периода 2021—2027 г. цел от 25 % за включване на въпросите на климата о</w:t>
            </w:r>
            <w:r>
              <w:rPr>
                <w:rFonts w:ascii="Times New Roman" w:hAnsi="Times New Roman"/>
                <w:b w:val="0"/>
                <w:noProof/>
                <w:sz w:val="24"/>
              </w:rPr>
              <w:t xml:space="preserve">значава, че една четвърт от бюджета ще бъде изразходвана за свързани с климата въпроси, което също е от значение за енергийния сектор. За постигането на целите на енергийния съюз са необходими по-нататъшни усилия, включително активен диалог с гражданското </w:t>
            </w:r>
            <w:r>
              <w:rPr>
                <w:rFonts w:ascii="Times New Roman" w:hAnsi="Times New Roman"/>
                <w:b w:val="0"/>
                <w:noProof/>
                <w:sz w:val="24"/>
              </w:rPr>
              <w:t>общество и заинтересованите страни, тъй като тяхното участие и ангажираност са от решаващо значение за успеха на енергийния преход.</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Промяна в поведението, информирани и защитени потребители, които могат да отстояват</w:t>
            </w:r>
            <w:r>
              <w:rPr>
                <w:rFonts w:ascii="Times New Roman" w:eastAsiaTheme="majorEastAsia" w:hAnsi="Times New Roman"/>
                <w:b w:val="0"/>
                <w:noProof/>
                <w:sz w:val="24"/>
              </w:rPr>
              <w:t xml:space="preserve"> правата си, обществена ангажираност и участие в политическия живот, изпреварваща политика за справедлив преход, корпоративна социална отговорност / отговорно бизнес поведение, нови бизнес възможности, колективно финансиране и други форми на иновативно фин</w:t>
            </w:r>
            <w:r>
              <w:rPr>
                <w:rFonts w:ascii="Times New Roman" w:eastAsiaTheme="majorEastAsia" w:hAnsi="Times New Roman"/>
                <w:b w:val="0"/>
                <w:noProof/>
                <w:sz w:val="24"/>
              </w:rPr>
              <w:t>ансиране, устойчиво финансиране, публично-частни партньорства, облагане на ресурсите, „интернет на предметите“, образование, цифровизация, изкуствен интелект и нови технологии, научни изследвания и иновации, кръгова нисковъглеродна икономика, мобилност с н</w:t>
            </w:r>
            <w:r>
              <w:rPr>
                <w:rFonts w:ascii="Times New Roman" w:eastAsiaTheme="majorEastAsia" w:hAnsi="Times New Roman"/>
                <w:b w:val="0"/>
                <w:noProof/>
                <w:sz w:val="24"/>
              </w:rPr>
              <w:t>иски и нулеви емисии, устойчиви общества, многостранно сътрудничество.</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b w:val="0"/>
                <w:noProof/>
                <w:sz w:val="24"/>
              </w:rPr>
              <w:t>Нарастващо потребление на електроенергия, произтичащо от цифровизацията, нестабилност на цените на енергията, продължаваща зависимост от изкопаемите</w:t>
            </w:r>
            <w:r>
              <w:rPr>
                <w:rFonts w:ascii="Times New Roman" w:eastAsiaTheme="majorEastAsia" w:hAnsi="Times New Roman"/>
                <w:b w:val="0"/>
                <w:noProof/>
                <w:sz w:val="24"/>
              </w:rPr>
              <w:t xml:space="preserve"> горива и субсидиране на тези горива, липса на промяна в поведението, забавяне в изпълнението на политиките, ниски публични и частни инвестиции, цифрово разделение, изменение на климата, геополитическа нестабилност и заплахи за сигурността, относително по-</w:t>
            </w:r>
            <w:r>
              <w:rPr>
                <w:rFonts w:ascii="Times New Roman" w:eastAsiaTheme="majorEastAsia" w:hAnsi="Times New Roman"/>
                <w:b w:val="0"/>
                <w:noProof/>
                <w:sz w:val="24"/>
              </w:rPr>
              <w:t>скъп преход за хората с ниски и средни доходи.</w:t>
            </w:r>
          </w:p>
        </w:tc>
      </w:tr>
      <w:tr w:rsidR="00467251" w:rsidTr="00467251">
        <w:tblPrEx>
          <w:tblBorders>
            <w:top w:val="single" w:sz="4" w:space="0" w:color="C0504D" w:themeColor="accent2"/>
            <w:left w:val="single" w:sz="4" w:space="0" w:color="C0504D" w:themeColor="accent2"/>
            <w:bottom w:val="single" w:sz="4" w:space="0" w:color="C0504D" w:themeColor="accent2"/>
            <w:right w:val="single" w:sz="4" w:space="0" w:color="auto"/>
            <w:insideH w:val="single" w:sz="4" w:space="0" w:color="C0504D" w:themeColor="accent2"/>
            <w:insideV w:val="single" w:sz="4" w:space="0" w:color="C0504D" w:themeColor="accent2"/>
          </w:tblBorders>
        </w:tblPrEx>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left w:val="single" w:sz="4" w:space="0" w:color="auto"/>
              <w:bottom w:val="single" w:sz="4" w:space="0" w:color="auto"/>
              <w:right w:val="single" w:sz="4" w:space="0" w:color="auto"/>
            </w:tcBorders>
            <w:shd w:val="clear" w:color="auto" w:fill="FFC000"/>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 xml:space="preserve">Акценти на политиката </w:t>
            </w:r>
          </w:p>
        </w:tc>
      </w:tr>
      <w:tr w:rsidR="00467251" w:rsidTr="00467251">
        <w:tblPrEx>
          <w:tblBorders>
            <w:top w:val="single" w:sz="4" w:space="0" w:color="C0504D" w:themeColor="accent2"/>
            <w:left w:val="single" w:sz="4" w:space="0" w:color="C0504D" w:themeColor="accent2"/>
            <w:bottom w:val="single" w:sz="4" w:space="0" w:color="C0504D" w:themeColor="accent2"/>
            <w:right w:val="single" w:sz="4" w:space="0" w:color="auto"/>
            <w:insideH w:val="single" w:sz="4" w:space="0" w:color="C0504D" w:themeColor="accent2"/>
            <w:insideV w:val="single" w:sz="4" w:space="0" w:color="C0504D" w:themeColor="accent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none" w:sz="0" w:space="0" w:color="auto"/>
              <w:right w:val="single" w:sz="4" w:space="0" w:color="C0504D" w:themeColor="accent2"/>
            </w:tcBorders>
          </w:tcPr>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ЕС на международно равнище:</w:t>
            </w:r>
            <w:r>
              <w:rPr>
                <w:rFonts w:ascii="Times New Roman" w:eastAsiaTheme="majorEastAsia" w:hAnsi="Times New Roman"/>
                <w:b w:val="0"/>
                <w:noProof/>
                <w:sz w:val="24"/>
              </w:rPr>
              <w:t xml:space="preserve"> през май 2017 г. с цел да даде нов импулс на партньорството между Африка и ЕС, Съюзът предложи стратегията за осигуряване на енергийни услуги в Африка. ЕС пое ангажимент да насърчава публичните и частните инвестиции във възобновяема енергия в Африка, по-с</w:t>
            </w:r>
            <w:r>
              <w:rPr>
                <w:rFonts w:ascii="Times New Roman" w:eastAsiaTheme="majorEastAsia" w:hAnsi="Times New Roman"/>
                <w:b w:val="0"/>
                <w:noProof/>
                <w:sz w:val="24"/>
              </w:rPr>
              <w:t>пециално в контекста на Европейския план за външни инвестиции, и да задълбочи стратегическите съюзи и сътрудничеството.</w:t>
            </w:r>
          </w:p>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ЕС: </w:t>
            </w:r>
            <w:r>
              <w:rPr>
                <w:rFonts w:ascii="Times New Roman" w:eastAsiaTheme="majorEastAsia" w:hAnsi="Times New Roman"/>
                <w:b w:val="0"/>
                <w:noProof/>
                <w:sz w:val="24"/>
              </w:rPr>
              <w:t xml:space="preserve">създаване на европейски енергиен съюз се превърна в ключов приоритет на Комисията. Бяха приети инициативи за постигането </w:t>
            </w:r>
            <w:r>
              <w:rPr>
                <w:rFonts w:ascii="Times New Roman" w:eastAsiaTheme="majorEastAsia" w:hAnsi="Times New Roman"/>
                <w:b w:val="0"/>
                <w:noProof/>
                <w:sz w:val="24"/>
              </w:rPr>
              <w:t>на енергийния съюз. По-специално приетият през 2016 г. пакет „Чиста енергия за всички европейци“ ще доведе до изграждането на по-конкурентна, по-модерна и по-чиста енергийна система въз основа на три главни цели: поставяне на енергийната ефективност на пър</w:t>
            </w:r>
            <w:r>
              <w:rPr>
                <w:rFonts w:ascii="Times New Roman" w:eastAsiaTheme="majorEastAsia" w:hAnsi="Times New Roman"/>
                <w:b w:val="0"/>
                <w:noProof/>
                <w:sz w:val="24"/>
              </w:rPr>
              <w:t xml:space="preserve">во място, постигане на глобално лидерство в областта на енергията от възобновяеми източници и осигуряване на потребителите на справедливи сделки. </w:t>
            </w: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равнище държави членки: </w:t>
            </w:r>
            <w:r>
              <w:rPr>
                <w:rFonts w:ascii="Times New Roman" w:hAnsi="Times New Roman"/>
                <w:b w:val="0"/>
                <w:noProof/>
                <w:sz w:val="24"/>
              </w:rPr>
              <w:t>през 2013 г. над 40 организации в Нидерландия (правителства на местно и национално</w:t>
            </w:r>
            <w:r>
              <w:rPr>
                <w:rFonts w:ascii="Times New Roman" w:hAnsi="Times New Roman"/>
                <w:b w:val="0"/>
                <w:noProof/>
                <w:sz w:val="24"/>
              </w:rPr>
              <w:t xml:space="preserve"> равнище, предприятия, синдикати и екологични организации) подписаха енергийно споразумение за устойчив растеж, чиято цел е да се увеличи делът на възобновяемите енергийни източници от 5,8 % през 2015 г. на 16 % през 2023 г. В него се определят цели за пре</w:t>
            </w:r>
            <w:r>
              <w:rPr>
                <w:rFonts w:ascii="Times New Roman" w:hAnsi="Times New Roman"/>
                <w:b w:val="0"/>
                <w:noProof/>
                <w:sz w:val="24"/>
              </w:rPr>
              <w:t>минаване към превозни средства с нулеви емисии: до 2035 г. всички нови продадени автомобили трябва да бъдат без емисии, а до през 2050 г. всички автомобили по пътищата трябва да бъдат без емисии.</w:t>
            </w: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i/>
                <w:noProof/>
                <w:sz w:val="24"/>
              </w:rPr>
              <w:t xml:space="preserve">На регионално/местно равнище: </w:t>
            </w:r>
            <w:r>
              <w:rPr>
                <w:rFonts w:ascii="Times New Roman" w:hAnsi="Times New Roman"/>
                <w:b w:val="0"/>
                <w:noProof/>
                <w:sz w:val="24"/>
              </w:rPr>
              <w:t xml:space="preserve">Будапеща е член на Конвента на кметовете, финансирана от ЕС инициатива, която обединява градове и региони, ангажирани с осъществяването на европейските цели в областта на климата и енергетиката. От 2011 г. насам една от неговите най-известни термални бани </w:t>
            </w:r>
            <w:r>
              <w:rPr>
                <w:rFonts w:ascii="Times New Roman" w:hAnsi="Times New Roman"/>
                <w:b w:val="0"/>
                <w:noProof/>
                <w:sz w:val="24"/>
              </w:rPr>
              <w:t>(Szechenyi), зоологическата градина в съседство и местното дружество за топлоснабдяване си партнират, благодарение на което спестяват въглеродни емисии и понижават сметката за електроенергия. Топлината от термалните води се рециклира в зоологическата гради</w:t>
            </w:r>
            <w:r>
              <w:rPr>
                <w:rFonts w:ascii="Times New Roman" w:hAnsi="Times New Roman"/>
                <w:b w:val="0"/>
                <w:noProof/>
                <w:sz w:val="24"/>
              </w:rPr>
              <w:t xml:space="preserve">на, за да доставя топъл въздух за около 350 животински видове и почти 500 растителни видове, поместени в 26 сгради. </w:t>
            </w:r>
          </w:p>
          <w:p w:rsidR="00467251" w:rsidRDefault="00E55EA0">
            <w:pPr>
              <w:spacing w:after="120"/>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предприятия: </w:t>
            </w:r>
            <w:r>
              <w:rPr>
                <w:rFonts w:ascii="Times New Roman" w:eastAsiaTheme="majorEastAsia" w:hAnsi="Times New Roman"/>
                <w:b w:val="0"/>
                <w:noProof/>
                <w:sz w:val="24"/>
              </w:rPr>
              <w:t>енергийното дружество Fortum Jelgava, създадено през 2008 г. в Йелгава, Латвия, преструктурира топлофикационната мр</w:t>
            </w:r>
            <w:r>
              <w:rPr>
                <w:rFonts w:ascii="Times New Roman" w:eastAsiaTheme="majorEastAsia" w:hAnsi="Times New Roman"/>
                <w:b w:val="0"/>
                <w:noProof/>
                <w:sz w:val="24"/>
              </w:rPr>
              <w:t xml:space="preserve">ежа на града, като замени газовата котелна централа с нова централа за комбинирано производство на енергия от биомаса, която използва дървени стърготини. Районната отоплителна система на града премина почти изцяло от изкопаеми горива към закупувана местно </w:t>
            </w:r>
            <w:r>
              <w:rPr>
                <w:rFonts w:ascii="Times New Roman" w:eastAsiaTheme="majorEastAsia" w:hAnsi="Times New Roman"/>
                <w:b w:val="0"/>
                <w:noProof/>
                <w:sz w:val="24"/>
              </w:rPr>
              <w:t xml:space="preserve">възобновяема дървесина. </w:t>
            </w: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i/>
                <w:noProof/>
                <w:sz w:val="24"/>
              </w:rPr>
              <w:t xml:space="preserve">На равнище гражданско общество: </w:t>
            </w:r>
            <w:r>
              <w:rPr>
                <w:rFonts w:ascii="Times New Roman" w:eastAsiaTheme="majorEastAsia" w:hAnsi="Times New Roman"/>
                <w:b w:val="0"/>
                <w:noProof/>
                <w:sz w:val="24"/>
              </w:rPr>
              <w:t>общностите за енергия от възобновяеми източници са организации, чрез които гражданите и/или местните органи притежават или участват в производството и/или използването на енергия от възобновяеми изто</w:t>
            </w:r>
            <w:r>
              <w:rPr>
                <w:rFonts w:ascii="Times New Roman" w:eastAsiaTheme="majorEastAsia" w:hAnsi="Times New Roman"/>
                <w:b w:val="0"/>
                <w:noProof/>
                <w:sz w:val="24"/>
              </w:rPr>
              <w:t xml:space="preserve">чници. С над 2500 инициативи в целия ЕС, те бяха от ключово значение за задействане на енергийния преход в Европа. Връзката и ангажираността на местно равнище с такива инициативи засилва обществения прием на проектите за енергия от възобновяеми източници, </w:t>
            </w:r>
            <w:r>
              <w:rPr>
                <w:rFonts w:ascii="Times New Roman" w:eastAsiaTheme="majorEastAsia" w:hAnsi="Times New Roman"/>
                <w:b w:val="0"/>
                <w:noProof/>
                <w:sz w:val="24"/>
              </w:rPr>
              <w:t xml:space="preserve">особено по отношение на вятърната енергия. Това води и до по-ниски разходи поради предоставянето на най-подходящи терени.   </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88400" cy="795600"/>
                  <wp:effectExtent l="0" t="0" r="0" b="5080"/>
                  <wp:docPr id="28674" name="Picture 2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88400" cy="7956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noProof/>
                <w:sz w:val="24"/>
                <w:szCs w:val="24"/>
              </w:rPr>
            </w:pPr>
            <w:r>
              <w:rPr>
                <w:rFonts w:ascii="Times New Roman" w:hAnsi="Times New Roman"/>
                <w:b/>
                <w:noProof/>
                <w:color w:val="C00000"/>
                <w:sz w:val="24"/>
              </w:rPr>
              <w:t>Насърчаване на траен, приобщаващ и устойчив икономически растеж, пълноценна и продуктивна заетост и достоен труд за всички</w:t>
            </w: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8B3331"/>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rsidR="00467251" w:rsidRDefault="00E55EA0">
            <w:pPr>
              <w:jc w:val="both"/>
              <w:rPr>
                <w:rFonts w:ascii="Times New Roman" w:hAnsi="Times New Roman" w:cs="Times New Roman"/>
                <w:i/>
                <w:noProof/>
                <w:sz w:val="24"/>
                <w:szCs w:val="24"/>
              </w:rPr>
            </w:pPr>
            <w:r>
              <w:rPr>
                <w:rFonts w:ascii="Times New Roman"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Възстановяването на Европа от икономическата криза подкрепи постоянното увеличаване на заетостта. Инвестициите се върнаха почти до равнището отпреди кризата и състоянието на публичните финанси се подобрява, въпреки че възстановяването е изправено пред риск</w:t>
            </w:r>
            <w:r>
              <w:rPr>
                <w:rFonts w:ascii="Times New Roman" w:hAnsi="Times New Roman"/>
                <w:b w:val="0"/>
                <w:noProof/>
                <w:sz w:val="24"/>
              </w:rPr>
              <w:t>ове. Растежът обаче не облагодетелства всички граждани и държави членки по еднакъв начин, като по-конкретно равнищата на безработица в някои държави остават високи. Тенденциите в инвестициите и производителността показват, че може да се направи повече за у</w:t>
            </w:r>
            <w:r>
              <w:rPr>
                <w:rFonts w:ascii="Times New Roman" w:hAnsi="Times New Roman"/>
                <w:b w:val="0"/>
                <w:noProof/>
                <w:sz w:val="24"/>
              </w:rPr>
              <w:t>крепване на възстановяването и на прехода към по-устойчив икономически растеж в контекста на дългосрочните световни предизвикателства като демографските промени и цифровизацията. Заедно с продължаващите усилия за постигане на устойчиви публични финанси в д</w:t>
            </w:r>
            <w:r>
              <w:rPr>
                <w:rFonts w:ascii="Times New Roman" w:hAnsi="Times New Roman"/>
                <w:b w:val="0"/>
                <w:noProof/>
                <w:sz w:val="24"/>
              </w:rPr>
              <w:t>ългосрочен план, ЕС продължава да насърчава инвестициите, по-специално в образованието, уменията и НИРД, както и структурните реформи за увеличаване на ефективността на бизнес средата и на продуктовия и трудовия пазар. Планът за инвестиции за Европа е от о</w:t>
            </w:r>
            <w:r>
              <w:rPr>
                <w:rFonts w:ascii="Times New Roman" w:hAnsi="Times New Roman"/>
                <w:b w:val="0"/>
                <w:noProof/>
                <w:sz w:val="24"/>
              </w:rPr>
              <w:t>сновно значение за привличането на частни инвестиции в стратегическите сектори на европейската икономика. Структурните реформи, насочени към подобряване на пазарите на труда, и социалните политики следва да помогнат на работниците да придобият необходимите</w:t>
            </w:r>
            <w:r>
              <w:rPr>
                <w:rFonts w:ascii="Times New Roman" w:hAnsi="Times New Roman"/>
                <w:b w:val="0"/>
                <w:noProof/>
                <w:sz w:val="24"/>
              </w:rPr>
              <w:t xml:space="preserve"> умения за прехода към зелена икономика и да насърчават по-добър достъп и равни възможности на пазара на труда, справедливи условия на труд и устойчиви и адекватни системи за социална закрила. Те следва също така да допринесат за повишаване на производител</w:t>
            </w:r>
            <w:r>
              <w:rPr>
                <w:rFonts w:ascii="Times New Roman" w:hAnsi="Times New Roman"/>
                <w:b w:val="0"/>
                <w:noProof/>
                <w:sz w:val="24"/>
              </w:rPr>
              <w:t>ността на труда и по този начин за растеж на заплатите. Участието на социалните партньори в разработването и прилагането на реформите може да повиши ангажираността, въздействието и изпълнението. На международно равнище ЕС работи за постигането на приобщава</w:t>
            </w:r>
            <w:r>
              <w:rPr>
                <w:rFonts w:ascii="Times New Roman" w:hAnsi="Times New Roman"/>
                <w:b w:val="0"/>
                <w:noProof/>
                <w:sz w:val="24"/>
              </w:rPr>
              <w:t xml:space="preserve">щ и устойчив растеж, създаването на достойни работни места, насърчаването на трудовите права и правата на човека. Примери за външните действия в това отношение включват Европейския консенсус за развитие, Плана на ЕС за външни инвестиции, Плана за действие </w:t>
            </w:r>
            <w:r>
              <w:rPr>
                <w:rFonts w:ascii="Times New Roman" w:hAnsi="Times New Roman"/>
                <w:b w:val="0"/>
                <w:noProof/>
                <w:sz w:val="24"/>
              </w:rPr>
              <w:t>на ЕС относно правата на човека и демокрацията за периода 2015—2019 г. и действията на ЕС чрез политиките на ЕС за съседство и разширяване. Търговската политика на ЕС насърчава спазването на основните международни трудови стандарти и правата на човека. Нас</w:t>
            </w:r>
            <w:r>
              <w:rPr>
                <w:rFonts w:ascii="Times New Roman" w:hAnsi="Times New Roman"/>
                <w:b w:val="0"/>
                <w:noProof/>
                <w:sz w:val="24"/>
              </w:rPr>
              <w:t xml:space="preserve">ърчаването на отговорни бизнес практики, основани на международни насоки, е залегнало в няколко политики на ЕС, включително търговската политика.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000000" w:themeColor="text1"/>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7"/>
              </w:numPr>
              <w:ind w:left="142" w:hanging="142"/>
              <w:jc w:val="both"/>
              <w:rPr>
                <w:rFonts w:ascii="Times New Roman" w:hAnsi="Times New Roman" w:cs="Times New Roman"/>
                <w:b w:val="0"/>
                <w:noProof/>
                <w:sz w:val="24"/>
                <w:szCs w:val="24"/>
              </w:rPr>
            </w:pPr>
            <w:r>
              <w:rPr>
                <w:rFonts w:ascii="Times New Roman" w:hAnsi="Times New Roman"/>
                <w:b w:val="0"/>
                <w:noProof/>
                <w:sz w:val="24"/>
              </w:rPr>
              <w:t xml:space="preserve">Средно европейците имат по-висок </w:t>
            </w:r>
            <w:r>
              <w:rPr>
                <w:rFonts w:ascii="Times New Roman" w:hAnsi="Times New Roman"/>
                <w:noProof/>
                <w:sz w:val="24"/>
              </w:rPr>
              <w:t>жизнен стандарт</w:t>
            </w:r>
            <w:r>
              <w:rPr>
                <w:rFonts w:ascii="Times New Roman" w:hAnsi="Times New Roman"/>
                <w:b w:val="0"/>
                <w:noProof/>
                <w:sz w:val="24"/>
              </w:rPr>
              <w:t xml:space="preserve">, отколкото преди две десетилетия. В </w:t>
            </w:r>
            <w:r>
              <w:rPr>
                <w:rFonts w:ascii="Times New Roman" w:hAnsi="Times New Roman"/>
                <w:b w:val="0"/>
                <w:noProof/>
                <w:sz w:val="24"/>
              </w:rPr>
              <w:t>периода 2002—2017 г. реалният</w:t>
            </w:r>
            <w:r>
              <w:rPr>
                <w:rFonts w:ascii="Times New Roman" w:hAnsi="Times New Roman"/>
                <w:noProof/>
                <w:sz w:val="24"/>
              </w:rPr>
              <w:t xml:space="preserve"> БВП </w:t>
            </w:r>
            <w:r>
              <w:rPr>
                <w:rFonts w:ascii="Times New Roman" w:hAnsi="Times New Roman"/>
                <w:b w:val="0"/>
                <w:noProof/>
                <w:sz w:val="24"/>
              </w:rPr>
              <w:t>на глава от населението нарастваше ежегодно средно с 1,1 %. През последните години икономиката на ЕС се разрастваше с най-високите темпове от началото на кризата през 2008 г., като ръстът на реалния БВП достигна 2,2 % през</w:t>
            </w:r>
            <w:r>
              <w:rPr>
                <w:rFonts w:ascii="Times New Roman" w:hAnsi="Times New Roman"/>
                <w:b w:val="0"/>
                <w:noProof/>
                <w:sz w:val="24"/>
              </w:rPr>
              <w:t xml:space="preserve"> 2017 г. </w:t>
            </w:r>
          </w:p>
          <w:p w:rsidR="00467251" w:rsidRDefault="00E55EA0">
            <w:pPr>
              <w:pStyle w:val="ListParagraph"/>
              <w:numPr>
                <w:ilvl w:val="0"/>
                <w:numId w:val="7"/>
              </w:numPr>
              <w:ind w:left="142" w:hanging="142"/>
              <w:jc w:val="both"/>
              <w:rPr>
                <w:rFonts w:ascii="Times New Roman" w:hAnsi="Times New Roman" w:cs="Times New Roman"/>
                <w:b w:val="0"/>
                <w:noProof/>
                <w:sz w:val="24"/>
                <w:szCs w:val="24"/>
              </w:rPr>
            </w:pPr>
            <w:r>
              <w:rPr>
                <w:rFonts w:ascii="Times New Roman" w:hAnsi="Times New Roman"/>
                <w:b w:val="0"/>
                <w:noProof/>
                <w:sz w:val="24"/>
              </w:rPr>
              <w:t xml:space="preserve">През 2017 г. общите </w:t>
            </w:r>
            <w:r>
              <w:rPr>
                <w:rFonts w:ascii="Times New Roman" w:hAnsi="Times New Roman"/>
                <w:noProof/>
                <w:sz w:val="24"/>
              </w:rPr>
              <w:t>инвестиции</w:t>
            </w:r>
            <w:r>
              <w:rPr>
                <w:rFonts w:ascii="Times New Roman" w:hAnsi="Times New Roman"/>
                <w:b w:val="0"/>
                <w:noProof/>
                <w:sz w:val="24"/>
              </w:rPr>
              <w:t xml:space="preserve"> като дял от БВП в ЕС бяха 20,8 % след резкия спад по време на икономическата и финансова криза. Този дял се увеличава средно с 1,0 % годишно от 2013 г. насам. Очаква се Планът за инвестиции за Европа да създаде 1,4 </w:t>
            </w:r>
            <w:r>
              <w:rPr>
                <w:rFonts w:ascii="Times New Roman" w:hAnsi="Times New Roman"/>
                <w:b w:val="0"/>
                <w:noProof/>
                <w:sz w:val="24"/>
              </w:rPr>
              <w:t>милиона работни места и да увеличи БВП на ЕС с 1,3 % до 2020 г.</w:t>
            </w:r>
          </w:p>
          <w:p w:rsidR="00467251" w:rsidRDefault="00E55EA0">
            <w:pPr>
              <w:pStyle w:val="ListParagraph"/>
              <w:numPr>
                <w:ilvl w:val="0"/>
                <w:numId w:val="7"/>
              </w:numPr>
              <w:ind w:left="142" w:hanging="142"/>
              <w:jc w:val="both"/>
              <w:rPr>
                <w:rFonts w:ascii="Times New Roman" w:hAnsi="Times New Roman" w:cs="Times New Roman"/>
                <w:b w:val="0"/>
                <w:noProof/>
                <w:sz w:val="24"/>
                <w:szCs w:val="24"/>
              </w:rPr>
            </w:pPr>
            <w:r>
              <w:rPr>
                <w:rFonts w:ascii="Times New Roman" w:hAnsi="Times New Roman"/>
                <w:noProof/>
                <w:sz w:val="24"/>
              </w:rPr>
              <w:t xml:space="preserve">Производителността на труда </w:t>
            </w:r>
            <w:r>
              <w:rPr>
                <w:rFonts w:ascii="Times New Roman" w:hAnsi="Times New Roman"/>
                <w:b w:val="0"/>
                <w:noProof/>
                <w:sz w:val="24"/>
              </w:rPr>
              <w:t>се е увеличила донякъде, но ръстът ѝ остава под тенденциите отпреди рецесията.</w:t>
            </w:r>
            <w:r>
              <w:rPr>
                <w:rFonts w:ascii="Times New Roman" w:hAnsi="Times New Roman"/>
                <w:noProof/>
                <w:sz w:val="24"/>
              </w:rPr>
              <w:t xml:space="preserve"> </w:t>
            </w:r>
          </w:p>
          <w:p w:rsidR="00467251" w:rsidRDefault="00E55EA0">
            <w:pPr>
              <w:pStyle w:val="ListParagraph"/>
              <w:numPr>
                <w:ilvl w:val="0"/>
                <w:numId w:val="7"/>
              </w:numPr>
              <w:ind w:left="142" w:hanging="142"/>
              <w:jc w:val="both"/>
              <w:rPr>
                <w:rFonts w:ascii="Times New Roman" w:eastAsiaTheme="majorEastAsia" w:hAnsi="Times New Roman" w:cs="Times New Roman"/>
                <w:iCs/>
                <w:noProof/>
                <w:sz w:val="24"/>
                <w:szCs w:val="24"/>
              </w:rPr>
            </w:pPr>
            <w:r>
              <w:rPr>
                <w:rFonts w:ascii="Times New Roman" w:hAnsi="Times New Roman"/>
                <w:noProof/>
                <w:sz w:val="24"/>
              </w:rPr>
              <w:t xml:space="preserve">Участието на пазара на труда </w:t>
            </w:r>
            <w:r>
              <w:rPr>
                <w:rFonts w:ascii="Times New Roman" w:hAnsi="Times New Roman"/>
                <w:b w:val="0"/>
                <w:noProof/>
                <w:sz w:val="24"/>
              </w:rPr>
              <w:t>продължава да нараства, като през 2017 г. достигна дял на икономическа активност от 73,4 %. Това увеличение се дължеше предимно на по-възрастните работници и жените. Общата заетост достигна рекордно равнище от 239 милиона работници, работните места на пълн</w:t>
            </w:r>
            <w:r>
              <w:rPr>
                <w:rFonts w:ascii="Times New Roman" w:hAnsi="Times New Roman"/>
                <w:b w:val="0"/>
                <w:noProof/>
                <w:sz w:val="24"/>
              </w:rPr>
              <w:t xml:space="preserve">о работно време се увеличиха с 2,3 милиона, а броят на работещите на непълно работно време остана стабилен. От 2000 г. до 2015 г. заетостта само в сектора на екологичните стоки и услуги нарасна с 47,3 %. </w:t>
            </w:r>
            <w:r>
              <w:rPr>
                <w:rFonts w:ascii="Times New Roman" w:hAnsi="Times New Roman"/>
                <w:noProof/>
                <w:sz w:val="24"/>
              </w:rPr>
              <w:t xml:space="preserve">Дългосрочната безработица </w:t>
            </w:r>
            <w:r>
              <w:rPr>
                <w:rFonts w:ascii="Times New Roman" w:hAnsi="Times New Roman"/>
                <w:b w:val="0"/>
                <w:noProof/>
                <w:sz w:val="24"/>
              </w:rPr>
              <w:t>продължава да намалява, но</w:t>
            </w:r>
            <w:r>
              <w:rPr>
                <w:rFonts w:ascii="Times New Roman" w:hAnsi="Times New Roman"/>
                <w:b w:val="0"/>
                <w:noProof/>
                <w:sz w:val="24"/>
              </w:rPr>
              <w:t xml:space="preserve"> все още представлява малко над половината от общата безработица. </w:t>
            </w:r>
            <w:r>
              <w:rPr>
                <w:rFonts w:ascii="Times New Roman" w:hAnsi="Times New Roman"/>
                <w:noProof/>
                <w:sz w:val="24"/>
              </w:rPr>
              <w:t>Младежката безработица</w:t>
            </w:r>
            <w:r>
              <w:rPr>
                <w:rFonts w:ascii="Times New Roman" w:hAnsi="Times New Roman"/>
                <w:b w:val="0"/>
                <w:noProof/>
                <w:sz w:val="24"/>
              </w:rPr>
              <w:t>, която достигна своя връх от 23,8 % през 2013 г., намаля до 16,8 % през 2017 г. През 2017 г. 7,7 % от заетите лица в Европа работеха на</w:t>
            </w:r>
            <w:r>
              <w:rPr>
                <w:rFonts w:ascii="Times New Roman" w:hAnsi="Times New Roman"/>
                <w:noProof/>
                <w:sz w:val="24"/>
              </w:rPr>
              <w:t xml:space="preserve"> временни договори </w:t>
            </w:r>
            <w:r>
              <w:rPr>
                <w:rFonts w:ascii="Times New Roman" w:hAnsi="Times New Roman"/>
                <w:b w:val="0"/>
                <w:noProof/>
                <w:sz w:val="24"/>
              </w:rPr>
              <w:t>не по свой из</w:t>
            </w:r>
            <w:r>
              <w:rPr>
                <w:rFonts w:ascii="Times New Roman" w:hAnsi="Times New Roman"/>
                <w:b w:val="0"/>
                <w:noProof/>
                <w:sz w:val="24"/>
              </w:rPr>
              <w:t xml:space="preserve">бор, което съответства на 57,7 % от всички работещи на временен договор, като този дял леко се е увеличил през последното десетилетие. Делът на недоброволната </w:t>
            </w:r>
            <w:r>
              <w:rPr>
                <w:rFonts w:ascii="Times New Roman" w:hAnsi="Times New Roman"/>
                <w:noProof/>
                <w:sz w:val="24"/>
              </w:rPr>
              <w:t>заетост на</w:t>
            </w:r>
            <w:r>
              <w:rPr>
                <w:rFonts w:ascii="Times New Roman" w:hAnsi="Times New Roman"/>
                <w:b w:val="0"/>
                <w:noProof/>
                <w:sz w:val="24"/>
              </w:rPr>
              <w:t xml:space="preserve"> </w:t>
            </w:r>
            <w:r>
              <w:rPr>
                <w:rFonts w:ascii="Times New Roman" w:hAnsi="Times New Roman"/>
                <w:noProof/>
                <w:sz w:val="24"/>
              </w:rPr>
              <w:t xml:space="preserve">непълно работно време </w:t>
            </w:r>
            <w:r>
              <w:rPr>
                <w:rFonts w:ascii="Times New Roman" w:hAnsi="Times New Roman"/>
                <w:b w:val="0"/>
                <w:noProof/>
                <w:sz w:val="24"/>
              </w:rPr>
              <w:t>в ЕС, която засяга предимно жените, като процент от общата заето</w:t>
            </w:r>
            <w:r>
              <w:rPr>
                <w:rFonts w:ascii="Times New Roman" w:hAnsi="Times New Roman"/>
                <w:b w:val="0"/>
                <w:noProof/>
                <w:sz w:val="24"/>
              </w:rPr>
              <w:t>ст на непълно работно време нарасна от 25,6 % през 2008 г. до 29,6 % през 2014, след което спадна до 26,4 % през 2017 г.</w:t>
            </w:r>
          </w:p>
          <w:p w:rsidR="00467251" w:rsidRDefault="00E55EA0">
            <w:pPr>
              <w:pStyle w:val="ListParagraph"/>
              <w:numPr>
                <w:ilvl w:val="0"/>
                <w:numId w:val="7"/>
              </w:numPr>
              <w:spacing w:after="200" w:line="276" w:lineRule="auto"/>
              <w:ind w:left="142" w:hanging="142"/>
              <w:jc w:val="both"/>
              <w:rPr>
                <w:rFonts w:ascii="Times New Roman" w:eastAsiaTheme="majorEastAsia" w:hAnsi="Times New Roman" w:cs="Times New Roman"/>
                <w:iCs/>
                <w:noProof/>
                <w:sz w:val="24"/>
                <w:szCs w:val="24"/>
              </w:rPr>
            </w:pPr>
            <w:r>
              <w:rPr>
                <w:rFonts w:ascii="Times New Roman" w:hAnsi="Times New Roman"/>
                <w:b w:val="0"/>
                <w:noProof/>
                <w:sz w:val="24"/>
              </w:rPr>
              <w:t xml:space="preserve">Що се отнася до </w:t>
            </w:r>
            <w:r>
              <w:rPr>
                <w:rFonts w:ascii="Times New Roman" w:hAnsi="Times New Roman"/>
                <w:noProof/>
                <w:sz w:val="24"/>
              </w:rPr>
              <w:t>работещите бедни</w:t>
            </w:r>
            <w:r>
              <w:rPr>
                <w:rFonts w:ascii="Times New Roman" w:hAnsi="Times New Roman"/>
                <w:b w:val="0"/>
                <w:noProof/>
                <w:sz w:val="24"/>
              </w:rPr>
              <w:t>, през 2017 г. 9,6 % от заетите лица бяха също така изложени на риск от бедност. През последните четири</w:t>
            </w:r>
            <w:r>
              <w:rPr>
                <w:rFonts w:ascii="Times New Roman" w:hAnsi="Times New Roman"/>
                <w:b w:val="0"/>
                <w:noProof/>
                <w:sz w:val="24"/>
              </w:rPr>
              <w:t xml:space="preserve"> години този цял се е стабилизирал, макар и на по-високо ниво от това през 2008 г. (8,5 %).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000000" w:themeColor="text1"/>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i/>
                <w:iCs/>
                <w:noProof/>
                <w:sz w:val="24"/>
                <w:szCs w:val="24"/>
              </w:rPr>
            </w:pPr>
            <w:r>
              <w:rPr>
                <w:rFonts w:ascii="Times New Roman" w:eastAsiaTheme="majorEastAsia" w:hAnsi="Times New Roman"/>
                <w:b w:val="0"/>
                <w:noProof/>
                <w:sz w:val="24"/>
              </w:rPr>
              <w:t xml:space="preserve">Според общия доклад „Индекс и показатели за ЦУР, 2018 г.“ (Bertelsmann Stiftung и Sustainable Development Solutions Network) 17 държави — членки </w:t>
            </w:r>
            <w:r>
              <w:rPr>
                <w:rFonts w:ascii="Times New Roman" w:eastAsiaTheme="majorEastAsia" w:hAnsi="Times New Roman"/>
                <w:b w:val="0"/>
                <w:noProof/>
                <w:sz w:val="24"/>
              </w:rPr>
              <w:t xml:space="preserve">на ЕС, постигат над 80 от общо 100 точки за ЦУР 8. Девет държави — членки на ЕС, са сред първите 20 в света.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shd w:val="clear" w:color="auto" w:fill="8B3331"/>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rsidR="00467251" w:rsidRDefault="00E55EA0">
            <w:pPr>
              <w:rPr>
                <w:rFonts w:ascii="Times New Roman" w:eastAsiaTheme="majorEastAsia" w:hAnsi="Times New Roman" w:cs="Times New Roman"/>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ЕС ще трябва да осигури високи общи равнища на заетост чрез създаването на качествени работни места, които подпомагат прехода към устойчивост, по-специално за жените, младите хора, възрастните хора, хората с увреждания, мигрантите и маргинализираните общно</w:t>
            </w:r>
            <w:r>
              <w:rPr>
                <w:rFonts w:ascii="Times New Roman" w:eastAsiaTheme="majorEastAsia" w:hAnsi="Times New Roman"/>
                <w:b w:val="0"/>
                <w:noProof/>
                <w:sz w:val="24"/>
              </w:rPr>
              <w:t>сти. Това би спомогнало да се гарантира адекватността и устойчивостта на европейския социален модел в контекста на застаряване на населението и нисък ръст на производителността. Въпреки че инвестициите в европейската икономика ще продължат да нарастват, те</w:t>
            </w:r>
            <w:r>
              <w:rPr>
                <w:rFonts w:ascii="Times New Roman" w:eastAsiaTheme="majorEastAsia" w:hAnsi="Times New Roman"/>
                <w:b w:val="0"/>
                <w:noProof/>
                <w:sz w:val="24"/>
              </w:rPr>
              <w:t xml:space="preserve"> се нуждаят от постоянна подкрепа, за да се преодолеят затрудненията. Намаляването на населението и икономическата мощ на ЕС ще окаже влияние върху позицията му в глобалния икономически ред. Цифровизацията и демографските промени ще имат последици за бъдещ</w:t>
            </w:r>
            <w:r>
              <w:rPr>
                <w:rFonts w:ascii="Times New Roman" w:eastAsiaTheme="majorEastAsia" w:hAnsi="Times New Roman"/>
                <w:b w:val="0"/>
                <w:noProof/>
                <w:sz w:val="24"/>
              </w:rPr>
              <w:t>ия растеж и развитието на пазара на труда. Това изисква да се постави по-силен акцент върху сравнителните предимства на Съюза във връзка с качеството на образованието и да се инвестира допълнително в научните изследвания и иновациите, които следва да насър</w:t>
            </w:r>
            <w:r>
              <w:rPr>
                <w:rFonts w:ascii="Times New Roman" w:eastAsiaTheme="majorEastAsia" w:hAnsi="Times New Roman"/>
                <w:b w:val="0"/>
                <w:noProof/>
                <w:sz w:val="24"/>
              </w:rPr>
              <w:t xml:space="preserve">чават социалното приобщаване и екологичната устойчивост. Ще продължи преходът към кръгова икономика, както и действията за изкореняване на принудителния труд и трафика на хора.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Повишаване на квалификацията и преква</w:t>
            </w:r>
            <w:r>
              <w:rPr>
                <w:rFonts w:ascii="Times New Roman" w:eastAsiaTheme="majorEastAsia" w:hAnsi="Times New Roman"/>
                <w:b w:val="0"/>
                <w:noProof/>
                <w:sz w:val="24"/>
              </w:rPr>
              <w:t>лификация, цифровизация, научни изследвания и иновации, обществена ангажираност и участие в политическия живот, обществен натиск за устойчиви производствени вериги, изкуствен интелект, нови технологии, корпоративна социална отговорност / отговорно бизнес п</w:t>
            </w:r>
            <w:r>
              <w:rPr>
                <w:rFonts w:ascii="Times New Roman" w:eastAsiaTheme="majorEastAsia" w:hAnsi="Times New Roman"/>
                <w:b w:val="0"/>
                <w:noProof/>
                <w:sz w:val="24"/>
              </w:rPr>
              <w:t xml:space="preserve">оведение, устойчиво финансиране, публично-частни партньорства, кръгова нисковъглеродна икономика на сътрудничеството, социална икономика и развитие на социално-икономически екосистеми, акцент върху устойчиви общества, многостранно сътрудничество, отворена </w:t>
            </w:r>
            <w:r>
              <w:rPr>
                <w:rFonts w:ascii="Times New Roman" w:eastAsiaTheme="majorEastAsia" w:hAnsi="Times New Roman"/>
                <w:b w:val="0"/>
                <w:noProof/>
                <w:sz w:val="24"/>
              </w:rPr>
              <w:t>и справедлива търговия, научни изследвания и иновации.</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Нисък ръст на производителността, несъответствия между търсените и предлаганите умения, бавно разпространение на новите цифрови технологии и въздействието на </w:t>
            </w:r>
            <w:r>
              <w:rPr>
                <w:rFonts w:ascii="Times New Roman" w:eastAsiaTheme="majorEastAsia" w:hAnsi="Times New Roman"/>
                <w:b w:val="0"/>
                <w:noProof/>
                <w:sz w:val="24"/>
              </w:rPr>
              <w:t>технологичните промени върху работниците и конкретни сектори, социални неравенства, регионални и териториални различия, въздействие на демографските промени и роля на миграцията и принудителното разселване, влошаване на околната среда и изменение на климат</w:t>
            </w:r>
            <w:r>
              <w:rPr>
                <w:rFonts w:ascii="Times New Roman" w:eastAsiaTheme="majorEastAsia" w:hAnsi="Times New Roman"/>
                <w:b w:val="0"/>
                <w:noProof/>
                <w:sz w:val="24"/>
              </w:rPr>
              <w:t>а, геополитическа нестабилност и заплахи за сигурността, връщане на икономически протекционизъм в световен мащаб, трудности за измерване на производителността във все по-нематериални икономики, сегментация на пазара на труда и несигурност на работните мест</w:t>
            </w:r>
            <w:r>
              <w:rPr>
                <w:rFonts w:ascii="Times New Roman" w:eastAsiaTheme="majorEastAsia" w:hAnsi="Times New Roman"/>
                <w:b w:val="0"/>
                <w:noProof/>
                <w:sz w:val="24"/>
              </w:rPr>
              <w:t>а, цифрово разделение, защита на данните, равновесие между професионалния и личния живот.</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8B3331"/>
          </w:tcPr>
          <w:p w:rsidR="00467251" w:rsidRDefault="00E55EA0">
            <w:pPr>
              <w:jc w:val="center"/>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pStyle w:val="NormalWeb"/>
              <w:spacing w:after="120"/>
              <w:jc w:val="both"/>
              <w:rPr>
                <w:b w:val="0"/>
                <w:noProof/>
              </w:rPr>
            </w:pPr>
            <w:r>
              <w:rPr>
                <w:i/>
                <w:noProof/>
              </w:rPr>
              <w:t>На равнище ЕС</w:t>
            </w:r>
            <w:r>
              <w:rPr>
                <w:noProof/>
              </w:rPr>
              <w:t>:</w:t>
            </w:r>
            <w:r>
              <w:rPr>
                <w:b w:val="0"/>
                <w:noProof/>
                <w:color w:val="404040"/>
              </w:rPr>
              <w:t xml:space="preserve"> </w:t>
            </w:r>
            <w:r>
              <w:rPr>
                <w:b w:val="0"/>
                <w:noProof/>
              </w:rPr>
              <w:t>Планът за инвестиции за Европа или т. нар. план „Юнкер“ допринесе особено успешно за подобряването на инвестиционния климат. П</w:t>
            </w:r>
            <w:r>
              <w:rPr>
                <w:b w:val="0"/>
                <w:noProof/>
              </w:rPr>
              <w:t xml:space="preserve">рез юли 2018 г. Европейският фонд за стратегически инвестиции достигна своята първоначална цел от 315 милиарда евро инвестиции, а до декември 2018 г. по линия на Фонда бяха мобилизирани 371 милиарда евро под формата на допълнителни инвестиции в ЕС общо от </w:t>
            </w:r>
            <w:r>
              <w:rPr>
                <w:b w:val="0"/>
                <w:noProof/>
              </w:rPr>
              <w:t>2015 г. насам. Благодарение на Фонда беше подпомогнато създаването на над 750 000 работни места. Тази цифра се очаква да нарасне до 1,4 милиона работни места до 2020 г. Над 850 000 малки и средни предприятия (МСП) се възползват от подобрен достъп до финанс</w:t>
            </w:r>
            <w:r>
              <w:rPr>
                <w:b w:val="0"/>
                <w:noProof/>
              </w:rPr>
              <w:t>иране. Поне 40 % от финансирането по Европейския фонд за стратегически инвестиции в рамките на компонента за инфраструктура и иновации подкрепя части на проекти, които допринасят за действията в областта на климата в съответствие с Парижкото споразумение з</w:t>
            </w:r>
            <w:r>
              <w:rPr>
                <w:b w:val="0"/>
                <w:noProof/>
              </w:rPr>
              <w:t xml:space="preserve">а действия в областта на климата. </w:t>
            </w:r>
          </w:p>
          <w:p w:rsidR="00467251" w:rsidRDefault="00E55EA0">
            <w:pPr>
              <w:pStyle w:val="NormalWeb"/>
              <w:spacing w:after="120"/>
              <w:jc w:val="both"/>
              <w:rPr>
                <w:b w:val="0"/>
                <w:noProof/>
              </w:rPr>
            </w:pPr>
            <w:r>
              <w:rPr>
                <w:i/>
                <w:noProof/>
              </w:rPr>
              <w:t>На равнище държави членки</w:t>
            </w:r>
            <w:r>
              <w:rPr>
                <w:noProof/>
              </w:rPr>
              <w:t xml:space="preserve">: </w:t>
            </w:r>
            <w:r>
              <w:rPr>
                <w:b w:val="0"/>
                <w:noProof/>
              </w:rPr>
              <w:t xml:space="preserve">през 2017 г. Чешката република въведе по-голяма гъвкавост при планирането и правата на работно време и отпуски, укрепи процеса на колективно договаряне, въведе промени в областта на договорното </w:t>
            </w:r>
            <w:r>
              <w:rPr>
                <w:b w:val="0"/>
                <w:noProof/>
              </w:rPr>
              <w:t>право, в режима за колективни уволнения и в разпоредбите относно дистанционната работа, и укрепи инструментите за съвместяване на личния и професионалния живот, като например надомната работа.</w:t>
            </w:r>
          </w:p>
          <w:p w:rsidR="00467251" w:rsidRDefault="00E55EA0">
            <w:pPr>
              <w:spacing w:after="120"/>
              <w:jc w:val="both"/>
              <w:rPr>
                <w:rFonts w:ascii="Times New Roman" w:hAnsi="Times New Roman" w:cs="Times New Roman"/>
                <w:b w:val="0"/>
                <w:noProof/>
                <w:sz w:val="24"/>
                <w:szCs w:val="24"/>
              </w:rPr>
            </w:pPr>
            <w:r>
              <w:rPr>
                <w:rFonts w:ascii="Times New Roman" w:hAnsi="Times New Roman" w:cs="Times New Roman"/>
                <w:i/>
                <w:noProof/>
                <w:sz w:val="24"/>
                <w:szCs w:val="24"/>
              </w:rPr>
              <w:t>На регионално/местно равнище</w:t>
            </w:r>
            <w:r>
              <w:rPr>
                <w:rFonts w:ascii="Times New Roman" w:hAnsi="Times New Roman" w:cs="Times New Roman"/>
                <w:noProof/>
                <w:sz w:val="24"/>
                <w:szCs w:val="24"/>
              </w:rPr>
              <w:t>:</w:t>
            </w:r>
            <w:r>
              <w:rPr>
                <w:rFonts w:ascii="Times New Roman" w:hAnsi="Times New Roman" w:cs="Times New Roman"/>
                <w:b w:val="0"/>
                <w:noProof/>
                <w:sz w:val="24"/>
                <w:szCs w:val="24"/>
              </w:rPr>
              <w:t xml:space="preserve"> град Гент в Белгия редовно използва Европейския социален фонд, за да подпомага интеграцията на бежанците и ромите на пазара на труда. Например неговият проект Labour Team IEM (2015—2017 г.) предложи индивидуализирани насоки за ромите. Основната цел беше д</w:t>
            </w:r>
            <w:r>
              <w:rPr>
                <w:rFonts w:ascii="Times New Roman" w:hAnsi="Times New Roman" w:cs="Times New Roman"/>
                <w:b w:val="0"/>
                <w:noProof/>
                <w:sz w:val="24"/>
                <w:szCs w:val="24"/>
              </w:rPr>
              <w:t>а се помогне на най-малко 190 мигранти от други държави от ЕС, предимно от ромски произход, да навлязат на пазара на труда. Проектът продължава да се осъществява през 2018—2019 г. с помощта на Европейския социален фонд.</w:t>
            </w:r>
          </w:p>
          <w:p w:rsidR="00467251" w:rsidRDefault="00E55EA0">
            <w:pPr>
              <w:spacing w:after="120"/>
              <w:jc w:val="both"/>
              <w:rPr>
                <w:rFonts w:ascii="Times New Roman" w:hAnsi="Times New Roman" w:cs="Times New Roman"/>
                <w:b w:val="0"/>
                <w:noProof/>
                <w:sz w:val="24"/>
                <w:szCs w:val="24"/>
              </w:rPr>
            </w:pPr>
            <w:r>
              <w:rPr>
                <w:rFonts w:ascii="Times New Roman" w:hAnsi="Times New Roman" w:cs="Times New Roman"/>
                <w:i/>
                <w:noProof/>
                <w:sz w:val="24"/>
                <w:szCs w:val="24"/>
              </w:rPr>
              <w:t>На равнище предприятия:</w:t>
            </w:r>
            <w:r>
              <w:rPr>
                <w:rFonts w:ascii="Times New Roman" w:hAnsi="Times New Roman" w:cs="Times New Roman"/>
                <w:noProof/>
                <w:sz w:val="24"/>
                <w:szCs w:val="24"/>
              </w:rPr>
              <w:t xml:space="preserve"> </w:t>
            </w:r>
            <w:r>
              <w:rPr>
                <w:rFonts w:ascii="Times New Roman" w:hAnsi="Times New Roman" w:cs="Times New Roman"/>
                <w:b w:val="0"/>
                <w:noProof/>
                <w:sz w:val="24"/>
                <w:szCs w:val="24"/>
              </w:rPr>
              <w:t>Европейската</w:t>
            </w:r>
            <w:r>
              <w:rPr>
                <w:rFonts w:ascii="Times New Roman" w:hAnsi="Times New Roman" w:cs="Times New Roman"/>
                <w:b w:val="0"/>
                <w:noProof/>
                <w:sz w:val="24"/>
                <w:szCs w:val="24"/>
              </w:rPr>
              <w:t xml:space="preserve"> инвестиционна банка предоставя заем в размер на 7,5 милиона евро (с финансовата подкрепа на Европейския фонд за стратегически инвестиции) за Greenfiber International SA за финансирането на проект за рециклиране и кръгова икономика в Румъния. Проектът ще п</w:t>
            </w:r>
            <w:r>
              <w:rPr>
                <w:rFonts w:ascii="Times New Roman" w:hAnsi="Times New Roman" w:cs="Times New Roman"/>
                <w:b w:val="0"/>
                <w:noProof/>
                <w:sz w:val="24"/>
                <w:szCs w:val="24"/>
              </w:rPr>
              <w:t>омогне за създаването на 280 работни места на пълно работно време и ще увеличи количеството отпадъци, които се събират и обработват, с над 50 000 тона годишно.</w:t>
            </w:r>
          </w:p>
          <w:p w:rsidR="00467251" w:rsidRDefault="00E55EA0">
            <w:pPr>
              <w:autoSpaceDE w:val="0"/>
              <w:autoSpaceDN w:val="0"/>
              <w:adjustRightInd w:val="0"/>
              <w:rPr>
                <w:rFonts w:ascii="Arial" w:hAnsi="Arial" w:cs="Arial"/>
                <w:noProof/>
                <w:sz w:val="20"/>
                <w:szCs w:val="20"/>
              </w:rPr>
            </w:pPr>
            <w:r>
              <w:rPr>
                <w:rFonts w:ascii="Times New Roman" w:hAnsi="Times New Roman" w:cs="Times New Roman"/>
                <w:i/>
                <w:noProof/>
                <w:sz w:val="24"/>
                <w:szCs w:val="24"/>
              </w:rPr>
              <w:t>На равнище гражданско общество:</w:t>
            </w:r>
            <w:r>
              <w:rPr>
                <w:rFonts w:ascii="Times New Roman" w:hAnsi="Times New Roman" w:cs="Times New Roman"/>
                <w:noProof/>
                <w:sz w:val="24"/>
                <w:szCs w:val="24"/>
              </w:rPr>
              <w:t xml:space="preserve"> </w:t>
            </w:r>
            <w:r>
              <w:rPr>
                <w:rFonts w:ascii="Times New Roman" w:hAnsi="Times New Roman" w:cs="Times New Roman"/>
                <w:b w:val="0"/>
                <w:noProof/>
                <w:sz w:val="24"/>
                <w:szCs w:val="24"/>
              </w:rPr>
              <w:t>през 2014 г. в Португалия беше създадена коалиция на националнит</w:t>
            </w:r>
            <w:r>
              <w:rPr>
                <w:rFonts w:ascii="Times New Roman" w:hAnsi="Times New Roman" w:cs="Times New Roman"/>
                <w:b w:val="0"/>
                <w:noProof/>
                <w:sz w:val="24"/>
                <w:szCs w:val="24"/>
              </w:rPr>
              <w:t>е представителни организации на гражданското</w:t>
            </w:r>
            <w:r>
              <w:rPr>
                <w:rFonts w:ascii="Times New Roman" w:hAnsi="Times New Roman"/>
                <w:b w:val="0"/>
                <w:noProof/>
                <w:sz w:val="24"/>
              </w:rPr>
              <w:t xml:space="preserve"> общество с цел да изготви обща позиция по Програмата на ООН за устойчиво развитие до 2030 г. Коалицията организира национални консултативни процеси, онлайн въпросници и работни семинари на местно равнище, за да </w:t>
            </w:r>
            <w:r>
              <w:rPr>
                <w:rFonts w:ascii="Times New Roman" w:hAnsi="Times New Roman"/>
                <w:b w:val="0"/>
                <w:noProof/>
                <w:sz w:val="24"/>
              </w:rPr>
              <w:t>бъдат обсъдени очакванията във връзка с Програмата на ООН за устойчиво развитие до 2030 г., включително свързаните с ЦУР 8.</w:t>
            </w:r>
          </w:p>
        </w:tc>
      </w:tr>
    </w:tbl>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88400" cy="788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E36C0A" w:themeColor="accent6" w:themeShade="BF"/>
                <w:sz w:val="24"/>
                <w:szCs w:val="24"/>
              </w:rPr>
            </w:pPr>
            <w:r>
              <w:rPr>
                <w:rFonts w:ascii="Times New Roman" w:hAnsi="Times New Roman"/>
                <w:b/>
                <w:noProof/>
                <w:color w:val="E36C0A" w:themeColor="accent6" w:themeShade="BF"/>
                <w:sz w:val="24"/>
              </w:rPr>
              <w:t>Изграждане на устойчива инфраструктура, насърчаване на приобщаваща и устойчива индустриализация и стимулиране на иновациите</w:t>
            </w:r>
          </w:p>
          <w:p w:rsidR="00467251" w:rsidRDefault="00467251">
            <w:pPr>
              <w:jc w:val="center"/>
              <w:rPr>
                <w:rFonts w:ascii="Times New Roman" w:hAnsi="Times New Roman" w:cs="Times New Roman"/>
                <w:b/>
                <w:noProof/>
                <w:color w:val="E36C0A" w:themeColor="accent6" w:themeShade="BF"/>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E36C0A" w:themeFill="accent6" w:themeFillShade="BF"/>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000000" w:themeColor="text1"/>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hAnsi="Times New Roman"/>
                <w:b w:val="0"/>
                <w:noProof/>
                <w:color w:val="000000"/>
                <w:sz w:val="24"/>
              </w:rPr>
              <w:t xml:space="preserve">Високоефективната инфраструктура в транспортния, енергийния и цифровия сектор е от съществено значение за добре свързан и интегриран ЕС, в който гражданите и предприятията могат да се възползват в пълна степен от </w:t>
            </w:r>
            <w:r>
              <w:rPr>
                <w:rFonts w:ascii="Times New Roman" w:hAnsi="Times New Roman"/>
                <w:b w:val="0"/>
                <w:noProof/>
                <w:color w:val="000000"/>
                <w:sz w:val="24"/>
              </w:rPr>
              <w:t>свободното движение и единния пазар, както и от подходяща социална инфраструктура. Това е причината, поради която наред с другото трансевропейските мрежи в транспортния, енергийния и цифровия сектор дават интегриран отговор на нуждата от стабилни, устойчив</w:t>
            </w:r>
            <w:r>
              <w:rPr>
                <w:rFonts w:ascii="Times New Roman" w:hAnsi="Times New Roman"/>
                <w:b w:val="0"/>
                <w:noProof/>
                <w:color w:val="000000"/>
                <w:sz w:val="24"/>
              </w:rPr>
              <w:t>и, безпроблемни и иновационните инфраструктури.</w:t>
            </w:r>
            <w:r>
              <w:rPr>
                <w:rFonts w:ascii="Times New Roman" w:hAnsi="Times New Roman"/>
                <w:b w:val="0"/>
                <w:noProof/>
                <w:sz w:val="24"/>
              </w:rPr>
              <w:t xml:space="preserve"> Инвестициите в космическа инфраструктура също са стратегически въпрос. Европейската промишленост е силна и запазва водеща позиция в много сектори на световните пазари. ЕС улеснява прехода към интелигентна, ин</w:t>
            </w:r>
            <w:r>
              <w:rPr>
                <w:rFonts w:ascii="Times New Roman" w:hAnsi="Times New Roman"/>
                <w:b w:val="0"/>
                <w:noProof/>
                <w:sz w:val="24"/>
              </w:rPr>
              <w:t>овационна и устойчива промишленост, която създава ползи за всички граждани. Докато БВП на ЕС нараства, общите емисии на парникови газове намаляват, което предполага прекъсване на връзката между емисиите и икономическия растеж. Европейските политики имат за</w:t>
            </w:r>
            <w:r>
              <w:rPr>
                <w:rFonts w:ascii="Times New Roman" w:hAnsi="Times New Roman"/>
                <w:b w:val="0"/>
                <w:noProof/>
                <w:sz w:val="24"/>
              </w:rPr>
              <w:t xml:space="preserve"> цел да позволят на промишления сектор да осъществява стопанската си дейност по отговорен и устойчив начин, да доведат до създаването на работни места, да засилват конкурентоспособността на Европа, да стимулират инвестициите и иновациите в областта на чист</w:t>
            </w:r>
            <w:r>
              <w:rPr>
                <w:rFonts w:ascii="Times New Roman" w:hAnsi="Times New Roman"/>
                <w:b w:val="0"/>
                <w:noProof/>
                <w:sz w:val="24"/>
              </w:rPr>
              <w:t>ите и цифровите технологии и да защитават европейските региони и работници, които са най-силно засегнати от индустриалните промени.</w:t>
            </w:r>
            <w:r>
              <w:rPr>
                <w:rFonts w:ascii="Times New Roman" w:eastAsiaTheme="majorEastAsia" w:hAnsi="Times New Roman"/>
                <w:i/>
                <w:noProof/>
                <w:sz w:val="24"/>
              </w:rPr>
              <w:t xml:space="preserve"> </w:t>
            </w:r>
            <w:r>
              <w:rPr>
                <w:rFonts w:ascii="Times New Roman" w:hAnsi="Times New Roman"/>
                <w:b w:val="0"/>
                <w:noProof/>
                <w:sz w:val="24"/>
              </w:rPr>
              <w:t>Акцентът, който ЕС поставя върху инвестирането в научните изследвания, иновациите и цифровата трансформация, ни помага да се</w:t>
            </w:r>
            <w:r>
              <w:rPr>
                <w:rFonts w:ascii="Times New Roman" w:hAnsi="Times New Roman"/>
                <w:b w:val="0"/>
                <w:noProof/>
                <w:sz w:val="24"/>
              </w:rPr>
              <w:t xml:space="preserve"> конкурираме в световен мащаб чрез създаването на повече работни места и бизнес възможности. ЕС е най-отвореното пространство за научни изследвания и иновации в света, но е необходимо допълнително разширяване на мащаба и разпространението, а иновациите не </w:t>
            </w:r>
            <w:r>
              <w:rPr>
                <w:rFonts w:ascii="Times New Roman" w:hAnsi="Times New Roman"/>
                <w:b w:val="0"/>
                <w:noProof/>
                <w:sz w:val="24"/>
              </w:rPr>
              <w:t>винаги се превръщат в нови пазарни възможности и възможности за растеж. Инвестициите на бизнес сектора в научни изследвания и иновации трябва да се увеличат, тъй като понастоящем те достигат едва 1,3 % от БВП, далеч зад Китай (1,6 %), САЩ (2 %) и Япония (2</w:t>
            </w:r>
            <w:r>
              <w:rPr>
                <w:rFonts w:ascii="Times New Roman" w:hAnsi="Times New Roman"/>
                <w:b w:val="0"/>
                <w:noProof/>
                <w:sz w:val="24"/>
              </w:rPr>
              <w:t>,6 %). Цифровата трансформация е важен фактор за прехода към нисковъглеродна и кръгова икономика и общество. На международно равнище Европейския консенсус за развитие от 2017 г. подкрепя проектирането, изграждането и експлоатацията на висококачествени, уст</w:t>
            </w:r>
            <w:r>
              <w:rPr>
                <w:rFonts w:ascii="Times New Roman" w:hAnsi="Times New Roman"/>
                <w:b w:val="0"/>
                <w:noProof/>
                <w:sz w:val="24"/>
              </w:rPr>
              <w:t>ойчиви и съобразени с климата инфраструктури с цел да се насърчат равнопоставеният достъп на приемливи цени за всички, растежът, търговията и инвестициите. Политиките на ЕС за търговия, разширяване и съседство също допринасят в тази област.</w:t>
            </w:r>
            <w:r>
              <w:rPr>
                <w:rFonts w:ascii="Times New Roman" w:hAnsi="Times New Roman"/>
                <w:noProof/>
                <w:sz w:val="24"/>
              </w:rPr>
              <w:t xml:space="preserve"> </w:t>
            </w:r>
          </w:p>
        </w:tc>
      </w:tr>
      <w:tr w:rsidR="00467251" w:rsidTr="00467251">
        <w:trPr>
          <w:trHeight w:val="992"/>
        </w:trPr>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000000" w:themeColor="text1"/>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Основни тенде</w:t>
            </w:r>
            <w:r>
              <w:rPr>
                <w:rFonts w:ascii="Times New Roman" w:eastAsiaTheme="majorEastAsia" w:hAnsi="Times New Roman"/>
                <w:i/>
                <w:noProof/>
                <w:sz w:val="24"/>
              </w:rPr>
              <w:t xml:space="preserve">нции </w:t>
            </w:r>
          </w:p>
          <w:p w:rsidR="00467251" w:rsidRDefault="00E55EA0">
            <w:pPr>
              <w:pStyle w:val="ListParagraph"/>
              <w:numPr>
                <w:ilvl w:val="0"/>
                <w:numId w:val="8"/>
              </w:numPr>
              <w:ind w:left="142" w:hanging="142"/>
              <w:jc w:val="both"/>
              <w:rPr>
                <w:rFonts w:ascii="Times New Roman" w:eastAsia="Times New Roman" w:hAnsi="Times New Roman" w:cs="Times New Roman"/>
                <w:b w:val="0"/>
                <w:noProof/>
                <w:sz w:val="24"/>
                <w:szCs w:val="24"/>
              </w:rPr>
            </w:pPr>
            <w:r>
              <w:rPr>
                <w:rFonts w:ascii="Times New Roman" w:hAnsi="Times New Roman"/>
                <w:b w:val="0"/>
                <w:noProof/>
                <w:sz w:val="24"/>
              </w:rPr>
              <w:t xml:space="preserve">На </w:t>
            </w:r>
            <w:r>
              <w:rPr>
                <w:rFonts w:ascii="Times New Roman" w:hAnsi="Times New Roman"/>
                <w:noProof/>
                <w:sz w:val="24"/>
              </w:rPr>
              <w:t xml:space="preserve">преработвателната промишленост </w:t>
            </w:r>
            <w:r>
              <w:rPr>
                <w:rFonts w:ascii="Times New Roman" w:hAnsi="Times New Roman"/>
                <w:b w:val="0"/>
                <w:noProof/>
                <w:sz w:val="24"/>
              </w:rPr>
              <w:t>се падат две трети от износа на ЕС, в нея са заети 36 милиона души — една пета от работните места в Европа — и тя допринася за високия стандарт на живот на европейските граждани.</w:t>
            </w:r>
          </w:p>
          <w:p w:rsidR="00467251" w:rsidRDefault="00E55EA0">
            <w:pPr>
              <w:pStyle w:val="ListParagraph"/>
              <w:numPr>
                <w:ilvl w:val="0"/>
                <w:numId w:val="8"/>
              </w:numPr>
              <w:ind w:left="142" w:hanging="142"/>
              <w:jc w:val="both"/>
              <w:rPr>
                <w:rFonts w:ascii="Times New Roman" w:eastAsia="Times New Roman" w:hAnsi="Times New Roman" w:cs="Times New Roman"/>
                <w:b w:val="0"/>
                <w:noProof/>
                <w:sz w:val="24"/>
                <w:szCs w:val="24"/>
              </w:rPr>
            </w:pPr>
            <w:r>
              <w:rPr>
                <w:rFonts w:ascii="Times New Roman" w:hAnsi="Times New Roman"/>
                <w:noProof/>
                <w:sz w:val="24"/>
              </w:rPr>
              <w:t xml:space="preserve">Емисиите на парникови газове </w:t>
            </w:r>
            <w:r>
              <w:rPr>
                <w:rFonts w:ascii="Times New Roman" w:hAnsi="Times New Roman"/>
                <w:b w:val="0"/>
                <w:noProof/>
                <w:sz w:val="24"/>
              </w:rPr>
              <w:t xml:space="preserve">от </w:t>
            </w:r>
            <w:r>
              <w:rPr>
                <w:rFonts w:ascii="Times New Roman" w:hAnsi="Times New Roman"/>
                <w:b w:val="0"/>
                <w:noProof/>
                <w:sz w:val="24"/>
              </w:rPr>
              <w:t>промишлени процеси и използване на продукти намаляха с над 17 % в периода 2000—2015 г. Нещо повече, това подобрение се потвърждава от намаляването на енергопотреблението в промишлеността със 17 % през периода 2000—2016 г.</w:t>
            </w:r>
          </w:p>
          <w:p w:rsidR="00467251" w:rsidRDefault="00E55EA0">
            <w:pPr>
              <w:pStyle w:val="ListParagraph"/>
              <w:numPr>
                <w:ilvl w:val="0"/>
                <w:numId w:val="8"/>
              </w:numPr>
              <w:ind w:left="142" w:hanging="142"/>
              <w:jc w:val="both"/>
              <w:rPr>
                <w:rFonts w:ascii="Times New Roman" w:eastAsia="Times New Roman" w:hAnsi="Times New Roman" w:cs="Times New Roman"/>
                <w:b w:val="0"/>
                <w:noProof/>
                <w:sz w:val="24"/>
                <w:szCs w:val="24"/>
              </w:rPr>
            </w:pPr>
            <w:r>
              <w:rPr>
                <w:rFonts w:ascii="Times New Roman" w:hAnsi="Times New Roman"/>
                <w:noProof/>
                <w:sz w:val="24"/>
              </w:rPr>
              <w:t>Инвестиции в НИРД:</w:t>
            </w:r>
            <w:r>
              <w:rPr>
                <w:rFonts w:ascii="Times New Roman" w:hAnsi="Times New Roman"/>
                <w:b w:val="0"/>
                <w:noProof/>
                <w:sz w:val="24"/>
              </w:rPr>
              <w:t xml:space="preserve"> На Европа се па</w:t>
            </w:r>
            <w:r>
              <w:rPr>
                <w:rFonts w:ascii="Times New Roman" w:hAnsi="Times New Roman"/>
                <w:b w:val="0"/>
                <w:noProof/>
                <w:sz w:val="24"/>
              </w:rPr>
              <w:t>дат 20 % от световните инвестиции в НИРД, една трета от всички висококачествени научни публикации и водеща световна позиция в такива индустриални сектори като фармацевтиката, химическата промишленост, машиностроенето и модата. Двата сектора с най-големи ра</w:t>
            </w:r>
            <w:r>
              <w:rPr>
                <w:rFonts w:ascii="Times New Roman" w:hAnsi="Times New Roman"/>
                <w:b w:val="0"/>
                <w:noProof/>
                <w:sz w:val="24"/>
              </w:rPr>
              <w:t xml:space="preserve">зходи за научноизследователска и развойна дейност са стопанският сектор (65 %) и секторът на висшето образование (23 %), докато делът на държавния сектор през 2016 г. беше 11 %. </w:t>
            </w:r>
          </w:p>
          <w:p w:rsidR="00467251" w:rsidRDefault="00E55EA0">
            <w:pPr>
              <w:pStyle w:val="ListParagraph"/>
              <w:numPr>
                <w:ilvl w:val="0"/>
                <w:numId w:val="8"/>
              </w:numPr>
              <w:ind w:left="142" w:hanging="142"/>
              <w:jc w:val="both"/>
              <w:rPr>
                <w:rFonts w:ascii="Times New Roman" w:eastAsia="Times New Roman" w:hAnsi="Times New Roman" w:cs="Times New Roman"/>
                <w:b w:val="0"/>
                <w:noProof/>
                <w:sz w:val="24"/>
                <w:szCs w:val="24"/>
              </w:rPr>
            </w:pPr>
            <w:r>
              <w:rPr>
                <w:rFonts w:ascii="Times New Roman" w:hAnsi="Times New Roman"/>
                <w:noProof/>
                <w:sz w:val="24"/>
              </w:rPr>
              <w:t xml:space="preserve">Заявленията за патенти </w:t>
            </w:r>
            <w:r>
              <w:rPr>
                <w:rFonts w:ascii="Times New Roman" w:hAnsi="Times New Roman"/>
                <w:b w:val="0"/>
                <w:noProof/>
                <w:sz w:val="24"/>
              </w:rPr>
              <w:t>в ЕС се увеличиха значително преди кризата, но оттогав</w:t>
            </w:r>
            <w:r>
              <w:rPr>
                <w:rFonts w:ascii="Times New Roman" w:hAnsi="Times New Roman"/>
                <w:b w:val="0"/>
                <w:noProof/>
                <w:sz w:val="24"/>
              </w:rPr>
              <w:t>а нивото им остава непроменено.</w:t>
            </w:r>
          </w:p>
          <w:p w:rsidR="00467251" w:rsidRDefault="00E55EA0">
            <w:pPr>
              <w:pStyle w:val="ListParagraph"/>
              <w:numPr>
                <w:ilvl w:val="0"/>
                <w:numId w:val="8"/>
              </w:numPr>
              <w:ind w:left="142" w:hanging="142"/>
              <w:jc w:val="both"/>
              <w:rPr>
                <w:rFonts w:ascii="Times New Roman" w:eastAsiaTheme="majorEastAsia" w:hAnsi="Times New Roman" w:cs="Times New Roman"/>
                <w:iCs/>
                <w:noProof/>
                <w:sz w:val="24"/>
                <w:szCs w:val="24"/>
              </w:rPr>
            </w:pPr>
            <w:r>
              <w:rPr>
                <w:rFonts w:ascii="Times New Roman" w:hAnsi="Times New Roman"/>
                <w:noProof/>
                <w:sz w:val="24"/>
              </w:rPr>
              <w:t>Корпоративна социална отговорност:</w:t>
            </w:r>
            <w:r>
              <w:rPr>
                <w:rFonts w:ascii="Times New Roman" w:hAnsi="Times New Roman"/>
                <w:b w:val="0"/>
                <w:noProof/>
                <w:sz w:val="24"/>
              </w:rPr>
              <w:t xml:space="preserve"> 77 % от дружествата в ЕС включват корпоративната социална отговорност в докладите си, а много от тях имат водеща роля в интегрирането на дейности във връзка с корпоративната социална отгово</w:t>
            </w:r>
            <w:r>
              <w:rPr>
                <w:rFonts w:ascii="Times New Roman" w:hAnsi="Times New Roman"/>
                <w:b w:val="0"/>
                <w:noProof/>
                <w:sz w:val="24"/>
              </w:rPr>
              <w:t>рност / отговорното бизнес поведение в съответствие с целите за устойчиво развитие.</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bottom w:val="single" w:sz="4" w:space="0" w:color="000000" w:themeColor="text1"/>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bCs w:val="0"/>
                <w:i/>
                <w:iCs/>
                <w:noProof/>
                <w:sz w:val="24"/>
                <w:szCs w:val="24"/>
              </w:rPr>
            </w:pPr>
            <w:r>
              <w:rPr>
                <w:rFonts w:ascii="Times New Roman" w:eastAsiaTheme="majorEastAsia" w:hAnsi="Times New Roman"/>
                <w:b w:val="0"/>
                <w:noProof/>
                <w:sz w:val="24"/>
              </w:rPr>
              <w:t>Според общия доклад „Индекс и показатели за ЦУР, 2018 г.“ (Bertelsmann Stiftung и Sustainable Development Solutions Network) 10 държави — членки на ЕС, п</w:t>
            </w:r>
            <w:r>
              <w:rPr>
                <w:rFonts w:ascii="Times New Roman" w:eastAsiaTheme="majorEastAsia" w:hAnsi="Times New Roman"/>
                <w:b w:val="0"/>
                <w:noProof/>
                <w:sz w:val="24"/>
              </w:rPr>
              <w:t xml:space="preserve">остигат над 73 от общо 100 точки за ЦУР 9, като съществуват значителни разлики между отделните държави членки. Десет държави — членки на ЕС, са сред първите 20 в света.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E36C0A" w:themeFill="accent6" w:themeFillShade="BF"/>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pStyle w:val="Default"/>
              <w:jc w:val="both"/>
              <w:rPr>
                <w:b w:val="0"/>
                <w:noProof/>
              </w:rPr>
            </w:pPr>
            <w:r>
              <w:rPr>
                <w:b w:val="0"/>
                <w:noProof/>
              </w:rPr>
              <w:t>Европа</w:t>
            </w:r>
            <w:r>
              <w:rPr>
                <w:b w:val="0"/>
                <w:noProof/>
              </w:rPr>
              <w:t xml:space="preserve"> е пример за постигането на по-устойчива и приобщаваща промишленост. Икономическите, социалните и екологичните промени и технологическите пробиви ще се ускорят области като роботиката, интернет на предметите, изкуствения интелект, енергийните системи. С по</w:t>
            </w:r>
            <w:r>
              <w:rPr>
                <w:b w:val="0"/>
                <w:noProof/>
              </w:rPr>
              <w:t>мощта на информационните технологии автоматизацията ще преобрази традиционните производствени процеси и естеството на трудовата дейност. Промишлеността е все по-интегрирана в световните вериги за създаване на стойност със силнозастъпени компоненти, свързан</w:t>
            </w:r>
            <w:r>
              <w:rPr>
                <w:b w:val="0"/>
                <w:noProof/>
              </w:rPr>
              <w:t>и с услуги. Нововъзникващи стопански модели ще нарушават традиционните пазари. Самите иновации и създаването на стойност търпят дълбоки промени, които се дължат на ново поколение потребители, които имат очаквания за съвместно създаване на стойност, устойчи</w:t>
            </w:r>
            <w:r>
              <w:rPr>
                <w:b w:val="0"/>
                <w:noProof/>
              </w:rPr>
              <w:t>во бизнес поведение, свързаност и резултати в реално време. Данните се превръщат в новия конкурентен фактор. Търсенето на суровини ще продължи да нараства. Предвид факта, че природните ресурси са ограничени и изменението на климата се усеща все по-осезаемо</w:t>
            </w:r>
            <w:r>
              <w:rPr>
                <w:b w:val="0"/>
                <w:noProof/>
              </w:rPr>
              <w:t>, търсенето на устойчиви продукти, кръгово потребление и нулеви или ниски емисии ще нараства експоненциално и ще бъдат необходими еко-иновации. Европа ще увеличи своите инвестиции в научните изследвания и иновациите, както и в устойчивата инфраструктура, н</w:t>
            </w:r>
            <w:r>
              <w:rPr>
                <w:b w:val="0"/>
                <w:noProof/>
              </w:rPr>
              <w:t>аред с другото, чрез програма „Хоризонт Европа“ — следващата рамкова програма на ЕС за научни изследвания и иновации.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Обществена ангажираност и участие в политическия живот, изкуствен интелект, интернет на </w:t>
            </w:r>
            <w:r>
              <w:rPr>
                <w:rFonts w:ascii="Times New Roman" w:eastAsiaTheme="majorEastAsia" w:hAnsi="Times New Roman"/>
                <w:b w:val="0"/>
                <w:noProof/>
                <w:sz w:val="24"/>
              </w:rPr>
              <w:t>предметите, пълна цифровизация, икономика на сътрудничеството и кръгова въглеродно неутрална икономика, акцент върху устойчиви общества, корпоративна социална отговорност / отговорно бизнес поведение, отговорно и устойчиво минно дело и снабдяване, устойчив</w:t>
            </w:r>
            <w:r>
              <w:rPr>
                <w:rFonts w:ascii="Times New Roman" w:eastAsiaTheme="majorEastAsia" w:hAnsi="Times New Roman"/>
                <w:b w:val="0"/>
                <w:noProof/>
                <w:sz w:val="24"/>
              </w:rPr>
              <w:t>о финансиране, публично-частни партньорства, колективно финансиране и образование, многостранно сътрудничество, отворена и справедлива търговия.</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Ниски публични и стопански инвестиции, така също в областта на научните из</w:t>
            </w:r>
            <w:r>
              <w:rPr>
                <w:rFonts w:ascii="Times New Roman" w:eastAsiaTheme="majorEastAsia" w:hAnsi="Times New Roman"/>
                <w:b w:val="0"/>
                <w:noProof/>
                <w:sz w:val="24"/>
              </w:rPr>
              <w:t xml:space="preserve">следвания и иновациите, променящи се вериги за създаване на стойност, несъответствие между търсенето и предлагането на умения, промени в търсенето в световен мащаб, геополитическа нестабилност и заплахи за сигурността, социални неравенства, застаряване на </w:t>
            </w:r>
            <w:r>
              <w:rPr>
                <w:rFonts w:ascii="Times New Roman" w:eastAsiaTheme="majorEastAsia" w:hAnsi="Times New Roman"/>
                <w:b w:val="0"/>
                <w:noProof/>
                <w:sz w:val="24"/>
              </w:rPr>
              <w:t>нашите общества, изменение на климата и екологични рискове, свързани с нарастващото търсене на природни ресурси, разделение между градските и селските райони.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E36C0A" w:themeFill="accent6" w:themeFillShade="BF"/>
          </w:tcPr>
          <w:p w:rsidR="00467251" w:rsidRDefault="00E55EA0">
            <w:pPr>
              <w:jc w:val="center"/>
              <w:rPr>
                <w:rFonts w:ascii="Times New Roman" w:hAnsi="Times New Roman" w:cs="Times New Roman"/>
                <w:noProof/>
                <w:sz w:val="24"/>
                <w:szCs w:val="24"/>
              </w:rPr>
            </w:pPr>
            <w:r>
              <w:rPr>
                <w:rFonts w:ascii="Times New Roman" w:hAnsi="Times New Roman"/>
                <w:noProof/>
                <w:sz w:val="24"/>
              </w:rPr>
              <w:t>Акценти на политиката</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pStyle w:val="NormalWeb"/>
              <w:jc w:val="both"/>
              <w:rPr>
                <w:rFonts w:eastAsiaTheme="minorHAnsi"/>
                <w:b w:val="0"/>
                <w:noProof/>
              </w:rPr>
            </w:pPr>
            <w:r>
              <w:rPr>
                <w:i/>
                <w:noProof/>
              </w:rPr>
              <w:t>ЕС на международно равнище</w:t>
            </w:r>
            <w:r>
              <w:rPr>
                <w:rFonts w:eastAsiaTheme="minorHAnsi"/>
                <w:i/>
                <w:noProof/>
              </w:rPr>
              <w:t>:</w:t>
            </w:r>
            <w:r>
              <w:rPr>
                <w:rFonts w:eastAsiaTheme="minorHAnsi"/>
                <w:b w:val="0"/>
                <w:noProof/>
              </w:rPr>
              <w:t xml:space="preserve"> благодарение на своята по-голяма точност и надеждност европейските програми за спътникова навигация „Галилео“ и EGNOS предлагат подобрена информация за местоположение и време със значителни положителни последици за много услуги и продукти, които хората из</w:t>
            </w:r>
            <w:r>
              <w:rPr>
                <w:rFonts w:eastAsiaTheme="minorHAnsi"/>
                <w:b w:val="0"/>
                <w:noProof/>
              </w:rPr>
              <w:t>ползват ежедневно, от навигационното устройство в автомобила до мобилния телефон, както и за жизненоважни услуги за спешна реакция. Групата за наблюдение на Земята насърчава използването на екологичните наблюдения в подкрепа на целите за устойчиво развитие</w:t>
            </w:r>
            <w:r>
              <w:rPr>
                <w:rFonts w:eastAsiaTheme="minorHAnsi"/>
                <w:b w:val="0"/>
                <w:noProof/>
              </w:rPr>
              <w:t xml:space="preserve"> и Парижкото споразумение за действия в областта на климата.</w:t>
            </w:r>
          </w:p>
          <w:p w:rsidR="00467251" w:rsidRDefault="00E55EA0">
            <w:pPr>
              <w:pStyle w:val="NormalWeb"/>
              <w:jc w:val="both"/>
              <w:rPr>
                <w:rFonts w:eastAsiaTheme="minorHAnsi"/>
                <w:b w:val="0"/>
                <w:noProof/>
              </w:rPr>
            </w:pPr>
            <w:r>
              <w:rPr>
                <w:i/>
                <w:noProof/>
              </w:rPr>
              <w:t>На равнище ЕС:</w:t>
            </w:r>
            <w:r>
              <w:rPr>
                <w:noProof/>
              </w:rPr>
              <w:t xml:space="preserve"> </w:t>
            </w:r>
            <w:r>
              <w:rPr>
                <w:b w:val="0"/>
                <w:noProof/>
              </w:rPr>
              <w:t>т</w:t>
            </w:r>
            <w:r>
              <w:rPr>
                <w:rFonts w:eastAsiaTheme="minorHAnsi"/>
                <w:b w:val="0"/>
                <w:noProof/>
              </w:rPr>
              <w:t>рансевропейските мрежи отговарят на нуждата от устойчиви, безпроблемни и иновативни инфраструктури в транспортния, енергийния и цифровия сектор. Те са насочени към осигуряването н</w:t>
            </w:r>
            <w:r>
              <w:rPr>
                <w:rFonts w:eastAsiaTheme="minorHAnsi"/>
                <w:b w:val="0"/>
                <w:noProof/>
              </w:rPr>
              <w:t>а свързаност за всички региони на ЕС и по този начин допринасят за „приобщаването“ на гражданите във всички части на Европа. Инфраструктурата е изградена и адаптирана, така че да се гарантира нейната издръжливост спрямо рисковете, свързани с изменението на</w:t>
            </w:r>
            <w:r>
              <w:rPr>
                <w:rFonts w:eastAsiaTheme="minorHAnsi"/>
                <w:b w:val="0"/>
                <w:noProof/>
              </w:rPr>
              <w:t xml:space="preserve"> климата, като същевременно се насърчава приобщаването и се стимулират иновациите и създаването на работни места. </w:t>
            </w: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равнище държави членки:</w:t>
            </w:r>
            <w:r>
              <w:rPr>
                <w:rFonts w:ascii="Times New Roman" w:hAnsi="Times New Roman"/>
                <w:noProof/>
                <w:sz w:val="24"/>
              </w:rPr>
              <w:t xml:space="preserve"> </w:t>
            </w:r>
            <w:r>
              <w:rPr>
                <w:rFonts w:ascii="Times New Roman" w:hAnsi="Times New Roman"/>
                <w:b w:val="0"/>
                <w:noProof/>
                <w:sz w:val="24"/>
              </w:rPr>
              <w:t>Швеция е на първо място в областта на иновациите в ЕС с висока степен на публични и частни инвестиции в научноизсл</w:t>
            </w:r>
            <w:r>
              <w:rPr>
                <w:rFonts w:ascii="Times New Roman" w:hAnsi="Times New Roman"/>
                <w:b w:val="0"/>
                <w:noProof/>
                <w:sz w:val="24"/>
              </w:rPr>
              <w:t>едователската и развойната дейност, с голям брой заявления за патенти, иновативни МСП и висок дял на заетостта в дейности с интензивно използване на знания. Освен това инвестициите в производството нараснаха по-бързо от средното за ЕС и енергийната ефектив</w:t>
            </w:r>
            <w:r>
              <w:rPr>
                <w:rFonts w:ascii="Times New Roman" w:hAnsi="Times New Roman"/>
                <w:b w:val="0"/>
                <w:noProof/>
                <w:sz w:val="24"/>
              </w:rPr>
              <w:t>ност на промишленото производство е много висока.</w:t>
            </w:r>
          </w:p>
          <w:p w:rsidR="00467251" w:rsidRDefault="00467251">
            <w:pPr>
              <w:jc w:val="both"/>
              <w:rPr>
                <w:rFonts w:ascii="Times New Roman" w:eastAsia="Times New Roman" w:hAnsi="Times New Roman" w:cs="Times New Roman"/>
                <w:noProof/>
                <w:sz w:val="24"/>
                <w:szCs w:val="24"/>
              </w:rPr>
            </w:pP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регионално/местно равнище:</w:t>
            </w:r>
            <w:r>
              <w:rPr>
                <w:rFonts w:ascii="Times New Roman" w:hAnsi="Times New Roman"/>
                <w:noProof/>
                <w:sz w:val="24"/>
              </w:rPr>
              <w:t xml:space="preserve"> </w:t>
            </w:r>
            <w:r>
              <w:rPr>
                <w:rFonts w:ascii="Times New Roman" w:hAnsi="Times New Roman"/>
                <w:b w:val="0"/>
                <w:noProof/>
                <w:sz w:val="24"/>
              </w:rPr>
              <w:t>т</w:t>
            </w:r>
            <w:hyperlink r:id="rId94">
              <w:r>
                <w:rPr>
                  <w:rFonts w:ascii="Times New Roman" w:hAnsi="Times New Roman"/>
                  <w:b w:val="0"/>
                  <w:noProof/>
                  <w:sz w:val="24"/>
                </w:rPr>
                <w:t>ематичната платформа за интелигентна специализация за модернизиране на промишлеността</w:t>
              </w:r>
            </w:hyperlink>
            <w:r>
              <w:rPr>
                <w:noProof/>
              </w:rPr>
              <w:t xml:space="preserve"> </w:t>
            </w:r>
            <w:r>
              <w:rPr>
                <w:rFonts w:ascii="Times New Roman" w:hAnsi="Times New Roman"/>
                <w:b w:val="0"/>
                <w:noProof/>
                <w:sz w:val="24"/>
              </w:rPr>
              <w:t xml:space="preserve">предлага </w:t>
            </w:r>
            <w:r>
              <w:rPr>
                <w:rFonts w:ascii="Times New Roman" w:hAnsi="Times New Roman"/>
                <w:b w:val="0"/>
                <w:noProof/>
                <w:sz w:val="24"/>
              </w:rPr>
              <w:t>възможности за регионалните управляващи органи със сходни приоритети в областта на интелигентната специализация да си сътрудничат въз основа на своите компетентности, да споделят инфраструктура, да разгръщат дейностите си по-мащабно с цел постигане на по-г</w:t>
            </w:r>
            <w:r>
              <w:rPr>
                <w:rFonts w:ascii="Times New Roman" w:hAnsi="Times New Roman"/>
                <w:b w:val="0"/>
                <w:noProof/>
                <w:sz w:val="24"/>
              </w:rPr>
              <w:t>олямо въздействие и да разработват общи инвестиционни проекти.</w:t>
            </w:r>
          </w:p>
          <w:p w:rsidR="00467251" w:rsidRDefault="00E55EA0">
            <w:pPr>
              <w:pStyle w:val="NormalWeb"/>
              <w:jc w:val="both"/>
              <w:rPr>
                <w:b w:val="0"/>
                <w:noProof/>
              </w:rPr>
            </w:pPr>
            <w:r>
              <w:rPr>
                <w:noProof/>
              </w:rPr>
              <w:br/>
            </w:r>
            <w:r>
              <w:rPr>
                <w:i/>
                <w:noProof/>
              </w:rPr>
              <w:t>На равнище предприятия:</w:t>
            </w:r>
            <w:r>
              <w:rPr>
                <w:noProof/>
              </w:rPr>
              <w:t xml:space="preserve"> </w:t>
            </w:r>
            <w:r>
              <w:rPr>
                <w:b w:val="0"/>
                <w:noProof/>
              </w:rPr>
              <w:t xml:space="preserve">Европейският фонд за стратегически инвестиции помогна на естонско дружество за производството на устройство за съхраняване на енергия, наречено ултракондензатор, който </w:t>
            </w:r>
            <w:r>
              <w:rPr>
                <w:b w:val="0"/>
                <w:noProof/>
              </w:rPr>
              <w:t>е 100 пъти по-мощен от обикновен акумулатор и може да издържи един милион презареждания. Дружеството набра 15 милиона евро за изграждането на производствено съоръжение в Германия, което може да произвежда милиони такива устройства на година.</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384"/>
        <w:gridCol w:w="7904"/>
      </w:tblGrid>
      <w:tr w:rsidR="00467251">
        <w:tc>
          <w:tcPr>
            <w:tcW w:w="1384"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653977" cy="656964"/>
                  <wp:effectExtent l="0" t="0" r="0" b="0"/>
                  <wp:docPr id="28676" name="Picture 2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55156" cy="658148"/>
                          </a:xfrm>
                          <a:prstGeom prst="rect">
                            <a:avLst/>
                          </a:prstGeom>
                          <a:noFill/>
                          <a:ln>
                            <a:noFill/>
                          </a:ln>
                        </pic:spPr>
                      </pic:pic>
                    </a:graphicData>
                  </a:graphic>
                </wp:inline>
              </w:drawing>
            </w:r>
          </w:p>
        </w:tc>
        <w:tc>
          <w:tcPr>
            <w:tcW w:w="7904" w:type="dxa"/>
            <w:vAlign w:val="center"/>
          </w:tcPr>
          <w:p w:rsidR="00467251" w:rsidRDefault="00E55EA0">
            <w:pPr>
              <w:rPr>
                <w:rFonts w:ascii="Times New Roman" w:hAnsi="Times New Roman" w:cs="Times New Roman"/>
                <w:b/>
                <w:noProof/>
                <w:color w:val="FF0066"/>
                <w:sz w:val="24"/>
                <w:szCs w:val="24"/>
              </w:rPr>
            </w:pPr>
            <w:r>
              <w:rPr>
                <w:rFonts w:ascii="Times New Roman" w:hAnsi="Times New Roman"/>
                <w:b/>
                <w:noProof/>
                <w:color w:val="FF0066"/>
                <w:sz w:val="24"/>
              </w:rPr>
              <w:t>Намаляване</w:t>
            </w:r>
            <w:r>
              <w:rPr>
                <w:rFonts w:ascii="Times New Roman" w:hAnsi="Times New Roman"/>
                <w:b/>
                <w:noProof/>
                <w:color w:val="FF0066"/>
                <w:sz w:val="24"/>
              </w:rPr>
              <w:t xml:space="preserve"> на различията в държавите и между тях</w:t>
            </w: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D60093"/>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spacing w:after="120"/>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Неравенството, както и бедността, е понятие с много измерения. То обхваща както неравенствата по отношение на резултатите, така и по отношение на възможностите, като например </w:t>
            </w:r>
            <w:r>
              <w:rPr>
                <w:rFonts w:ascii="Times New Roman" w:eastAsiaTheme="majorEastAsia" w:hAnsi="Times New Roman"/>
                <w:b w:val="0"/>
                <w:noProof/>
                <w:sz w:val="24"/>
              </w:rPr>
              <w:t xml:space="preserve">неравенството на доходите, неравния достъп до социална закрила и предаването на неравенствата от едно поколение на следващото. Неравенството по отношение на възможностите е важен двигател на неравенството в доходите. В рамките на ЕС е налице сближаване на </w:t>
            </w:r>
            <w:r>
              <w:rPr>
                <w:rFonts w:ascii="Times New Roman" w:eastAsiaTheme="majorEastAsia" w:hAnsi="Times New Roman"/>
                <w:b w:val="0"/>
                <w:noProof/>
                <w:sz w:val="24"/>
              </w:rPr>
              <w:t>доходите, а стандартът на живот в повечето държави членки е в процес на възстановяване от кризата насам. Въпреки това, заедно с възстановяването на европейските икономики нараснаха опасенията относно приобщаващия характер на икономическия растеж. Като цяло</w:t>
            </w:r>
            <w:r>
              <w:rPr>
                <w:rFonts w:ascii="Times New Roman" w:eastAsiaTheme="majorEastAsia" w:hAnsi="Times New Roman"/>
                <w:b w:val="0"/>
                <w:noProof/>
                <w:sz w:val="24"/>
              </w:rPr>
              <w:t xml:space="preserve"> през последните години неравенството по отношение на доходите в ЕС се стабилизира, въпреки че равнището му продължава да представлява предизвикателство. Маргинализираните и уязвимите групи, като хората с увреждания, имигрантите и етническите малцинства (в</w:t>
            </w:r>
            <w:r>
              <w:rPr>
                <w:rFonts w:ascii="Times New Roman" w:eastAsiaTheme="majorEastAsia" w:hAnsi="Times New Roman"/>
                <w:b w:val="0"/>
                <w:noProof/>
                <w:sz w:val="24"/>
              </w:rPr>
              <w:t>ключително ромите), бездомните или самотните стари хора и децата страдат от особени форми на неравенство. Тяхното социално-икономическо приобщаване продължава да бъде недостатъчно. Неравенството може да възпрепятства икономическия растеж и макроикономическ</w:t>
            </w:r>
            <w:r>
              <w:rPr>
                <w:rFonts w:ascii="Times New Roman" w:eastAsiaTheme="majorEastAsia" w:hAnsi="Times New Roman"/>
                <w:b w:val="0"/>
                <w:noProof/>
                <w:sz w:val="24"/>
              </w:rPr>
              <w:t>ата стабилност и да подкопае социалното сближаване. В световен мащаб трайно високите равнища на неравенство в страните партньори на ЕС са заплаха за напредъка към постигането на повечето от ЦУР. Неравенството в световен мащаб може да доведе също така до по</w:t>
            </w:r>
            <w:r>
              <w:rPr>
                <w:rFonts w:ascii="Times New Roman" w:eastAsiaTheme="majorEastAsia" w:hAnsi="Times New Roman"/>
                <w:b w:val="0"/>
                <w:noProof/>
                <w:sz w:val="24"/>
              </w:rPr>
              <w:t>-високи равнища на миграция към ЕС. В отговор на неотдавнашните предизвикателства в областта на миграцията Комисията положи усилия да осигури незабавна реакция и да изгради устойчива на кризи система за в бъдеще. Устойчивото управление на миграционните пот</w:t>
            </w:r>
            <w:r>
              <w:rPr>
                <w:rFonts w:ascii="Times New Roman" w:eastAsiaTheme="majorEastAsia" w:hAnsi="Times New Roman"/>
                <w:b w:val="0"/>
                <w:noProof/>
                <w:sz w:val="24"/>
              </w:rPr>
              <w:t>оци е от съществено значение. Външната дейност на ЕС, включително неговата обща външна политика и политика на сигурност, политиките за развитие, разширяване и съседство, както и търговската и инвестиционната политика на ЕС допринасят за преодоляване на при</w:t>
            </w:r>
            <w:r>
              <w:rPr>
                <w:rFonts w:ascii="Times New Roman" w:eastAsiaTheme="majorEastAsia" w:hAnsi="Times New Roman"/>
                <w:b w:val="0"/>
                <w:noProof/>
                <w:sz w:val="24"/>
              </w:rPr>
              <w:t>чините за неравенството извън Европа.</w:t>
            </w:r>
            <w:r>
              <w:rPr>
                <w:rFonts w:ascii="Times New Roman" w:hAnsi="Times New Roman"/>
                <w:b w:val="0"/>
                <w:noProof/>
                <w:sz w:val="24"/>
              </w:rPr>
              <w:t xml:space="preserve"> Така например Европейският консенсус за развитие отстоява принципа никой да не бъде изоставен и се ангажира с поемането на действия за намаляване на неравенствата по отношение на резултатите и насърчава равните възможн</w:t>
            </w:r>
            <w:r>
              <w:rPr>
                <w:rFonts w:ascii="Times New Roman" w:hAnsi="Times New Roman"/>
                <w:b w:val="0"/>
                <w:noProof/>
                <w:sz w:val="24"/>
              </w:rPr>
              <w:t xml:space="preserve">ости за всички.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9"/>
              </w:numPr>
              <w:spacing w:after="120"/>
              <w:jc w:val="both"/>
              <w:rPr>
                <w:rFonts w:ascii="Times New Roman" w:eastAsiaTheme="majorEastAsia" w:hAnsi="Times New Roman" w:cs="Times New Roman"/>
                <w:iCs/>
                <w:noProof/>
                <w:sz w:val="24"/>
                <w:szCs w:val="24"/>
              </w:rPr>
            </w:pPr>
            <w:r>
              <w:rPr>
                <w:rFonts w:ascii="Times New Roman" w:eastAsiaTheme="majorEastAsia" w:hAnsi="Times New Roman"/>
                <w:noProof/>
                <w:sz w:val="24"/>
              </w:rPr>
              <w:t>Разполагаем доход:</w:t>
            </w:r>
            <w:r>
              <w:rPr>
                <w:rFonts w:ascii="Times New Roman" w:eastAsiaTheme="majorEastAsia" w:hAnsi="Times New Roman"/>
                <w:b w:val="0"/>
                <w:noProof/>
                <w:sz w:val="24"/>
              </w:rPr>
              <w:t xml:space="preserve"> С течение на времето икономическите различия между държавите в ЕС бяха намалени. Реалният коригиран брутен разполагаем доход на домакинствата на глава от населението се увеличи в голямото мнозинство от държавите членки. През 2017 г. той беше средно с 4,4 </w:t>
            </w:r>
            <w:r>
              <w:rPr>
                <w:rFonts w:ascii="Times New Roman" w:eastAsiaTheme="majorEastAsia" w:hAnsi="Times New Roman"/>
                <w:b w:val="0"/>
                <w:noProof/>
                <w:sz w:val="24"/>
              </w:rPr>
              <w:t>% по-висок от равнището отпреди кризата през 2008 г. Наблюдава се известно сближаване на доходите между държавите — членки на ЕС, тъй като разполагаемият доход в държавите членки с по-ниски равнища на доходите, като Румъния, България и Полша, се увеличаваш</w:t>
            </w:r>
            <w:r>
              <w:rPr>
                <w:rFonts w:ascii="Times New Roman" w:eastAsiaTheme="majorEastAsia" w:hAnsi="Times New Roman"/>
                <w:b w:val="0"/>
                <w:noProof/>
                <w:sz w:val="24"/>
              </w:rPr>
              <w:t xml:space="preserve">е по-бързо от средното за ЕС. </w:t>
            </w:r>
          </w:p>
          <w:p w:rsidR="00467251" w:rsidRDefault="00E55EA0">
            <w:pPr>
              <w:pStyle w:val="ListParagraph"/>
              <w:numPr>
                <w:ilvl w:val="0"/>
                <w:numId w:val="9"/>
              </w:numPr>
              <w:spacing w:after="120"/>
              <w:jc w:val="both"/>
              <w:rPr>
                <w:rFonts w:ascii="Times New Roman" w:hAnsi="Times New Roman" w:cs="Times New Roman"/>
                <w:b w:val="0"/>
                <w:noProof/>
                <w:sz w:val="24"/>
                <w:szCs w:val="24"/>
              </w:rPr>
            </w:pPr>
            <w:r>
              <w:rPr>
                <w:rFonts w:ascii="Times New Roman" w:hAnsi="Times New Roman"/>
                <w:noProof/>
                <w:sz w:val="24"/>
              </w:rPr>
              <w:t>Неравенство в доходите:</w:t>
            </w:r>
            <w:r>
              <w:rPr>
                <w:rFonts w:ascii="Times New Roman" w:hAnsi="Times New Roman"/>
                <w:b w:val="0"/>
                <w:noProof/>
                <w:sz w:val="24"/>
              </w:rPr>
              <w:t xml:space="preserve"> През 2017 г. средно за ЕС в различните държави членки най-богатите 20 % от домакинствата получаваха дял от доходите, който беше 5,1 пъти по-висок от този на най-бедните 20 %, което е над нивата отпреди</w:t>
            </w:r>
            <w:r>
              <w:rPr>
                <w:rFonts w:ascii="Times New Roman" w:hAnsi="Times New Roman"/>
                <w:b w:val="0"/>
                <w:noProof/>
                <w:sz w:val="24"/>
              </w:rPr>
              <w:t xml:space="preserve"> кризата (4,9 % през 2009 г.). Това съотношение обаче намаля в сравнение с 2016 г. (5,2 %), което сочи за известно подобряване на перспективите за намаляване на неравенството в доходите в държавите — членки на ЕС. Ако се разглежда делът на доходите на най-</w:t>
            </w:r>
            <w:r>
              <w:rPr>
                <w:rFonts w:ascii="Times New Roman" w:hAnsi="Times New Roman"/>
                <w:b w:val="0"/>
                <w:noProof/>
                <w:sz w:val="24"/>
              </w:rPr>
              <w:t>бедните 40 % от населението, се наблюдава тенденция на стабилизиране при неравенството в доходите в държавите — членки на ЕС. През 2008 г. и 2012 г. той беше 21,2 %, леко спадна до 20,9 % през 2016 г. и отново се повиши до 21,2 % през 2017 г.</w:t>
            </w:r>
          </w:p>
          <w:p w:rsidR="00467251" w:rsidRDefault="00E55EA0">
            <w:pPr>
              <w:pStyle w:val="ListParagraph"/>
              <w:numPr>
                <w:ilvl w:val="0"/>
                <w:numId w:val="9"/>
              </w:numPr>
              <w:jc w:val="both"/>
              <w:rPr>
                <w:rFonts w:ascii="Times New Roman" w:hAnsi="Times New Roman" w:cs="Times New Roman"/>
                <w:b w:val="0"/>
                <w:noProof/>
                <w:sz w:val="24"/>
                <w:szCs w:val="24"/>
              </w:rPr>
            </w:pPr>
            <w:r>
              <w:rPr>
                <w:rFonts w:ascii="Times New Roman" w:hAnsi="Times New Roman"/>
                <w:noProof/>
                <w:sz w:val="24"/>
              </w:rPr>
              <w:t>Неравенство п</w:t>
            </w:r>
            <w:r>
              <w:rPr>
                <w:rFonts w:ascii="Times New Roman" w:hAnsi="Times New Roman"/>
                <w:noProof/>
                <w:sz w:val="24"/>
              </w:rPr>
              <w:t>о отношение на възможностите:</w:t>
            </w:r>
            <w:r>
              <w:rPr>
                <w:rFonts w:ascii="Times New Roman" w:hAnsi="Times New Roman"/>
                <w:b w:val="0"/>
                <w:noProof/>
                <w:sz w:val="24"/>
              </w:rPr>
              <w:t xml:space="preserve"> Важна характеристика на неравенството по отношение на възможностите е въздействието на социално-икономическото положение на родителите върху нивото на образование на децата им. Според проведените през 2015 г. тестове по Програ</w:t>
            </w:r>
            <w:r>
              <w:rPr>
                <w:rFonts w:ascii="Times New Roman" w:hAnsi="Times New Roman"/>
                <w:b w:val="0"/>
                <w:noProof/>
                <w:sz w:val="24"/>
              </w:rPr>
              <w:t>мата за международно оценяване на учениците (PISA) 33,8 % от учениците от семейства в най-неравностойно социално-икономическо положение имаха слаби резултати по науки в сравнение с едва 7,6 % от техните връстници от по-привилегировани семейства. Различията</w:t>
            </w:r>
            <w:r>
              <w:rPr>
                <w:rFonts w:ascii="Times New Roman" w:hAnsi="Times New Roman"/>
                <w:b w:val="0"/>
                <w:noProof/>
                <w:sz w:val="24"/>
              </w:rPr>
              <w:t xml:space="preserve"> между държавите членки бяха значителни. </w:t>
            </w:r>
          </w:p>
          <w:p w:rsidR="00467251" w:rsidRDefault="00E55EA0">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 xml:space="preserve">Помощ за развитие: </w:t>
            </w:r>
            <w:r>
              <w:rPr>
                <w:rFonts w:ascii="Times New Roman" w:hAnsi="Times New Roman"/>
                <w:b w:val="0"/>
                <w:noProof/>
                <w:sz w:val="24"/>
              </w:rPr>
              <w:t>ЕС продължава да бъде най-големият донор в света, като предоставя над 50 % от цялата помощ за развитие в глобален план и допринася по този начин и за намаляване на неравенството в света. Общото ф</w:t>
            </w:r>
            <w:r>
              <w:rPr>
                <w:rFonts w:ascii="Times New Roman" w:hAnsi="Times New Roman"/>
                <w:b w:val="0"/>
                <w:noProof/>
                <w:sz w:val="24"/>
              </w:rPr>
              <w:t xml:space="preserve">инансиране от ЕС за развиващите се страни, включващо финансирането от публичния и частния сектор, се увеличи повече от два пъти от 2001 г. насам, със среден годишен растеж от 6,4 %. </w:t>
            </w:r>
          </w:p>
        </w:tc>
      </w:tr>
      <w:tr w:rsidR="00467251" w:rsidTr="0046725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autoSpaceDE w:val="0"/>
              <w:autoSpaceDN w:val="0"/>
              <w:adjustRightInd w:val="0"/>
              <w:jc w:val="both"/>
              <w:rPr>
                <w:rFonts w:ascii="Times New Roman" w:hAnsi="Times New Roman" w:cs="Times New Roman"/>
                <w:i/>
                <w:iCs/>
                <w:noProof/>
                <w:sz w:val="24"/>
                <w:szCs w:val="24"/>
              </w:rPr>
            </w:pPr>
            <w:r>
              <w:rPr>
                <w:rFonts w:ascii="Times New Roman" w:eastAsiaTheme="majorEastAsia" w:hAnsi="Times New Roman"/>
                <w:b w:val="0"/>
                <w:noProof/>
                <w:sz w:val="24"/>
              </w:rPr>
              <w:t xml:space="preserve">Според общия доклад „Индекс и показатели за ЦУР, </w:t>
            </w:r>
            <w:r>
              <w:rPr>
                <w:rFonts w:ascii="Times New Roman" w:eastAsiaTheme="majorEastAsia" w:hAnsi="Times New Roman"/>
                <w:b w:val="0"/>
                <w:noProof/>
                <w:sz w:val="24"/>
              </w:rPr>
              <w:t>2018 г.“ (Bertelsmann Stiftung и Sustainable Development Solutions Network) 13 държави — членки на ЕС, постигат над 80 от общо 100 точки за ЦУР 10. Единадесет държави — членки на ЕС, са сред първите 20 в света.</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D60093"/>
          </w:tcPr>
          <w:p w:rsidR="00467251" w:rsidRDefault="00E55EA0">
            <w:pPr>
              <w:jc w:val="center"/>
              <w:rPr>
                <w:rFonts w:ascii="Times New Roman" w:hAnsi="Times New Roman" w:cs="Times New Roman"/>
                <w:noProof/>
                <w:sz w:val="24"/>
                <w:szCs w:val="24"/>
              </w:rPr>
            </w:pPr>
            <w:r>
              <w:rPr>
                <w:rFonts w:ascii="Times New Roman" w:hAnsi="Times New Roman"/>
                <w:noProof/>
                <w:color w:val="FFFFFF" w:themeColor="background1"/>
                <w:sz w:val="24"/>
              </w:rPr>
              <w:t>Европейският съюз през 2030 г.</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w:t>
            </w:r>
            <w:r>
              <w:rPr>
                <w:rFonts w:ascii="Times New Roman" w:eastAsiaTheme="majorEastAsia" w:hAnsi="Times New Roman"/>
                <w:i/>
                <w:noProof/>
                <w:sz w:val="24"/>
              </w:rPr>
              <w:t>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ЕС и неговите държави членки ще работят за осигуряването на приобщаващ и устойчив растеж в ЕС, което е необходимо условие за намаляване на неравенството. Те ще съчетават ефективни, ефикасни и адекватни услуги за социална </w:t>
            </w:r>
            <w:r>
              <w:rPr>
                <w:rFonts w:ascii="Times New Roman" w:hAnsi="Times New Roman"/>
                <w:b w:val="0"/>
                <w:noProof/>
                <w:sz w:val="24"/>
              </w:rPr>
              <w:t>закрила и подпомагане, добро образование, което позволява равни възможности за всички, и добре функциониращи пазари на труда, подкрепяни от ефективни политики на пазара на труда. Това ще позволи не само да се намали неравенството между държавите — членки н</w:t>
            </w:r>
            <w:r>
              <w:rPr>
                <w:rFonts w:ascii="Times New Roman" w:hAnsi="Times New Roman"/>
                <w:b w:val="0"/>
                <w:noProof/>
                <w:sz w:val="24"/>
              </w:rPr>
              <w:t>а ЕС, но и значително да се намали неравенството в рамките на държавите членки. Технологичният напредък, по-специално внедряването на изкуствения интелект, ще трябва да бъде управляван добре, за да се предотврати цифровото разделение. Що се отнася до тенде</w:t>
            </w:r>
            <w:r>
              <w:rPr>
                <w:rFonts w:ascii="Times New Roman" w:hAnsi="Times New Roman"/>
                <w:b w:val="0"/>
                <w:noProof/>
                <w:sz w:val="24"/>
              </w:rPr>
              <w:t>нциите в миграцията е ясно, че нито една държава от ЕС не може и не бива да бъде оставяна сама да се справя с огромен миграционен натиск. ЕС ще продължи да намалява стимулите за незаконна миграция, да спасява човешки живот и да охранява външните граници, д</w:t>
            </w:r>
            <w:r>
              <w:rPr>
                <w:rFonts w:ascii="Times New Roman" w:hAnsi="Times New Roman"/>
                <w:b w:val="0"/>
                <w:noProof/>
                <w:sz w:val="24"/>
              </w:rPr>
              <w:t>а прилага силна обща политика в областта на убежището и политики в областта на законната миграция, като същевременно спомага за ефективното интегриране на законните мигранти и бежанците на пазарите на труда и в обществата в ЕС. Външната дейност на ЕС ще пр</w:t>
            </w:r>
            <w:r>
              <w:rPr>
                <w:rFonts w:ascii="Times New Roman" w:hAnsi="Times New Roman"/>
                <w:b w:val="0"/>
                <w:noProof/>
                <w:sz w:val="24"/>
              </w:rPr>
              <w:t>одължи борбата с неравенствата извън Европа.</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spacing w:after="60"/>
              <w:jc w:val="both"/>
              <w:rPr>
                <w:rFonts w:ascii="Times New Roman" w:eastAsiaTheme="majorEastAsia" w:hAnsi="Times New Roman" w:cs="Times New Roman"/>
                <w:b w:val="0"/>
                <w:iCs/>
                <w:noProof/>
                <w:sz w:val="24"/>
                <w:szCs w:val="24"/>
              </w:rPr>
            </w:pPr>
            <w:r>
              <w:rPr>
                <w:rFonts w:ascii="Times New Roman" w:eastAsiaTheme="majorEastAsia" w:hAnsi="Times New Roman"/>
                <w:b w:val="0"/>
                <w:noProof/>
                <w:sz w:val="24"/>
              </w:rPr>
              <w:t xml:space="preserve">Обществена ангажираност и участие в политическия живот, корпоративна социална отговорност / отговорно бизнес поведение, социално подпомагане (напр. данъчно облагане и </w:t>
            </w:r>
            <w:r>
              <w:rPr>
                <w:rFonts w:ascii="Times New Roman" w:eastAsiaTheme="majorEastAsia" w:hAnsi="Times New Roman"/>
                <w:b w:val="0"/>
                <w:noProof/>
                <w:sz w:val="24"/>
              </w:rPr>
              <w:t>системи за социална закрила и социално приобщаване, политики в областта на пазара на труда, политики за жилищно настаняване, здравеопазване, грижи за децата, ниво на образование, нива на умения и учене през целия живот), транспорт и достъпност на цифровите</w:t>
            </w:r>
            <w:r>
              <w:rPr>
                <w:rFonts w:ascii="Times New Roman" w:eastAsiaTheme="majorEastAsia" w:hAnsi="Times New Roman"/>
                <w:b w:val="0"/>
                <w:noProof/>
                <w:sz w:val="24"/>
              </w:rPr>
              <w:t xml:space="preserve"> технологии за преодоляване на пространственото измерение на неравенството, борба с измамите и корупцията, устойчиво финансиране, многостранно сътрудничество, отворена и справедлива търговия.</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Неравенство по отношение на</w:t>
            </w:r>
            <w:r>
              <w:rPr>
                <w:rFonts w:ascii="Times New Roman" w:hAnsi="Times New Roman"/>
                <w:b w:val="0"/>
                <w:noProof/>
                <w:sz w:val="24"/>
              </w:rPr>
              <w:t xml:space="preserve"> възможностите, застаряващи общества, промяна на състава на домакинствата (напр. едночленни домакинства), пропуски в социалното благосъстояние, изменение на климата и влошаване на състоянието на околната среда, геополитическа нестабилност и заплахи за сигу</w:t>
            </w:r>
            <w:r>
              <w:rPr>
                <w:rFonts w:ascii="Times New Roman" w:hAnsi="Times New Roman"/>
                <w:b w:val="0"/>
                <w:noProof/>
                <w:sz w:val="24"/>
              </w:rPr>
              <w:t>рността, връщане на икономически протекционизъм в световен мащаб.</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D60093"/>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pStyle w:val="NormalWeb"/>
              <w:spacing w:after="60"/>
              <w:jc w:val="both"/>
              <w:rPr>
                <w:b w:val="0"/>
                <w:noProof/>
              </w:rPr>
            </w:pPr>
            <w:r>
              <w:rPr>
                <w:i/>
                <w:noProof/>
              </w:rPr>
              <w:t>ЕС на международно равнище:</w:t>
            </w:r>
            <w:r>
              <w:rPr>
                <w:rFonts w:eastAsiaTheme="majorEastAsia"/>
                <w:b w:val="0"/>
                <w:noProof/>
              </w:rPr>
              <w:t xml:space="preserve"> Европейският консенсус за развитие отстоява принципа никой да не бъде изоставен и се ангажира с поемането на действия за намаляване на неравенствата по отношение на резултатите и насърчава равните възможности за всички. Търговската и инвестиционна политик</w:t>
            </w:r>
            <w:r>
              <w:rPr>
                <w:rFonts w:eastAsiaTheme="majorEastAsia"/>
                <w:b w:val="0"/>
                <w:noProof/>
              </w:rPr>
              <w:t>а на ЕС има за цел да увеличи максимално потенциала на търговските преференции, търговските споразумения и споразуменията за инвестиции за създаването на работни места, високи нива на защита на труда и привличане на инвестиции в страните партньори, особено</w:t>
            </w:r>
            <w:r>
              <w:rPr>
                <w:rFonts w:eastAsiaTheme="majorEastAsia"/>
                <w:b w:val="0"/>
                <w:noProof/>
              </w:rPr>
              <w:t xml:space="preserve"> в развиващите се страни, като по този начин допринася за намаляване на неравенството.</w:t>
            </w:r>
          </w:p>
          <w:p w:rsidR="00467251" w:rsidRDefault="00E55EA0">
            <w:pPr>
              <w:pStyle w:val="NormalWeb"/>
              <w:spacing w:after="60"/>
              <w:jc w:val="both"/>
              <w:rPr>
                <w:b w:val="0"/>
                <w:noProof/>
              </w:rPr>
            </w:pPr>
            <w:r>
              <w:rPr>
                <w:i/>
                <w:noProof/>
              </w:rPr>
              <w:t>На равнище ЕС:</w:t>
            </w:r>
            <w:r>
              <w:rPr>
                <w:noProof/>
              </w:rPr>
              <w:t xml:space="preserve"> </w:t>
            </w:r>
            <w:r>
              <w:rPr>
                <w:b w:val="0"/>
                <w:noProof/>
              </w:rPr>
              <w:t>много от 20-те принципа на европейския стълб на социалните права се отнасят до осигуряването на равни възможности за всички, справедливост и приобщаване н</w:t>
            </w:r>
            <w:r>
              <w:rPr>
                <w:b w:val="0"/>
                <w:noProof/>
              </w:rPr>
              <w:t>а пазара на труда и в обществото. Стълбът се придружава от набор от социални показатели за наблюдение на тенденциите и резултатите в целия ЕС. Европейският семестър е ключов механизъм за изпълнение на стълба, като той беше допълнително подсилен с акцент въ</w:t>
            </w:r>
            <w:r>
              <w:rPr>
                <w:b w:val="0"/>
                <w:noProof/>
              </w:rPr>
              <w:t>рху социалната справедливост, неравенството и постигането на по-приобщаващ растеж. Политиката на сближаване на ЕС помага за увеличаване на социалното приобщаване, като същевременно подкрепя борбата с бедността и дискриминацията.</w:t>
            </w:r>
          </w:p>
          <w:p w:rsidR="00467251" w:rsidRDefault="00E55EA0">
            <w:pPr>
              <w:spacing w:after="120"/>
              <w:jc w:val="both"/>
              <w:rPr>
                <w:rFonts w:ascii="Times New Roman" w:eastAsia="Times New Roman" w:hAnsi="Times New Roman" w:cs="Times New Roman"/>
                <w:b w:val="0"/>
                <w:noProof/>
                <w:sz w:val="24"/>
                <w:szCs w:val="24"/>
              </w:rPr>
            </w:pPr>
            <w:r>
              <w:rPr>
                <w:rFonts w:ascii="Times New Roman" w:hAnsi="Times New Roman"/>
                <w:i/>
                <w:noProof/>
                <w:sz w:val="24"/>
              </w:rPr>
              <w:t>На равнище държави членки:</w:t>
            </w:r>
            <w:r>
              <w:rPr>
                <w:rFonts w:ascii="Times New Roman" w:hAnsi="Times New Roman"/>
                <w:b w:val="0"/>
                <w:noProof/>
                <w:sz w:val="24"/>
              </w:rPr>
              <w:t xml:space="preserve"> данъчната и социално-осигурителната система в Кипър стана е по-ефективна в борбата с неравенството по отношение на доходите. Нейният преразпределителен ефект почти се удвои в периода след кризата (2009—2016 г.). Така например през 2014 г. в Кипър беше във</w:t>
            </w:r>
            <w:r>
              <w:rPr>
                <w:rFonts w:ascii="Times New Roman" w:hAnsi="Times New Roman"/>
                <w:b w:val="0"/>
                <w:noProof/>
                <w:sz w:val="24"/>
              </w:rPr>
              <w:t>едена схема за гарантиран минимален доход, която спомага също така за насърчаване на труда. Схемата изглежда има важно положително въздействие върху намаляването на бедността и неравенството и допринесе за укрепване на системата за социално осигуряване.</w:t>
            </w:r>
          </w:p>
          <w:p w:rsidR="00467251" w:rsidRDefault="00E55EA0">
            <w:pPr>
              <w:pStyle w:val="NormalWeb"/>
              <w:spacing w:after="120"/>
              <w:jc w:val="both"/>
              <w:rPr>
                <w:b w:val="0"/>
                <w:noProof/>
              </w:rPr>
            </w:pPr>
            <w:r>
              <w:rPr>
                <w:i/>
                <w:noProof/>
              </w:rPr>
              <w:t>На</w:t>
            </w:r>
            <w:r>
              <w:rPr>
                <w:i/>
                <w:noProof/>
              </w:rPr>
              <w:t xml:space="preserve"> регионално/местно равнище:</w:t>
            </w:r>
            <w:r>
              <w:rPr>
                <w:noProof/>
              </w:rPr>
              <w:t xml:space="preserve"> </w:t>
            </w:r>
            <w:r>
              <w:rPr>
                <w:b w:val="0"/>
                <w:noProof/>
              </w:rPr>
              <w:t>пилотен проект „Жилище преди всичко, за семействата“, осъществяван от местната община в Бърно в Чешката република, е свидетелство за водещата роля на общината, заедно с партньори от общността, за преодоляване на бездомността. Пр</w:t>
            </w:r>
            <w:r>
              <w:rPr>
                <w:b w:val="0"/>
                <w:noProof/>
              </w:rPr>
              <w:t>оектът предоставя общинско жилище и интензивни помощни услуги за 50 ромски и неромски семейства, за заслони или за други форми на бездомност. Въз основа на пилотния проект беше приет план за действие за периода 2018—2025 г., целящ да се сложи край на бездо</w:t>
            </w:r>
            <w:r>
              <w:rPr>
                <w:b w:val="0"/>
                <w:noProof/>
              </w:rPr>
              <w:t>мността на семействата в Бърно.</w:t>
            </w:r>
          </w:p>
          <w:p w:rsidR="00467251" w:rsidRDefault="00E55EA0">
            <w:pPr>
              <w:pStyle w:val="NormalWeb"/>
              <w:spacing w:after="120"/>
              <w:jc w:val="both"/>
              <w:rPr>
                <w:b w:val="0"/>
                <w:noProof/>
              </w:rPr>
            </w:pPr>
            <w:r>
              <w:rPr>
                <w:i/>
                <w:noProof/>
              </w:rPr>
              <w:t>На равнище предприятия:</w:t>
            </w:r>
            <w:r>
              <w:rPr>
                <w:b w:val="0"/>
                <w:noProof/>
              </w:rPr>
              <w:t xml:space="preserve"> La Bolsa Social е първата платформа за колективно инвестиране в Испания за инвеститорите и предприятията, които искат да създадат положително социално въздействие. Дружеството свързва инвеститори със </w:t>
            </w:r>
            <w:r>
              <w:rPr>
                <w:b w:val="0"/>
                <w:noProof/>
              </w:rPr>
              <w:t xml:space="preserve">социално въздействие с предприятия с цел да се насърчи изпълнението на ЦУР. La Bolsa Social финансира 10 дружества със социално и екологично въздействие в размер на 1,8 милиона евро. Пет от тях специално насочиха усилията си към осигуряването на достъп до </w:t>
            </w:r>
            <w:r>
              <w:rPr>
                <w:b w:val="0"/>
                <w:noProof/>
              </w:rPr>
              <w:t>информация, социален живот и публично пространство за хората с увреждания.</w:t>
            </w:r>
          </w:p>
          <w:p w:rsidR="00467251" w:rsidRDefault="00E55EA0">
            <w:pPr>
              <w:pStyle w:val="NormalWeb"/>
              <w:spacing w:after="60"/>
              <w:jc w:val="both"/>
              <w:rPr>
                <w:b w:val="0"/>
                <w:noProof/>
              </w:rPr>
            </w:pPr>
            <w:r>
              <w:rPr>
                <w:i/>
                <w:noProof/>
              </w:rPr>
              <w:t>На равнище гражданско общество:</w:t>
            </w:r>
            <w:r>
              <w:rPr>
                <w:noProof/>
              </w:rPr>
              <w:t xml:space="preserve"> </w:t>
            </w:r>
            <w:r>
              <w:rPr>
                <w:b w:val="0"/>
                <w:noProof/>
              </w:rPr>
              <w:t>ш</w:t>
            </w:r>
            <w:r>
              <w:rPr>
                <w:rFonts w:eastAsiaTheme="minorHAnsi"/>
                <w:b w:val="0"/>
                <w:noProof/>
              </w:rPr>
              <w:t>ведският проект „Хляб в Бергслаген“ включваше курсове за традиционно хлебопроизводство като средство за интегриране на новопристигнали мигранти и за</w:t>
            </w:r>
            <w:r>
              <w:rPr>
                <w:rFonts w:eastAsiaTheme="minorHAnsi"/>
                <w:b w:val="0"/>
                <w:noProof/>
              </w:rPr>
              <w:t xml:space="preserve"> предоставяне на професионално обучение. Проектът използваше физическата дейност като отправна точка за диалог, като дискусиите между участниците бяха модерирани от обучени доброволци.</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92000" cy="78480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92000" cy="7848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F79646" w:themeColor="accent6"/>
                <w:sz w:val="24"/>
                <w:szCs w:val="24"/>
              </w:rPr>
            </w:pPr>
            <w:r>
              <w:rPr>
                <w:rFonts w:ascii="Times New Roman" w:hAnsi="Times New Roman"/>
                <w:b/>
                <w:noProof/>
                <w:color w:val="F79646" w:themeColor="accent6"/>
                <w:sz w:val="24"/>
              </w:rPr>
              <w:t xml:space="preserve">Градовете и населените места да станат приобщаващи, сигурни, </w:t>
            </w:r>
            <w:r>
              <w:rPr>
                <w:rFonts w:ascii="Times New Roman" w:hAnsi="Times New Roman"/>
                <w:b/>
                <w:noProof/>
                <w:color w:val="F79646" w:themeColor="accent6"/>
                <w:sz w:val="24"/>
              </w:rPr>
              <w:t>издръжливи и устойчиви</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F79646" w:themeFill="accent6"/>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rsidR="00467251" w:rsidRDefault="00E55EA0">
            <w:pPr>
              <w:jc w:val="both"/>
              <w:rPr>
                <w:rFonts w:ascii="Times New Roman" w:hAnsi="Times New Roman" w:cs="Times New Roman"/>
                <w:i/>
                <w:noProof/>
                <w:sz w:val="24"/>
                <w:szCs w:val="24"/>
              </w:rPr>
            </w:pPr>
            <w:r>
              <w:rPr>
                <w:rFonts w:ascii="Times New Roman"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Градовете в Европа са в центъра на днешните икономически, социални и екологични предизвикателства. Над 70 % от гражданите на ЕС живеят в градове, а около 85 % от БВП на ЕС се генерира в </w:t>
            </w:r>
            <w:r>
              <w:rPr>
                <w:rFonts w:ascii="Times New Roman" w:hAnsi="Times New Roman"/>
                <w:b w:val="0"/>
                <w:noProof/>
                <w:sz w:val="24"/>
              </w:rPr>
              <w:t>градовете. Градовете и общностите са от съществено значение за благоденствието на европейските граждани и за качеството им на живот, тъй като те служат като центрове за икономическото и социалното развитие и иновациите. Те привличат много хора поради широк</w:t>
            </w:r>
            <w:r>
              <w:rPr>
                <w:rFonts w:ascii="Times New Roman" w:hAnsi="Times New Roman"/>
                <w:b w:val="0"/>
                <w:noProof/>
                <w:sz w:val="24"/>
              </w:rPr>
              <w:t>ия спектър от възможности за образование, заетост, развлечения и култура. Градовете в ЕС обаче са изправени също така пред предизвикателства като миграционния натиск и социалното изключване, задръстванията, недостига на подходящо жилищно настаняване, остар</w:t>
            </w:r>
            <w:r>
              <w:rPr>
                <w:rFonts w:ascii="Times New Roman" w:hAnsi="Times New Roman"/>
                <w:b w:val="0"/>
                <w:noProof/>
                <w:sz w:val="24"/>
              </w:rPr>
              <w:t xml:space="preserve">яващата инфраструктура и повишаването на замърсяването на въздуха, както и много други. Градовете са също така особено уязвими спрямо въздействията на изменението на климата и природните бедствия. Комисията, държавите членки и европейските градове полагат </w:t>
            </w:r>
            <w:r>
              <w:rPr>
                <w:rFonts w:ascii="Times New Roman" w:hAnsi="Times New Roman"/>
                <w:b w:val="0"/>
                <w:noProof/>
                <w:sz w:val="24"/>
              </w:rPr>
              <w:t>съвместни усилия за укрепване на градското измерение на европейските и националните политики. В съответствие с новата програма за градовете на ООН ЕС засилва устойчивостта на градската среда чрез предотвратяване на бедствия и рискове, свързани с климата, и</w:t>
            </w:r>
            <w:r>
              <w:rPr>
                <w:rFonts w:ascii="Times New Roman" w:hAnsi="Times New Roman"/>
                <w:b w:val="0"/>
                <w:noProof/>
                <w:sz w:val="24"/>
              </w:rPr>
              <w:t xml:space="preserve"> дава по-координиран отговор на различните предизвикателства, свързани с градовете. На международно ниво европейските политики в областта на развитието, външната дейност и сигурността, разширяването и съседството се стремят да подобрят условията на живот в</w:t>
            </w:r>
            <w:r>
              <w:rPr>
                <w:rFonts w:ascii="Times New Roman" w:hAnsi="Times New Roman"/>
                <w:b w:val="0"/>
                <w:noProof/>
                <w:sz w:val="24"/>
              </w:rPr>
              <w:t xml:space="preserve"> градовете. Европейският консенсус за развитие подчертава необходимостта да се обърне по-голямо внимание на градовете и местните власти като важни участници в усилията за постигане на устойчиво развитие.</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2"/>
              </w:numPr>
              <w:ind w:left="142" w:hanging="142"/>
              <w:jc w:val="both"/>
              <w:rPr>
                <w:rFonts w:ascii="Times New Roman" w:hAnsi="Times New Roman" w:cs="Times New Roman"/>
                <w:b w:val="0"/>
                <w:noProof/>
                <w:sz w:val="24"/>
                <w:szCs w:val="24"/>
              </w:rPr>
            </w:pPr>
            <w:r>
              <w:rPr>
                <w:rFonts w:ascii="Times New Roman" w:hAnsi="Times New Roman"/>
                <w:b w:val="0"/>
                <w:noProof/>
                <w:sz w:val="24"/>
              </w:rPr>
              <w:t xml:space="preserve">Процентът на </w:t>
            </w:r>
            <w:r>
              <w:rPr>
                <w:rFonts w:ascii="Times New Roman" w:hAnsi="Times New Roman"/>
                <w:noProof/>
                <w:sz w:val="24"/>
              </w:rPr>
              <w:t xml:space="preserve">рециклиране на </w:t>
            </w:r>
            <w:r>
              <w:rPr>
                <w:rFonts w:ascii="Times New Roman" w:hAnsi="Times New Roman"/>
                <w:noProof/>
                <w:sz w:val="24"/>
              </w:rPr>
              <w:t>битовите отпадъци</w:t>
            </w:r>
            <w:r>
              <w:rPr>
                <w:rFonts w:ascii="Times New Roman" w:hAnsi="Times New Roman"/>
                <w:b w:val="0"/>
                <w:noProof/>
                <w:sz w:val="24"/>
              </w:rPr>
              <w:t xml:space="preserve"> се увеличи с 11 процентни пункта между 2007 г. до 2016 г.</w:t>
            </w:r>
          </w:p>
          <w:p w:rsidR="00467251" w:rsidRDefault="00E55EA0">
            <w:pPr>
              <w:pStyle w:val="ListParagraph"/>
              <w:numPr>
                <w:ilvl w:val="0"/>
                <w:numId w:val="2"/>
              </w:numPr>
              <w:ind w:left="142" w:hanging="142"/>
              <w:jc w:val="both"/>
              <w:rPr>
                <w:rFonts w:ascii="Times New Roman" w:hAnsi="Times New Roman" w:cs="Times New Roman"/>
                <w:b w:val="0"/>
                <w:noProof/>
                <w:sz w:val="24"/>
                <w:szCs w:val="24"/>
              </w:rPr>
            </w:pPr>
            <w:r>
              <w:rPr>
                <w:rFonts w:ascii="Times New Roman" w:hAnsi="Times New Roman"/>
                <w:b w:val="0"/>
                <w:noProof/>
                <w:sz w:val="24"/>
              </w:rPr>
              <w:t>През последните шест години</w:t>
            </w:r>
            <w:r>
              <w:rPr>
                <w:rFonts w:ascii="Times New Roman" w:hAnsi="Times New Roman"/>
                <w:noProof/>
                <w:sz w:val="24"/>
              </w:rPr>
              <w:t xml:space="preserve"> качеството на жилищния фонд </w:t>
            </w:r>
            <w:r>
              <w:rPr>
                <w:rFonts w:ascii="Times New Roman" w:hAnsi="Times New Roman"/>
                <w:b w:val="0"/>
                <w:noProof/>
                <w:sz w:val="24"/>
              </w:rPr>
              <w:t xml:space="preserve">в ЕС се подобри. Делът на жителите в ЕС, изправени пред основни пропуски в жилищните условия, намаля с 4,8 процентни пункта </w:t>
            </w:r>
            <w:r>
              <w:rPr>
                <w:rFonts w:ascii="Times New Roman" w:hAnsi="Times New Roman"/>
                <w:b w:val="0"/>
                <w:noProof/>
                <w:sz w:val="24"/>
              </w:rPr>
              <w:t xml:space="preserve">между 2007 г. и 2017 г., когато беше 13,1 %. </w:t>
            </w:r>
          </w:p>
          <w:p w:rsidR="00467251" w:rsidRDefault="00E55EA0">
            <w:pPr>
              <w:pStyle w:val="ListParagraph"/>
              <w:numPr>
                <w:ilvl w:val="0"/>
                <w:numId w:val="2"/>
              </w:numPr>
              <w:ind w:left="142" w:hanging="142"/>
              <w:jc w:val="both"/>
              <w:rPr>
                <w:rFonts w:ascii="Times New Roman" w:eastAsiaTheme="majorEastAsia" w:hAnsi="Times New Roman" w:cs="Times New Roman"/>
                <w:b w:val="0"/>
                <w:bCs w:val="0"/>
                <w:iCs/>
                <w:noProof/>
                <w:sz w:val="24"/>
                <w:szCs w:val="24"/>
              </w:rPr>
            </w:pPr>
            <w:r>
              <w:rPr>
                <w:rFonts w:ascii="Times New Roman" w:hAnsi="Times New Roman"/>
                <w:b w:val="0"/>
                <w:noProof/>
                <w:sz w:val="24"/>
              </w:rPr>
              <w:t xml:space="preserve">Хората, които живеят в градовете, разполагат с по-лесен достъп до </w:t>
            </w:r>
            <w:r>
              <w:rPr>
                <w:rFonts w:ascii="Times New Roman" w:hAnsi="Times New Roman"/>
                <w:noProof/>
                <w:sz w:val="24"/>
              </w:rPr>
              <w:t>обществен транспорт</w:t>
            </w:r>
            <w:r>
              <w:rPr>
                <w:rFonts w:ascii="Times New Roman" w:hAnsi="Times New Roman"/>
                <w:b w:val="0"/>
                <w:noProof/>
                <w:sz w:val="24"/>
              </w:rPr>
              <w:t>, като само 9,7 % от тях споделят, че срещат големи или особено големи трудности, в сравнение с 37,4 % от живеещите в селскит</w:t>
            </w:r>
            <w:r>
              <w:rPr>
                <w:rFonts w:ascii="Times New Roman" w:hAnsi="Times New Roman"/>
                <w:b w:val="0"/>
                <w:noProof/>
                <w:sz w:val="24"/>
              </w:rPr>
              <w:t>е райони.</w:t>
            </w:r>
          </w:p>
          <w:p w:rsidR="00467251" w:rsidRDefault="00E55EA0">
            <w:pPr>
              <w:pStyle w:val="ListParagraph"/>
              <w:numPr>
                <w:ilvl w:val="0"/>
                <w:numId w:val="2"/>
              </w:numPr>
              <w:ind w:left="142" w:hanging="142"/>
              <w:jc w:val="both"/>
              <w:rPr>
                <w:rFonts w:ascii="Times New Roman" w:hAnsi="Times New Roman" w:cs="Times New Roman"/>
                <w:b w:val="0"/>
                <w:noProof/>
                <w:sz w:val="24"/>
                <w:szCs w:val="24"/>
              </w:rPr>
            </w:pPr>
            <w:r>
              <w:rPr>
                <w:rFonts w:ascii="Times New Roman" w:hAnsi="Times New Roman"/>
                <w:b w:val="0"/>
                <w:noProof/>
                <w:sz w:val="24"/>
              </w:rPr>
              <w:t xml:space="preserve">Продължават да съществуват проблемни зони на </w:t>
            </w:r>
            <w:r>
              <w:rPr>
                <w:rFonts w:ascii="Times New Roman" w:hAnsi="Times New Roman"/>
                <w:noProof/>
                <w:sz w:val="24"/>
              </w:rPr>
              <w:t>замърсяване на въздуха</w:t>
            </w:r>
            <w:r>
              <w:rPr>
                <w:rFonts w:ascii="Times New Roman" w:hAnsi="Times New Roman"/>
                <w:b w:val="0"/>
                <w:noProof/>
                <w:sz w:val="24"/>
              </w:rPr>
              <w:t xml:space="preserve">, въпреки че излагането на замърсяване на въздуха с фини прахови частици намаля с почти 20 % между 2010 г. и 2015 г. </w:t>
            </w:r>
          </w:p>
          <w:p w:rsidR="00467251" w:rsidRDefault="00E55EA0">
            <w:pPr>
              <w:pStyle w:val="ListParagraph"/>
              <w:numPr>
                <w:ilvl w:val="0"/>
                <w:numId w:val="2"/>
              </w:numPr>
              <w:ind w:left="142" w:hanging="142"/>
              <w:jc w:val="both"/>
              <w:rPr>
                <w:rFonts w:ascii="Times New Roman" w:hAnsi="Times New Roman" w:cs="Times New Roman"/>
                <w:b w:val="0"/>
                <w:noProof/>
                <w:sz w:val="24"/>
                <w:szCs w:val="24"/>
              </w:rPr>
            </w:pPr>
            <w:r>
              <w:rPr>
                <w:rFonts w:ascii="Times New Roman" w:hAnsi="Times New Roman"/>
                <w:noProof/>
                <w:sz w:val="24"/>
              </w:rPr>
              <w:t xml:space="preserve">Изкуствените площи </w:t>
            </w:r>
            <w:r>
              <w:rPr>
                <w:rFonts w:ascii="Times New Roman" w:hAnsi="Times New Roman"/>
                <w:b w:val="0"/>
                <w:noProof/>
                <w:sz w:val="24"/>
              </w:rPr>
              <w:t>на глава от населението се увеличиха с 6 %</w:t>
            </w:r>
            <w:r>
              <w:rPr>
                <w:rFonts w:ascii="Times New Roman" w:hAnsi="Times New Roman"/>
                <w:b w:val="0"/>
                <w:noProof/>
                <w:sz w:val="24"/>
              </w:rPr>
              <w:t xml:space="preserve"> между 2009 г. и 2015 г. Тъй като Европа е един от най-силно урбанизираните континенти в света, необходими са допълнителни усилия за спиране на деградацията на почвите.</w:t>
            </w:r>
          </w:p>
          <w:p w:rsidR="00467251" w:rsidRDefault="00E55EA0">
            <w:pPr>
              <w:pStyle w:val="ListParagraph"/>
              <w:numPr>
                <w:ilvl w:val="0"/>
                <w:numId w:val="2"/>
              </w:numPr>
              <w:ind w:left="142" w:hanging="142"/>
              <w:jc w:val="both"/>
              <w:rPr>
                <w:rFonts w:ascii="Times New Roman" w:eastAsiaTheme="majorEastAsia" w:hAnsi="Times New Roman" w:cs="Times New Roman"/>
                <w:b w:val="0"/>
                <w:bCs w:val="0"/>
                <w:iCs/>
                <w:noProof/>
                <w:sz w:val="24"/>
                <w:szCs w:val="24"/>
              </w:rPr>
            </w:pPr>
            <w:r>
              <w:rPr>
                <w:rFonts w:ascii="Times New Roman" w:hAnsi="Times New Roman"/>
                <w:noProof/>
                <w:sz w:val="24"/>
              </w:rPr>
              <w:t>Местните и регионалните власти</w:t>
            </w:r>
            <w:r>
              <w:rPr>
                <w:rFonts w:ascii="Times New Roman" w:hAnsi="Times New Roman"/>
                <w:b w:val="0"/>
                <w:noProof/>
                <w:sz w:val="24"/>
              </w:rPr>
              <w:t>, които участват в плановете за действие на Европейския к</w:t>
            </w:r>
            <w:r>
              <w:rPr>
                <w:rFonts w:ascii="Times New Roman" w:hAnsi="Times New Roman"/>
                <w:b w:val="0"/>
                <w:noProof/>
                <w:sz w:val="24"/>
              </w:rPr>
              <w:t>онвент на кметовете, постигнаха намаляване на емисиите на парникови газове с 23 %, намаляване на крайното енергийно потребление с 18 % и се стремят да увеличат дела на генерираната на местно равнище енергия, за да достигне 19 % от енергопотреблението до 20</w:t>
            </w:r>
            <w:r>
              <w:rPr>
                <w:rFonts w:ascii="Times New Roman" w:hAnsi="Times New Roman"/>
                <w:b w:val="0"/>
                <w:noProof/>
                <w:sz w:val="24"/>
              </w:rPr>
              <w:t>20 г.</w:t>
            </w:r>
          </w:p>
        </w:tc>
      </w:tr>
      <w:tr w:rsidR="00467251" w:rsidTr="00467251">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bCs w:val="0"/>
                <w:i/>
                <w:iCs/>
                <w:noProof/>
                <w:sz w:val="24"/>
                <w:szCs w:val="24"/>
              </w:rPr>
            </w:pPr>
            <w:r>
              <w:rPr>
                <w:rFonts w:ascii="Times New Roman" w:eastAsiaTheme="majorEastAsia" w:hAnsi="Times New Roman"/>
                <w:b w:val="0"/>
                <w:noProof/>
                <w:sz w:val="24"/>
              </w:rPr>
              <w:t xml:space="preserve">Според общия доклад „Индекс и показатели за ЦУР, 2018 г.“ (Bertelsmann Stiftung и Sustainable Development Solutions Network) 23 държави — членки на ЕС, постигат над 80 от общо 100 точки за ЦУР 11. Десет държави — членки на ЕС, са сред първите 20 в света. </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F79646" w:themeFill="accent6"/>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eastAsiaTheme="majorEastAsia" w:hAnsi="Times New Roman" w:cs="Times New Roman"/>
                <w:b w:val="0"/>
                <w:iCs/>
                <w:noProof/>
                <w:sz w:val="24"/>
                <w:szCs w:val="24"/>
              </w:rPr>
            </w:pPr>
            <w:r>
              <w:rPr>
                <w:rFonts w:ascii="Times New Roman" w:hAnsi="Times New Roman"/>
                <w:b w:val="0"/>
                <w:noProof/>
                <w:sz w:val="24"/>
              </w:rPr>
              <w:t>Делът на градското население в Европа се очаква да нарасне до малко над 80 % до 2050 г.</w:t>
            </w:r>
            <w:r>
              <w:rPr>
                <w:rFonts w:ascii="Times New Roman" w:hAnsi="Times New Roman"/>
                <w:noProof/>
                <w:sz w:val="24"/>
              </w:rPr>
              <w:t xml:space="preserve"> </w:t>
            </w:r>
            <w:r>
              <w:rPr>
                <w:rFonts w:ascii="Times New Roman" w:eastAsiaTheme="majorEastAsia" w:hAnsi="Times New Roman"/>
                <w:b w:val="0"/>
                <w:noProof/>
                <w:sz w:val="24"/>
              </w:rPr>
              <w:t>ЕС и неговите държави членки на всички равнища на управление, заедно с гражданското обще</w:t>
            </w:r>
            <w:r>
              <w:rPr>
                <w:rFonts w:ascii="Times New Roman" w:eastAsiaTheme="majorEastAsia" w:hAnsi="Times New Roman"/>
                <w:b w:val="0"/>
                <w:noProof/>
                <w:sz w:val="24"/>
              </w:rPr>
              <w:t>ство, предприятията и научноизследователските среди работят за създаването на променящия се град за бъдещото общество. Европейските градове ще продължат да привличат гражданите, като предлагат все повече възможности за заетост, качество на живот и социални</w:t>
            </w:r>
            <w:r>
              <w:rPr>
                <w:rFonts w:ascii="Times New Roman" w:eastAsiaTheme="majorEastAsia" w:hAnsi="Times New Roman"/>
                <w:b w:val="0"/>
                <w:noProof/>
                <w:sz w:val="24"/>
              </w:rPr>
              <w:t xml:space="preserve"> услуги. За да гарантират добро съжителство, европейските градове работят с широкото участие на заинтересованите страни на всички равнища в области като жилищното настаняване, енергетиката, мобилността, водоснабдяването, действията в областта на климата, и</w:t>
            </w:r>
            <w:r>
              <w:rPr>
                <w:rFonts w:ascii="Times New Roman" w:eastAsiaTheme="majorEastAsia" w:hAnsi="Times New Roman"/>
                <w:b w:val="0"/>
                <w:noProof/>
                <w:sz w:val="24"/>
              </w:rPr>
              <w:t>зкореняването на бедността, неравенството, кръговата икономика, устойчивостта и сигурността. Европейските градове ще се превърнат в „интелигентни градове“, в които традиционните мрежи и услуги ще бъдат по-ефективни благодарение на използването на цифрови и</w:t>
            </w:r>
            <w:r>
              <w:rPr>
                <w:rFonts w:ascii="Times New Roman" w:eastAsiaTheme="majorEastAsia" w:hAnsi="Times New Roman"/>
                <w:b w:val="0"/>
                <w:noProof/>
                <w:sz w:val="24"/>
              </w:rPr>
              <w:t xml:space="preserve"> телекомуникационни технологии в полза на гражданите и предприятията. </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Интелигентна специализация, партньорства между градовете, обществена ангажираност и участие в политическия живот (напр. съвместно градско </w:t>
            </w:r>
            <w:r>
              <w:rPr>
                <w:rFonts w:ascii="Times New Roman" w:eastAsiaTheme="majorEastAsia" w:hAnsi="Times New Roman"/>
                <w:b w:val="0"/>
                <w:noProof/>
                <w:sz w:val="24"/>
              </w:rPr>
              <w:t>управление, многостранни платформи), планове за устойчива градска мобилност, корпоративна социална отговорност / отговорно бизнес поведение, колективно финансиране и други форми на иновативно финансиране, цифровизация, изкуствен интелект и нови технологии,</w:t>
            </w:r>
            <w:r>
              <w:rPr>
                <w:rFonts w:ascii="Times New Roman" w:eastAsiaTheme="majorEastAsia" w:hAnsi="Times New Roman"/>
                <w:b w:val="0"/>
                <w:noProof/>
                <w:sz w:val="24"/>
              </w:rPr>
              <w:t xml:space="preserve"> икономика на сътрудничеството, обществен транспорт с ниски емисии, активна мобилност (пешеходство и използване на велосипед) и съответната инфраструктура, научни изследвания и иновации, сгради с ниски емисии, земеделие в градски условия, градски зелени пл</w:t>
            </w:r>
            <w:r>
              <w:rPr>
                <w:rFonts w:ascii="Times New Roman" w:eastAsiaTheme="majorEastAsia" w:hAnsi="Times New Roman"/>
                <w:b w:val="0"/>
                <w:noProof/>
                <w:sz w:val="24"/>
              </w:rPr>
              <w:t>ощи.</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Влошаване на околната среда и изменение на климата, замърсяване, застаряващи общества, престъпност и заплахи за сигурността, измами и корупция, социални неравенства, повишаващи се цени на жилищата.</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F79646" w:themeFill="accent6"/>
          </w:tcPr>
          <w:p w:rsidR="00467251" w:rsidRDefault="00E55EA0">
            <w:pPr>
              <w:jc w:val="center"/>
              <w:rPr>
                <w:rFonts w:ascii="Times New Roman" w:hAnsi="Times New Roman" w:cs="Times New Roman"/>
                <w:noProof/>
                <w:sz w:val="24"/>
                <w:szCs w:val="24"/>
              </w:rPr>
            </w:pPr>
            <w:r>
              <w:rPr>
                <w:rFonts w:ascii="Times New Roman" w:hAnsi="Times New Roman"/>
                <w:noProof/>
                <w:sz w:val="24"/>
              </w:rPr>
              <w:t>Акценти на поли</w:t>
            </w:r>
            <w:r>
              <w:rPr>
                <w:rFonts w:ascii="Times New Roman" w:hAnsi="Times New Roman"/>
                <w:noProof/>
                <w:sz w:val="24"/>
              </w:rPr>
              <w:t xml:space="preserve">тиката </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pStyle w:val="NormalWeb"/>
              <w:spacing w:after="120"/>
              <w:jc w:val="both"/>
              <w:rPr>
                <w:b w:val="0"/>
                <w:noProof/>
              </w:rPr>
            </w:pPr>
            <w:r>
              <w:rPr>
                <w:i/>
                <w:noProof/>
              </w:rPr>
              <w:t>ЕС на международно равнище:</w:t>
            </w:r>
            <w:r>
              <w:rPr>
                <w:rFonts w:eastAsiaTheme="minorHAnsi"/>
                <w:b w:val="0"/>
                <w:noProof/>
              </w:rPr>
              <w:t xml:space="preserve"> в областта на развитието Комисията прие нов подход за сътрудничеството на Европейския съюз с градове и местни органи в трети държави, фокусирайки външната подкрепа от ЕС върху планирането, финансирането и управлението на градовете. </w:t>
            </w:r>
          </w:p>
          <w:p w:rsidR="00467251" w:rsidRDefault="00E55EA0">
            <w:pPr>
              <w:pStyle w:val="NormalWeb"/>
              <w:spacing w:after="120"/>
              <w:jc w:val="both"/>
              <w:rPr>
                <w:rFonts w:eastAsiaTheme="minorHAnsi"/>
                <w:b w:val="0"/>
                <w:noProof/>
              </w:rPr>
            </w:pPr>
            <w:r>
              <w:rPr>
                <w:i/>
                <w:noProof/>
              </w:rPr>
              <w:t>На равнище ЕС:</w:t>
            </w:r>
            <w:r>
              <w:rPr>
                <w:noProof/>
              </w:rPr>
              <w:t xml:space="preserve"> </w:t>
            </w:r>
            <w:r>
              <w:rPr>
                <w:b w:val="0"/>
                <w:noProof/>
              </w:rPr>
              <w:t>Програмата на ЕС за градовете беше стартирана през май 2016 г.</w:t>
            </w:r>
            <w:r>
              <w:rPr>
                <w:noProof/>
              </w:rPr>
              <w:t xml:space="preserve"> с </w:t>
            </w:r>
            <w:hyperlink r:id="rId97">
              <w:r>
                <w:rPr>
                  <w:rFonts w:eastAsiaTheme="minorHAnsi"/>
                  <w:b w:val="0"/>
                  <w:noProof/>
                </w:rPr>
                <w:t>Пакта от Амстердам.</w:t>
              </w:r>
            </w:hyperlink>
            <w:r>
              <w:rPr>
                <w:rFonts w:eastAsiaTheme="minorHAnsi"/>
                <w:b w:val="0"/>
                <w:noProof/>
              </w:rPr>
              <w:t xml:space="preserve"> Тя представлява нов метод на работа на много равнища за насърчаване на сътрудничеството между дъ</w:t>
            </w:r>
            <w:r>
              <w:rPr>
                <w:rFonts w:eastAsiaTheme="minorHAnsi"/>
                <w:b w:val="0"/>
                <w:noProof/>
              </w:rPr>
              <w:t>ржавите членки, градовете, Комисията и други заинтересовани страни, за да се стимулират растежът, иновациите и добрите условия на живот в градовете на Европа, за да се набележат социалните предизвикателства и да се работи по тяхното преодоляване. Като се с</w:t>
            </w:r>
            <w:r>
              <w:rPr>
                <w:rFonts w:eastAsiaTheme="minorHAnsi"/>
                <w:b w:val="0"/>
                <w:noProof/>
              </w:rPr>
              <w:t xml:space="preserve">ъсредоточава върху конкретни приоритети в рамките на специални партньорства, програмата на ЕС за градовете има за цел да подобри качеството на живот в градските райони. </w:t>
            </w:r>
          </w:p>
          <w:p w:rsidR="00467251" w:rsidRDefault="00E55EA0">
            <w:pPr>
              <w:pStyle w:val="NormalWeb"/>
              <w:spacing w:after="120"/>
              <w:jc w:val="both"/>
              <w:rPr>
                <w:b w:val="0"/>
                <w:noProof/>
              </w:rPr>
            </w:pPr>
            <w:r>
              <w:rPr>
                <w:i/>
                <w:noProof/>
              </w:rPr>
              <w:t>На равнище държави членки:</w:t>
            </w:r>
            <w:r>
              <w:rPr>
                <w:noProof/>
              </w:rPr>
              <w:t xml:space="preserve"> </w:t>
            </w:r>
            <w:r>
              <w:rPr>
                <w:b w:val="0"/>
                <w:noProof/>
              </w:rPr>
              <w:t>настоящият недостиг на жилища в Ирландия се дължи отчасти н</w:t>
            </w:r>
            <w:r>
              <w:rPr>
                <w:b w:val="0"/>
                <w:noProof/>
              </w:rPr>
              <w:t>а срива на равнищата на жилищно строителство. През 2016 г. ирландското правителство стартира своя план за действие за жилищното настаняване и бездомността Rebuilding Ireland, който има за цел да ускори предлагането на жилища за всички видове собственост. П</w:t>
            </w:r>
            <w:r>
              <w:rPr>
                <w:b w:val="0"/>
                <w:noProof/>
              </w:rPr>
              <w:t>ланът за действие има пет основни „стълба“ за преодоляването на конкретни предизвикателства: справяне с бездомността, ускоряване на социалното жилищно настаняване, изграждане на повече жилища, подобряване на сектора за отдаване под наем и използване на същ</w:t>
            </w:r>
            <w:r>
              <w:rPr>
                <w:b w:val="0"/>
                <w:noProof/>
              </w:rPr>
              <w:t xml:space="preserve">ествуващите жилища. </w:t>
            </w:r>
          </w:p>
          <w:p w:rsidR="00467251" w:rsidRDefault="00E55EA0">
            <w:pPr>
              <w:pStyle w:val="NormalWeb"/>
              <w:spacing w:after="120"/>
              <w:jc w:val="both"/>
              <w:rPr>
                <w:b w:val="0"/>
                <w:noProof/>
              </w:rPr>
            </w:pPr>
            <w:r>
              <w:rPr>
                <w:i/>
                <w:noProof/>
              </w:rPr>
              <w:t>На регионално/местно равнище:</w:t>
            </w:r>
            <w:r>
              <w:rPr>
                <w:noProof/>
              </w:rPr>
              <w:t xml:space="preserve"> </w:t>
            </w:r>
            <w:r>
              <w:rPr>
                <w:b w:val="0"/>
                <w:noProof/>
              </w:rPr>
              <w:t xml:space="preserve">„Global Nachhaltige Kommune“ (Глобални устойчиви общини) е проект, който се изпълнява в германския регион Северен Рейн-Вестфалия и подпомага 15 местни органа, които представляват различни по размер селища </w:t>
            </w:r>
            <w:r>
              <w:rPr>
                <w:b w:val="0"/>
                <w:noProof/>
              </w:rPr>
              <w:t>(малки, средни, големи градове и селски райони), чрез системна подкрепа в разработването на стратегия за устойчивост, в която се разглеждат отделните местни предизвикателства въз основа на общата рамка на ЦУР. Подходът му беше използван и в други региони н</w:t>
            </w:r>
            <w:r>
              <w:rPr>
                <w:b w:val="0"/>
                <w:noProof/>
              </w:rPr>
              <w:t>а Германия.</w:t>
            </w:r>
          </w:p>
          <w:p w:rsidR="00467251" w:rsidRDefault="00E55EA0">
            <w:pPr>
              <w:pStyle w:val="NormalWeb"/>
              <w:spacing w:after="120"/>
              <w:jc w:val="both"/>
              <w:rPr>
                <w:b w:val="0"/>
                <w:noProof/>
              </w:rPr>
            </w:pPr>
            <w:r>
              <w:rPr>
                <w:i/>
                <w:noProof/>
              </w:rPr>
              <w:t>На равнище предприятия:</w:t>
            </w:r>
            <w:r>
              <w:rPr>
                <w:noProof/>
              </w:rPr>
              <w:t xml:space="preserve"> </w:t>
            </w:r>
            <w:r>
              <w:rPr>
                <w:b w:val="0"/>
                <w:noProof/>
              </w:rPr>
              <w:t>LIPOR, междуобщинско дружество за управление на отпадъците от агломерацията на Порто в Португалия, отговаря за управлението, оползотворяването и третирането на битови отпадъци от съответните общини. LIPOR инвестира и съз</w:t>
            </w:r>
            <w:r>
              <w:rPr>
                <w:b w:val="0"/>
                <w:noProof/>
              </w:rPr>
              <w:t>даде приключенски парк на мястото на старо депо след възстановяване на околната среда и ландшафта. Така създаде зона за игра, отдих и тренировки.</w:t>
            </w:r>
          </w:p>
          <w:p w:rsidR="00467251" w:rsidRDefault="00E55EA0">
            <w:pPr>
              <w:pStyle w:val="NormalWeb"/>
              <w:spacing w:after="120"/>
              <w:jc w:val="both"/>
              <w:rPr>
                <w:b w:val="0"/>
                <w:noProof/>
              </w:rPr>
            </w:pPr>
            <w:r>
              <w:rPr>
                <w:i/>
                <w:noProof/>
              </w:rPr>
              <w:t>На равнище гражданско общество:</w:t>
            </w:r>
            <w:r>
              <w:rPr>
                <w:noProof/>
              </w:rPr>
              <w:t xml:space="preserve"> </w:t>
            </w:r>
            <w:r>
              <w:rPr>
                <w:b w:val="0"/>
                <w:noProof/>
              </w:rPr>
              <w:t>Градската лаборатория, естонска неправителствена организация, се занимава с ра</w:t>
            </w:r>
            <w:r>
              <w:rPr>
                <w:b w:val="0"/>
                <w:noProof/>
              </w:rPr>
              <w:t xml:space="preserve">звитието на устойчиви и приобщаващи градове. Тя предоставя съвети на местните власти, въвежда съвременните тенденции в Естония и подобрява осведомеността на хората за жизнената среда. </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88400" cy="77760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88400" cy="7776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color w:val="92D050"/>
                <w:sz w:val="24"/>
                <w:szCs w:val="24"/>
              </w:rPr>
            </w:pPr>
            <w:r>
              <w:rPr>
                <w:rFonts w:ascii="Times New Roman" w:hAnsi="Times New Roman"/>
                <w:b/>
                <w:noProof/>
                <w:color w:val="CC9900"/>
                <w:sz w:val="24"/>
              </w:rPr>
              <w:t>Осигуряване на устойчиви модели на потребление и на производство</w:t>
            </w: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bottom w:val="none" w:sz="0" w:space="0" w:color="auto"/>
              <w:right w:val="none" w:sz="0" w:space="0" w:color="auto"/>
            </w:tcBorders>
            <w:shd w:val="clear" w:color="auto" w:fill="CC9900"/>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single" w:sz="4" w:space="0" w:color="auto"/>
              <w:right w:val="none" w:sz="0"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Устойчивото потребление и производство има за цел да намали въздействието върху околната среда в Европа чрез промяна на начина, по който се произвеждат, разпространяват и употребяват стоките и се използват ресурсите. </w:t>
            </w:r>
            <w:r>
              <w:rPr>
                <w:rFonts w:ascii="Times New Roman" w:hAnsi="Times New Roman"/>
                <w:b w:val="0"/>
                <w:noProof/>
                <w:sz w:val="24"/>
              </w:rPr>
              <w:t>През последните няколко години ЕС отбеляза напредък към постигането на ефективно използваща ресурсите, екологосъобразна и конкурентоспособна нисковъглеродна икономика, но устойчивото производство и потребление все още са важно предизвикателство за постиган</w:t>
            </w:r>
            <w:r>
              <w:rPr>
                <w:rFonts w:ascii="Times New Roman" w:hAnsi="Times New Roman"/>
                <w:b w:val="0"/>
                <w:noProof/>
                <w:sz w:val="24"/>
              </w:rPr>
              <w:t>ето на ЦУР в ЕС и изискват постоянни усилия на всички равнища. Подходът на ЕС е да се насърчава ефективното използване на ресурсите, като същевременно се намалява въздействието върху околната среда чрез преход към кръгова икономика, при която стойността на</w:t>
            </w:r>
            <w:r>
              <w:rPr>
                <w:rFonts w:ascii="Times New Roman" w:hAnsi="Times New Roman"/>
                <w:b w:val="0"/>
                <w:noProof/>
                <w:sz w:val="24"/>
              </w:rPr>
              <w:t xml:space="preserve"> продуктите, материалите и ресурсите се запазва в икономиката възможно най-дълго, а генерирането на отпадъци и замърсяването са сведени до минимум. В плана за действие на ЕС за кръговата икономика от 2015 г. са предвидени 54 действия, които засягат всички </w:t>
            </w:r>
            <w:r>
              <w:rPr>
                <w:rFonts w:ascii="Times New Roman" w:hAnsi="Times New Roman"/>
                <w:b w:val="0"/>
                <w:noProof/>
                <w:sz w:val="24"/>
              </w:rPr>
              <w:t>етапи от жизнения цикъл на продуктите и материалите (производство, потребление, управление на отпадъци, пазар за вторични суровини, иновации и инвестиции, мониторинг) и 5 приоритетни области (пластмаси, хранителни отпадъци, основни суровини, строителство и</w:t>
            </w:r>
            <w:r>
              <w:rPr>
                <w:rFonts w:ascii="Times New Roman" w:hAnsi="Times New Roman"/>
                <w:b w:val="0"/>
                <w:noProof/>
                <w:sz w:val="24"/>
              </w:rPr>
              <w:t xml:space="preserve"> събаряне, биомаса и продукти на биологична основа). До 2018 г. вече бяха изпълнени над 85 % от действията, а останалите бяха започнати. През 2017 г. беше създадена Европейска платформа на заинтересованите страни в областта на кръговата икономика с цел да </w:t>
            </w:r>
            <w:r>
              <w:rPr>
                <w:rFonts w:ascii="Times New Roman" w:hAnsi="Times New Roman"/>
                <w:b w:val="0"/>
                <w:noProof/>
                <w:sz w:val="24"/>
              </w:rPr>
              <w:t xml:space="preserve">се насърчават предприятията, публичните администрации и други заинтересовани страни да споделят знания и добри практики; през 2016 г. пък беше създадена Платформа на ЕС по въпросите на загубата и разхищението на храни. В рамките на програмата за градовете </w:t>
            </w:r>
            <w:r>
              <w:rPr>
                <w:rFonts w:ascii="Times New Roman" w:hAnsi="Times New Roman"/>
                <w:b w:val="0"/>
                <w:noProof/>
                <w:sz w:val="24"/>
              </w:rPr>
              <w:t>в ЕС беше установено специално партньорство за работа по този въпрос, като бяха предложени редица действия за интегриране на аспектите на кръговата икономика в градовете. Освен това подновената през 2018 г. Стратегия на Европа за биоикономика спомага за мо</w:t>
            </w:r>
            <w:r>
              <w:rPr>
                <w:rFonts w:ascii="Times New Roman" w:hAnsi="Times New Roman"/>
                <w:b w:val="0"/>
                <w:noProof/>
                <w:sz w:val="24"/>
              </w:rPr>
              <w:t>дернизацията и укрепването на промишлената база на ЕС чрез създаването на нови вериги на стойността, както и по-екологосъобразни и икономически по-изгодни промишлени процеси. Във външен план ЕС насърчава отговорното управление на веригите на доставки и схе</w:t>
            </w:r>
            <w:r>
              <w:rPr>
                <w:rFonts w:ascii="Times New Roman" w:hAnsi="Times New Roman"/>
                <w:b w:val="0"/>
                <w:noProof/>
                <w:sz w:val="24"/>
              </w:rPr>
              <w:t>мите за справедлива и етична търговия в рамките на своята основана на ценности програма в областта на търговията; освен това значението на устойчивото потребление и производство се подчертава и в рамките на действията по политиките на ЕС за развитие, разши</w:t>
            </w:r>
            <w:r>
              <w:rPr>
                <w:rFonts w:ascii="Times New Roman" w:hAnsi="Times New Roman"/>
                <w:b w:val="0"/>
                <w:noProof/>
                <w:sz w:val="24"/>
              </w:rPr>
              <w:t>ряване и съседство.</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Основни тенденции</w:t>
            </w:r>
          </w:p>
          <w:p w:rsidR="00467251" w:rsidRDefault="00E55EA0">
            <w:pPr>
              <w:pStyle w:val="ListParagraph"/>
              <w:numPr>
                <w:ilvl w:val="0"/>
                <w:numId w:val="10"/>
              </w:numPr>
              <w:ind w:left="142" w:hanging="142"/>
              <w:jc w:val="both"/>
              <w:rPr>
                <w:rFonts w:ascii="Times New Roman" w:hAnsi="Times New Roman" w:cs="Times New Roman"/>
                <w:b w:val="0"/>
                <w:noProof/>
                <w:sz w:val="24"/>
                <w:szCs w:val="24"/>
              </w:rPr>
            </w:pPr>
            <w:r>
              <w:rPr>
                <w:rFonts w:ascii="Times New Roman" w:hAnsi="Times New Roman"/>
                <w:b w:val="0"/>
                <w:noProof/>
                <w:sz w:val="24"/>
              </w:rPr>
              <w:t xml:space="preserve">Степента на </w:t>
            </w:r>
            <w:r>
              <w:rPr>
                <w:rFonts w:ascii="Times New Roman" w:hAnsi="Times New Roman"/>
                <w:noProof/>
                <w:sz w:val="24"/>
              </w:rPr>
              <w:t xml:space="preserve">прекъсване на връзката между икономическия растеж и потреблението на природни ресурси </w:t>
            </w:r>
            <w:r>
              <w:rPr>
                <w:rFonts w:ascii="Times New Roman" w:hAnsi="Times New Roman"/>
                <w:b w:val="0"/>
                <w:noProof/>
                <w:sz w:val="24"/>
              </w:rPr>
              <w:t xml:space="preserve">се измерва чрез производителността на енергията и ресурсите на ЕС. От 2001 г. насам ЕС увеличи своята производителност </w:t>
            </w:r>
            <w:r>
              <w:rPr>
                <w:rFonts w:ascii="Times New Roman" w:hAnsi="Times New Roman"/>
                <w:b w:val="0"/>
                <w:noProof/>
                <w:sz w:val="24"/>
              </w:rPr>
              <w:t>на ресурсите с 36,4 % (2017 г.), а производителността на енергията — с 29,2 % (2016 г.), което означава, че за единица използвани материали или енергия е била произведена повече продукция (изразено в БВП).</w:t>
            </w:r>
          </w:p>
          <w:p w:rsidR="00467251" w:rsidRDefault="00E55EA0">
            <w:pPr>
              <w:pStyle w:val="ListParagraph"/>
              <w:numPr>
                <w:ilvl w:val="0"/>
                <w:numId w:val="10"/>
              </w:numPr>
              <w:ind w:left="142" w:hanging="142"/>
              <w:jc w:val="both"/>
              <w:rPr>
                <w:rFonts w:ascii="Times New Roman" w:hAnsi="Times New Roman" w:cs="Times New Roman"/>
                <w:b w:val="0"/>
                <w:noProof/>
                <w:sz w:val="24"/>
                <w:szCs w:val="24"/>
              </w:rPr>
            </w:pPr>
            <w:r>
              <w:rPr>
                <w:rFonts w:ascii="Times New Roman" w:hAnsi="Times New Roman"/>
                <w:b w:val="0"/>
                <w:noProof/>
                <w:sz w:val="24"/>
              </w:rPr>
              <w:t xml:space="preserve">Между 2004 г. и 2016 г. </w:t>
            </w:r>
            <w:r>
              <w:rPr>
                <w:rFonts w:ascii="Times New Roman" w:hAnsi="Times New Roman"/>
                <w:noProof/>
                <w:sz w:val="24"/>
              </w:rPr>
              <w:t>количеството на генерирани</w:t>
            </w:r>
            <w:r>
              <w:rPr>
                <w:rFonts w:ascii="Times New Roman" w:hAnsi="Times New Roman"/>
                <w:noProof/>
                <w:sz w:val="24"/>
              </w:rPr>
              <w:t>те отпадъци</w:t>
            </w:r>
            <w:r>
              <w:rPr>
                <w:rFonts w:ascii="Times New Roman" w:hAnsi="Times New Roman"/>
                <w:b w:val="0"/>
                <w:noProof/>
                <w:sz w:val="24"/>
              </w:rPr>
              <w:t>, с изключение на големите минерални отпадъци, намаля с 6,5 % в ЕС. Между 2004 г. и 2014 г.</w:t>
            </w:r>
            <w:r>
              <w:rPr>
                <w:rFonts w:ascii="Times New Roman" w:hAnsi="Times New Roman"/>
                <w:noProof/>
                <w:sz w:val="24"/>
              </w:rPr>
              <w:t xml:space="preserve"> процентът на рециклиране в ЕС </w:t>
            </w:r>
            <w:r>
              <w:rPr>
                <w:rFonts w:ascii="Times New Roman" w:hAnsi="Times New Roman"/>
                <w:b w:val="0"/>
                <w:noProof/>
                <w:sz w:val="24"/>
              </w:rPr>
              <w:t>слабо се увеличи от 53 % на 55 %, а делът на кръговото използване на материалите, т.е. делът на материалите, които са получ</w:t>
            </w:r>
            <w:r>
              <w:rPr>
                <w:rFonts w:ascii="Times New Roman" w:hAnsi="Times New Roman"/>
                <w:b w:val="0"/>
                <w:noProof/>
                <w:sz w:val="24"/>
              </w:rPr>
              <w:t>ени от събрани отпадъци, спрямо цялостното използване на материали, се увеличи от 8,3 % на 11,7 %.</w:t>
            </w:r>
          </w:p>
          <w:p w:rsidR="00467251" w:rsidRDefault="00E55EA0">
            <w:pPr>
              <w:pStyle w:val="ListParagraph"/>
              <w:numPr>
                <w:ilvl w:val="0"/>
                <w:numId w:val="10"/>
              </w:numPr>
              <w:ind w:left="142" w:hanging="142"/>
              <w:jc w:val="both"/>
              <w:rPr>
                <w:rFonts w:ascii="Times New Roman" w:hAnsi="Times New Roman" w:cs="Times New Roman"/>
                <w:b w:val="0"/>
                <w:noProof/>
                <w:sz w:val="24"/>
                <w:szCs w:val="24"/>
              </w:rPr>
            </w:pPr>
            <w:r>
              <w:rPr>
                <w:rFonts w:ascii="Times New Roman" w:hAnsi="Times New Roman"/>
                <w:b w:val="0"/>
                <w:noProof/>
                <w:sz w:val="24"/>
              </w:rPr>
              <w:t>Икономиката на ЕС зависи от суровини от останалата част на света. Над 60 % от общия физически внос на ЕС са сурови продукти.</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Според общия </w:t>
            </w:r>
            <w:r>
              <w:rPr>
                <w:rFonts w:ascii="Times New Roman" w:eastAsiaTheme="majorEastAsia" w:hAnsi="Times New Roman"/>
                <w:b w:val="0"/>
                <w:noProof/>
                <w:sz w:val="24"/>
              </w:rPr>
              <w:t>доклад „Индекс и показатели за ЦУР, 2018 г.“ (Bertelsmann Stiftung и Sustainable Development Solutions Network) 11 държави — членки на ЕС, постигат над 60 от общо 100 точки за ЦУР 12. Като цяло това е средно втората най-ниско класирана ЦУР за държавите — ч</w:t>
            </w:r>
            <w:r>
              <w:rPr>
                <w:rFonts w:ascii="Times New Roman" w:eastAsiaTheme="majorEastAsia" w:hAnsi="Times New Roman"/>
                <w:b w:val="0"/>
                <w:noProof/>
                <w:sz w:val="24"/>
              </w:rPr>
              <w:t>ленки на ЕС.</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9900"/>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Европа ще трябва да продължи да поставя акцент върху устойчивото производство и потребление в условията на натиск върху предлагането на материали и собствените си относително ограничени по размер материални ресурси. Особено внимание трябва да се отдели на </w:t>
            </w:r>
            <w:r>
              <w:rPr>
                <w:rFonts w:ascii="Times New Roman" w:hAnsi="Times New Roman"/>
                <w:b w:val="0"/>
                <w:noProof/>
                <w:sz w:val="24"/>
              </w:rPr>
              <w:t>металните руди и основните суровини, които са с висока стойност и по отношение на които Европа е особено зависима от вноса. Ще е необходимо да се постави акцент и върху тежки и енергоемки материали като цимент, алуминий, стомана и пластмаса с оглед на техн</w:t>
            </w:r>
            <w:r>
              <w:rPr>
                <w:rFonts w:ascii="Times New Roman" w:hAnsi="Times New Roman"/>
                <w:b w:val="0"/>
                <w:noProof/>
                <w:sz w:val="24"/>
              </w:rPr>
              <w:t>ия потенциал за намаляване на емисиите на парникови газове. Следва да се обърне внимание и на секторите, в които използването на ресурсите има особено силно въздействие върху околната среда (например по отношение на използването на водите, замърсяването, к</w:t>
            </w:r>
            <w:r>
              <w:rPr>
                <w:rFonts w:ascii="Times New Roman" w:hAnsi="Times New Roman"/>
                <w:b w:val="0"/>
                <w:noProof/>
                <w:sz w:val="24"/>
              </w:rPr>
              <w:t>ачеството на въздуха и хранителните вещества), като например системите за производство на храни и текстил. Благодарение на преразгледаното законодателство на ЕС в областта на отпадъците и плана за действие на ЕС относно хранителните отпадъци ЕС ще намали х</w:t>
            </w:r>
            <w:r>
              <w:rPr>
                <w:rFonts w:ascii="Times New Roman" w:hAnsi="Times New Roman"/>
                <w:b w:val="0"/>
                <w:noProof/>
                <w:sz w:val="24"/>
              </w:rPr>
              <w:t>ранителните отпадъци, които се генерират ежегодно, което ще спомогне за постигане на глобалната цел за намаляване наполовина на хранителните отпадъци до 2030 г. Със законодателството в областта на отпадъците ще се завиши делът на рециклиране до правно обвъ</w:t>
            </w:r>
            <w:r>
              <w:rPr>
                <w:rFonts w:ascii="Times New Roman" w:hAnsi="Times New Roman"/>
                <w:b w:val="0"/>
                <w:noProof/>
                <w:sz w:val="24"/>
              </w:rPr>
              <w:t>рзващите 60 % до 2030 г., като за много опаковъчни материали делът ще бъде по-висок. Вниманието трябва да се насочи към повишаване на качеството на рециклирането, не само на количеството, намаляване на използването на ресурси и генерирането на отпадъци чре</w:t>
            </w:r>
            <w:r>
              <w:rPr>
                <w:rFonts w:ascii="Times New Roman" w:hAnsi="Times New Roman"/>
                <w:b w:val="0"/>
                <w:noProof/>
                <w:sz w:val="24"/>
              </w:rPr>
              <w:t>з по-добро проектиране на продуктите, както и към системни подходи, целящи задържане на продуктите и материалите в циркулация, осигурявайки стойност в икономиката. Трябва да се увеличи съдържанието на рециклирани материали в новите продукти, по-специално в</w:t>
            </w:r>
            <w:r>
              <w:rPr>
                <w:rFonts w:ascii="Times New Roman" w:hAnsi="Times New Roman"/>
                <w:b w:val="0"/>
                <w:noProof/>
                <w:sz w:val="24"/>
              </w:rPr>
              <w:t xml:space="preserve"> пластмасовите продукти. </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Промяна в поведението, обществена ангажираност, обществен натиск за устойчиви производствени вериги, партньорства и участие в политическия живот, образование, корпоративна социална отговорност / отговорно бизнес поведение, колективно финансиране и други фо</w:t>
            </w:r>
            <w:r>
              <w:rPr>
                <w:rFonts w:ascii="Times New Roman" w:eastAsiaTheme="majorEastAsia" w:hAnsi="Times New Roman"/>
                <w:b w:val="0"/>
                <w:noProof/>
                <w:sz w:val="24"/>
              </w:rPr>
              <w:t>рми на иновативно финансиране, изпреварващи политики за справедлив преход, изкуствен интелект, нови технологии, научни изследвания и иновации, икономика на сътрудничеството и кръгова икономика, биоикономика, цифровизация, устойчиви финанси, реформа на данъ</w:t>
            </w:r>
            <w:r>
              <w:rPr>
                <w:rFonts w:ascii="Times New Roman" w:eastAsiaTheme="majorEastAsia" w:hAnsi="Times New Roman"/>
                <w:b w:val="0"/>
                <w:noProof/>
                <w:sz w:val="24"/>
              </w:rPr>
              <w:t xml:space="preserve">чното облагане (например облагане на ресурсите и замърсяването), екологосъобразни обществени поръчки, интелигентни градове, интернет на предметите, отворена и справедлива търговия. </w:t>
            </w:r>
          </w:p>
        </w:tc>
      </w:tr>
      <w:tr w:rsidR="00467251" w:rsidTr="004672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Традиционни/консервативни модели на п</w:t>
            </w:r>
            <w:r>
              <w:rPr>
                <w:rFonts w:ascii="Times New Roman" w:hAnsi="Times New Roman"/>
                <w:b w:val="0"/>
                <w:noProof/>
                <w:sz w:val="24"/>
              </w:rPr>
              <w:t>отребление и производство, съпротива от страна на сектори/региони, които губят традиционните си икономически дейности, бавна промяна на нормативната уредба, липса на финансови стимули.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right w:val="none" w:sz="0" w:space="0" w:color="auto"/>
            </w:tcBorders>
            <w:shd w:val="clear" w:color="auto" w:fill="CC9900"/>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bottom w:val="none" w:sz="0" w:space="0" w:color="auto"/>
              <w:right w:val="none" w:sz="0" w:space="0" w:color="auto"/>
            </w:tcBorders>
          </w:tcPr>
          <w:p w:rsidR="00467251" w:rsidRDefault="00E55EA0">
            <w:pPr>
              <w:jc w:val="both"/>
              <w:rPr>
                <w:rFonts w:ascii="Times New Roman" w:hAnsi="Times New Roman" w:cs="Times New Roman"/>
                <w:b w:val="0"/>
                <w:noProof/>
                <w:sz w:val="24"/>
                <w:szCs w:val="24"/>
              </w:rPr>
            </w:pPr>
            <w:r>
              <w:rPr>
                <w:rFonts w:ascii="Times New Roman" w:eastAsiaTheme="majorEastAsia" w:hAnsi="Times New Roman"/>
                <w:i/>
                <w:noProof/>
                <w:sz w:val="24"/>
              </w:rPr>
              <w:t>ЕС на международно равнище:</w:t>
            </w:r>
            <w:r>
              <w:rPr>
                <w:rFonts w:ascii="Times New Roman" w:eastAsiaTheme="majorEastAsia" w:hAnsi="Times New Roman"/>
                <w:noProof/>
                <w:sz w:val="24"/>
              </w:rPr>
              <w:t xml:space="preserve"> н</w:t>
            </w:r>
            <w:r>
              <w:rPr>
                <w:rFonts w:ascii="Times New Roman" w:hAnsi="Times New Roman"/>
                <w:b w:val="0"/>
                <w:noProof/>
                <w:sz w:val="24"/>
              </w:rPr>
              <w:t xml:space="preserve">а международно </w:t>
            </w:r>
            <w:r>
              <w:rPr>
                <w:rFonts w:ascii="Times New Roman" w:hAnsi="Times New Roman"/>
                <w:b w:val="0"/>
                <w:noProof/>
                <w:sz w:val="24"/>
              </w:rPr>
              <w:t>равнище ЕС осъществява водещата инициатива SWITCH to green, която обединява правителства и заинтересовани страни от ЕС и от страните партньори и се съсредоточава върху възприемането от страна на частния сектор на практики за устойчиво потребление и произво</w:t>
            </w:r>
            <w:r>
              <w:rPr>
                <w:rFonts w:ascii="Times New Roman" w:hAnsi="Times New Roman"/>
                <w:b w:val="0"/>
                <w:noProof/>
                <w:sz w:val="24"/>
              </w:rPr>
              <w:t>дство.</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равнище ЕС:</w:t>
            </w:r>
            <w:r>
              <w:rPr>
                <w:rFonts w:ascii="Times New Roman" w:hAnsi="Times New Roman"/>
                <w:noProof/>
                <w:color w:val="404040"/>
                <w:sz w:val="24"/>
              </w:rPr>
              <w:t xml:space="preserve"> </w:t>
            </w:r>
            <w:r>
              <w:rPr>
                <w:rFonts w:ascii="Times New Roman" w:hAnsi="Times New Roman"/>
                <w:b w:val="0"/>
                <w:noProof/>
                <w:sz w:val="24"/>
              </w:rPr>
              <w:t>през 2018 г. бяха приети нови правила на ЕС относно отпадъците с цел до 2030 г. всички държави членки да използват повторно или да рециклират 60 % от битовите отпадъци и 70 % от отпадъците от опаковки, както и да намалят депонирането на отпадъци до под 10 </w:t>
            </w:r>
            <w:r>
              <w:rPr>
                <w:rFonts w:ascii="Times New Roman" w:hAnsi="Times New Roman"/>
                <w:b w:val="0"/>
                <w:noProof/>
                <w:sz w:val="24"/>
              </w:rPr>
              <w:t xml:space="preserve">% до 2035 г. За пръв път новите правила за отпадъците изискват от държавите членки да приемат конкретни програми за предотвратяване на разхищението на храни и да намалят, наблюдават и докладват за нивата на разхищение на храни. </w:t>
            </w:r>
          </w:p>
          <w:p w:rsidR="00467251" w:rsidRDefault="00467251">
            <w:pPr>
              <w:jc w:val="both"/>
              <w:rPr>
                <w:rFonts w:ascii="Times New Roman" w:hAnsi="Times New Roman" w:cs="Times New Roman"/>
                <w:b w:val="0"/>
                <w:noProof/>
                <w:sz w:val="24"/>
                <w:szCs w:val="24"/>
              </w:rPr>
            </w:pPr>
          </w:p>
          <w:p w:rsidR="00467251" w:rsidRDefault="00E55EA0">
            <w:pPr>
              <w:pStyle w:val="NormalWeb"/>
              <w:jc w:val="both"/>
              <w:rPr>
                <w:rFonts w:eastAsiaTheme="minorHAnsi"/>
                <w:b w:val="0"/>
                <w:noProof/>
              </w:rPr>
            </w:pPr>
            <w:r>
              <w:rPr>
                <w:i/>
                <w:noProof/>
              </w:rPr>
              <w:t>На равнище държави членки:</w:t>
            </w:r>
            <w:r>
              <w:rPr>
                <w:noProof/>
              </w:rPr>
              <w:t xml:space="preserve"> </w:t>
            </w:r>
            <w:r>
              <w:rPr>
                <w:rFonts w:eastAsiaTheme="minorHAnsi"/>
                <w:b w:val="0"/>
                <w:noProof/>
              </w:rPr>
              <w:t>неотдавнашно нормативно предложение в Швеция намалява данъка върху добавената стойност (ДДС), начисяван върху ремонтните дейности, и предоставя данъчни облекчения за разходите за труд за ремонтите. Мярката ще намали разходите на потребителите за ремонт на</w:t>
            </w:r>
            <w:r>
              <w:rPr>
                <w:rFonts w:eastAsiaTheme="minorHAnsi"/>
                <w:b w:val="0"/>
                <w:noProof/>
              </w:rPr>
              <w:t xml:space="preserve"> уредите и ще ги насърчи да изберат по-скоро да ремонтират уредите си, вместо да ги изхвърлят и да купуват нови.</w:t>
            </w: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регионално/местно равнище:</w:t>
            </w:r>
            <w:r>
              <w:rPr>
                <w:rFonts w:ascii="Times New Roman" w:hAnsi="Times New Roman"/>
                <w:b w:val="0"/>
                <w:noProof/>
                <w:sz w:val="24"/>
              </w:rPr>
              <w:t xml:space="preserve"> с помощта на фондовете на ЕС Любляна въведе интегрирана система за отпадъци, обхващаща 37 общини, с регионален це</w:t>
            </w:r>
            <w:r>
              <w:rPr>
                <w:rFonts w:ascii="Times New Roman" w:hAnsi="Times New Roman"/>
                <w:b w:val="0"/>
                <w:noProof/>
                <w:sz w:val="24"/>
              </w:rPr>
              <w:t>нтър за управление на отпадъците. От присъединяването на Словения към ЕС нейната столица увеличи разделното събиране и рециклирането и намали количеството отпадъци за депониране с 59 %. Тя инвестира също и в предотвратяване на генерирането на отпадъци и по</w:t>
            </w:r>
            <w:r>
              <w:rPr>
                <w:rFonts w:ascii="Times New Roman" w:hAnsi="Times New Roman"/>
                <w:b w:val="0"/>
                <w:noProof/>
                <w:sz w:val="24"/>
              </w:rPr>
              <w:t>вторната им употреба. Любляна вече генерира 41 % по-малко отпадъци на глава от населението в сравнение със средната стойност за Европа и взе решение да не изгражда две нови първоначално предвидени инсталации за изгаряне.</w:t>
            </w:r>
          </w:p>
          <w:p w:rsidR="00467251" w:rsidRDefault="00467251">
            <w:pPr>
              <w:jc w:val="both"/>
              <w:rPr>
                <w:rFonts w:ascii="Times New Roman" w:hAnsi="Times New Roman" w:cs="Times New Roman"/>
                <w:b w:val="0"/>
                <w:noProof/>
                <w:sz w:val="24"/>
                <w:szCs w:val="24"/>
              </w:rPr>
            </w:pPr>
          </w:p>
          <w:p w:rsidR="00467251" w:rsidRDefault="00E55EA0">
            <w:pPr>
              <w:pStyle w:val="NormalWeb"/>
              <w:jc w:val="both"/>
              <w:rPr>
                <w:b w:val="0"/>
                <w:noProof/>
              </w:rPr>
            </w:pPr>
            <w:r>
              <w:rPr>
                <w:i/>
                <w:noProof/>
              </w:rPr>
              <w:t>На равнище предприятия:</w:t>
            </w:r>
            <w:r>
              <w:rPr>
                <w:noProof/>
              </w:rPr>
              <w:t xml:space="preserve"> </w:t>
            </w:r>
            <w:r>
              <w:rPr>
                <w:b w:val="0"/>
                <w:noProof/>
              </w:rPr>
              <w:t xml:space="preserve">в рамките </w:t>
            </w:r>
            <w:r>
              <w:rPr>
                <w:b w:val="0"/>
                <w:noProof/>
              </w:rPr>
              <w:t>на 20 години UMICORE се превърна от белгийско минно дружество за цветни метали в световна група за технология на материалите и рециклиране с 10 000 души персонал и оборот от 10,4 милиарда евро и инвестиции в Белгия, България, Нидерландия и Франция. Дружест</w:t>
            </w:r>
            <w:r>
              <w:rPr>
                <w:b w:val="0"/>
                <w:noProof/>
              </w:rPr>
              <w:t>вото следва модела на кръговата икономика, като събира ценни метали и основни суровини от отпадъците от електрическо и електронно оборудване.</w:t>
            </w:r>
          </w:p>
          <w:p w:rsidR="00467251" w:rsidRDefault="00E55EA0">
            <w:pPr>
              <w:pStyle w:val="NormalWeb"/>
              <w:jc w:val="both"/>
              <w:rPr>
                <w:b w:val="0"/>
                <w:noProof/>
              </w:rPr>
            </w:pPr>
            <w:r>
              <w:rPr>
                <w:i/>
                <w:noProof/>
              </w:rPr>
              <w:t>На равнище гражданско общество:</w:t>
            </w:r>
            <w:r>
              <w:rPr>
                <w:b w:val="0"/>
                <w:noProof/>
              </w:rPr>
              <w:t xml:space="preserve"> заедно със своите членове Европейската федерация на хранителните банки предостави </w:t>
            </w:r>
            <w:r>
              <w:rPr>
                <w:b w:val="0"/>
                <w:noProof/>
              </w:rPr>
              <w:t>през 2017 г. на 44 700 организации за благотворителност на първа линия 4,1 милиона порции храна в полза на 8,1 милиона души. Това се прави в тясно сътрудничество със стопанските субекти в областта на храните, за да се запазят храни, които в противен случай</w:t>
            </w:r>
            <w:r>
              <w:rPr>
                <w:b w:val="0"/>
                <w:noProof/>
              </w:rPr>
              <w:t xml:space="preserve"> биха били изхабени, и да бъдат предоставени на хората в нужда.</w:t>
            </w:r>
          </w:p>
        </w:tc>
      </w:tr>
    </w:tbl>
    <w:tbl>
      <w:tblPr>
        <w:tblStyle w:val="TableGrid"/>
        <w:tblW w:w="0" w:type="auto"/>
        <w:tblLook w:val="04A0" w:firstRow="1" w:lastRow="0" w:firstColumn="1" w:lastColumn="0" w:noHBand="0" w:noVBand="1"/>
      </w:tblPr>
      <w:tblGrid>
        <w:gridCol w:w="1526"/>
        <w:gridCol w:w="7762"/>
      </w:tblGrid>
      <w:tr w:rsidR="00467251">
        <w:tc>
          <w:tcPr>
            <w:tcW w:w="1526" w:type="dxa"/>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88400" cy="792000"/>
                  <wp:effectExtent l="0" t="0" r="0" b="8255"/>
                  <wp:docPr id="28677" name="Picture 28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88400" cy="792000"/>
                          </a:xfrm>
                          <a:prstGeom prst="rect">
                            <a:avLst/>
                          </a:prstGeom>
                          <a:noFill/>
                          <a:ln>
                            <a:noFill/>
                          </a:ln>
                        </pic:spPr>
                      </pic:pic>
                    </a:graphicData>
                  </a:graphic>
                </wp:inline>
              </w:drawing>
            </w:r>
          </w:p>
        </w:tc>
        <w:tc>
          <w:tcPr>
            <w:tcW w:w="7762" w:type="dxa"/>
          </w:tcPr>
          <w:p w:rsidR="00467251" w:rsidRDefault="00E55EA0">
            <w:pPr>
              <w:jc w:val="both"/>
              <w:rPr>
                <w:rFonts w:ascii="Times New Roman" w:hAnsi="Times New Roman" w:cs="Times New Roman"/>
                <w:b/>
                <w:noProof/>
                <w:sz w:val="24"/>
                <w:szCs w:val="24"/>
              </w:rPr>
            </w:pPr>
            <w:r>
              <w:rPr>
                <w:rFonts w:ascii="Times New Roman" w:hAnsi="Times New Roman"/>
                <w:b/>
                <w:noProof/>
                <w:sz w:val="24"/>
              </w:rPr>
              <w:t>Предприемане на спешни действия за борба с изменението на климата и въздействието от него</w:t>
            </w:r>
          </w:p>
          <w:p w:rsidR="00467251" w:rsidRDefault="00467251">
            <w:pPr>
              <w:rPr>
                <w:rFonts w:ascii="Times New Roman" w:hAnsi="Times New Roman" w:cs="Times New Roman"/>
                <w:noProof/>
                <w:sz w:val="24"/>
                <w:szCs w:val="24"/>
              </w:rPr>
            </w:pPr>
          </w:p>
        </w:tc>
      </w:tr>
    </w:tbl>
    <w:tbl>
      <w:tblPr>
        <w:tblStyle w:val="ListTable3-Accent2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9180"/>
        <w:gridCol w:w="108"/>
      </w:tblGrid>
      <w:tr w:rsidR="00467251" w:rsidTr="00467251">
        <w:trPr>
          <w:gridBefore w:val="1"/>
          <w:cnfStyle w:val="100000000000" w:firstRow="1" w:lastRow="0" w:firstColumn="0" w:lastColumn="0" w:oddVBand="0" w:evenVBand="0" w:oddHBand="0" w:evenHBand="0" w:firstRowFirstColumn="0" w:firstRowLastColumn="0" w:lastRowFirstColumn="0" w:lastRowLastColumn="0"/>
          <w:wBefore w:w="34" w:type="dxa"/>
        </w:trPr>
        <w:tc>
          <w:tcPr>
            <w:cnfStyle w:val="001000000100" w:firstRow="0" w:lastRow="0" w:firstColumn="1" w:lastColumn="0" w:oddVBand="0" w:evenVBand="0" w:oddHBand="0" w:evenHBand="0" w:firstRowFirstColumn="1" w:firstRowLastColumn="0" w:lastRowFirstColumn="0" w:lastRowLastColumn="0"/>
            <w:tcW w:w="9288" w:type="dxa"/>
            <w:gridSpan w:val="2"/>
            <w:tcBorders>
              <w:bottom w:val="single" w:sz="4" w:space="0" w:color="auto"/>
            </w:tcBorders>
            <w:shd w:val="clear" w:color="auto" w:fill="006600"/>
          </w:tcPr>
          <w:p w:rsidR="00467251" w:rsidRDefault="00E55EA0">
            <w:pPr>
              <w:jc w:val="center"/>
              <w:rPr>
                <w:rFonts w:ascii="Times New Roman" w:hAnsi="Times New Roman" w:cs="Times New Roman"/>
                <w:noProof/>
                <w:color w:val="auto"/>
                <w:sz w:val="24"/>
                <w:szCs w:val="24"/>
              </w:rPr>
            </w:pPr>
            <w:r>
              <w:rPr>
                <w:rFonts w:ascii="Times New Roman" w:hAnsi="Times New Roman"/>
                <w:noProof/>
                <w:color w:val="auto"/>
                <w:sz w:val="24"/>
              </w:rPr>
              <w:t>Европейският съюз днес</w:t>
            </w:r>
          </w:p>
        </w:tc>
      </w:tr>
      <w:tr w:rsidR="00467251" w:rsidTr="00467251">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rsidR="00467251" w:rsidRDefault="00E55EA0">
            <w:pPr>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Кратък преглед</w:t>
            </w:r>
          </w:p>
          <w:p w:rsidR="00467251" w:rsidRDefault="00E55EA0">
            <w:pPr>
              <w:shd w:val="clear" w:color="auto" w:fill="FFFFFF"/>
              <w:jc w:val="both"/>
              <w:rPr>
                <w:rFonts w:ascii="Times New Roman" w:hAnsi="Times New Roman" w:cs="Times New Roman"/>
                <w:b w:val="0"/>
                <w:noProof/>
                <w:sz w:val="24"/>
                <w:szCs w:val="24"/>
              </w:rPr>
            </w:pPr>
            <w:r>
              <w:rPr>
                <w:rFonts w:ascii="Times New Roman" w:hAnsi="Times New Roman"/>
                <w:b w:val="0"/>
                <w:noProof/>
                <w:sz w:val="24"/>
              </w:rPr>
              <w:t>Изменението на климата е едно от най-големите глобални предизвикателства на нашето поколение. Борбата с изменението на климата налага предприемането на глобални действия за намаляване на емисиите на парникови газове в света. ЕС е в челните редици на междун</w:t>
            </w:r>
            <w:r>
              <w:rPr>
                <w:rFonts w:ascii="Times New Roman" w:hAnsi="Times New Roman"/>
                <w:b w:val="0"/>
                <w:noProof/>
                <w:sz w:val="24"/>
              </w:rPr>
              <w:t>ародните усилия за постигане на глобално споразумение по въпросите на климата. Международната общност, включително ЕС, пое ангажимент за ограничаване на повишаването на температурата в световен мащаб далеч под 2 °C над равнищата от прединдустриалния период</w:t>
            </w:r>
            <w:r>
              <w:rPr>
                <w:rFonts w:ascii="Times New Roman" w:hAnsi="Times New Roman"/>
                <w:b w:val="0"/>
                <w:noProof/>
                <w:sz w:val="24"/>
              </w:rPr>
              <w:t xml:space="preserve"> и продължава да полага усилия за ограничаване на повишаването до 1,5 °C. Тези цели, подкрепени от научните изследвания като част от Междуправителствения комитет по изменение на климата, са залегнали в Парижкото споразумение. ЕС пое ангажимент да намали св</w:t>
            </w:r>
            <w:r>
              <w:rPr>
                <w:rFonts w:ascii="Times New Roman" w:hAnsi="Times New Roman"/>
                <w:b w:val="0"/>
                <w:noProof/>
                <w:sz w:val="24"/>
              </w:rPr>
              <w:t>оите емисии на парникови газове с 20 % до 2020 г. и най-малко с 40 % до 2030 г. (спрямо нивата от 1990 г.) ЕС е на път да изпълни целта си за намаляване на емисиите за 2020 г. и въведе законодателство, което да спомогне за постигане на целта за 2030 г., вк</w:t>
            </w:r>
            <w:r>
              <w:rPr>
                <w:rFonts w:ascii="Times New Roman" w:hAnsi="Times New Roman"/>
                <w:b w:val="0"/>
                <w:noProof/>
                <w:sz w:val="24"/>
              </w:rPr>
              <w:t xml:space="preserve">лючително амбициозно законодателство в областта на енергийната ефективност и възобновяемите енергийни източници. От 2013 г. насам </w:t>
            </w:r>
            <w:hyperlink r:id="rId100">
              <w:r>
                <w:rPr>
                  <w:rFonts w:ascii="Times New Roman" w:hAnsi="Times New Roman"/>
                  <w:b w:val="0"/>
                  <w:noProof/>
                  <w:sz w:val="24"/>
                  <w:u w:color="000000"/>
                  <w:bdr w:val="nil"/>
                </w:rPr>
                <w:t>Стратегията на ЕС за адаптация към изменението на кл</w:t>
              </w:r>
              <w:r>
                <w:rPr>
                  <w:rFonts w:ascii="Times New Roman" w:hAnsi="Times New Roman"/>
                  <w:b w:val="0"/>
                  <w:noProof/>
                  <w:sz w:val="24"/>
                  <w:u w:color="000000"/>
                  <w:bdr w:val="nil"/>
                </w:rPr>
                <w:t>имата</w:t>
              </w:r>
            </w:hyperlink>
            <w:r>
              <w:rPr>
                <w:rFonts w:ascii="Times New Roman" w:hAnsi="Times New Roman"/>
                <w:b w:val="0"/>
                <w:noProof/>
                <w:sz w:val="24"/>
                <w:u w:color="000000"/>
                <w:bdr w:val="nil"/>
              </w:rPr>
              <w:t xml:space="preserve"> подкрепя действията за повишаване на устойчивостта на ЕС спрямо изменението на климата. Но ЕС трябва да продължи напред към изпълнение на Парижкото споразумение и значително да намали своята зависимост от изкопаеми горива, които все още са значително</w:t>
            </w:r>
            <w:r>
              <w:rPr>
                <w:rFonts w:ascii="Times New Roman" w:hAnsi="Times New Roman"/>
                <w:b w:val="0"/>
                <w:noProof/>
                <w:sz w:val="24"/>
                <w:u w:color="000000"/>
                <w:bdr w:val="nil"/>
              </w:rPr>
              <w:t xml:space="preserve"> субсидирани. През ноември 2018 г. Комисията представи своята дългосрочна визия за просперираща, модерна, конкурентоспособна и неутрална по отношение на климата икономика до 2050 г. В нея се подчертава, че всички сектори и политики следва да допринасят за </w:t>
            </w:r>
            <w:r>
              <w:rPr>
                <w:rFonts w:ascii="Times New Roman" w:hAnsi="Times New Roman"/>
                <w:b w:val="0"/>
                <w:noProof/>
                <w:sz w:val="24"/>
                <w:u w:color="000000"/>
                <w:bdr w:val="nil"/>
              </w:rPr>
              <w:t>осъществяването на този преход. На международно ниво</w:t>
            </w:r>
            <w:r>
              <w:rPr>
                <w:rFonts w:ascii="Times New Roman" w:hAnsi="Times New Roman"/>
                <w:b w:val="0"/>
                <w:noProof/>
                <w:sz w:val="24"/>
              </w:rPr>
              <w:t xml:space="preserve"> европейските </w:t>
            </w:r>
            <w:r>
              <w:rPr>
                <w:rFonts w:ascii="Times New Roman" w:hAnsi="Times New Roman"/>
                <w:b w:val="0"/>
                <w:noProof/>
                <w:sz w:val="24"/>
                <w:u w:color="000000"/>
                <w:bdr w:val="nil"/>
              </w:rPr>
              <w:t>политики в областта на външната дейност и сигурността, развитието, разширяването и съседството активно интегрират целите, свързани с климата</w:t>
            </w:r>
            <w:r>
              <w:rPr>
                <w:rFonts w:ascii="Times New Roman" w:hAnsi="Times New Roman"/>
                <w:b w:val="0"/>
                <w:noProof/>
                <w:sz w:val="24"/>
              </w:rPr>
              <w:t xml:space="preserve">. Борбата с изменението на климата е включена и в </w:t>
            </w:r>
            <w:r>
              <w:rPr>
                <w:rFonts w:ascii="Times New Roman" w:hAnsi="Times New Roman"/>
                <w:b w:val="0"/>
                <w:noProof/>
                <w:sz w:val="24"/>
              </w:rPr>
              <w:t>главите за търговия и устойчиво развитие на новото поколение търговски и инвестиционни споразумения на ЕС, както и представлява неразделна част от позициите на ЕС в рамките на Г-20, водещ форум на най-големите икономики в света.</w:t>
            </w:r>
          </w:p>
        </w:tc>
      </w:tr>
      <w:tr w:rsidR="00467251" w:rsidTr="00467251">
        <w:trPr>
          <w:gridBefore w:val="1"/>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right w:val="single" w:sz="4" w:space="0" w:color="auto"/>
            </w:tcBorders>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BodyA"/>
              <w:numPr>
                <w:ilvl w:val="0"/>
                <w:numId w:val="11"/>
              </w:numPr>
              <w:jc w:val="both"/>
              <w:rPr>
                <w:rFonts w:ascii="Times New Roman" w:eastAsiaTheme="minorHAnsi" w:hAnsi="Times New Roman" w:cs="Times New Roman"/>
                <w:b w:val="0"/>
                <w:bCs w:val="0"/>
                <w:noProof/>
                <w:color w:val="auto"/>
                <w:sz w:val="24"/>
                <w:szCs w:val="24"/>
                <w:bdr w:val="none" w:sz="0" w:space="0" w:color="auto"/>
              </w:rPr>
            </w:pPr>
            <w:r>
              <w:rPr>
                <w:rFonts w:ascii="Times New Roman" w:eastAsiaTheme="minorHAnsi" w:hAnsi="Times New Roman"/>
                <w:b w:val="0"/>
                <w:noProof/>
                <w:color w:val="auto"/>
                <w:sz w:val="24"/>
                <w:bdr w:val="none" w:sz="0" w:space="0" w:color="auto"/>
              </w:rPr>
              <w:t>ЕС прод</w:t>
            </w:r>
            <w:r>
              <w:rPr>
                <w:rFonts w:ascii="Times New Roman" w:eastAsiaTheme="minorHAnsi" w:hAnsi="Times New Roman"/>
                <w:b w:val="0"/>
                <w:noProof/>
                <w:color w:val="auto"/>
                <w:sz w:val="24"/>
                <w:bdr w:val="none" w:sz="0" w:space="0" w:color="auto"/>
              </w:rPr>
              <w:t>ължава да бележи успех</w:t>
            </w:r>
            <w:r>
              <w:rPr>
                <w:rFonts w:ascii="Times New Roman" w:eastAsiaTheme="minorHAnsi" w:hAnsi="Times New Roman"/>
                <w:noProof/>
                <w:color w:val="auto"/>
                <w:sz w:val="24"/>
                <w:bdr w:val="none" w:sz="0" w:space="0" w:color="auto"/>
              </w:rPr>
              <w:t xml:space="preserve"> </w:t>
            </w:r>
            <w:r>
              <w:rPr>
                <w:rFonts w:ascii="Times New Roman" w:eastAsiaTheme="minorHAnsi" w:hAnsi="Times New Roman"/>
                <w:b w:val="0"/>
                <w:noProof/>
                <w:color w:val="auto"/>
                <w:sz w:val="24"/>
                <w:bdr w:val="none" w:sz="0" w:space="0" w:color="auto"/>
              </w:rPr>
              <w:t>в</w:t>
            </w:r>
            <w:r>
              <w:rPr>
                <w:rFonts w:ascii="Times New Roman" w:eastAsiaTheme="minorHAnsi" w:hAnsi="Times New Roman"/>
                <w:noProof/>
                <w:color w:val="auto"/>
                <w:sz w:val="24"/>
                <w:bdr w:val="none" w:sz="0" w:space="0" w:color="auto"/>
              </w:rPr>
              <w:t xml:space="preserve"> прекъсването на връзката между икономическия растеж и емисиите на парникови газове</w:t>
            </w:r>
            <w:r>
              <w:rPr>
                <w:rFonts w:ascii="Times New Roman" w:eastAsiaTheme="minorHAnsi" w:hAnsi="Times New Roman"/>
                <w:b w:val="0"/>
                <w:noProof/>
                <w:color w:val="auto"/>
                <w:sz w:val="24"/>
                <w:bdr w:val="none" w:sz="0" w:space="0" w:color="auto"/>
              </w:rPr>
              <w:t xml:space="preserve">: между 1990 г. и 2017 г. общият брутен вътрешен продукт на ЕС нарасна с 58 %, докато общите емисии на парникови газове намаляха с 22 % в сравнение с равнищата от 1990 г. </w:t>
            </w:r>
            <w:r>
              <w:rPr>
                <w:rFonts w:ascii="Times New Roman" w:hAnsi="Times New Roman"/>
                <w:b w:val="0"/>
                <w:noProof/>
                <w:color w:val="auto"/>
                <w:sz w:val="24"/>
              </w:rPr>
              <w:t>На равнището на държавите членки съществуват значителни различия по отношение на тенд</w:t>
            </w:r>
            <w:r>
              <w:rPr>
                <w:rFonts w:ascii="Times New Roman" w:hAnsi="Times New Roman"/>
                <w:b w:val="0"/>
                <w:noProof/>
                <w:color w:val="auto"/>
                <w:sz w:val="24"/>
              </w:rPr>
              <w:t xml:space="preserve">енциите при емисиите на парникови газове от 1990 г. насам, като някои държави членки успяха да намалят своите емисии с почти 60 %, а няколко държави членки увеличиха емисиите си. </w:t>
            </w:r>
          </w:p>
          <w:p w:rsidR="00467251" w:rsidRDefault="00E55EA0">
            <w:pPr>
              <w:pStyle w:val="BodyA"/>
              <w:numPr>
                <w:ilvl w:val="0"/>
                <w:numId w:val="11"/>
              </w:numPr>
              <w:jc w:val="both"/>
              <w:rPr>
                <w:rFonts w:ascii="Times New Roman" w:hAnsi="Times New Roman" w:cs="Times New Roman"/>
                <w:noProof/>
                <w:color w:val="auto"/>
                <w:sz w:val="24"/>
                <w:szCs w:val="24"/>
              </w:rPr>
            </w:pPr>
            <w:r>
              <w:rPr>
                <w:rFonts w:ascii="Times New Roman" w:hAnsi="Times New Roman"/>
                <w:noProof/>
                <w:color w:val="auto"/>
                <w:sz w:val="24"/>
              </w:rPr>
              <w:t>Интензитетът на парникови газове при потреблението на енергия</w:t>
            </w:r>
            <w:r>
              <w:rPr>
                <w:rFonts w:ascii="Times New Roman" w:hAnsi="Times New Roman"/>
                <w:b w:val="0"/>
                <w:noProof/>
                <w:color w:val="auto"/>
                <w:sz w:val="24"/>
              </w:rPr>
              <w:t xml:space="preserve"> — емисиите за </w:t>
            </w:r>
            <w:r>
              <w:rPr>
                <w:rFonts w:ascii="Times New Roman" w:hAnsi="Times New Roman"/>
                <w:b w:val="0"/>
                <w:noProof/>
                <w:color w:val="auto"/>
                <w:sz w:val="24"/>
              </w:rPr>
              <w:t>единица консумирана енергия — намаля с 12,1 % между 2000 г. и 2016 г.</w:t>
            </w:r>
          </w:p>
          <w:p w:rsidR="00467251" w:rsidRDefault="00E55EA0">
            <w:pPr>
              <w:pStyle w:val="BodyA"/>
              <w:numPr>
                <w:ilvl w:val="0"/>
                <w:numId w:val="11"/>
              </w:numPr>
              <w:jc w:val="both"/>
              <w:rPr>
                <w:rFonts w:ascii="Times New Roman" w:hAnsi="Times New Roman" w:cs="Times New Roman"/>
                <w:b w:val="0"/>
                <w:noProof/>
                <w:color w:val="auto"/>
                <w:sz w:val="24"/>
                <w:szCs w:val="24"/>
              </w:rPr>
            </w:pPr>
            <w:r>
              <w:rPr>
                <w:rFonts w:ascii="Times New Roman" w:hAnsi="Times New Roman"/>
                <w:b w:val="0"/>
                <w:noProof/>
                <w:color w:val="auto"/>
                <w:sz w:val="24"/>
              </w:rPr>
              <w:t xml:space="preserve">ЕС се стреми да постигне своята </w:t>
            </w:r>
            <w:r>
              <w:rPr>
                <w:rFonts w:ascii="Times New Roman" w:hAnsi="Times New Roman"/>
                <w:noProof/>
                <w:color w:val="auto"/>
                <w:sz w:val="24"/>
              </w:rPr>
              <w:t>цел за енергийна ефективност от 20 %</w:t>
            </w:r>
            <w:r>
              <w:rPr>
                <w:rFonts w:ascii="Times New Roman" w:hAnsi="Times New Roman"/>
                <w:b w:val="0"/>
                <w:noProof/>
                <w:color w:val="auto"/>
                <w:sz w:val="24"/>
              </w:rPr>
              <w:t xml:space="preserve"> до 2020 г. Между 2005 г. и 2016 г. първичното енергопотребление в ЕС спадна с 9,9 %, а крайното енергопотребление — с</w:t>
            </w:r>
            <w:r>
              <w:rPr>
                <w:rFonts w:ascii="Times New Roman" w:hAnsi="Times New Roman"/>
                <w:b w:val="0"/>
                <w:noProof/>
                <w:color w:val="auto"/>
                <w:sz w:val="24"/>
              </w:rPr>
              <w:t>ъс 7,1 %. В периода 1980—2016 г.</w:t>
            </w:r>
            <w:r>
              <w:rPr>
                <w:rFonts w:ascii="Times New Roman" w:hAnsi="Times New Roman"/>
                <w:noProof/>
                <w:color w:val="auto"/>
                <w:sz w:val="24"/>
              </w:rPr>
              <w:t xml:space="preserve"> загубите</w:t>
            </w:r>
            <w:r>
              <w:rPr>
                <w:rFonts w:ascii="Times New Roman" w:hAnsi="Times New Roman"/>
                <w:b w:val="0"/>
                <w:noProof/>
                <w:color w:val="auto"/>
                <w:sz w:val="24"/>
              </w:rPr>
              <w:t xml:space="preserve"> </w:t>
            </w:r>
            <w:r>
              <w:rPr>
                <w:rFonts w:ascii="Times New Roman" w:hAnsi="Times New Roman"/>
                <w:noProof/>
                <w:color w:val="auto"/>
                <w:sz w:val="24"/>
              </w:rPr>
              <w:t>за държавите членки,</w:t>
            </w:r>
            <w:r>
              <w:rPr>
                <w:rFonts w:ascii="Times New Roman" w:hAnsi="Times New Roman"/>
                <w:b w:val="0"/>
                <w:noProof/>
                <w:color w:val="auto"/>
                <w:sz w:val="24"/>
              </w:rPr>
              <w:t xml:space="preserve"> </w:t>
            </w:r>
            <w:r>
              <w:rPr>
                <w:rFonts w:ascii="Times New Roman" w:hAnsi="Times New Roman"/>
                <w:noProof/>
                <w:color w:val="auto"/>
                <w:sz w:val="24"/>
              </w:rPr>
              <w:t>свързани с метеорологичното време и изменението на климата</w:t>
            </w:r>
            <w:r>
              <w:rPr>
                <w:rFonts w:ascii="Times New Roman" w:hAnsi="Times New Roman"/>
                <w:b w:val="0"/>
                <w:noProof/>
                <w:color w:val="auto"/>
                <w:sz w:val="24"/>
              </w:rPr>
              <w:t xml:space="preserve">, възлизаха на общо 410 милиарда евро при стойности от 2016 г. </w:t>
            </w:r>
          </w:p>
          <w:p w:rsidR="00467251" w:rsidRDefault="00E55EA0">
            <w:pPr>
              <w:pStyle w:val="BodyA"/>
              <w:numPr>
                <w:ilvl w:val="0"/>
                <w:numId w:val="11"/>
              </w:numPr>
              <w:jc w:val="both"/>
              <w:rPr>
                <w:rFonts w:ascii="Times New Roman" w:hAnsi="Times New Roman" w:cs="Times New Roman"/>
                <w:b w:val="0"/>
                <w:noProof/>
                <w:color w:val="auto"/>
                <w:sz w:val="24"/>
                <w:szCs w:val="24"/>
              </w:rPr>
            </w:pPr>
            <w:r>
              <w:rPr>
                <w:rFonts w:ascii="Times New Roman" w:hAnsi="Times New Roman"/>
                <w:b w:val="0"/>
                <w:noProof/>
                <w:color w:val="auto"/>
                <w:sz w:val="24"/>
              </w:rPr>
              <w:t>Субсидиите за изкопаемите горива остават високи. По изчисления между 20</w:t>
            </w:r>
            <w:r>
              <w:rPr>
                <w:rFonts w:ascii="Times New Roman" w:hAnsi="Times New Roman"/>
                <w:b w:val="0"/>
                <w:noProof/>
                <w:color w:val="auto"/>
                <w:sz w:val="24"/>
              </w:rPr>
              <w:t>14 г. и 2016 г. в ЕС годишно са били отделяни около 112 милиарда евро годишно за производството и потреблението на изкопаеми горива.</w:t>
            </w:r>
          </w:p>
          <w:p w:rsidR="00467251" w:rsidRDefault="00E55EA0">
            <w:pPr>
              <w:pStyle w:val="BodyA"/>
              <w:numPr>
                <w:ilvl w:val="0"/>
                <w:numId w:val="11"/>
              </w:numPr>
              <w:jc w:val="both"/>
              <w:rPr>
                <w:rFonts w:ascii="Times New Roman" w:hAnsi="Times New Roman" w:cs="Times New Roman"/>
                <w:b w:val="0"/>
                <w:bCs w:val="0"/>
                <w:noProof/>
                <w:color w:val="auto"/>
                <w:sz w:val="24"/>
                <w:szCs w:val="24"/>
              </w:rPr>
            </w:pPr>
            <w:r>
              <w:rPr>
                <w:rFonts w:ascii="Times New Roman" w:hAnsi="Times New Roman"/>
                <w:b w:val="0"/>
                <w:noProof/>
                <w:color w:val="auto"/>
                <w:sz w:val="24"/>
              </w:rPr>
              <w:t xml:space="preserve">В рамките на настоящия </w:t>
            </w:r>
            <w:r>
              <w:rPr>
                <w:rFonts w:ascii="Times New Roman" w:hAnsi="Times New Roman"/>
                <w:noProof/>
                <w:color w:val="auto"/>
                <w:sz w:val="24"/>
              </w:rPr>
              <w:t>европейски многогодишен бюджет</w:t>
            </w:r>
            <w:r>
              <w:rPr>
                <w:rFonts w:ascii="Times New Roman" w:hAnsi="Times New Roman"/>
                <w:b w:val="0"/>
                <w:noProof/>
                <w:color w:val="auto"/>
                <w:sz w:val="24"/>
              </w:rPr>
              <w:t xml:space="preserve"> за периода 2014—2020 г. ЕС е заложил обща цел от 20 % разходи, свърза</w:t>
            </w:r>
            <w:r>
              <w:rPr>
                <w:rFonts w:ascii="Times New Roman" w:hAnsi="Times New Roman"/>
                <w:b w:val="0"/>
                <w:noProof/>
                <w:color w:val="auto"/>
                <w:sz w:val="24"/>
              </w:rPr>
              <w:t>ни с климата, като предложи тази цел да бъде увеличена до най-малко 25 % през периода 2021—2027 г.</w:t>
            </w:r>
          </w:p>
          <w:p w:rsidR="00467251" w:rsidRDefault="00E55EA0">
            <w:pPr>
              <w:pStyle w:val="BodyA"/>
              <w:numPr>
                <w:ilvl w:val="0"/>
                <w:numId w:val="11"/>
              </w:numPr>
              <w:jc w:val="both"/>
              <w:rPr>
                <w:rFonts w:ascii="Times New Roman" w:hAnsi="Times New Roman" w:cs="Times New Roman"/>
                <w:b w:val="0"/>
                <w:bCs w:val="0"/>
                <w:noProof/>
                <w:color w:val="auto"/>
                <w:sz w:val="24"/>
                <w:szCs w:val="24"/>
              </w:rPr>
            </w:pPr>
            <w:r>
              <w:rPr>
                <w:rFonts w:ascii="Times New Roman" w:hAnsi="Times New Roman"/>
                <w:b w:val="0"/>
                <w:noProof/>
                <w:color w:val="auto"/>
                <w:sz w:val="24"/>
              </w:rPr>
              <w:t xml:space="preserve">Между 2013 и 2018 г. броят на държавите членки с национална </w:t>
            </w:r>
            <w:r>
              <w:rPr>
                <w:rFonts w:ascii="Times New Roman" w:hAnsi="Times New Roman"/>
                <w:noProof/>
                <w:color w:val="auto"/>
                <w:sz w:val="24"/>
              </w:rPr>
              <w:t>стратегия за адаптиране към изменението на климата</w:t>
            </w:r>
            <w:r>
              <w:rPr>
                <w:rFonts w:ascii="Times New Roman" w:hAnsi="Times New Roman"/>
                <w:b w:val="0"/>
                <w:noProof/>
                <w:color w:val="auto"/>
                <w:sz w:val="24"/>
              </w:rPr>
              <w:t xml:space="preserve"> се увеличи от 15 на 25, като работата в остана</w:t>
            </w:r>
            <w:r>
              <w:rPr>
                <w:rFonts w:ascii="Times New Roman" w:hAnsi="Times New Roman"/>
                <w:b w:val="0"/>
                <w:noProof/>
                <w:color w:val="auto"/>
                <w:sz w:val="24"/>
              </w:rPr>
              <w:t>лите държави членки е в ход. През 2018 г. за 26 % от всички градове в ЕС и 40 % от градовете с население над 150 000 души се считаше, че разполагат с местни планове за адаптиране.</w:t>
            </w:r>
            <w:r>
              <w:rPr>
                <w:rFonts w:ascii="Times New Roman" w:hAnsi="Times New Roman"/>
                <w:noProof/>
                <w:color w:val="auto"/>
                <w:sz w:val="24"/>
              </w:rPr>
              <w:t xml:space="preserve"> </w:t>
            </w:r>
          </w:p>
          <w:p w:rsidR="00467251" w:rsidRDefault="00E55EA0">
            <w:pPr>
              <w:pStyle w:val="BodyA"/>
              <w:numPr>
                <w:ilvl w:val="0"/>
                <w:numId w:val="11"/>
              </w:numPr>
              <w:jc w:val="both"/>
              <w:rPr>
                <w:rFonts w:ascii="Times New Roman" w:hAnsi="Times New Roman" w:cs="Times New Roman"/>
                <w:b w:val="0"/>
                <w:noProof/>
                <w:color w:val="auto"/>
                <w:sz w:val="24"/>
                <w:szCs w:val="24"/>
              </w:rPr>
            </w:pPr>
            <w:r>
              <w:rPr>
                <w:rFonts w:ascii="Times New Roman" w:hAnsi="Times New Roman"/>
                <w:b w:val="0"/>
                <w:noProof/>
                <w:color w:val="auto"/>
                <w:sz w:val="24"/>
              </w:rPr>
              <w:t xml:space="preserve">ЕС и неговите държави членки са </w:t>
            </w:r>
            <w:r>
              <w:rPr>
                <w:rFonts w:ascii="Times New Roman" w:hAnsi="Times New Roman"/>
                <w:noProof/>
                <w:color w:val="auto"/>
                <w:sz w:val="24"/>
              </w:rPr>
              <w:t xml:space="preserve">най-големите донори в света на финансиране </w:t>
            </w:r>
            <w:r>
              <w:rPr>
                <w:rFonts w:ascii="Times New Roman" w:hAnsi="Times New Roman"/>
                <w:noProof/>
                <w:color w:val="auto"/>
                <w:sz w:val="24"/>
              </w:rPr>
              <w:t>за борбата с изменението на климата</w:t>
            </w:r>
            <w:r>
              <w:rPr>
                <w:rFonts w:ascii="Times New Roman" w:hAnsi="Times New Roman"/>
                <w:b w:val="0"/>
                <w:noProof/>
                <w:color w:val="auto"/>
                <w:sz w:val="24"/>
              </w:rPr>
              <w:t xml:space="preserve">: през 2017 г. ЕС, Европейската инвестиционна банка и държавите членки предоставиха 20,4 милиарда евро за подпомагане на развиващите се страни да преодолеят и да се приспособят към изменението на климата, като това е над </w:t>
            </w:r>
            <w:r>
              <w:rPr>
                <w:rFonts w:ascii="Times New Roman" w:hAnsi="Times New Roman"/>
                <w:b w:val="0"/>
                <w:noProof/>
                <w:color w:val="auto"/>
                <w:sz w:val="24"/>
              </w:rPr>
              <w:t xml:space="preserve">два пъти повече в сравнение с 2013 г. Това представлява около половината от общото световно финансиране.  </w:t>
            </w:r>
          </w:p>
        </w:tc>
      </w:tr>
      <w:tr w:rsidR="00467251" w:rsidTr="00467251">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b w:val="0"/>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bCs w:val="0"/>
                <w:i/>
                <w:iCs/>
                <w:noProof/>
                <w:sz w:val="24"/>
                <w:szCs w:val="24"/>
              </w:rPr>
            </w:pPr>
            <w:r>
              <w:rPr>
                <w:rFonts w:ascii="Times New Roman" w:eastAsiaTheme="majorEastAsia" w:hAnsi="Times New Roman"/>
                <w:b w:val="0"/>
                <w:noProof/>
                <w:sz w:val="24"/>
              </w:rPr>
              <w:t xml:space="preserve">Според общия доклад „Индекс и показатели за ЦУР, 2018 г.“ (Bertelsmann Stiftung и Sustainable Development Solutions Network) 22 държави — членки на ЕС, постигат над 80 от общо 100 точки за ЦУР 13. Пет държави — членки на ЕС, са сред първите 20 в света. </w:t>
            </w:r>
          </w:p>
        </w:tc>
      </w:tr>
      <w:tr w:rsidR="00467251" w:rsidTr="00467251">
        <w:trPr>
          <w:gridBefore w:val="1"/>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bottom w:val="single" w:sz="4" w:space="0" w:color="auto"/>
            </w:tcBorders>
            <w:shd w:val="clear" w:color="auto" w:fill="006600"/>
          </w:tcPr>
          <w:p w:rsidR="00467251" w:rsidRDefault="00E55EA0">
            <w:pPr>
              <w:jc w:val="center"/>
              <w:rPr>
                <w:rFonts w:ascii="Times New Roman" w:hAnsi="Times New Roman" w:cs="Times New Roman"/>
                <w:noProof/>
                <w:sz w:val="24"/>
                <w:szCs w:val="24"/>
              </w:rPr>
            </w:pPr>
            <w:r>
              <w:rPr>
                <w:rFonts w:ascii="Times New Roman" w:hAnsi="Times New Roman"/>
                <w:noProof/>
                <w:sz w:val="24"/>
              </w:rPr>
              <w:t>Е</w:t>
            </w:r>
            <w:r>
              <w:rPr>
                <w:rFonts w:ascii="Times New Roman" w:hAnsi="Times New Roman"/>
                <w:noProof/>
                <w:sz w:val="24"/>
              </w:rPr>
              <w:t>вропейският съюз през 2030 г.</w:t>
            </w:r>
          </w:p>
        </w:tc>
      </w:tr>
      <w:tr w:rsidR="00467251" w:rsidTr="00467251">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rsidR="00467251" w:rsidRDefault="00E55EA0">
            <w:pPr>
              <w:rPr>
                <w:rStyle w:val="None"/>
                <w:rFonts w:ascii="Times New Roman" w:eastAsia="Calibri" w:hAnsi="Times New Roman" w:cs="Times New Roman"/>
                <w:i/>
                <w:noProof/>
                <w:sz w:val="24"/>
                <w:szCs w:val="24"/>
                <w:u w:color="000000"/>
                <w:bdr w:val="nil"/>
              </w:rPr>
            </w:pPr>
            <w:r>
              <w:rPr>
                <w:rStyle w:val="None"/>
                <w:rFonts w:ascii="Times New Roman" w:hAnsi="Times New Roman"/>
                <w:i/>
                <w:noProof/>
                <w:sz w:val="24"/>
                <w:u w:color="000000"/>
                <w:bdr w:val="nil"/>
              </w:rPr>
              <w:t>При настоящите тенденции и равни други условия</w:t>
            </w:r>
          </w:p>
          <w:p w:rsidR="00467251" w:rsidRDefault="00E55EA0">
            <w:pPr>
              <w:pStyle w:val="BodyA"/>
              <w:jc w:val="both"/>
              <w:rPr>
                <w:rStyle w:val="None"/>
                <w:rFonts w:ascii="Times New Roman" w:hAnsi="Times New Roman" w:cs="Times New Roman"/>
                <w:b w:val="0"/>
                <w:noProof/>
                <w:color w:val="auto"/>
                <w:sz w:val="24"/>
                <w:szCs w:val="24"/>
              </w:rPr>
            </w:pPr>
            <w:r>
              <w:rPr>
                <w:rFonts w:ascii="Times New Roman" w:hAnsi="Times New Roman"/>
                <w:b w:val="0"/>
                <w:noProof/>
                <w:color w:val="auto"/>
                <w:sz w:val="24"/>
              </w:rPr>
              <w:t xml:space="preserve">ЕС остава решен да играе водеща роля в борбата с изменението на климата и ще е постигнал целта си за намаляване с най-малко 40 % на емисиите на парникови газове до 2030 г. в </w:t>
            </w:r>
            <w:r>
              <w:rPr>
                <w:rFonts w:ascii="Times New Roman" w:hAnsi="Times New Roman"/>
                <w:b w:val="0"/>
                <w:noProof/>
                <w:color w:val="auto"/>
                <w:sz w:val="24"/>
              </w:rPr>
              <w:t xml:space="preserve">сравнение с нивата от 1990 г. През есента на 2018 г. Комисията представи предложение за дългосрочна стратегическа визия на ЕС в съответствие с Парижкото споразумение, която включва начини за постигането на нулеви нетни емисии на парникови газове в рамките </w:t>
            </w:r>
            <w:r>
              <w:rPr>
                <w:rFonts w:ascii="Times New Roman" w:hAnsi="Times New Roman"/>
                <w:b w:val="0"/>
                <w:noProof/>
                <w:color w:val="auto"/>
                <w:sz w:val="24"/>
              </w:rPr>
              <w:t>на ЕС до 2050 г. Комисията представи всеобхватна визия за постигането на по-модерна, конкурентоспособна и устойчива европейска икономика, която е и по-социално справедлива за всички европейци, без изключение. ЕС ще трябва да продължи своята водеща роля отн</w:t>
            </w:r>
            <w:r>
              <w:rPr>
                <w:rFonts w:ascii="Times New Roman" w:hAnsi="Times New Roman"/>
                <w:b w:val="0"/>
                <w:noProof/>
                <w:color w:val="auto"/>
                <w:sz w:val="24"/>
              </w:rPr>
              <w:t xml:space="preserve">осно действията в областта на климата и да се стреми към по-високи амбиции в световен мащаб за периода след 2030 г., към които се присъединяват всички големи държави замърсители в света. В този контекст ще продължи да се отдава приоритет на постигането на </w:t>
            </w:r>
            <w:r>
              <w:rPr>
                <w:rFonts w:ascii="Times New Roman" w:hAnsi="Times New Roman"/>
                <w:b w:val="0"/>
                <w:noProof/>
                <w:color w:val="auto"/>
                <w:sz w:val="24"/>
              </w:rPr>
              <w:t>допълнително укрепен амбициозен глобален отговор на въздействието от изменението на климата. По същия начин намаляването на риска от бедствия, адаптирането към изменението на климата и смекчаването на последиците от него ще останат важни точки в дневния ре</w:t>
            </w:r>
            <w:r>
              <w:rPr>
                <w:rFonts w:ascii="Times New Roman" w:hAnsi="Times New Roman"/>
                <w:b w:val="0"/>
                <w:noProof/>
                <w:color w:val="auto"/>
                <w:sz w:val="24"/>
              </w:rPr>
              <w:t>д. ЕС ще продължи сътрудничеството си в рамките на международни форуми, като например Международната организация за гражданско въздухоплаване и Международната морска организация.</w:t>
            </w:r>
            <w:r>
              <w:rPr>
                <w:rStyle w:val="None"/>
                <w:rFonts w:ascii="Times New Roman" w:hAnsi="Times New Roman"/>
                <w:b w:val="0"/>
                <w:noProof/>
                <w:color w:val="auto"/>
                <w:sz w:val="24"/>
              </w:rPr>
              <w:t xml:space="preserve"> </w:t>
            </w:r>
          </w:p>
        </w:tc>
      </w:tr>
      <w:tr w:rsidR="00467251" w:rsidTr="00467251">
        <w:trPr>
          <w:gridBefore w:val="1"/>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right w:val="single" w:sz="4" w:space="0" w:color="auto"/>
            </w:tcBorders>
          </w:tcPr>
          <w:p w:rsidR="00467251" w:rsidRDefault="00E55EA0">
            <w:pPr>
              <w:jc w:val="both"/>
              <w:rPr>
                <w:rFonts w:ascii="Times New Roman" w:eastAsiaTheme="majorEastAsia" w:hAnsi="Times New Roman" w:cs="Times New Roman"/>
                <w:b w:val="0"/>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Чиста енергия и мобилност с ниски </w:t>
            </w:r>
            <w:r>
              <w:rPr>
                <w:rFonts w:ascii="Times New Roman" w:hAnsi="Times New Roman"/>
                <w:b w:val="0"/>
                <w:noProof/>
                <w:sz w:val="24"/>
              </w:rPr>
              <w:t>или нулеви емисии, кръгова нисковъглеродна икономика, биоикономика и вериги за устойчиво производство, промяна в поведението, участие в политическия живот, изпреварващи политики за справедлив преход, корпоративна социална отговорност / отговорно бизнес пов</w:t>
            </w:r>
            <w:r>
              <w:rPr>
                <w:rFonts w:ascii="Times New Roman" w:hAnsi="Times New Roman"/>
                <w:b w:val="0"/>
                <w:noProof/>
                <w:sz w:val="24"/>
              </w:rPr>
              <w:t>едение, иновативни и устойчиви финанси, публично-частни партньорства, екологосъобразни обществени поръчки, реформа на данъчното облагане (например облагане на използването на ресурсите и замърсяването), образование, екологична цифровизация, изкуствен интел</w:t>
            </w:r>
            <w:r>
              <w:rPr>
                <w:rFonts w:ascii="Times New Roman" w:hAnsi="Times New Roman"/>
                <w:b w:val="0"/>
                <w:noProof/>
                <w:sz w:val="24"/>
              </w:rPr>
              <w:t>ект и нови технологии, научни изследвания и иновации, устойчиви общества, многостранно сътрудничество, разпространение на екологични стоки и услуги.</w:t>
            </w:r>
          </w:p>
        </w:tc>
      </w:tr>
      <w:tr w:rsidR="00467251" w:rsidTr="00467251">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9288" w:type="dxa"/>
            <w:gridSpan w:val="2"/>
            <w:tcBorders>
              <w:top w:val="single" w:sz="4" w:space="0" w:color="auto"/>
              <w:bottom w:val="single" w:sz="4" w:space="0" w:color="auto"/>
              <w:right w:val="single" w:sz="4" w:space="0" w:color="auto"/>
            </w:tcBorders>
          </w:tcPr>
          <w:p w:rsidR="00467251" w:rsidRDefault="00E55EA0">
            <w:pPr>
              <w:jc w:val="both"/>
              <w:rPr>
                <w:rFonts w:ascii="Times New Roman" w:eastAsiaTheme="majorEastAsia" w:hAnsi="Times New Roman" w:cs="Times New Roman"/>
                <w:b w:val="0"/>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Недостатъчни публични и частни инвестиции, геополитическа нестабилност</w:t>
            </w:r>
            <w:r>
              <w:rPr>
                <w:rFonts w:ascii="Times New Roman" w:eastAsiaTheme="majorEastAsia" w:hAnsi="Times New Roman"/>
                <w:b w:val="0"/>
                <w:noProof/>
                <w:sz w:val="24"/>
              </w:rPr>
              <w:t xml:space="preserve"> и заплахи за сигурността, връщане на икономически протекционизъм в световен мащаб, социални неравенства, нарастващо енергопотребление и отрицателно въздействие върху околната среда, произтичащо от цифровизацията, продължаващо разрушаване на екосистемите и</w:t>
            </w:r>
            <w:r>
              <w:rPr>
                <w:rFonts w:ascii="Times New Roman" w:eastAsiaTheme="majorEastAsia" w:hAnsi="Times New Roman"/>
                <w:b w:val="0"/>
                <w:noProof/>
                <w:sz w:val="24"/>
              </w:rPr>
              <w:t xml:space="preserve"> биоразнообразието, бавни промени в регулаторната среда.</w:t>
            </w:r>
          </w:p>
        </w:tc>
      </w:tr>
      <w:tr w:rsidR="00467251" w:rsidTr="00467251">
        <w:trPr>
          <w:gridAfter w:val="1"/>
          <w:wAfter w:w="108" w:type="dxa"/>
        </w:trPr>
        <w:tc>
          <w:tcPr>
            <w:cnfStyle w:val="001000000000" w:firstRow="0" w:lastRow="0" w:firstColumn="1" w:lastColumn="0" w:oddVBand="0" w:evenVBand="0" w:oddHBand="0" w:evenHBand="0" w:firstRowFirstColumn="0" w:firstRowLastColumn="0" w:lastRowFirstColumn="0" w:lastRowLastColumn="0"/>
            <w:tcW w:w="9214" w:type="dxa"/>
            <w:gridSpan w:val="2"/>
            <w:tcBorders>
              <w:right w:val="single" w:sz="4" w:space="0" w:color="auto"/>
            </w:tcBorders>
            <w:shd w:val="clear" w:color="auto" w:fill="006600"/>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9214" w:type="dxa"/>
            <w:gridSpan w:val="2"/>
            <w:tcBorders>
              <w:top w:val="single" w:sz="4" w:space="0" w:color="auto"/>
              <w:right w:val="single" w:sz="4" w:space="0" w:color="auto"/>
            </w:tcBorders>
          </w:tcPr>
          <w:p w:rsidR="00467251" w:rsidRDefault="00E55EA0">
            <w:pPr>
              <w:pStyle w:val="NormalWeb"/>
              <w:spacing w:after="120"/>
              <w:jc w:val="both"/>
              <w:rPr>
                <w:rFonts w:eastAsiaTheme="minorHAnsi"/>
                <w:b w:val="0"/>
                <w:noProof/>
              </w:rPr>
            </w:pPr>
            <w:r>
              <w:rPr>
                <w:i/>
                <w:noProof/>
              </w:rPr>
              <w:t>ЕС на международно равнище:</w:t>
            </w:r>
            <w:r>
              <w:rPr>
                <w:noProof/>
              </w:rPr>
              <w:t xml:space="preserve"> </w:t>
            </w:r>
            <w:r>
              <w:rPr>
                <w:b w:val="0"/>
                <w:noProof/>
              </w:rPr>
              <w:t>и</w:t>
            </w:r>
            <w:r>
              <w:rPr>
                <w:rFonts w:eastAsiaTheme="minorHAnsi"/>
                <w:b w:val="0"/>
                <w:noProof/>
              </w:rPr>
              <w:t xml:space="preserve">нициативата на ЕС за Световен алианс за борба с изменението на климата цели да засили политическия диалог и да подпомага развиващите се държави в техните усилия за справяне с изменението на климата. </w:t>
            </w:r>
          </w:p>
          <w:p w:rsidR="00467251" w:rsidRDefault="00E55EA0">
            <w:pPr>
              <w:pStyle w:val="NormalWeb"/>
              <w:spacing w:after="120"/>
              <w:jc w:val="both"/>
              <w:rPr>
                <w:b w:val="0"/>
                <w:noProof/>
              </w:rPr>
            </w:pPr>
            <w:r>
              <w:rPr>
                <w:i/>
                <w:noProof/>
              </w:rPr>
              <w:t>На равнище ЕС:</w:t>
            </w:r>
            <w:r>
              <w:rPr>
                <w:noProof/>
              </w:rPr>
              <w:t xml:space="preserve"> </w:t>
            </w:r>
            <w:r>
              <w:rPr>
                <w:rFonts w:eastAsiaTheme="minorHAnsi"/>
                <w:b w:val="0"/>
                <w:noProof/>
              </w:rPr>
              <w:t>местните органи са основни двигатели в бо</w:t>
            </w:r>
            <w:r>
              <w:rPr>
                <w:rFonts w:eastAsiaTheme="minorHAnsi"/>
                <w:b w:val="0"/>
                <w:noProof/>
              </w:rPr>
              <w:t>рбата с изменението на климата на най-близкото до гражданите равнище на управление. Конвентът на кметовете на ЕС за климата и енергетиката обединява хиляди представители на местни правителства, които са поели доброволен ангажимент за осъществяването на цел</w:t>
            </w:r>
            <w:r>
              <w:rPr>
                <w:rFonts w:eastAsiaTheme="minorHAnsi"/>
                <w:b w:val="0"/>
                <w:noProof/>
              </w:rPr>
              <w:t>ите на ЕС в областта на климата и енергетиката. Той също допринесе значително за повишаване на осведомеността на местно равнище относно необходимостта от готовност за последиците от изменението на климата, като местните действия за адаптиране и устойчивост</w:t>
            </w:r>
            <w:r>
              <w:rPr>
                <w:rFonts w:eastAsiaTheme="minorHAnsi"/>
                <w:b w:val="0"/>
                <w:noProof/>
              </w:rPr>
              <w:t xml:space="preserve"> играят важна роля за защитата на хората и имуществото им.</w:t>
            </w:r>
          </w:p>
          <w:p w:rsidR="00467251" w:rsidRDefault="00E55EA0">
            <w:pPr>
              <w:pStyle w:val="NormalWeb"/>
              <w:spacing w:after="120"/>
              <w:jc w:val="both"/>
              <w:rPr>
                <w:b w:val="0"/>
                <w:noProof/>
              </w:rPr>
            </w:pPr>
            <w:r>
              <w:rPr>
                <w:i/>
                <w:noProof/>
              </w:rPr>
              <w:t>На равнище държави членки:</w:t>
            </w:r>
            <w:r>
              <w:rPr>
                <w:noProof/>
              </w:rPr>
              <w:t xml:space="preserve"> </w:t>
            </w:r>
            <w:r>
              <w:rPr>
                <w:b w:val="0"/>
                <w:noProof/>
              </w:rPr>
              <w:t>Франция въведе задължение за общините с население над 20 000 жители (обхващайки 90 % от населението на страната) да приемат местни планове в областта на климата, които за</w:t>
            </w:r>
            <w:r>
              <w:rPr>
                <w:b w:val="0"/>
                <w:noProof/>
              </w:rPr>
              <w:t xml:space="preserve">дължително да включва раздели относно смекчаването на последиците от изменението на климата и адаптирането към него. През 2018 г. около 75 % от френските общини имаха разработени местни планове за смекчаване на последиците и около 55 % — местни планове за </w:t>
            </w:r>
            <w:r>
              <w:rPr>
                <w:b w:val="0"/>
                <w:noProof/>
              </w:rPr>
              <w:t xml:space="preserve">адаптиране. Тези съотношения са от 2 до 5 пъти по-високи в сравнение с държави, където не съществува подобна национална уредба. </w:t>
            </w:r>
          </w:p>
          <w:p w:rsidR="00467251" w:rsidRDefault="00E55EA0">
            <w:pPr>
              <w:pStyle w:val="NormalWeb"/>
              <w:spacing w:after="120"/>
              <w:jc w:val="both"/>
              <w:rPr>
                <w:b w:val="0"/>
                <w:noProof/>
              </w:rPr>
            </w:pPr>
            <w:r>
              <w:rPr>
                <w:i/>
                <w:noProof/>
              </w:rPr>
              <w:t>На регионално/местно равнище:</w:t>
            </w:r>
            <w:r>
              <w:rPr>
                <w:noProof/>
              </w:rPr>
              <w:t xml:space="preserve"> </w:t>
            </w:r>
            <w:r>
              <w:rPr>
                <w:b w:val="0"/>
                <w:noProof/>
              </w:rPr>
              <w:t>геотермална електрическа централа в Прелог, Хърватия, ще може да използва в пълна степен енергийн</w:t>
            </w:r>
            <w:r>
              <w:rPr>
                <w:b w:val="0"/>
                <w:noProof/>
              </w:rPr>
              <w:t>ото съдържание на геотермалната солена вода: топлината от термалните води и енергията, съдържаща се в газовете от водоносния хоризонт, като например метан, разтворени във вода, като генерирането на енергия е почти 100 % без емисии на парникови газове. Това</w:t>
            </w:r>
            <w:r>
              <w:rPr>
                <w:b w:val="0"/>
                <w:noProof/>
              </w:rPr>
              <w:t xml:space="preserve"> може да послужи като модел за по-устойчиво използване на геотермалните ресурси, а опитът може да се повтори в Европа и по света. </w:t>
            </w:r>
          </w:p>
          <w:p w:rsidR="00467251" w:rsidRDefault="00E55EA0">
            <w:pPr>
              <w:pStyle w:val="NormalWeb"/>
              <w:spacing w:after="120"/>
              <w:jc w:val="both"/>
              <w:rPr>
                <w:b w:val="0"/>
                <w:noProof/>
              </w:rPr>
            </w:pPr>
            <w:r>
              <w:rPr>
                <w:i/>
                <w:noProof/>
              </w:rPr>
              <w:t>На равнище предприятия:</w:t>
            </w:r>
            <w:r>
              <w:rPr>
                <w:noProof/>
              </w:rPr>
              <w:t xml:space="preserve"> </w:t>
            </w:r>
            <w:r>
              <w:rPr>
                <w:b w:val="0"/>
                <w:noProof/>
              </w:rPr>
              <w:t>Hydrogen Breakthrough Ironmaking Technology (HYBRIT) е инициатива, предприета през 2016 г. от три гол</w:t>
            </w:r>
            <w:r>
              <w:rPr>
                <w:b w:val="0"/>
                <w:noProof/>
              </w:rPr>
              <w:t>еми шведски дружества. Целта на инициативата е се въведе процес за производство на желязо с почти нулеви емисии на парникови газове, при който кислородът от желязната руда се отстранява чрез използване на водород в газообразно състояние вместо кокс (от въг</w:t>
            </w:r>
            <w:r>
              <w:rPr>
                <w:b w:val="0"/>
                <w:noProof/>
              </w:rPr>
              <w:t>лища).</w:t>
            </w:r>
          </w:p>
          <w:p w:rsidR="00467251" w:rsidRDefault="00E55EA0">
            <w:pPr>
              <w:pStyle w:val="NormalWeb"/>
              <w:spacing w:after="120"/>
              <w:jc w:val="both"/>
              <w:rPr>
                <w:b w:val="0"/>
                <w:noProof/>
              </w:rPr>
            </w:pPr>
            <w:r>
              <w:rPr>
                <w:i/>
                <w:noProof/>
              </w:rPr>
              <w:t>На равнище гражданско общество:</w:t>
            </w:r>
            <w:r>
              <w:rPr>
                <w:noProof/>
              </w:rPr>
              <w:t xml:space="preserve"> </w:t>
            </w:r>
            <w:r>
              <w:rPr>
                <w:b w:val="0"/>
                <w:noProof/>
              </w:rPr>
              <w:t>Европейският корпус за солидарност е инициатива на ЕС, която до 2020 г. може да предостави над 40 милиона евро за откриването на възможности пред младите хора за доброволческа дейност, насочена към общността, в област</w:t>
            </w:r>
            <w:r>
              <w:rPr>
                <w:b w:val="0"/>
                <w:noProof/>
              </w:rPr>
              <w:t>та на действията за климата и околната среда. Пример за това е проектът Vänö Vänner във Финландия, който даде възможност на италиански младежи да допринесат за устойчиви и екологосъобразни решения за оформлението на ландшафта в архипелага Турку, допринасяй</w:t>
            </w:r>
            <w:r>
              <w:rPr>
                <w:b w:val="0"/>
                <w:noProof/>
              </w:rPr>
              <w:t>ки по този начин за положителни действия в областта на климата.</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Borders>
              <w:top w:val="single" w:sz="4" w:space="0" w:color="auto"/>
              <w:left w:val="single" w:sz="4" w:space="0" w:color="auto"/>
              <w:bottom w:val="single" w:sz="4" w:space="0" w:color="auto"/>
              <w:right w:val="single" w:sz="4" w:space="0" w:color="auto"/>
            </w:tcBorders>
            <w:hideMark/>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91845" cy="791845"/>
                  <wp:effectExtent l="0" t="0" r="825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tc>
        <w:tc>
          <w:tcPr>
            <w:tcW w:w="7762" w:type="dxa"/>
            <w:tcBorders>
              <w:top w:val="single" w:sz="4" w:space="0" w:color="auto"/>
              <w:left w:val="single" w:sz="4" w:space="0" w:color="auto"/>
              <w:bottom w:val="single" w:sz="4" w:space="0" w:color="auto"/>
              <w:right w:val="single" w:sz="4" w:space="0" w:color="auto"/>
            </w:tcBorders>
          </w:tcPr>
          <w:p w:rsidR="00467251" w:rsidRDefault="00E55EA0">
            <w:pPr>
              <w:jc w:val="both"/>
              <w:rPr>
                <w:rFonts w:ascii="Times New Roman" w:hAnsi="Times New Roman" w:cs="Times New Roman"/>
                <w:b/>
                <w:noProof/>
                <w:color w:val="0070C0"/>
                <w:sz w:val="24"/>
                <w:szCs w:val="24"/>
              </w:rPr>
            </w:pPr>
            <w:r>
              <w:rPr>
                <w:rFonts w:ascii="Times New Roman" w:hAnsi="Times New Roman"/>
                <w:b/>
                <w:noProof/>
                <w:color w:val="0070C0"/>
                <w:sz w:val="24"/>
              </w:rPr>
              <w:t>Опазване и устойчиво използване на океаните, моретата и морските ресурси за устойчиво развитие</w:t>
            </w:r>
          </w:p>
          <w:p w:rsidR="00467251" w:rsidRDefault="00467251">
            <w:pPr>
              <w:jc w:val="center"/>
              <w:rPr>
                <w:rFonts w:ascii="Times New Roman" w:hAnsi="Times New Roman" w:cs="Times New Roman"/>
                <w:b/>
                <w:noProof/>
                <w:color w:val="0070C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hideMark/>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23 от 28-те държави — членки на ЕС имат излаз на </w:t>
            </w:r>
            <w:r>
              <w:rPr>
                <w:rFonts w:ascii="Times New Roman" w:hAnsi="Times New Roman"/>
                <w:b w:val="0"/>
                <w:noProof/>
                <w:sz w:val="24"/>
              </w:rPr>
              <w:t>море. Бреговата линия на ЕС е 7 пъти по-дълга от тази на САЩ и 4 пъти по-дълга от тази на Русия. Със своите отвъдморски региони ЕС има най-голямата морска територия в света. ЕС и неговите съседни държави имат излаз на четири общи големи морски региона: Бал</w:t>
            </w:r>
            <w:r>
              <w:rPr>
                <w:rFonts w:ascii="Times New Roman" w:hAnsi="Times New Roman"/>
                <w:b w:val="0"/>
                <w:noProof/>
                <w:sz w:val="24"/>
              </w:rPr>
              <w:t xml:space="preserve">тийско море, Средиземно море, Черно море и североизточната част на Атлантическия океан, като сред най-важните фактори, засягащи тяхното екологично състояние, са изменението на местообитанията, прекомерният улов, замърсяването и повишаването на киселинното </w:t>
            </w:r>
            <w:r>
              <w:rPr>
                <w:rFonts w:ascii="Times New Roman" w:hAnsi="Times New Roman"/>
                <w:b w:val="0"/>
                <w:noProof/>
                <w:sz w:val="24"/>
              </w:rPr>
              <w:t>съдържание на водите. Европейските крайбрежни води са с много високо качество за къпане, но биологичните и химическите замърсители от човешките дейности, както и морските отпадъци продължават да представляват сериозна заплаха за морските екосистеми в Европ</w:t>
            </w:r>
            <w:r>
              <w:rPr>
                <w:rFonts w:ascii="Times New Roman" w:hAnsi="Times New Roman"/>
                <w:b w:val="0"/>
                <w:noProof/>
                <w:sz w:val="24"/>
              </w:rPr>
              <w:t>а: в началото на 2018 г. едва 40 до 58 % от европейските крайбрежни води имаха добър химически статус. Политиката на ЕС в областта на околната среда, включително водещата Рамкова директива за морска стратегия, и неговата интегрирана морска политика предост</w:t>
            </w:r>
            <w:r>
              <w:rPr>
                <w:rFonts w:ascii="Times New Roman" w:hAnsi="Times New Roman"/>
                <w:b w:val="0"/>
                <w:noProof/>
                <w:sz w:val="24"/>
              </w:rPr>
              <w:t>авят рамка за цялостен подход към тези проблеми. Предложените нови правила на равнище ЕС имат за цел справянето с десетте най-често срещани по плажовете на Европа пластмасови изделия за еднократна употреба, както и с изгубените или изоставените риболовни у</w:t>
            </w:r>
            <w:r>
              <w:rPr>
                <w:rFonts w:ascii="Times New Roman" w:hAnsi="Times New Roman"/>
                <w:b w:val="0"/>
                <w:noProof/>
                <w:sz w:val="24"/>
              </w:rPr>
              <w:t>реди, които заедно съставляват 70 % от всички морски отпадъци. Благодарение на новите правила Европа ще има водеща роля в решаването на този въпрос с глобални последици. ЕС подкрепя опазването на крайбрежните и морските райони в света. С Програмата на ЕС</w:t>
            </w:r>
            <w:hyperlink r:id="rId102" w:history="1">
              <w:r>
                <w:rPr>
                  <w:rFonts w:ascii="Times New Roman" w:hAnsi="Times New Roman" w:cs="Times New Roman"/>
                  <w:b w:val="0"/>
                  <w:noProof/>
                  <w:sz w:val="24"/>
                  <w:szCs w:val="24"/>
                </w:rPr>
                <w:t xml:space="preserve"> за международно управление на океаните</w:t>
              </w:r>
            </w:hyperlink>
            <w:r>
              <w:rPr>
                <w:rFonts w:ascii="Times New Roman" w:hAnsi="Times New Roman"/>
                <w:b w:val="0"/>
                <w:noProof/>
                <w:sz w:val="24"/>
              </w:rPr>
              <w:t xml:space="preserve"> за бъдещето на нашите океани се установява всеобхватна рамка за укрепване на международното управление на океаните, з</w:t>
            </w:r>
            <w:r>
              <w:rPr>
                <w:rFonts w:ascii="Times New Roman" w:hAnsi="Times New Roman"/>
                <w:b w:val="0"/>
                <w:noProof/>
                <w:sz w:val="24"/>
              </w:rPr>
              <w:t xml:space="preserve">а да се гарантира, че океаните са безопасни, сигурни, чисти и използвани законно и устойчиво. Освен това в търговските и инвестиционните споразумения на ЕС се включват специални разпоредби относно устойчивото управление и опазването на природните ресурси, </w:t>
            </w:r>
            <w:r>
              <w:rPr>
                <w:rFonts w:ascii="Times New Roman" w:hAnsi="Times New Roman"/>
                <w:b w:val="0"/>
                <w:noProof/>
                <w:sz w:val="24"/>
              </w:rPr>
              <w:t>като например морското биологично разнообразие и рибарството. Програмата на ЕС за наблюдение на Земята „Коперник“ също предоставя данни от мониторинга на океаните с цел подобряване на качеството на водите.</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31"/>
              </w:numPr>
              <w:ind w:left="142" w:hanging="142"/>
              <w:jc w:val="both"/>
              <w:rPr>
                <w:rFonts w:ascii="Times New Roman" w:hAnsi="Times New Roman" w:cs="Times New Roman"/>
                <w:b w:val="0"/>
                <w:noProof/>
                <w:sz w:val="24"/>
                <w:szCs w:val="24"/>
              </w:rPr>
            </w:pPr>
            <w:r>
              <w:rPr>
                <w:rFonts w:ascii="Times New Roman" w:hAnsi="Times New Roman"/>
                <w:b w:val="0"/>
                <w:noProof/>
                <w:sz w:val="24"/>
              </w:rPr>
              <w:t>Между 2012 г. и края на 2016 г</w:t>
            </w:r>
            <w:r>
              <w:rPr>
                <w:rFonts w:ascii="Times New Roman" w:hAnsi="Times New Roman"/>
                <w:b w:val="0"/>
                <w:noProof/>
                <w:sz w:val="24"/>
              </w:rPr>
              <w:t>. площта</w:t>
            </w:r>
            <w:r>
              <w:rPr>
                <w:rFonts w:ascii="Times New Roman" w:hAnsi="Times New Roman"/>
                <w:noProof/>
                <w:sz w:val="24"/>
              </w:rPr>
              <w:t xml:space="preserve"> </w:t>
            </w:r>
            <w:r>
              <w:rPr>
                <w:rFonts w:ascii="Times New Roman" w:hAnsi="Times New Roman"/>
                <w:b w:val="0"/>
                <w:noProof/>
                <w:sz w:val="24"/>
              </w:rPr>
              <w:t>на</w:t>
            </w:r>
            <w:r>
              <w:rPr>
                <w:rFonts w:ascii="Times New Roman" w:hAnsi="Times New Roman"/>
                <w:noProof/>
                <w:sz w:val="24"/>
              </w:rPr>
              <w:t xml:space="preserve"> морските защитени територии </w:t>
            </w:r>
            <w:r>
              <w:rPr>
                <w:rFonts w:ascii="Times New Roman" w:hAnsi="Times New Roman"/>
                <w:b w:val="0"/>
                <w:noProof/>
                <w:sz w:val="24"/>
              </w:rPr>
              <w:t xml:space="preserve">в Европа почти се удвои (от 6 % на 10,8 % от морската площ на ЕС) и продължава да нараства благодарение главно на морската мрежа по програма „Натура 2000“. През 2016 г. три европейски региона надхвърлиха </w:t>
            </w:r>
            <w:r>
              <w:rPr>
                <w:rFonts w:ascii="Times New Roman" w:hAnsi="Times New Roman"/>
                <w:b w:val="0"/>
                <w:noProof/>
                <w:sz w:val="24"/>
              </w:rPr>
              <w:t>10-процентовата цел за биологично разнообразие от Аичи (Балтийско море, Средиземно море и Черно море), а Североизточният Атлантически океан бе много близо до целта (9,9 %).</w:t>
            </w:r>
          </w:p>
          <w:p w:rsidR="00467251" w:rsidRDefault="00E55EA0">
            <w:pPr>
              <w:pStyle w:val="ListParagraph"/>
              <w:numPr>
                <w:ilvl w:val="0"/>
                <w:numId w:val="31"/>
              </w:numPr>
              <w:ind w:left="142" w:hanging="142"/>
              <w:jc w:val="both"/>
              <w:rPr>
                <w:rFonts w:ascii="Times New Roman" w:hAnsi="Times New Roman" w:cs="Times New Roman"/>
                <w:b w:val="0"/>
                <w:noProof/>
                <w:sz w:val="24"/>
                <w:szCs w:val="24"/>
              </w:rPr>
            </w:pPr>
            <w:r>
              <w:rPr>
                <w:rFonts w:ascii="Times New Roman" w:hAnsi="Times New Roman"/>
                <w:b w:val="0"/>
                <w:noProof/>
                <w:sz w:val="24"/>
              </w:rPr>
              <w:t>Според последната налична оценка природозащитният статус на преобладаващата част от</w:t>
            </w:r>
            <w:r>
              <w:rPr>
                <w:rFonts w:ascii="Times New Roman" w:hAnsi="Times New Roman"/>
                <w:b w:val="0"/>
                <w:noProof/>
                <w:sz w:val="24"/>
              </w:rPr>
              <w:t xml:space="preserve"> отделните морски местообитания и биологични видове не е благоприятен. От 1988 г. насам се наблюдава непрекъснато и обезпокоително увеличаване на киселинността на океанските води. От 2008 г. насам е постигнат значителен напредък в определянето, мониторинга</w:t>
            </w:r>
            <w:r>
              <w:rPr>
                <w:rFonts w:ascii="Times New Roman" w:hAnsi="Times New Roman"/>
                <w:b w:val="0"/>
                <w:noProof/>
                <w:sz w:val="24"/>
              </w:rPr>
              <w:t xml:space="preserve"> и оценката на доброто</w:t>
            </w:r>
            <w:r>
              <w:rPr>
                <w:rFonts w:ascii="Times New Roman" w:hAnsi="Times New Roman"/>
                <w:noProof/>
                <w:sz w:val="24"/>
              </w:rPr>
              <w:t xml:space="preserve"> екологично състояние на морската среда, </w:t>
            </w:r>
            <w:r>
              <w:rPr>
                <w:rFonts w:ascii="Times New Roman" w:hAnsi="Times New Roman"/>
                <w:b w:val="0"/>
                <w:noProof/>
                <w:sz w:val="24"/>
              </w:rPr>
              <w:t>което е предпоставка за измерването на напредъка към постигане на чисти и здрави океани и морета.</w:t>
            </w:r>
          </w:p>
          <w:p w:rsidR="00467251" w:rsidRDefault="00E55EA0">
            <w:pPr>
              <w:pStyle w:val="ListParagraph"/>
              <w:numPr>
                <w:ilvl w:val="0"/>
                <w:numId w:val="31"/>
              </w:numPr>
              <w:ind w:left="142" w:hanging="142"/>
              <w:jc w:val="both"/>
              <w:rPr>
                <w:rFonts w:ascii="Times New Roman" w:hAnsi="Times New Roman" w:cs="Times New Roman"/>
                <w:b w:val="0"/>
                <w:noProof/>
                <w:sz w:val="24"/>
                <w:szCs w:val="24"/>
              </w:rPr>
            </w:pPr>
            <w:r>
              <w:rPr>
                <w:rFonts w:ascii="Times New Roman" w:hAnsi="Times New Roman"/>
                <w:noProof/>
                <w:sz w:val="24"/>
              </w:rPr>
              <w:t xml:space="preserve">Устойчивостта на риболова </w:t>
            </w:r>
            <w:r>
              <w:rPr>
                <w:rFonts w:ascii="Times New Roman" w:hAnsi="Times New Roman"/>
                <w:b w:val="0"/>
                <w:noProof/>
                <w:sz w:val="24"/>
              </w:rPr>
              <w:t>в</w:t>
            </w:r>
            <w:r>
              <w:rPr>
                <w:rFonts w:ascii="Times New Roman" w:hAnsi="Times New Roman"/>
                <w:noProof/>
                <w:sz w:val="24"/>
              </w:rPr>
              <w:t xml:space="preserve"> </w:t>
            </w:r>
            <w:r>
              <w:rPr>
                <w:rFonts w:ascii="Times New Roman" w:hAnsi="Times New Roman"/>
                <w:b w:val="0"/>
                <w:noProof/>
                <w:sz w:val="24"/>
              </w:rPr>
              <w:t>североизточната част на Атлантическия океан, откъдето произхождат 7</w:t>
            </w:r>
            <w:r>
              <w:rPr>
                <w:rFonts w:ascii="Times New Roman" w:hAnsi="Times New Roman"/>
                <w:b w:val="0"/>
                <w:noProof/>
                <w:sz w:val="24"/>
              </w:rPr>
              <w:t>5 % от улова на ЕС, се е подобрила. Обемът на рибните запаси с търговско значение, уловени по устойчив начин, се е увеличил от 34 % през 2007 г. на 60 % през 2015 г. Риболовът в Средиземно и в Черно море не напредва със същия темп към постигането на устойч</w:t>
            </w:r>
            <w:r>
              <w:rPr>
                <w:rFonts w:ascii="Times New Roman" w:hAnsi="Times New Roman"/>
                <w:b w:val="0"/>
                <w:noProof/>
                <w:sz w:val="24"/>
              </w:rPr>
              <w:t>ивост. В Средиземно море над 80 % от запасите са обект на прекомерен риболов.</w:t>
            </w:r>
          </w:p>
          <w:p w:rsidR="00467251" w:rsidRDefault="00E55EA0">
            <w:pPr>
              <w:pStyle w:val="ListParagraph"/>
              <w:numPr>
                <w:ilvl w:val="0"/>
                <w:numId w:val="31"/>
              </w:numPr>
              <w:ind w:left="142" w:hanging="142"/>
              <w:jc w:val="both"/>
              <w:rPr>
                <w:rFonts w:ascii="Times New Roman" w:eastAsiaTheme="majorEastAsia" w:hAnsi="Times New Roman" w:cs="Times New Roman"/>
                <w:iCs/>
                <w:noProof/>
                <w:sz w:val="24"/>
                <w:szCs w:val="24"/>
              </w:rPr>
            </w:pPr>
            <w:r>
              <w:rPr>
                <w:rFonts w:ascii="Times New Roman" w:hAnsi="Times New Roman"/>
                <w:noProof/>
                <w:sz w:val="24"/>
              </w:rPr>
              <w:t>Синята икономика</w:t>
            </w:r>
            <w:r>
              <w:rPr>
                <w:rFonts w:ascii="Times New Roman" w:hAnsi="Times New Roman"/>
                <w:b w:val="0"/>
                <w:noProof/>
                <w:sz w:val="24"/>
              </w:rPr>
              <w:t xml:space="preserve"> на ЕС</w:t>
            </w:r>
            <w:r>
              <w:rPr>
                <w:rFonts w:ascii="Times New Roman" w:hAnsi="Times New Roman"/>
                <w:noProof/>
                <w:sz w:val="24"/>
              </w:rPr>
              <w:t xml:space="preserve"> </w:t>
            </w:r>
            <w:r>
              <w:rPr>
                <w:rFonts w:ascii="Times New Roman" w:hAnsi="Times New Roman"/>
                <w:b w:val="0"/>
                <w:noProof/>
                <w:sz w:val="24"/>
              </w:rPr>
              <w:t>е 2,5 пъти</w:t>
            </w:r>
            <w:r>
              <w:rPr>
                <w:rFonts w:ascii="Times New Roman" w:hAnsi="Times New Roman"/>
                <w:noProof/>
                <w:sz w:val="24"/>
              </w:rPr>
              <w:t xml:space="preserve"> </w:t>
            </w:r>
            <w:r>
              <w:rPr>
                <w:rFonts w:ascii="Times New Roman" w:hAnsi="Times New Roman"/>
                <w:b w:val="0"/>
                <w:noProof/>
                <w:sz w:val="24"/>
              </w:rPr>
              <w:t>по-голяма от въздухоплавателната и отбранителната икономика, взети заедно. Тя</w:t>
            </w:r>
            <w:r>
              <w:rPr>
                <w:rFonts w:ascii="Times New Roman" w:hAnsi="Times New Roman"/>
                <w:noProof/>
                <w:sz w:val="24"/>
              </w:rPr>
              <w:t xml:space="preserve"> </w:t>
            </w:r>
            <w:r>
              <w:rPr>
                <w:rFonts w:ascii="Times New Roman" w:hAnsi="Times New Roman"/>
                <w:b w:val="0"/>
                <w:noProof/>
                <w:sz w:val="24"/>
              </w:rPr>
              <w:t>генерира оборот от</w:t>
            </w:r>
            <w:r>
              <w:rPr>
                <w:rFonts w:ascii="Times New Roman" w:hAnsi="Times New Roman"/>
                <w:noProof/>
                <w:sz w:val="24"/>
              </w:rPr>
              <w:t xml:space="preserve"> </w:t>
            </w:r>
            <w:r>
              <w:rPr>
                <w:rFonts w:ascii="Times New Roman" w:hAnsi="Times New Roman"/>
                <w:b w:val="0"/>
                <w:noProof/>
                <w:sz w:val="24"/>
              </w:rPr>
              <w:t xml:space="preserve">566 </w:t>
            </w:r>
            <w:r>
              <w:rPr>
                <w:rFonts w:ascii="Times New Roman" w:hAnsi="Times New Roman" w:cs="Times New Roman"/>
                <w:b w:val="0"/>
                <w:noProof/>
                <w:sz w:val="24"/>
                <w:szCs w:val="24"/>
              </w:rPr>
              <w:t xml:space="preserve">милиарда </w:t>
            </w:r>
            <w:hyperlink r:id="rId103" w:history="1">
              <w:r>
                <w:rPr>
                  <w:rFonts w:ascii="Times New Roman" w:hAnsi="Times New Roman" w:cs="Times New Roman"/>
                  <w:b w:val="0"/>
                  <w:noProof/>
                  <w:sz w:val="24"/>
                  <w:szCs w:val="24"/>
                </w:rPr>
                <w:t>евро годишно (7,2 % повече в сравнение с 2009 г.) и осигурява работни места на 3,5 милиона души</w:t>
              </w:r>
            </w:hyperlink>
            <w:r>
              <w:rPr>
                <w:rFonts w:ascii="Times New Roman" w:hAnsi="Times New Roman"/>
                <w:b w:val="0"/>
                <w:noProof/>
                <w:sz w:val="24"/>
              </w:rPr>
              <w:t xml:space="preserve"> (5 % повече, отколкото през 2014 г.), което представлява увеличение от съответно 7,2 % и 2 % в с</w:t>
            </w:r>
            <w:r>
              <w:rPr>
                <w:rFonts w:ascii="Times New Roman" w:hAnsi="Times New Roman"/>
                <w:b w:val="0"/>
                <w:noProof/>
                <w:sz w:val="24"/>
              </w:rPr>
              <w:t xml:space="preserve">равнение с 2009 г. В няколко държави — членки на ЕС, синята икономика нараства с по-бързи темпове, отколкото на националната икономика. Обединеното кралство, Испания, Италия, Франция и Гърция са най-големите сини икономики в Европа.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rPr>
                <w:rFonts w:ascii="Times New Roman" w:eastAsiaTheme="majorEastAsia" w:hAnsi="Times New Roman" w:cs="Times New Roman"/>
                <w:bCs w:val="0"/>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bCs w:val="0"/>
                <w:iCs/>
                <w:noProof/>
                <w:sz w:val="24"/>
                <w:szCs w:val="24"/>
              </w:rPr>
            </w:pPr>
            <w:r>
              <w:rPr>
                <w:rFonts w:ascii="Times New Roman" w:eastAsiaTheme="majorEastAsia" w:hAnsi="Times New Roman"/>
                <w:b w:val="0"/>
                <w:noProof/>
                <w:sz w:val="24"/>
              </w:rPr>
              <w:t>Спо</w:t>
            </w:r>
            <w:r>
              <w:rPr>
                <w:rFonts w:ascii="Times New Roman" w:eastAsiaTheme="majorEastAsia" w:hAnsi="Times New Roman"/>
                <w:b w:val="0"/>
                <w:noProof/>
                <w:sz w:val="24"/>
              </w:rPr>
              <w:t>ред общия доклад „Индекс и показатели за ЦУР, 2018 г.“ (Bertelsmann Stiftung и Sustainable Development Solutions Network) четири държави — членки на ЕС, постигат над 60 от общо 100 точки за ЦУР 14. Пет държави — членки на ЕС, са сред първите 20 в света. Ка</w:t>
            </w:r>
            <w:r>
              <w:rPr>
                <w:rFonts w:ascii="Times New Roman" w:eastAsiaTheme="majorEastAsia" w:hAnsi="Times New Roman"/>
                <w:b w:val="0"/>
                <w:noProof/>
                <w:sz w:val="24"/>
              </w:rPr>
              <w:t>то цяло това е най-ниското класиране по ЦУР за държавите — членки на ЕС, като съществуват големи различия между отделните държави членки.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hideMark/>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noProof/>
                <w:sz w:val="24"/>
                <w:szCs w:val="24"/>
              </w:rPr>
            </w:pPr>
            <w:r>
              <w:rPr>
                <w:rFonts w:ascii="Times New Roman" w:hAnsi="Times New Roman"/>
                <w:b w:val="0"/>
                <w:noProof/>
                <w:sz w:val="24"/>
              </w:rPr>
              <w:t xml:space="preserve">ЕС ще продължи да участва активно в </w:t>
            </w:r>
            <w:r>
              <w:rPr>
                <w:rFonts w:ascii="Times New Roman" w:hAnsi="Times New Roman"/>
                <w:b w:val="0"/>
                <w:noProof/>
                <w:sz w:val="24"/>
              </w:rPr>
              <w:t xml:space="preserve">изграждането на международното управление на океаните в рамките на всички съответни международни форуми, както и двустранно с ключови глобални партньори, като се има предвид, че около 60 % от океаните се намират извън границите на националните юрисдикции. </w:t>
            </w:r>
            <w:r>
              <w:rPr>
                <w:rFonts w:ascii="Times New Roman" w:hAnsi="Times New Roman"/>
                <w:b w:val="0"/>
                <w:noProof/>
                <w:sz w:val="24"/>
              </w:rPr>
              <w:t>Необходими са допълнителни усилия в областта на междусекторното и трансграничното сътрудничество, особено на регионално равнище, за да се преодолеят съществуващите и нововъзникващите предизвикателства. Дейностите в тази сфера ще станат по-интензивни с нача</w:t>
            </w:r>
            <w:r>
              <w:rPr>
                <w:rFonts w:ascii="Times New Roman" w:hAnsi="Times New Roman"/>
                <w:b w:val="0"/>
                <w:noProof/>
                <w:sz w:val="24"/>
              </w:rPr>
              <w:t>лото на обявеното от ООН десетилетие на океанологията 2021—2030 г., в което ЕС участва активно. ЕС ще продължи да насърчава създаването на защитени територии, както и тяхното ефективно и научно обосновано управление. Необходими са допълнителни усилия за по</w:t>
            </w:r>
            <w:r>
              <w:rPr>
                <w:rFonts w:ascii="Times New Roman" w:hAnsi="Times New Roman"/>
                <w:b w:val="0"/>
                <w:noProof/>
                <w:sz w:val="24"/>
              </w:rPr>
              <w:t>стигането на устойчив риболов, по-специално в Средиземно и в Черно море. Замърсяването на морските води, включително пластмасата, шума и хранителните вещества от селското стопанство, ще продължи да бъде проблем. Появяването на нови пластмасови отпадъци в о</w:t>
            </w:r>
            <w:r>
              <w:rPr>
                <w:rFonts w:ascii="Times New Roman" w:hAnsi="Times New Roman"/>
                <w:b w:val="0"/>
                <w:noProof/>
                <w:sz w:val="24"/>
              </w:rPr>
              <w:t>кеаните може да намалее с времето, но вече натрупаната в океаните пластмаса ще продължи да оказва отрицателно въздействие. Необходими са засилени действия за намаляване на изхвърлянето на отпадъци от експлоатацията на кораби и на другите форми на замърсява</w:t>
            </w:r>
            <w:r>
              <w:rPr>
                <w:rFonts w:ascii="Times New Roman" w:hAnsi="Times New Roman"/>
                <w:b w:val="0"/>
                <w:noProof/>
                <w:sz w:val="24"/>
              </w:rPr>
              <w:t xml:space="preserve">не, особено хранителните вещества и шума. Синята икономика в Европа ще продължи да процъфтява. Според прогнозите световната синя икономика би могла да удвои размера си до 2030 г. За Европа това би означавало 10,8 милиона работни места и над 1 трилион евро </w:t>
            </w:r>
            <w:r>
              <w:rPr>
                <w:rFonts w:ascii="Times New Roman" w:hAnsi="Times New Roman"/>
                <w:b w:val="0"/>
                <w:noProof/>
                <w:sz w:val="24"/>
              </w:rPr>
              <w:t>годишен оборот. До 2021 г. всички води на ЕС ще бъдат уредени със съобразени с екосистемите морски пространствени планове.</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b w:val="0"/>
                <w:noProof/>
                <w:sz w:val="24"/>
              </w:rPr>
              <w:t>Международно и регионално управление на океаните, промяна в поведението, обществена ангажира</w:t>
            </w:r>
            <w:r>
              <w:rPr>
                <w:rFonts w:ascii="Times New Roman" w:eastAsiaTheme="majorEastAsia" w:hAnsi="Times New Roman"/>
                <w:b w:val="0"/>
                <w:noProof/>
                <w:sz w:val="24"/>
              </w:rPr>
              <w:t>ност и участие в политическия живот, големи информационни масиви, наблюдение на Земята, изкуствен интелект, подводни и нови технологии (напр. молекулярни науки), научни изследвания и иновации, корпоративна социална отговорност/отговорно бизнес поведение, к</w:t>
            </w:r>
            <w:r>
              <w:rPr>
                <w:rFonts w:ascii="Times New Roman" w:eastAsiaTheme="majorEastAsia" w:hAnsi="Times New Roman"/>
                <w:b w:val="0"/>
                <w:noProof/>
                <w:sz w:val="24"/>
              </w:rPr>
              <w:t>олективно финансиране и други форми на иновативно финансиране, устойчиво финансиране, публично-частни партньорства, екологосъобразни обществени поръчки, реформа на данъчното облагане (например облагане на използването на ресурсите и на замърсяването), инте</w:t>
            </w:r>
            <w:r>
              <w:rPr>
                <w:rFonts w:ascii="Times New Roman" w:eastAsiaTheme="majorEastAsia" w:hAnsi="Times New Roman"/>
                <w:b w:val="0"/>
                <w:noProof/>
                <w:sz w:val="24"/>
              </w:rPr>
              <w:t>рнет на предметите, образование, цифровизация, икономика на сътрудничеството и кръгова нисковъглеродна икономика.</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Влошаване на състоянието на околната среда и изменение на климата, замърсяване, безотговорен туризъм, </w:t>
            </w:r>
            <w:r>
              <w:rPr>
                <w:rFonts w:ascii="Times New Roman" w:hAnsi="Times New Roman"/>
                <w:b w:val="0"/>
                <w:noProof/>
                <w:sz w:val="24"/>
              </w:rPr>
              <w:t>прекомерен улов, незаконен, недеклариран и нерегулиран риболов, социално неравенство.</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hideMark/>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pStyle w:val="NormalWeb"/>
              <w:spacing w:after="120"/>
              <w:jc w:val="both"/>
              <w:rPr>
                <w:b w:val="0"/>
                <w:noProof/>
              </w:rPr>
            </w:pPr>
            <w:r>
              <w:rPr>
                <w:i/>
                <w:noProof/>
              </w:rPr>
              <w:t>ЕС на международно равнище:</w:t>
            </w:r>
            <w:r>
              <w:rPr>
                <w:b w:val="0"/>
                <w:noProof/>
              </w:rPr>
              <w:t xml:space="preserve"> създаденото през 2017 г. Обединение за научни изследвания на Атлантическия океан е форма на сътрудничество между ЕС, </w:t>
            </w:r>
            <w:r>
              <w:rPr>
                <w:b w:val="0"/>
                <w:noProof/>
              </w:rPr>
              <w:t>Бразилия и Южна Африка, чиято цел е да се задълбочат научните познания за морските екосистеми и за взаимовръзките между океаните, изменението на климата и храните.</w:t>
            </w:r>
          </w:p>
          <w:p w:rsidR="00467251" w:rsidRDefault="00E55EA0">
            <w:pPr>
              <w:pStyle w:val="NormalWeb"/>
              <w:spacing w:after="120"/>
              <w:jc w:val="both"/>
              <w:rPr>
                <w:b w:val="0"/>
                <w:noProof/>
              </w:rPr>
            </w:pPr>
            <w:r>
              <w:rPr>
                <w:i/>
                <w:noProof/>
              </w:rPr>
              <w:t>Сътрудничество между държавите членки:</w:t>
            </w:r>
            <w:r>
              <w:rPr>
                <w:noProof/>
              </w:rPr>
              <w:t xml:space="preserve"> </w:t>
            </w:r>
            <w:r>
              <w:rPr>
                <w:b w:val="0"/>
                <w:noProof/>
              </w:rPr>
              <w:t>ЕС и неговите държави членки и партньори работят по к</w:t>
            </w:r>
            <w:r>
              <w:rPr>
                <w:b w:val="0"/>
                <w:noProof/>
              </w:rPr>
              <w:t>онкретен набор от мерки за постигане на здрава и продуктивна морска околна среда в Балтийско море, североизточната част на Атлантическия океан и в Средиземно море до 2020 г. въз основа на процеси за мониторинг и оценка. Освен това ЕС насърчава допълнителни</w:t>
            </w:r>
            <w:r>
              <w:rPr>
                <w:b w:val="0"/>
                <w:noProof/>
              </w:rPr>
              <w:t xml:space="preserve"> амбициозни регионални инициативи за натиск в отделни области, като ангажимента от 2017 г. за намаляване с 80 % на емисиите на азотни оксиди от кораби, плаващи в Балтийско море, с цел разрешаване на проблема с еутрофикацията в региона.</w:t>
            </w:r>
          </w:p>
          <w:p w:rsidR="00467251" w:rsidRDefault="00E55EA0">
            <w:pPr>
              <w:pStyle w:val="NormalWeb"/>
              <w:spacing w:after="120"/>
              <w:jc w:val="both"/>
              <w:rPr>
                <w:b w:val="0"/>
                <w:noProof/>
              </w:rPr>
            </w:pPr>
            <w:r>
              <w:rPr>
                <w:i/>
                <w:noProof/>
              </w:rPr>
              <w:t>На равнище държави ч</w:t>
            </w:r>
            <w:r>
              <w:rPr>
                <w:i/>
                <w:noProof/>
              </w:rPr>
              <w:t>ленки:</w:t>
            </w:r>
            <w:r>
              <w:rPr>
                <w:noProof/>
              </w:rPr>
              <w:t xml:space="preserve"> </w:t>
            </w:r>
            <w:r>
              <w:rPr>
                <w:b w:val="0"/>
                <w:noProof/>
              </w:rPr>
              <w:t>неотдавна Франция определи нови морски защитени територии. Сред тях е най-голямата морска защитена зона по „Натура 2000“, наричана „Mers Celtiques - Talus du golfe de Gascogne“ („Келтски морета — Континентален склон на Гасконския залив“), с площ над</w:t>
            </w:r>
            <w:r>
              <w:rPr>
                <w:b w:val="0"/>
                <w:noProof/>
              </w:rPr>
              <w:t xml:space="preserve"> 62 320 km</w:t>
            </w:r>
            <w:r>
              <w:rPr>
                <w:b w:val="0"/>
                <w:noProof/>
                <w:spacing w:val="-2"/>
                <w:vertAlign w:val="superscript"/>
              </w:rPr>
              <w:t>2</w:t>
            </w:r>
            <w:r>
              <w:rPr>
                <w:b w:val="0"/>
                <w:noProof/>
              </w:rPr>
              <w:t xml:space="preserve">, която ще осигури защита на рифовите местообитания и подвижните морски видове, морските свине и афалите. </w:t>
            </w:r>
          </w:p>
          <w:p w:rsidR="00467251" w:rsidRDefault="00E55EA0">
            <w:pPr>
              <w:pStyle w:val="NormalWeb"/>
              <w:spacing w:after="120"/>
              <w:jc w:val="both"/>
              <w:rPr>
                <w:b w:val="0"/>
                <w:noProof/>
              </w:rPr>
            </w:pPr>
            <w:r>
              <w:rPr>
                <w:i/>
                <w:noProof/>
              </w:rPr>
              <w:t>На регионално/местно равнище и на равнище предприятия:</w:t>
            </w:r>
            <w:r>
              <w:rPr>
                <w:noProof/>
              </w:rPr>
              <w:t xml:space="preserve"> </w:t>
            </w:r>
            <w:r>
              <w:rPr>
                <w:b w:val="0"/>
                <w:noProof/>
              </w:rPr>
              <w:t xml:space="preserve">проектът „Clean Archipelago“ („Чист архипелаг“) е публично-частно партньорство с </w:t>
            </w:r>
            <w:r>
              <w:rPr>
                <w:b w:val="0"/>
                <w:noProof/>
              </w:rPr>
              <w:t>участието на множество заинтересовани страни, ръководено от Регион Тоскана в Италия, в сътрудничество с италианското Министерство на околната среда, Unicoop Firenze и други сдружения. То започна през април 2018 г. в сътрудничество с 10 лодки от кооперативн</w:t>
            </w:r>
            <w:r>
              <w:rPr>
                <w:b w:val="0"/>
                <w:noProof/>
              </w:rPr>
              <w:t>о сдружение на рибари. Целта на проекта е да се изчисти морето от отпадъци. Партньорството цели да се предоставят икономически стимули за рибарите, за да събират пластмасови отпадъци в морето и да ги носят в събирателните пунктове в пристанищата. Така събр</w:t>
            </w:r>
            <w:r>
              <w:rPr>
                <w:b w:val="0"/>
                <w:noProof/>
              </w:rPr>
              <w:t>аната пластмаса след това ще бъде рециклирана.</w:t>
            </w: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равнище гражданско общество:</w:t>
            </w:r>
            <w:r>
              <w:rPr>
                <w:rFonts w:ascii="Times New Roman" w:hAnsi="Times New Roman"/>
                <w:noProof/>
                <w:sz w:val="24"/>
              </w:rPr>
              <w:t xml:space="preserve"> </w:t>
            </w:r>
            <w:r>
              <w:rPr>
                <w:rFonts w:ascii="Times New Roman" w:hAnsi="Times New Roman"/>
                <w:b w:val="0"/>
                <w:noProof/>
                <w:sz w:val="24"/>
              </w:rPr>
              <w:t xml:space="preserve">„Fish Forward“ e проект, ръководен от Световния фонд за дивата природа (WWF) в Австрия, обединяващ 17 партньори, които работят съвместно с потребителите, предприятията и </w:t>
            </w:r>
            <w:r>
              <w:rPr>
                <w:rFonts w:ascii="Times New Roman" w:hAnsi="Times New Roman"/>
                <w:b w:val="0"/>
                <w:noProof/>
                <w:sz w:val="24"/>
              </w:rPr>
              <w:t xml:space="preserve">държавните институции в подкрепа на социално справедливото и съобразено с климата производство и потребление на морски храни. Това гарантира отговорното управление на рибарството и проследимостта, които допринасят за устойчивото използване на океанските и </w:t>
            </w:r>
            <w:r>
              <w:rPr>
                <w:rFonts w:ascii="Times New Roman" w:hAnsi="Times New Roman"/>
                <w:b w:val="0"/>
                <w:noProof/>
                <w:sz w:val="24"/>
              </w:rPr>
              <w:t>морските ресурси.</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Borders>
              <w:top w:val="single" w:sz="4" w:space="0" w:color="auto"/>
              <w:left w:val="single" w:sz="4" w:space="0" w:color="auto"/>
              <w:bottom w:val="single" w:sz="4" w:space="0" w:color="auto"/>
              <w:right w:val="single" w:sz="4" w:space="0" w:color="auto"/>
            </w:tcBorders>
            <w:hideMark/>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791845" cy="791845"/>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tc>
        <w:tc>
          <w:tcPr>
            <w:tcW w:w="7762" w:type="dxa"/>
            <w:tcBorders>
              <w:top w:val="single" w:sz="4" w:space="0" w:color="auto"/>
              <w:left w:val="single" w:sz="4" w:space="0" w:color="auto"/>
              <w:bottom w:val="single" w:sz="4" w:space="0" w:color="auto"/>
              <w:right w:val="single" w:sz="4" w:space="0" w:color="auto"/>
            </w:tcBorders>
          </w:tcPr>
          <w:p w:rsidR="00467251" w:rsidRDefault="00E55EA0">
            <w:pPr>
              <w:jc w:val="both"/>
              <w:rPr>
                <w:rFonts w:ascii="Times New Roman" w:hAnsi="Times New Roman" w:cs="Times New Roman"/>
                <w:b/>
                <w:noProof/>
                <w:color w:val="92D050"/>
                <w:sz w:val="24"/>
                <w:szCs w:val="24"/>
              </w:rPr>
            </w:pPr>
            <w:r>
              <w:rPr>
                <w:rFonts w:ascii="Times New Roman" w:hAnsi="Times New Roman"/>
                <w:b/>
                <w:noProof/>
                <w:color w:val="00A44A"/>
                <w:sz w:val="24"/>
              </w:rPr>
              <w:t>Защита, възстановяване и насърчаване на устойчивото използване на сухоземните екосистеми, устойчиво управление на горите, борба с опустиняването, спиране и постигане на обрат в процеса на деградация на почвите и преустановяване на заг</w:t>
            </w:r>
            <w:r>
              <w:rPr>
                <w:rFonts w:ascii="Times New Roman" w:hAnsi="Times New Roman"/>
                <w:b/>
                <w:noProof/>
                <w:color w:val="00A44A"/>
                <w:sz w:val="24"/>
              </w:rPr>
              <w:t>убата на биологично разнообразие</w:t>
            </w: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44A"/>
            <w:hideMark/>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Беше постигнат значителен напредък в укрепването на рамката на политиката и базата от знания съгласно законодателството на ЕС за опазване на природата и Стратегията на ЕС за </w:t>
            </w:r>
            <w:r>
              <w:rPr>
                <w:rFonts w:ascii="Times New Roman" w:eastAsiaTheme="majorEastAsia" w:hAnsi="Times New Roman"/>
                <w:b w:val="0"/>
                <w:noProof/>
                <w:sz w:val="24"/>
              </w:rPr>
              <w:t>биологичното разнообразие до 2020 г.</w:t>
            </w:r>
            <w:r>
              <w:rPr>
                <w:rFonts w:ascii="Times New Roman" w:eastAsiaTheme="majorEastAsia" w:hAnsi="Times New Roman"/>
                <w:noProof/>
                <w:sz w:val="24"/>
              </w:rPr>
              <w:t xml:space="preserve"> </w:t>
            </w:r>
            <w:r>
              <w:rPr>
                <w:rFonts w:ascii="Times New Roman" w:eastAsiaTheme="majorEastAsia" w:hAnsi="Times New Roman"/>
                <w:b w:val="0"/>
                <w:noProof/>
                <w:sz w:val="24"/>
              </w:rPr>
              <w:t>След векове на обезлесяване и деградация горите в Европа се възстановяват и днес заемат над 40 % от територията на ЕС, но техният природозащитен статус трябва да се подобри. Природните ресурси определят екологичните огр</w:t>
            </w:r>
            <w:r>
              <w:rPr>
                <w:rFonts w:ascii="Times New Roman" w:eastAsiaTheme="majorEastAsia" w:hAnsi="Times New Roman"/>
                <w:b w:val="0"/>
                <w:noProof/>
                <w:sz w:val="24"/>
              </w:rPr>
              <w:t>аничения на нашите социално-икономически системи (т.нар. „граници на планетата“). Най-новите доклади на Междуправителствената научно-политическа платформа относно биоразнообразието и предлаганите от екосистемите услуги ясно показват трайните и опустошителн</w:t>
            </w:r>
            <w:r>
              <w:rPr>
                <w:rFonts w:ascii="Times New Roman" w:eastAsiaTheme="majorEastAsia" w:hAnsi="Times New Roman"/>
                <w:b w:val="0"/>
                <w:noProof/>
                <w:sz w:val="24"/>
              </w:rPr>
              <w:t>и последици за човешките общества, до които водят деградацията на почвите и загубата на биологично разнообразие. Въпреки постигнатия напредък натискът, който нашите модели на производство и потребление оказват върху европейския и световния природен капитал</w:t>
            </w:r>
            <w:r>
              <w:rPr>
                <w:rFonts w:ascii="Times New Roman" w:eastAsiaTheme="majorEastAsia" w:hAnsi="Times New Roman"/>
                <w:b w:val="0"/>
                <w:noProof/>
                <w:sz w:val="24"/>
              </w:rPr>
              <w:t>, продължава да е силен и вероятно ще продължи да се увеличава. Прекрачването на границите на планетата застрашава постигнатия стандарт на живот и дори би могло да обърне посоката на неговото развитие. На международно равнище ЕС използва своята програма за</w:t>
            </w:r>
            <w:r>
              <w:rPr>
                <w:rFonts w:ascii="Times New Roman" w:eastAsiaTheme="majorEastAsia" w:hAnsi="Times New Roman"/>
                <w:b w:val="0"/>
                <w:noProof/>
                <w:sz w:val="24"/>
              </w:rPr>
              <w:t xml:space="preserve"> външна политика, за да постигне напредък по тази програма. Съюзът активно подкрепя многостранните споразумения в областта на околната среда, насърчава промяната в политиките на страните партньори, популяризира корпоративната социална отговорност/отговорно</w:t>
            </w:r>
            <w:r>
              <w:rPr>
                <w:rFonts w:ascii="Times New Roman" w:eastAsiaTheme="majorEastAsia" w:hAnsi="Times New Roman"/>
                <w:b w:val="0"/>
                <w:noProof/>
                <w:sz w:val="24"/>
              </w:rPr>
              <w:t>то бизнес поведение и интегрира екологичните съображения във всички свои действия.</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Основни тенденции</w:t>
            </w:r>
          </w:p>
          <w:p w:rsidR="00467251" w:rsidRDefault="00E55EA0">
            <w:pPr>
              <w:pStyle w:val="ListParagraph"/>
              <w:numPr>
                <w:ilvl w:val="0"/>
                <w:numId w:val="32"/>
              </w:numPr>
              <w:ind w:left="142" w:hanging="142"/>
              <w:jc w:val="both"/>
              <w:rPr>
                <w:rFonts w:ascii="Times New Roman" w:eastAsiaTheme="majorEastAsia" w:hAnsi="Times New Roman" w:cs="Times New Roman"/>
                <w:b w:val="0"/>
                <w:iCs/>
                <w:noProof/>
                <w:sz w:val="24"/>
                <w:szCs w:val="24"/>
              </w:rPr>
            </w:pPr>
            <w:r>
              <w:rPr>
                <w:rFonts w:ascii="Times New Roman" w:eastAsiaTheme="majorEastAsia" w:hAnsi="Times New Roman"/>
                <w:b w:val="0"/>
                <w:noProof/>
                <w:sz w:val="24"/>
              </w:rPr>
              <w:t xml:space="preserve">Броят на </w:t>
            </w:r>
            <w:r>
              <w:rPr>
                <w:rFonts w:ascii="Times New Roman" w:eastAsiaTheme="majorEastAsia" w:hAnsi="Times New Roman"/>
                <w:noProof/>
                <w:sz w:val="24"/>
              </w:rPr>
              <w:t xml:space="preserve">зоните, защитени в рамките на мрежата „Натура 2000“, </w:t>
            </w:r>
            <w:r>
              <w:rPr>
                <w:rFonts w:ascii="Times New Roman" w:eastAsiaTheme="majorEastAsia" w:hAnsi="Times New Roman"/>
                <w:b w:val="0"/>
                <w:noProof/>
                <w:sz w:val="24"/>
              </w:rPr>
              <w:t>се увеличи, както и предприетите мерки за опазване за тези зони, които вече са докладвани за</w:t>
            </w:r>
            <w:r>
              <w:rPr>
                <w:rFonts w:ascii="Times New Roman" w:eastAsiaTheme="majorEastAsia" w:hAnsi="Times New Roman"/>
                <w:b w:val="0"/>
                <w:noProof/>
                <w:sz w:val="24"/>
              </w:rPr>
              <w:t xml:space="preserve"> близо 70 % от тях (2018 г.). През 2017 г. в ЕС бяха защитени над 790 000 km</w:t>
            </w:r>
            <w:r>
              <w:rPr>
                <w:rFonts w:ascii="Times New Roman" w:hAnsi="Times New Roman"/>
                <w:b w:val="0"/>
                <w:noProof/>
                <w:spacing w:val="-2"/>
                <w:sz w:val="24"/>
                <w:vertAlign w:val="superscript"/>
              </w:rPr>
              <w:t>2</w:t>
            </w:r>
            <w:r>
              <w:rPr>
                <w:rFonts w:ascii="Times New Roman" w:eastAsiaTheme="majorEastAsia" w:hAnsi="Times New Roman"/>
                <w:b w:val="0"/>
                <w:noProof/>
                <w:sz w:val="24"/>
              </w:rPr>
              <w:t xml:space="preserve"> сухоземни местообитания, заемащи 18,2 % от сухоземната територия на ЕС. Сред държавите членки с най-висок процент на защитени територии са Словения (37,9 %), Хърватия (36,6 %) и </w:t>
            </w:r>
            <w:r>
              <w:rPr>
                <w:rFonts w:ascii="Times New Roman" w:eastAsiaTheme="majorEastAsia" w:hAnsi="Times New Roman"/>
                <w:b w:val="0"/>
                <w:noProof/>
                <w:sz w:val="24"/>
              </w:rPr>
              <w:t>България (34,5 %).</w:t>
            </w:r>
          </w:p>
          <w:p w:rsidR="00467251" w:rsidRDefault="00E55EA0">
            <w:pPr>
              <w:pStyle w:val="Heading3"/>
              <w:numPr>
                <w:ilvl w:val="0"/>
                <w:numId w:val="32"/>
              </w:numPr>
              <w:ind w:left="142" w:hanging="142"/>
              <w:jc w:val="both"/>
              <w:outlineLvl w:val="2"/>
              <w:rPr>
                <w:rFonts w:ascii="Times New Roman" w:hAnsi="Times New Roman" w:cs="Times New Roman"/>
                <w:noProof/>
                <w:color w:val="auto"/>
                <w:sz w:val="24"/>
              </w:rPr>
            </w:pPr>
            <w:r>
              <w:rPr>
                <w:rFonts w:ascii="Times New Roman" w:hAnsi="Times New Roman"/>
                <w:noProof/>
                <w:color w:val="auto"/>
                <w:sz w:val="24"/>
              </w:rPr>
              <w:t>В доклада на ЕС за състоянието на природата</w:t>
            </w:r>
            <w:r>
              <w:rPr>
                <w:rFonts w:ascii="Times New Roman" w:hAnsi="Times New Roman"/>
                <w:b/>
                <w:noProof/>
                <w:color w:val="auto"/>
                <w:sz w:val="24"/>
              </w:rPr>
              <w:t xml:space="preserve"> </w:t>
            </w:r>
            <w:r>
              <w:rPr>
                <w:rFonts w:ascii="Times New Roman" w:hAnsi="Times New Roman"/>
                <w:noProof/>
                <w:color w:val="auto"/>
                <w:sz w:val="24"/>
              </w:rPr>
              <w:t>относно</w:t>
            </w:r>
            <w:r>
              <w:rPr>
                <w:rFonts w:ascii="Times New Roman" w:hAnsi="Times New Roman"/>
                <w:b/>
                <w:noProof/>
                <w:color w:val="auto"/>
                <w:sz w:val="24"/>
              </w:rPr>
              <w:t xml:space="preserve"> природозащитния статус на видовете и местообитанията</w:t>
            </w:r>
            <w:r>
              <w:rPr>
                <w:rFonts w:ascii="Times New Roman" w:hAnsi="Times New Roman"/>
                <w:noProof/>
                <w:color w:val="auto"/>
                <w:sz w:val="24"/>
              </w:rPr>
              <w:t xml:space="preserve"> от интерес за Европа се посочва, че много от видовете и местообитанията нямат благоприятен природозащитен статус През 2012 г. в целия ЕС едва 23 % от оценените видове и 16 % от оценените местообитания имаха „благоприятен“ статус и едва 52 % от видовете пт</w:t>
            </w:r>
            <w:r>
              <w:rPr>
                <w:rFonts w:ascii="Times New Roman" w:hAnsi="Times New Roman"/>
                <w:noProof/>
                <w:color w:val="auto"/>
                <w:sz w:val="24"/>
              </w:rPr>
              <w:t xml:space="preserve">ици имаха статус на „незастрашени“. В по-общ план в средносрочния преглед на стратегията за </w:t>
            </w:r>
            <w:r>
              <w:rPr>
                <w:rFonts w:ascii="Times New Roman" w:hAnsi="Times New Roman"/>
                <w:b/>
                <w:noProof/>
                <w:color w:val="auto"/>
                <w:sz w:val="24"/>
              </w:rPr>
              <w:t>биологичното разнообразие</w:t>
            </w:r>
            <w:r>
              <w:rPr>
                <w:rFonts w:ascii="Times New Roman" w:hAnsi="Times New Roman"/>
                <w:noProof/>
                <w:color w:val="auto"/>
                <w:sz w:val="24"/>
              </w:rPr>
              <w:t xml:space="preserve"> до 2020 г. се потвърждава, че загубата на биологично разнообразие и деградацията на екосистемните услуги в ЕС продължават.</w:t>
            </w:r>
          </w:p>
          <w:p w:rsidR="00467251" w:rsidRDefault="00E55EA0">
            <w:pPr>
              <w:pStyle w:val="ListParagraph"/>
              <w:numPr>
                <w:ilvl w:val="0"/>
                <w:numId w:val="32"/>
              </w:numPr>
              <w:ind w:left="142" w:hanging="142"/>
              <w:jc w:val="both"/>
              <w:rPr>
                <w:rFonts w:ascii="Times New Roman" w:hAnsi="Times New Roman" w:cs="Times New Roman"/>
                <w:i/>
                <w:iCs/>
                <w:noProof/>
                <w:sz w:val="24"/>
                <w:szCs w:val="24"/>
              </w:rPr>
            </w:pPr>
            <w:r>
              <w:rPr>
                <w:rFonts w:ascii="Times New Roman" w:hAnsi="Times New Roman"/>
                <w:b w:val="0"/>
                <w:noProof/>
                <w:sz w:val="24"/>
              </w:rPr>
              <w:t>През 2015 г.</w:t>
            </w:r>
            <w:r>
              <w:rPr>
                <w:rFonts w:ascii="Times New Roman" w:hAnsi="Times New Roman"/>
                <w:noProof/>
                <w:sz w:val="24"/>
              </w:rPr>
              <w:t xml:space="preserve"> горите </w:t>
            </w:r>
            <w:r>
              <w:rPr>
                <w:rFonts w:ascii="Times New Roman" w:hAnsi="Times New Roman"/>
                <w:b w:val="0"/>
                <w:noProof/>
                <w:sz w:val="24"/>
              </w:rPr>
              <w:t>заемаха 41,9 % от общата сухоземна площ на ЕС. Между 2009 г. и 2015 г. делът на горите в ЕС спрямо общата сухоземна площ се увеличи леко с 2,6 %.</w:t>
            </w:r>
            <w:r>
              <w:rPr>
                <w:rFonts w:ascii="Times New Roman" w:eastAsiaTheme="majorEastAsia" w:hAnsi="Times New Roman"/>
                <w:b w:val="0"/>
                <w:i/>
                <w:noProof/>
                <w:sz w:val="24"/>
              </w:rPr>
              <w:t xml:space="preserve"> </w:t>
            </w:r>
          </w:p>
          <w:p w:rsidR="00467251" w:rsidRDefault="00E55EA0">
            <w:pPr>
              <w:pStyle w:val="ListParagraph"/>
              <w:numPr>
                <w:ilvl w:val="0"/>
                <w:numId w:val="32"/>
              </w:numPr>
              <w:ind w:left="142" w:hanging="142"/>
              <w:jc w:val="both"/>
              <w:rPr>
                <w:rFonts w:ascii="Times New Roman" w:hAnsi="Times New Roman" w:cs="Times New Roman"/>
                <w:iCs/>
                <w:noProof/>
                <w:sz w:val="24"/>
                <w:szCs w:val="24"/>
              </w:rPr>
            </w:pPr>
            <w:r>
              <w:rPr>
                <w:rFonts w:ascii="Times New Roman" w:hAnsi="Times New Roman"/>
                <w:b w:val="0"/>
                <w:noProof/>
                <w:sz w:val="24"/>
              </w:rPr>
              <w:t>В Доклада за състоянието на околната среда за 2015 г. на Европейската агенция за околната среда</w:t>
            </w:r>
            <w:r>
              <w:rPr>
                <w:rFonts w:ascii="Times New Roman" w:hAnsi="Times New Roman"/>
                <w:noProof/>
                <w:sz w:val="24"/>
              </w:rPr>
              <w:t xml:space="preserve"> </w:t>
            </w:r>
            <w:r>
              <w:rPr>
                <w:rFonts w:ascii="Times New Roman" w:hAnsi="Times New Roman"/>
                <w:b w:val="0"/>
                <w:noProof/>
                <w:sz w:val="24"/>
              </w:rPr>
              <w:t>се по</w:t>
            </w:r>
            <w:r>
              <w:rPr>
                <w:rFonts w:ascii="Times New Roman" w:hAnsi="Times New Roman"/>
                <w:b w:val="0"/>
                <w:noProof/>
                <w:sz w:val="24"/>
              </w:rPr>
              <w:t>дчертава лошото</w:t>
            </w:r>
            <w:r>
              <w:rPr>
                <w:rFonts w:ascii="Times New Roman" w:hAnsi="Times New Roman"/>
                <w:noProof/>
                <w:sz w:val="24"/>
              </w:rPr>
              <w:t xml:space="preserve"> състояние на почвите</w:t>
            </w:r>
            <w:r>
              <w:rPr>
                <w:rFonts w:ascii="Times New Roman" w:hAnsi="Times New Roman"/>
                <w:b w:val="0"/>
                <w:noProof/>
                <w:sz w:val="24"/>
              </w:rPr>
              <w:t xml:space="preserve"> в Европа. Усилията за предотвратяване и ограничаване на ерозията на почвата от водата доведоха до някои положителни резултати: чрез интегрирането на потенциалното въздействие на мерките на общата селскостопанска политик</w:t>
            </w:r>
            <w:r>
              <w:rPr>
                <w:rFonts w:ascii="Times New Roman" w:hAnsi="Times New Roman"/>
                <w:b w:val="0"/>
                <w:noProof/>
                <w:sz w:val="24"/>
              </w:rPr>
              <w:t>а върху ерозията на почвата площите в ЕС, за които се счита, че са изложени на риск от тежка водна ерозия на почвата, намаляха с 14 % между 2000 г. и 2012 г. При все това въпреки усилията за ограничаване на почвеното запечатване, превръщането на земя в изк</w:t>
            </w:r>
            <w:r>
              <w:rPr>
                <w:rFonts w:ascii="Times New Roman" w:hAnsi="Times New Roman"/>
                <w:b w:val="0"/>
                <w:noProof/>
                <w:sz w:val="24"/>
              </w:rPr>
              <w:t>уствени площи в ЕС се ускори през годините, като темпът на растеж в периода 2012—2015 г. е по-висок с около 6 % в сравнение с периода 2009—2012 г. Освен това 45 % от земеделските земи в ЕС са с бедна откъм органичен състав почвена покривка (което засяга пл</w:t>
            </w:r>
            <w:r>
              <w:rPr>
                <w:rFonts w:ascii="Times New Roman" w:hAnsi="Times New Roman"/>
                <w:b w:val="0"/>
                <w:noProof/>
                <w:sz w:val="24"/>
              </w:rPr>
              <w:t xml:space="preserve">одородието на почвата и биологичното разнообразие).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bCs w:val="0"/>
                <w:i/>
                <w:iCs/>
                <w:noProof/>
                <w:sz w:val="24"/>
                <w:szCs w:val="24"/>
              </w:rPr>
            </w:pPr>
            <w:r>
              <w:rPr>
                <w:rFonts w:ascii="Times New Roman" w:eastAsiaTheme="majorEastAsia" w:hAnsi="Times New Roman"/>
                <w:b w:val="0"/>
                <w:noProof/>
                <w:sz w:val="24"/>
              </w:rPr>
              <w:t>Според общия доклад „Индекс и показатели за ЦУР, 2018 г.“ (Bertelsmann Stiftung и Sustainable Development Solutions Network) 19 държави — членки на ЕС, постигат над 70 от общо 100 точк</w:t>
            </w:r>
            <w:r>
              <w:rPr>
                <w:rFonts w:ascii="Times New Roman" w:eastAsiaTheme="majorEastAsia" w:hAnsi="Times New Roman"/>
                <w:b w:val="0"/>
                <w:noProof/>
                <w:sz w:val="24"/>
              </w:rPr>
              <w:t xml:space="preserve">и за ЦУР 15. Четиринадесет държави — членки на ЕС, са сред първите 20 в света.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A44A"/>
            <w:hideMark/>
          </w:tcPr>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rPr>
                <w:rFonts w:ascii="Times New Roman" w:eastAsiaTheme="majorEastAsia" w:hAnsi="Times New Roman" w:cs="Times New Roman"/>
                <w:b w:val="0"/>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Текущите световни и европейски оценки показват, че тенденциите за загуба на биологично разнообразие и деградация на почвите и екосистемите се запазват, оказвайки неблагоприятно въздействие върху екосистемните услуги (храна, вода, суровини, енергия и т.н.),</w:t>
            </w:r>
            <w:r>
              <w:rPr>
                <w:rFonts w:ascii="Times New Roman" w:eastAsiaTheme="majorEastAsia" w:hAnsi="Times New Roman"/>
                <w:b w:val="0"/>
                <w:noProof/>
                <w:sz w:val="24"/>
              </w:rPr>
              <w:t xml:space="preserve"> което застрашава икономическите резултати и благосъстоянието на Европа. Необходимо е усилията за прилагане на законодателството на ЕС за опазване на природата да бъдат значително увеличени, за да се гарантира, че до 2030 г. в ЕС ще има значително подобряв</w:t>
            </w:r>
            <w:r>
              <w:rPr>
                <w:rFonts w:ascii="Times New Roman" w:eastAsiaTheme="majorEastAsia" w:hAnsi="Times New Roman"/>
                <w:b w:val="0"/>
                <w:noProof/>
                <w:sz w:val="24"/>
              </w:rPr>
              <w:t>ане на природозащитния статус на видовете и местообитанията от интерес за ЕС, защитени по силата на разпоредбите за птиците и местообитанията. Освен това трябва да се ускори скоростта на възстановяване на биологичното разнообразие на горите. В края на 2020</w:t>
            </w:r>
            <w:r>
              <w:rPr>
                <w:rFonts w:ascii="Times New Roman" w:eastAsiaTheme="majorEastAsia" w:hAnsi="Times New Roman"/>
                <w:b w:val="0"/>
                <w:noProof/>
                <w:sz w:val="24"/>
              </w:rPr>
              <w:t> г. ЕС ще трябва да изиграе ключова роля на 15-ата конференция на страните по Конвенцията за биологичното разнообразие в Пекин, Китай, на която се очаква да бъде приета новата световна рамка за биоразнообразието след 2020 г. с цел предотвратяване на загуба</w:t>
            </w:r>
            <w:r>
              <w:rPr>
                <w:rFonts w:ascii="Times New Roman" w:eastAsiaTheme="majorEastAsia" w:hAnsi="Times New Roman"/>
                <w:b w:val="0"/>
                <w:noProof/>
                <w:sz w:val="24"/>
              </w:rPr>
              <w:t xml:space="preserve">та на биологично разнообразие в световен мащаб.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Промяна в поведението, обществена ангажираност и участие в политическия живот, обществен натиск за устойчиви производствени вериги (агроекология, биологично земеделие</w:t>
            </w:r>
            <w:r>
              <w:rPr>
                <w:rFonts w:ascii="Times New Roman" w:eastAsiaTheme="majorEastAsia" w:hAnsi="Times New Roman"/>
                <w:b w:val="0"/>
                <w:noProof/>
                <w:sz w:val="24"/>
              </w:rPr>
              <w:t>), корпоративна социална отговорност/отговорно бизнес поведение, колективно финансиране и други форми на иновативно финансиране, устойчиво финансиране, публично-частни партньорства, екологосъобразни обществени поръчки, по-широко използване на природосъобра</w:t>
            </w:r>
            <w:r>
              <w:rPr>
                <w:rFonts w:ascii="Times New Roman" w:eastAsiaTheme="majorEastAsia" w:hAnsi="Times New Roman"/>
                <w:b w:val="0"/>
                <w:noProof/>
                <w:sz w:val="24"/>
              </w:rPr>
              <w:t>зни решения, реформа на данъчното облагане (например облагане на използването на ресурсите и на замърсяването), образование, изкуствен интелект и нови технологии, научни изследвания и иновации, икономика на сътрудничеството и кръгова нисковъглеродна иконом</w:t>
            </w:r>
            <w:r>
              <w:rPr>
                <w:rFonts w:ascii="Times New Roman" w:eastAsiaTheme="majorEastAsia" w:hAnsi="Times New Roman"/>
                <w:b w:val="0"/>
                <w:noProof/>
                <w:sz w:val="24"/>
              </w:rPr>
              <w:t xml:space="preserve">ика, устойчиви общества, многостранно сътрудничество, отворена и справедлива търговия, устойчив туризъм.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 xml:space="preserve">Влошаване на състоянието на околната среда и изменение на климата, екологичен скептицизъм и свързани с него </w:t>
            </w:r>
            <w:r>
              <w:rPr>
                <w:rFonts w:ascii="Times New Roman" w:eastAsiaTheme="majorEastAsia" w:hAnsi="Times New Roman"/>
                <w:b w:val="0"/>
                <w:noProof/>
                <w:sz w:val="24"/>
              </w:rPr>
              <w:t>обрати в политиката, мислене в краткосрочен план, съпротива срещу промените в системата за производство на храни, ниско равнище на публични и частни инвестиции, геополитическа нестабилност и заплахи за сигурността, социално неравенство.</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00A44A"/>
          </w:tcPr>
          <w:p w:rsidR="00467251" w:rsidRDefault="00467251">
            <w:pPr>
              <w:jc w:val="center"/>
              <w:rPr>
                <w:rFonts w:ascii="Times New Roman" w:hAnsi="Times New Roman" w:cs="Times New Roman"/>
                <w:noProof/>
                <w:color w:val="000000" w:themeColor="text1"/>
                <w:sz w:val="24"/>
                <w:szCs w:val="24"/>
              </w:rPr>
            </w:pPr>
          </w:p>
          <w:p w:rsidR="00467251" w:rsidRDefault="00E55EA0">
            <w:pPr>
              <w:jc w:val="center"/>
              <w:rPr>
                <w:rFonts w:ascii="Times New Roman" w:hAnsi="Times New Roman" w:cs="Times New Roman"/>
                <w:noProof/>
                <w:sz w:val="24"/>
                <w:szCs w:val="24"/>
              </w:rPr>
            </w:pPr>
            <w:r>
              <w:rPr>
                <w:rFonts w:ascii="Times New Roman" w:hAnsi="Times New Roman"/>
                <w:noProof/>
                <w:color w:val="000000" w:themeColor="text1"/>
                <w:sz w:val="24"/>
              </w:rPr>
              <w:t>Акценти на полити</w:t>
            </w:r>
            <w:r>
              <w:rPr>
                <w:rFonts w:ascii="Times New Roman" w:hAnsi="Times New Roman"/>
                <w:noProof/>
                <w:color w:val="000000" w:themeColor="text1"/>
                <w:sz w:val="24"/>
              </w:rPr>
              <w:t xml:space="preserve">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left w:val="single" w:sz="4" w:space="0" w:color="C0504D" w:themeColor="accent2"/>
              <w:right w:val="single" w:sz="4" w:space="0" w:color="C0504D" w:themeColor="accent2"/>
            </w:tcBorders>
            <w:hideMark/>
          </w:tcPr>
          <w:p w:rsidR="00467251" w:rsidRDefault="00E55EA0">
            <w:pPr>
              <w:pStyle w:val="NormalWeb"/>
              <w:jc w:val="both"/>
              <w:rPr>
                <w:b w:val="0"/>
                <w:noProof/>
              </w:rPr>
            </w:pPr>
            <w:r>
              <w:rPr>
                <w:i/>
                <w:noProof/>
              </w:rPr>
              <w:t>На равнище ЕС:</w:t>
            </w:r>
            <w:r>
              <w:rPr>
                <w:noProof/>
              </w:rPr>
              <w:t xml:space="preserve"> </w:t>
            </w:r>
            <w:r>
              <w:rPr>
                <w:b w:val="0"/>
                <w:noProof/>
              </w:rPr>
              <w:t>през 2017 г. ЕС прие план за действие за природата, хората и икономиката. Планът има за цел да се ускорят прилагането на правото на ЕС и напредъкът в постигането на целта на ЕС до 2020 г. за спиране и обръщане на тенденцията на загуба</w:t>
            </w:r>
            <w:r>
              <w:rPr>
                <w:b w:val="0"/>
                <w:noProof/>
              </w:rPr>
              <w:t xml:space="preserve"> на биологично разнообразие и екосистемни услуги, както и да се вземат по-добре предвид социално-икономическите цели. Той е допълнен от инициатива за справяне с влошаването на състоянието на опрашителите в ЕС, която допринася за глобалните усилия за опазва</w:t>
            </w:r>
            <w:r>
              <w:rPr>
                <w:b w:val="0"/>
                <w:noProof/>
              </w:rPr>
              <w:t>не на природата.</w:t>
            </w:r>
          </w:p>
          <w:p w:rsidR="00467251" w:rsidRDefault="00E55EA0">
            <w:pPr>
              <w:pStyle w:val="NormalWeb"/>
              <w:jc w:val="both"/>
              <w:rPr>
                <w:b w:val="0"/>
                <w:noProof/>
              </w:rPr>
            </w:pPr>
            <w:r>
              <w:rPr>
                <w:i/>
                <w:noProof/>
              </w:rPr>
              <w:t>На равнище държави членки:</w:t>
            </w:r>
            <w:r>
              <w:rPr>
                <w:noProof/>
              </w:rPr>
              <w:t xml:space="preserve"> </w:t>
            </w:r>
            <w:r>
              <w:rPr>
                <w:b w:val="0"/>
                <w:noProof/>
              </w:rPr>
              <w:t>по силата на приетия наскоро френски закон за възстановяване на биологичното разнообразие, природата и ландшафта бе създадена нова френска агенция за биологичното разнообразие. В плана за биологичното разнообрази</w:t>
            </w:r>
            <w:r>
              <w:rPr>
                <w:b w:val="0"/>
                <w:noProof/>
              </w:rPr>
              <w:t>е от 4 юли 2018 г. се подчертава значението на съвместните усилия за борба с изменението на климата и предизвикателствата пред биологичното разнообразие и са включени нови цели за нулево нетно усвояване на земя, зелени градски площи, агроекология и опазван</w:t>
            </w:r>
            <w:r>
              <w:rPr>
                <w:b w:val="0"/>
                <w:noProof/>
              </w:rPr>
              <w:t xml:space="preserve">е на почвите, както и действия, свързани с плащанията за екологични услуги, опрашителите и възстановяването на екосистемите. </w:t>
            </w:r>
          </w:p>
          <w:p w:rsidR="00467251" w:rsidRDefault="00E55EA0">
            <w:pPr>
              <w:pStyle w:val="NormalWeb"/>
              <w:jc w:val="both"/>
              <w:rPr>
                <w:b w:val="0"/>
                <w:noProof/>
              </w:rPr>
            </w:pPr>
            <w:r>
              <w:rPr>
                <w:i/>
                <w:noProof/>
              </w:rPr>
              <w:t>На регионално/местно равнище:</w:t>
            </w:r>
            <w:r>
              <w:rPr>
                <w:noProof/>
              </w:rPr>
              <w:t xml:space="preserve"> </w:t>
            </w:r>
            <w:r>
              <w:rPr>
                <w:b w:val="0"/>
                <w:noProof/>
              </w:rPr>
              <w:t>в Германия провинцията Баден-Вюртемберг увеличи финансирането за опазване на природата от 30 милиона</w:t>
            </w:r>
            <w:r>
              <w:rPr>
                <w:b w:val="0"/>
                <w:noProof/>
              </w:rPr>
              <w:t xml:space="preserve"> евро на 90 милиона евро в рамките на 10 години. Обявяването на национални паркове и възстановяването на екосистемите носи ползи за земеделските производители и икономиката, включително за стартиращите предприятия, произвеждащи опаковъчна хартия от затреве</w:t>
            </w:r>
            <w:r>
              <w:rPr>
                <w:b w:val="0"/>
                <w:noProof/>
              </w:rPr>
              <w:t>ни зони с висока степен на биоразнообразие, както и за сектора на природния туризъм.</w:t>
            </w:r>
          </w:p>
          <w:p w:rsidR="00467251" w:rsidRDefault="00E55EA0">
            <w:pPr>
              <w:pStyle w:val="NormalWeb"/>
              <w:jc w:val="both"/>
              <w:rPr>
                <w:b w:val="0"/>
                <w:noProof/>
              </w:rPr>
            </w:pPr>
            <w:r>
              <w:rPr>
                <w:i/>
                <w:noProof/>
              </w:rPr>
              <w:t>На равнище предприятия:</w:t>
            </w:r>
            <w:r>
              <w:rPr>
                <w:noProof/>
              </w:rPr>
              <w:t xml:space="preserve"> </w:t>
            </w:r>
            <w:r>
              <w:rPr>
                <w:b w:val="0"/>
                <w:noProof/>
              </w:rPr>
              <w:t xml:space="preserve">59 австрийски земеделски производители, магазините за хранителни стоки SPAR и WWF изградиха силно сдружение по проекта „Healthy Soil for Healthy </w:t>
            </w:r>
            <w:r>
              <w:rPr>
                <w:b w:val="0"/>
                <w:noProof/>
              </w:rPr>
              <w:t>Food“ („Здрави почви за здрава храна“). Като осигурява продажбата на произведените зеленчуци и изплаща премия в размер на 30 EUR на тон CO</w:t>
            </w:r>
            <w:r>
              <w:rPr>
                <w:b w:val="0"/>
                <w:noProof/>
                <w:vertAlign w:val="subscript"/>
              </w:rPr>
              <w:t>2</w:t>
            </w:r>
            <w:r>
              <w:rPr>
                <w:b w:val="0"/>
                <w:noProof/>
              </w:rPr>
              <w:t xml:space="preserve">, съхранен в почвата на земеделските производители, дружеството SPAR стимулира устойчивите практики за управление на </w:t>
            </w:r>
            <w:r>
              <w:rPr>
                <w:b w:val="0"/>
                <w:noProof/>
              </w:rPr>
              <w:t>почвите. За мониторинга на ефективността на проекта се използват проби от почвата.</w:t>
            </w:r>
          </w:p>
          <w:p w:rsidR="00467251" w:rsidRDefault="00E55EA0">
            <w:pPr>
              <w:pStyle w:val="NormalWeb"/>
              <w:jc w:val="both"/>
              <w:rPr>
                <w:rFonts w:eastAsiaTheme="minorHAnsi"/>
                <w:b w:val="0"/>
                <w:noProof/>
              </w:rPr>
            </w:pPr>
            <w:r>
              <w:rPr>
                <w:i/>
                <w:noProof/>
              </w:rPr>
              <w:t>На равнище гражданско общество:</w:t>
            </w:r>
            <w:r>
              <w:rPr>
                <w:noProof/>
              </w:rPr>
              <w:t xml:space="preserve"> </w:t>
            </w:r>
            <w:r>
              <w:rPr>
                <w:b w:val="0"/>
                <w:noProof/>
              </w:rPr>
              <w:t>Гръцкото орнитологично дружество, WWF Гърция, Българското дружество за защита на птиците и Кралското дружество за защита на птиците обединиха усилията си, за да се спре намаляването на популацията на египетските лешояди на Балканите. Те разшириха своя тран</w:t>
            </w:r>
            <w:r>
              <w:rPr>
                <w:b w:val="0"/>
                <w:noProof/>
              </w:rPr>
              <w:t xml:space="preserve">сграничен подход към други страни по протежение на прелетния път. </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Borders>
              <w:top w:val="single" w:sz="4" w:space="0" w:color="auto"/>
              <w:left w:val="single" w:sz="4" w:space="0" w:color="auto"/>
              <w:bottom w:val="single" w:sz="4" w:space="0" w:color="auto"/>
              <w:right w:val="single" w:sz="4" w:space="0" w:color="auto"/>
            </w:tcBorders>
            <w:hideMark/>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805180" cy="7778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05180" cy="777875"/>
                          </a:xfrm>
                          <a:prstGeom prst="rect">
                            <a:avLst/>
                          </a:prstGeom>
                          <a:noFill/>
                          <a:ln>
                            <a:noFill/>
                          </a:ln>
                        </pic:spPr>
                      </pic:pic>
                    </a:graphicData>
                  </a:graphic>
                </wp:inline>
              </w:drawing>
            </w:r>
          </w:p>
        </w:tc>
        <w:tc>
          <w:tcPr>
            <w:tcW w:w="7762" w:type="dxa"/>
            <w:tcBorders>
              <w:top w:val="single" w:sz="4" w:space="0" w:color="auto"/>
              <w:left w:val="single" w:sz="4" w:space="0" w:color="auto"/>
              <w:bottom w:val="single" w:sz="4" w:space="0" w:color="auto"/>
              <w:right w:val="single" w:sz="4" w:space="0" w:color="auto"/>
            </w:tcBorders>
          </w:tcPr>
          <w:p w:rsidR="00467251" w:rsidRDefault="00E55EA0">
            <w:pPr>
              <w:jc w:val="both"/>
              <w:rPr>
                <w:rFonts w:ascii="Times New Roman" w:hAnsi="Times New Roman" w:cs="Times New Roman"/>
                <w:b/>
                <w:noProof/>
                <w:color w:val="002060"/>
                <w:sz w:val="24"/>
                <w:szCs w:val="24"/>
              </w:rPr>
            </w:pPr>
            <w:r>
              <w:rPr>
                <w:rFonts w:ascii="Times New Roman" w:hAnsi="Times New Roman"/>
                <w:b/>
                <w:noProof/>
                <w:color w:val="002060"/>
                <w:sz w:val="24"/>
              </w:rPr>
              <w:t>Насърчаване на мирни и приобщаващи общества за устойчиво развитие, предоставяне на достъп до правосъдие за всички и изграждане на ефективни, отговорни и приобщаващи институции на всички</w:t>
            </w:r>
            <w:r>
              <w:rPr>
                <w:rFonts w:ascii="Times New Roman" w:hAnsi="Times New Roman"/>
                <w:b/>
                <w:noProof/>
                <w:color w:val="002060"/>
                <w:sz w:val="24"/>
              </w:rPr>
              <w:t xml:space="preserve"> равнища</w:t>
            </w:r>
          </w:p>
          <w:p w:rsidR="00467251" w:rsidRDefault="00467251">
            <w:pPr>
              <w:jc w:val="center"/>
              <w:rPr>
                <w:rFonts w:ascii="Times New Roman" w:hAnsi="Times New Roman" w:cs="Times New Roman"/>
                <w:b/>
                <w:noProof/>
                <w:color w:val="92D05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ЕС е един от най-успешните проекти за мир в света. Опирайки се на Европейските договори, първият от които бе подписан през 1957 г., през последните 60 години ЕС постигна мир, демокрация и солидарност. През</w:t>
            </w:r>
            <w:r>
              <w:rPr>
                <w:rFonts w:ascii="Times New Roman" w:eastAsiaTheme="majorEastAsia" w:hAnsi="Times New Roman"/>
                <w:b w:val="0"/>
                <w:noProof/>
                <w:sz w:val="24"/>
              </w:rPr>
              <w:t xml:space="preserve"> 2012 г. ЕС получи Нобеловата награда за мир за приноса си в утвърждаването на мира, помирението, демокрацията и правата на човека в Европа. Насърчаването и утвърждаването на върховенството на закона и на основните ценности на ЕС е основен приоритет на ЕС </w:t>
            </w:r>
            <w:r>
              <w:rPr>
                <w:rFonts w:ascii="Times New Roman" w:eastAsiaTheme="majorEastAsia" w:hAnsi="Times New Roman"/>
                <w:b w:val="0"/>
                <w:noProof/>
                <w:sz w:val="24"/>
              </w:rPr>
              <w:t>както във вътрешен план, така и във външните му отношения. Ефективните правосъдни системи имат решаваща роля в това отношение. Те гарантират, че гражданите могат да се ползват пълноценно от правата си, а предприятията — от правна сигурност и благоприятна з</w:t>
            </w:r>
            <w:r>
              <w:rPr>
                <w:rFonts w:ascii="Times New Roman" w:eastAsiaTheme="majorEastAsia" w:hAnsi="Times New Roman"/>
                <w:b w:val="0"/>
                <w:noProof/>
                <w:sz w:val="24"/>
              </w:rPr>
              <w:t xml:space="preserve">а инвестициите среда в рамките на единния пазар. ЕС насърчава държавите членки да подобрят независимостта, качеството и ефикасността на правосъдните си системи, включително чрез ефективно наблюдение посредством европейския семестър и Информационното табло </w:t>
            </w:r>
            <w:r>
              <w:rPr>
                <w:rFonts w:ascii="Times New Roman" w:eastAsiaTheme="majorEastAsia" w:hAnsi="Times New Roman"/>
                <w:b w:val="0"/>
                <w:noProof/>
                <w:sz w:val="24"/>
              </w:rPr>
              <w:t>на ЕС в областта на правосъдието. В по-общ план Комисията гарантира зачитането на върховенството на закона и на основните ценности на ЕС с всички средства и инструменти, с които разполага. Едно от предизвикателствата пред европейските общества е корупцията</w:t>
            </w:r>
            <w:r>
              <w:rPr>
                <w:rFonts w:ascii="Times New Roman" w:eastAsiaTheme="majorEastAsia" w:hAnsi="Times New Roman"/>
                <w:b w:val="0"/>
                <w:noProof/>
                <w:sz w:val="24"/>
              </w:rPr>
              <w:t xml:space="preserve">, която подкопава доверието в демократичните институции и отслабва отчетността на политическото ръководство. Комисията има политически мандат да следи борбата с корупцията и да прилага всеобхватна политика на ЕС за борба с корупцията. Във външен план чрез </w:t>
            </w:r>
            <w:r>
              <w:rPr>
                <w:rFonts w:ascii="Times New Roman" w:eastAsiaTheme="majorEastAsia" w:hAnsi="Times New Roman"/>
                <w:b w:val="0"/>
                <w:noProof/>
                <w:sz w:val="24"/>
              </w:rPr>
              <w:t>своята външна политика и политика на сигурност ЕС допринася за международния мир и помага на страните партньори да се справят със ситуации на нестабилност, да създават отговорни и прозрачни институции, да насърчават участието в процеса на вземане на решени</w:t>
            </w:r>
            <w:r>
              <w:rPr>
                <w:rFonts w:ascii="Times New Roman" w:eastAsiaTheme="majorEastAsia" w:hAnsi="Times New Roman"/>
                <w:b w:val="0"/>
                <w:noProof/>
                <w:sz w:val="24"/>
              </w:rPr>
              <w:t>я и да провеждат приобщаващи и надеждни изборни процеси. Правата на човека, равенството между половете, приобщаването и недискриминацията са в центъра на Европейския консенсус за развитие. Чрез своите политики за разширяване и за съседство ЕС допринася още</w:t>
            </w:r>
            <w:r>
              <w:rPr>
                <w:rFonts w:ascii="Times New Roman" w:eastAsiaTheme="majorEastAsia" w:hAnsi="Times New Roman"/>
                <w:b w:val="0"/>
                <w:noProof/>
                <w:sz w:val="24"/>
              </w:rPr>
              <w:t xml:space="preserve"> повече за мира и стабилността. По-конкретно ЕС активно насърчава и подпомага държавите — кандидатки за членство в ЕС, да постигат резултати в областта на върховенството на закона, съдебната реформа, борбата с корупцията и организираната престъпност, сигур</w:t>
            </w:r>
            <w:r>
              <w:rPr>
                <w:rFonts w:ascii="Times New Roman" w:eastAsiaTheme="majorEastAsia" w:hAnsi="Times New Roman"/>
                <w:b w:val="0"/>
                <w:noProof/>
                <w:sz w:val="24"/>
              </w:rPr>
              <w:t>ността, основните права и демократичните институции.</w:t>
            </w:r>
          </w:p>
        </w:tc>
      </w:tr>
      <w:tr w:rsidR="00467251" w:rsidTr="00467251">
        <w:trPr>
          <w:trHeight w:val="400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33"/>
              </w:numPr>
              <w:ind w:left="142" w:hanging="142"/>
              <w:jc w:val="both"/>
              <w:rPr>
                <w:rFonts w:ascii="Times New Roman" w:hAnsi="Times New Roman" w:cs="Times New Roman"/>
                <w:b w:val="0"/>
                <w:noProof/>
                <w:sz w:val="24"/>
                <w:szCs w:val="24"/>
              </w:rPr>
            </w:pPr>
            <w:r>
              <w:rPr>
                <w:rFonts w:ascii="Times New Roman" w:hAnsi="Times New Roman"/>
                <w:noProof/>
                <w:sz w:val="24"/>
              </w:rPr>
              <w:t xml:space="preserve">Усещането на гражданите за нивата на престъпност, насилие или вандализъм </w:t>
            </w:r>
            <w:r>
              <w:rPr>
                <w:rFonts w:ascii="Times New Roman" w:hAnsi="Times New Roman"/>
                <w:b w:val="0"/>
                <w:noProof/>
                <w:sz w:val="24"/>
              </w:rPr>
              <w:t xml:space="preserve">е намаляло: през 2016 г. 13,0 % от европейското население се е чувствало засегнато от такива прояви, което е с 2,9 процентни пункта по-малко в сравнение с 2007 г. </w:t>
            </w:r>
          </w:p>
          <w:p w:rsidR="00467251" w:rsidRDefault="00E55EA0">
            <w:pPr>
              <w:numPr>
                <w:ilvl w:val="0"/>
                <w:numId w:val="33"/>
              </w:numPr>
              <w:spacing w:before="100" w:beforeAutospacing="1" w:after="100" w:afterAutospacing="1"/>
              <w:ind w:left="142" w:hanging="142"/>
              <w:jc w:val="both"/>
              <w:rPr>
                <w:rFonts w:ascii="Times New Roman" w:hAnsi="Times New Roman" w:cs="Times New Roman"/>
                <w:b w:val="0"/>
                <w:noProof/>
                <w:sz w:val="24"/>
                <w:szCs w:val="24"/>
              </w:rPr>
            </w:pPr>
            <w:r>
              <w:rPr>
                <w:rFonts w:ascii="Times New Roman" w:hAnsi="Times New Roman"/>
                <w:b w:val="0"/>
                <w:noProof/>
                <w:sz w:val="24"/>
              </w:rPr>
              <w:t>Информационното табло на ЕС в областта на правосъдието за 2018 г.</w:t>
            </w:r>
            <w:r>
              <w:rPr>
                <w:noProof/>
              </w:rPr>
              <w:t xml:space="preserve"> </w:t>
            </w:r>
            <w:r>
              <w:rPr>
                <w:rFonts w:ascii="Times New Roman" w:hAnsi="Times New Roman"/>
                <w:b w:val="0"/>
                <w:noProof/>
                <w:sz w:val="24"/>
              </w:rPr>
              <w:t xml:space="preserve">показва, че в сравнение с </w:t>
            </w:r>
            <w:r>
              <w:rPr>
                <w:rFonts w:ascii="Times New Roman" w:hAnsi="Times New Roman"/>
                <w:b w:val="0"/>
                <w:noProof/>
                <w:sz w:val="24"/>
              </w:rPr>
              <w:t xml:space="preserve">2010 г. </w:t>
            </w:r>
            <w:r>
              <w:rPr>
                <w:rFonts w:ascii="Times New Roman" w:hAnsi="Times New Roman"/>
                <w:noProof/>
                <w:sz w:val="24"/>
              </w:rPr>
              <w:t>ефикасността на правосъдните системи</w:t>
            </w:r>
            <w:r>
              <w:rPr>
                <w:rFonts w:ascii="Times New Roman" w:hAnsi="Times New Roman"/>
                <w:b w:val="0"/>
                <w:noProof/>
                <w:sz w:val="24"/>
              </w:rPr>
              <w:t xml:space="preserve"> в държавите членки се е повишила или е останала същата в почти всички държави членки, с много малко изключения. Въпреки това в няколко държави членки воденето на граждански и търговски дела все още отнема много </w:t>
            </w:r>
            <w:r>
              <w:rPr>
                <w:rFonts w:ascii="Times New Roman" w:hAnsi="Times New Roman"/>
                <w:b w:val="0"/>
                <w:noProof/>
                <w:sz w:val="24"/>
              </w:rPr>
              <w:t>време.</w:t>
            </w:r>
          </w:p>
          <w:p w:rsidR="00467251" w:rsidRDefault="00E55EA0">
            <w:pPr>
              <w:pStyle w:val="ListParagraph"/>
              <w:numPr>
                <w:ilvl w:val="0"/>
                <w:numId w:val="33"/>
              </w:numPr>
              <w:ind w:left="142" w:hanging="142"/>
              <w:jc w:val="both"/>
              <w:rPr>
                <w:rFonts w:ascii="Times New Roman" w:hAnsi="Times New Roman" w:cs="Times New Roman"/>
                <w:b w:val="0"/>
                <w:noProof/>
                <w:sz w:val="24"/>
                <w:szCs w:val="24"/>
              </w:rPr>
            </w:pPr>
            <w:r>
              <w:rPr>
                <w:rFonts w:ascii="Times New Roman" w:hAnsi="Times New Roman"/>
                <w:noProof/>
                <w:sz w:val="24"/>
              </w:rPr>
              <w:t xml:space="preserve">Разходите на сектор „Държавно управление“ на държавите от ЕС за съдилищата </w:t>
            </w:r>
            <w:r>
              <w:rPr>
                <w:rFonts w:ascii="Times New Roman" w:hAnsi="Times New Roman"/>
                <w:b w:val="0"/>
                <w:noProof/>
                <w:sz w:val="24"/>
              </w:rPr>
              <w:t>се увеличиха с над 11 % в периода 2007—2016 г., достигайки малко над 50 милиарда евро през 2016 г. Този темп на растеж е малко по-нисък от ръста на БВП.</w:t>
            </w:r>
          </w:p>
          <w:p w:rsidR="00467251" w:rsidRDefault="00E55EA0">
            <w:pPr>
              <w:numPr>
                <w:ilvl w:val="0"/>
                <w:numId w:val="33"/>
              </w:numPr>
              <w:spacing w:before="100" w:beforeAutospacing="1" w:after="100" w:afterAutospacing="1"/>
              <w:ind w:left="142" w:hanging="142"/>
              <w:jc w:val="both"/>
              <w:rPr>
                <w:rFonts w:ascii="Times New Roman" w:eastAsiaTheme="majorEastAsia" w:hAnsi="Times New Roman" w:cs="Times New Roman"/>
                <w:iCs/>
                <w:noProof/>
                <w:sz w:val="24"/>
                <w:szCs w:val="24"/>
              </w:rPr>
            </w:pPr>
            <w:r>
              <w:rPr>
                <w:rFonts w:ascii="Times New Roman" w:hAnsi="Times New Roman"/>
                <w:b w:val="0"/>
                <w:noProof/>
                <w:sz w:val="24"/>
              </w:rPr>
              <w:t>През 2018 г. 56 % от</w:t>
            </w:r>
            <w:r>
              <w:rPr>
                <w:rFonts w:ascii="Times New Roman" w:hAnsi="Times New Roman"/>
                <w:noProof/>
                <w:sz w:val="24"/>
              </w:rPr>
              <w:t xml:space="preserve"> </w:t>
            </w:r>
            <w:r>
              <w:rPr>
                <w:rFonts w:ascii="Times New Roman" w:hAnsi="Times New Roman"/>
                <w:b w:val="0"/>
                <w:noProof/>
                <w:sz w:val="24"/>
              </w:rPr>
              <w:t>жителите на ЕС са оценили</w:t>
            </w:r>
            <w:r>
              <w:rPr>
                <w:rFonts w:ascii="Times New Roman" w:hAnsi="Times New Roman"/>
                <w:noProof/>
                <w:sz w:val="24"/>
              </w:rPr>
              <w:t xml:space="preserve"> независимостта на съдилищата и съдиите</w:t>
            </w:r>
            <w:r>
              <w:rPr>
                <w:rFonts w:ascii="Times New Roman" w:hAnsi="Times New Roman"/>
                <w:b w:val="0"/>
                <w:noProof/>
                <w:sz w:val="24"/>
              </w:rPr>
              <w:t xml:space="preserve"> в своята държава като „много добра „или „доста добра“, което представлява увеличение от четири процентни пункта в сравнение с 2016 г.</w:t>
            </w:r>
          </w:p>
          <w:p w:rsidR="00467251" w:rsidRDefault="00E55EA0">
            <w:pPr>
              <w:numPr>
                <w:ilvl w:val="0"/>
                <w:numId w:val="33"/>
              </w:numPr>
              <w:spacing w:before="100" w:beforeAutospacing="1" w:after="100" w:afterAutospacing="1"/>
              <w:ind w:left="142" w:hanging="142"/>
              <w:jc w:val="both"/>
              <w:rPr>
                <w:rFonts w:ascii="Times New Roman" w:eastAsia="Times New Roman" w:hAnsi="Times New Roman" w:cs="Times New Roman"/>
                <w:b w:val="0"/>
                <w:noProof/>
                <w:sz w:val="24"/>
                <w:szCs w:val="24"/>
              </w:rPr>
            </w:pPr>
            <w:r>
              <w:rPr>
                <w:rFonts w:ascii="Times New Roman" w:hAnsi="Times New Roman"/>
                <w:b w:val="0"/>
                <w:noProof/>
                <w:sz w:val="24"/>
              </w:rPr>
              <w:t xml:space="preserve">Според индекса за възприятие на </w:t>
            </w:r>
            <w:r>
              <w:rPr>
                <w:rFonts w:ascii="Times New Roman" w:hAnsi="Times New Roman"/>
                <w:noProof/>
                <w:sz w:val="24"/>
              </w:rPr>
              <w:t xml:space="preserve">корупцията </w:t>
            </w:r>
            <w:r>
              <w:rPr>
                <w:rFonts w:ascii="Times New Roman" w:hAnsi="Times New Roman"/>
                <w:b w:val="0"/>
                <w:noProof/>
                <w:sz w:val="24"/>
              </w:rPr>
              <w:t>на организация</w:t>
            </w:r>
            <w:r>
              <w:rPr>
                <w:rFonts w:ascii="Times New Roman" w:hAnsi="Times New Roman"/>
                <w:b w:val="0"/>
                <w:noProof/>
                <w:sz w:val="24"/>
              </w:rPr>
              <w:t>та „Transparency International“</w:t>
            </w:r>
            <w:r>
              <w:rPr>
                <w:rFonts w:ascii="Times New Roman" w:hAnsi="Times New Roman"/>
                <w:noProof/>
                <w:sz w:val="24"/>
              </w:rPr>
              <w:t xml:space="preserve"> </w:t>
            </w:r>
            <w:r>
              <w:rPr>
                <w:rFonts w:ascii="Times New Roman" w:hAnsi="Times New Roman"/>
                <w:b w:val="0"/>
                <w:noProof/>
                <w:sz w:val="24"/>
              </w:rPr>
              <w:t xml:space="preserve">държавите от ЕС продължават да са сред най-слабо корумпираните държави в световен мащаб през 2017 г., заемайки половината от 20-те челни места в класацията за най-малко корумпирани държави. </w:t>
            </w:r>
          </w:p>
          <w:p w:rsidR="00467251" w:rsidRDefault="00E55EA0">
            <w:pPr>
              <w:numPr>
                <w:ilvl w:val="0"/>
                <w:numId w:val="33"/>
              </w:numPr>
              <w:spacing w:before="100" w:beforeAutospacing="1" w:after="100" w:afterAutospacing="1"/>
              <w:ind w:left="142" w:hanging="142"/>
              <w:jc w:val="both"/>
              <w:rPr>
                <w:rFonts w:ascii="Times New Roman" w:eastAsia="Times New Roman" w:hAnsi="Times New Roman" w:cs="Times New Roman"/>
                <w:b w:val="0"/>
                <w:noProof/>
                <w:sz w:val="24"/>
                <w:szCs w:val="24"/>
              </w:rPr>
            </w:pPr>
            <w:r>
              <w:rPr>
                <w:rFonts w:ascii="Times New Roman" w:hAnsi="Times New Roman"/>
                <w:b w:val="0"/>
                <w:noProof/>
                <w:sz w:val="24"/>
              </w:rPr>
              <w:t>В някои държави членки буди</w:t>
            </w:r>
            <w:r>
              <w:rPr>
                <w:rFonts w:ascii="Times New Roman" w:hAnsi="Times New Roman"/>
                <w:noProof/>
                <w:sz w:val="24"/>
              </w:rPr>
              <w:t xml:space="preserve"> </w:t>
            </w:r>
            <w:r>
              <w:rPr>
                <w:rFonts w:ascii="Times New Roman" w:hAnsi="Times New Roman"/>
                <w:b w:val="0"/>
                <w:noProof/>
                <w:sz w:val="24"/>
              </w:rPr>
              <w:t>безпо</w:t>
            </w:r>
            <w:r>
              <w:rPr>
                <w:rFonts w:ascii="Times New Roman" w:hAnsi="Times New Roman"/>
                <w:b w:val="0"/>
                <w:noProof/>
                <w:sz w:val="24"/>
              </w:rPr>
              <w:t xml:space="preserve">койство положението от гледна точка на </w:t>
            </w:r>
            <w:r>
              <w:rPr>
                <w:rFonts w:ascii="Times New Roman" w:hAnsi="Times New Roman"/>
                <w:noProof/>
                <w:sz w:val="24"/>
              </w:rPr>
              <w:t>върховенството на закона</w:t>
            </w:r>
            <w:r>
              <w:rPr>
                <w:rFonts w:ascii="Times New Roman" w:hAnsi="Times New Roman"/>
                <w:b w:val="0"/>
                <w:noProof/>
                <w:sz w:val="24"/>
              </w:rPr>
              <w:t>, във връзка с което бяха предприети редица действия на равнището на 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right w:val="single" w:sz="4" w:space="0" w:color="auto"/>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Според общия доклад „Индекс и показатели за ЦУР, 2018 г.“ (Bertelsmann Stiftung и Sustainable Develop</w:t>
            </w:r>
            <w:r>
              <w:rPr>
                <w:rFonts w:ascii="Times New Roman" w:eastAsiaTheme="majorEastAsia" w:hAnsi="Times New Roman"/>
                <w:b w:val="0"/>
                <w:noProof/>
                <w:sz w:val="24"/>
              </w:rPr>
              <w:t xml:space="preserve">ment Solutions Network) 19 държави — членки на ЕС, постигат над 70 от общо 100 точки за ЦУР 16. Девет държави — членки на ЕС, са сред първите 20 в света.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rPr>
                <w:rFonts w:ascii="Times New Roman" w:eastAsiaTheme="majorEastAsia" w:hAnsi="Times New Roman" w:cs="Times New Roman"/>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ЕС продължава да </w:t>
            </w:r>
            <w:r>
              <w:rPr>
                <w:rFonts w:ascii="Times New Roman" w:hAnsi="Times New Roman"/>
                <w:b w:val="0"/>
                <w:noProof/>
                <w:sz w:val="24"/>
              </w:rPr>
              <w:t xml:space="preserve">следва пътя на мира. Чрез своите политики за разширяване и за съседство ЕС допринася още повече за мира и стабилността. ЕС активно насърчава и подпомага държавите — кандидатки за членство в ЕС, да постигат резултати в областта на върховенството на закона, </w:t>
            </w:r>
            <w:r>
              <w:rPr>
                <w:rFonts w:ascii="Times New Roman" w:hAnsi="Times New Roman"/>
                <w:b w:val="0"/>
                <w:noProof/>
                <w:sz w:val="24"/>
              </w:rPr>
              <w:t xml:space="preserve">съдебната реформа, борбата с корупцията и организираната престъпност, сигурността, основните права и демократичните институции. Водените от ЕС външни отношения и политика за развитие също допринасят за мира в други части на света. Освен това ЕС продължава </w:t>
            </w:r>
            <w:r>
              <w:rPr>
                <w:rFonts w:ascii="Times New Roman" w:hAnsi="Times New Roman"/>
                <w:b w:val="0"/>
                <w:noProof/>
                <w:sz w:val="24"/>
              </w:rPr>
              <w:t>да насърчава и отстоява принципите на правовата държава в собствените си държави членки. В някои държави членки са необходими повече усилия за подобряване на ефикасността, качеството и независимостта на националните правосъдни системи. На международно равн</w:t>
            </w:r>
            <w:r>
              <w:rPr>
                <w:rFonts w:ascii="Times New Roman" w:hAnsi="Times New Roman"/>
                <w:b w:val="0"/>
                <w:noProof/>
                <w:sz w:val="24"/>
              </w:rPr>
              <w:t>ище се наблюдава тенденция за установяване на авторитарни системи на управление в редица държави. Поощряването на демокрацията, правата на човека и върховенството на закона ще продължи да бъде основен приоритет за ЕС както във вътрешен, така и във външен п</w:t>
            </w:r>
            <w:r>
              <w:rPr>
                <w:rFonts w:ascii="Times New Roman" w:hAnsi="Times New Roman"/>
                <w:b w:val="0"/>
                <w:noProof/>
                <w:sz w:val="24"/>
              </w:rPr>
              <w:t>лан. ЕС ще продължи да работи за подобряване на достъпа до правосъдие, за борба с измамите и престъпността и за справяне с променящите се заплахи за сигурността чрез допълнително засилване на сътрудничеството и обмена на информация между полицията и правоп</w:t>
            </w:r>
            <w:r>
              <w:rPr>
                <w:rFonts w:ascii="Times New Roman" w:hAnsi="Times New Roman"/>
                <w:b w:val="0"/>
                <w:noProof/>
                <w:sz w:val="24"/>
              </w:rPr>
              <w:t>рилагащите органи на държавите — членки на ЕС, като ще насърчава и международното сътрудничество в тази област.</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hAnsi="Times New Roman" w:cs="Times New Roman"/>
                <w:b w:val="0"/>
                <w:noProof/>
                <w:sz w:val="24"/>
                <w:szCs w:val="24"/>
              </w:rPr>
            </w:pPr>
            <w:r>
              <w:rPr>
                <w:rFonts w:ascii="Times New Roman" w:eastAsiaTheme="majorEastAsia" w:hAnsi="Times New Roman"/>
                <w:b w:val="0"/>
                <w:noProof/>
                <w:sz w:val="24"/>
              </w:rPr>
              <w:t>Културни ценности в съответствие със зачитането на основните права, обществена ангажираност и участие в</w:t>
            </w:r>
            <w:r>
              <w:rPr>
                <w:rFonts w:ascii="Times New Roman" w:eastAsiaTheme="majorEastAsia" w:hAnsi="Times New Roman"/>
                <w:b w:val="0"/>
                <w:noProof/>
                <w:sz w:val="24"/>
              </w:rPr>
              <w:t xml:space="preserve"> политическия живот, корпоративна социална отговорност/отговорно бизнес поведение, образование, цифровизация, изкуствен интелект и нови технологии, научни изследвания и иновации, устойчива инфраструктура и устойчиви общества, многостранно сътрудничество, о</w:t>
            </w:r>
            <w:r>
              <w:rPr>
                <w:rFonts w:ascii="Times New Roman" w:eastAsiaTheme="majorEastAsia" w:hAnsi="Times New Roman"/>
                <w:b w:val="0"/>
                <w:noProof/>
                <w:sz w:val="24"/>
              </w:rPr>
              <w:t>творена и справедлива търговия, помощ за развитие.</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Геополитическа нестабилност и заплахи за сигурността, изменение на климата и влошаване на състоянието на околната среда, миграция, принудително разселване на населениет</w:t>
            </w:r>
            <w:r>
              <w:rPr>
                <w:rFonts w:ascii="Times New Roman" w:hAnsi="Times New Roman"/>
                <w:b w:val="0"/>
                <w:noProof/>
                <w:sz w:val="24"/>
              </w:rPr>
              <w:t>о, връщане на икономическия протекционизъм в световен мащаб, липса на международно сътрудничество, предизвикателства пред върховенството на закона, популизъм, социално неравенство.</w:t>
            </w:r>
          </w:p>
        </w:tc>
      </w:tr>
    </w:tbl>
    <w:p w:rsidR="00467251" w:rsidRDefault="00467251">
      <w:pPr>
        <w:rPr>
          <w:rFonts w:ascii="Times New Roman" w:hAnsi="Times New Roman" w:cs="Times New Roman"/>
          <w:noProof/>
          <w:sz w:val="24"/>
          <w:szCs w:val="24"/>
        </w:rPr>
      </w:pPr>
    </w:p>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251" w:rsidRDefault="00E55EA0">
            <w:pPr>
              <w:jc w:val="both"/>
              <w:rPr>
                <w:rFonts w:ascii="Times New Roman" w:hAnsi="Times New Roman" w:cs="Times New Roman"/>
                <w:b w:val="0"/>
                <w:noProof/>
                <w:sz w:val="24"/>
                <w:szCs w:val="24"/>
              </w:rPr>
            </w:pPr>
            <w:r>
              <w:rPr>
                <w:rFonts w:ascii="Times New Roman" w:hAnsi="Times New Roman"/>
                <w:i/>
                <w:noProof/>
                <w:sz w:val="24"/>
              </w:rPr>
              <w:t>ЕС на международно равнище:</w:t>
            </w:r>
            <w:r>
              <w:rPr>
                <w:rFonts w:ascii="Times New Roman" w:hAnsi="Times New Roman"/>
                <w:noProof/>
                <w:sz w:val="24"/>
              </w:rPr>
              <w:t xml:space="preserve"> </w:t>
            </w:r>
            <w:r>
              <w:rPr>
                <w:rFonts w:ascii="Times New Roman" w:hAnsi="Times New Roman"/>
                <w:b w:val="0"/>
                <w:noProof/>
                <w:sz w:val="24"/>
              </w:rPr>
              <w:t xml:space="preserve">с правилата на ЕС от </w:t>
            </w:r>
            <w:r>
              <w:rPr>
                <w:rFonts w:ascii="Times New Roman" w:hAnsi="Times New Roman"/>
                <w:b w:val="0"/>
                <w:noProof/>
                <w:sz w:val="24"/>
              </w:rPr>
              <w:t>2017 г. относно полезните изкопаеми от зони на конфликт се определят задълженията за надлежна проверка на веригата на доставки за вносителите от Съюза на калай, тантал, волфрам и злато, за да се гарантира, че те се набавят по отговорен начин, без пряко или</w:t>
            </w:r>
            <w:r>
              <w:rPr>
                <w:rFonts w:ascii="Times New Roman" w:hAnsi="Times New Roman"/>
                <w:b w:val="0"/>
                <w:noProof/>
                <w:sz w:val="24"/>
              </w:rPr>
              <w:t xml:space="preserve"> косвено да се финансират въоръжени конфликти или да се нарушават правата на човека в засегнатите от конфликти и високорискови зони.</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равнище ЕС:</w:t>
            </w:r>
            <w:r>
              <w:rPr>
                <w:rFonts w:ascii="Times New Roman" w:hAnsi="Times New Roman"/>
                <w:noProof/>
                <w:sz w:val="24"/>
              </w:rPr>
              <w:t xml:space="preserve"> </w:t>
            </w:r>
            <w:r>
              <w:rPr>
                <w:rFonts w:ascii="Times New Roman" w:hAnsi="Times New Roman"/>
                <w:b w:val="0"/>
                <w:noProof/>
                <w:sz w:val="24"/>
              </w:rPr>
              <w:t>през 2017 г. бе създадена Европейската прокуратура — независим европейски орган с правомощия за разследване</w:t>
            </w:r>
            <w:r>
              <w:rPr>
                <w:rFonts w:ascii="Times New Roman" w:hAnsi="Times New Roman"/>
                <w:b w:val="0"/>
                <w:noProof/>
                <w:sz w:val="24"/>
              </w:rPr>
              <w:t xml:space="preserve"> и наказателно преследване на престъпления, засягащи финансовите интереси на ЕС. Предвижда се Европейската прокуратура да започне да функционира в края на 2020 г., след изтичането на тригодишен период, необходим за изграждането ѝ. Това ще доведе до рязко з</w:t>
            </w:r>
            <w:r>
              <w:rPr>
                <w:rFonts w:ascii="Times New Roman" w:hAnsi="Times New Roman"/>
                <w:b w:val="0"/>
                <w:noProof/>
                <w:sz w:val="24"/>
              </w:rPr>
              <w:t xml:space="preserve">асилване на борбата с измамите, корупцията и други престъпления против бюджета на ЕС. </w:t>
            </w:r>
          </w:p>
          <w:p w:rsidR="00467251" w:rsidRDefault="00467251">
            <w:pPr>
              <w:jc w:val="both"/>
              <w:rPr>
                <w:rFonts w:ascii="Times New Roman" w:hAnsi="Times New Roman" w:cs="Times New Roman"/>
                <w:b w:val="0"/>
                <w:noProof/>
                <w:sz w:val="24"/>
                <w:szCs w:val="24"/>
              </w:rPr>
            </w:pPr>
          </w:p>
          <w:p w:rsidR="00467251" w:rsidRDefault="00E55EA0">
            <w:pPr>
              <w:jc w:val="both"/>
              <w:rPr>
                <w:rFonts w:ascii="Times New Roman" w:hAnsi="Times New Roman" w:cs="Times New Roman"/>
                <w:b w:val="0"/>
                <w:noProof/>
                <w:sz w:val="24"/>
                <w:szCs w:val="24"/>
              </w:rPr>
            </w:pPr>
            <w:r>
              <w:rPr>
                <w:rFonts w:ascii="Times New Roman" w:hAnsi="Times New Roman"/>
                <w:i/>
                <w:noProof/>
                <w:sz w:val="24"/>
              </w:rPr>
              <w:t>На равнище държави членки</w:t>
            </w:r>
            <w:r>
              <w:rPr>
                <w:rFonts w:ascii="Times New Roman" w:hAnsi="Times New Roman"/>
                <w:b w:val="0"/>
                <w:i/>
                <w:noProof/>
                <w:sz w:val="24"/>
              </w:rPr>
              <w:t>:</w:t>
            </w:r>
            <w:r>
              <w:rPr>
                <w:rFonts w:ascii="Times New Roman" w:hAnsi="Times New Roman"/>
                <w:b w:val="0"/>
                <w:noProof/>
                <w:sz w:val="24"/>
              </w:rPr>
              <w:t xml:space="preserve"> френският закон от 2017 г. относно задължението за бдителност задължава дружествата да прилагат мерки, с които да гарантират, че техните дъще</w:t>
            </w:r>
            <w:r>
              <w:rPr>
                <w:rFonts w:ascii="Times New Roman" w:hAnsi="Times New Roman"/>
                <w:b w:val="0"/>
                <w:noProof/>
                <w:sz w:val="24"/>
              </w:rPr>
              <w:t>рни предприятия, доставчици и подизпълнители по света спазват добри социални, екологични и етични практики. Целта на закона е да се повиши осведомеността сред дружествата за тяхната роля в предотвратяването на трагедии във Франция и в чужбина, както и да с</w:t>
            </w:r>
            <w:r>
              <w:rPr>
                <w:rFonts w:ascii="Times New Roman" w:hAnsi="Times New Roman"/>
                <w:b w:val="0"/>
                <w:noProof/>
                <w:sz w:val="24"/>
              </w:rPr>
              <w:t>е гарантира, че жертвите получават обезщетения за всички вреди, причинени от нарушаването на новото задължение на дружествата да прилагат планове за бдителност. То се прилага спрямо дружества с повече от 5 000 служители, чието седалище е във Франция, или с</w:t>
            </w:r>
            <w:r>
              <w:rPr>
                <w:rFonts w:ascii="Times New Roman" w:hAnsi="Times New Roman"/>
                <w:b w:val="0"/>
                <w:noProof/>
                <w:sz w:val="24"/>
              </w:rPr>
              <w:t xml:space="preserve">прямо дружества с повече от 10 000 служители, ако седалището им е в чужбина. </w:t>
            </w:r>
          </w:p>
          <w:p w:rsidR="00467251" w:rsidRDefault="00467251">
            <w:pPr>
              <w:jc w:val="both"/>
              <w:rPr>
                <w:rFonts w:ascii="Times New Roman" w:hAnsi="Times New Roman" w:cs="Times New Roman"/>
                <w:b w:val="0"/>
                <w:noProof/>
                <w:sz w:val="24"/>
                <w:szCs w:val="24"/>
              </w:rPr>
            </w:pPr>
          </w:p>
          <w:p w:rsidR="00467251" w:rsidRDefault="00E55EA0">
            <w:pPr>
              <w:pStyle w:val="NormalWeb"/>
              <w:jc w:val="both"/>
              <w:rPr>
                <w:b w:val="0"/>
                <w:noProof/>
              </w:rPr>
            </w:pPr>
            <w:r>
              <w:rPr>
                <w:i/>
                <w:noProof/>
              </w:rPr>
              <w:t>На равнище предприятия:</w:t>
            </w:r>
            <w:r>
              <w:rPr>
                <w:noProof/>
              </w:rPr>
              <w:t xml:space="preserve"> </w:t>
            </w:r>
            <w:r>
              <w:rPr>
                <w:b w:val="0"/>
                <w:noProof/>
              </w:rPr>
              <w:t>през 2011 г. датският морски контейнерен превозвач Maersk Line бе сред основателите на морската мрежа за борба с корупцията. В това междусекторно партньо</w:t>
            </w:r>
            <w:r>
              <w:rPr>
                <w:b w:val="0"/>
                <w:noProof/>
              </w:rPr>
              <w:t>рство участват дружества корабособственици, собственици на товари и доставчици на услуги, които си сътрудничат с ключови заинтересовани страни, включително правителства и международни организации, с цел идентифициране и ограничаване на причините за корупци</w:t>
            </w:r>
            <w:r>
              <w:rPr>
                <w:b w:val="0"/>
                <w:noProof/>
              </w:rPr>
              <w:t>ята в сектора на морския транспорт.</w:t>
            </w:r>
          </w:p>
          <w:p w:rsidR="00467251" w:rsidRDefault="00E55EA0">
            <w:pPr>
              <w:pStyle w:val="NormalWeb"/>
              <w:jc w:val="both"/>
              <w:rPr>
                <w:b w:val="0"/>
                <w:noProof/>
              </w:rPr>
            </w:pPr>
            <w:r>
              <w:rPr>
                <w:i/>
                <w:noProof/>
              </w:rPr>
              <w:t>На равнище гражданско общество:</w:t>
            </w:r>
            <w:r>
              <w:rPr>
                <w:noProof/>
              </w:rPr>
              <w:t xml:space="preserve"> </w:t>
            </w:r>
            <w:r>
              <w:rPr>
                <w:b w:val="0"/>
                <w:noProof/>
              </w:rPr>
              <w:t xml:space="preserve">в Словакия правителството насърчава участието на гражданското общество и неправителствените организации в създаването, изпълнението и контрола на държавните политики в различни области. В </w:t>
            </w:r>
            <w:r>
              <w:rPr>
                <w:b w:val="0"/>
                <w:noProof/>
              </w:rPr>
              <w:t>областта на политиката за околната среда е създадена „Зелена тристранна група“, която канализира предложенията и коментарите на неправителствените участници в процеса на разработване и прилагане на политиките.</w:t>
            </w:r>
          </w:p>
        </w:tc>
      </w:tr>
    </w:tbl>
    <w:p w:rsidR="00467251" w:rsidRDefault="00467251">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526"/>
        <w:gridCol w:w="7762"/>
      </w:tblGrid>
      <w:tr w:rsidR="00467251">
        <w:tc>
          <w:tcPr>
            <w:tcW w:w="1526" w:type="dxa"/>
            <w:tcBorders>
              <w:top w:val="single" w:sz="4" w:space="0" w:color="auto"/>
              <w:left w:val="single" w:sz="4" w:space="0" w:color="auto"/>
              <w:bottom w:val="single" w:sz="4" w:space="0" w:color="auto"/>
              <w:right w:val="single" w:sz="4" w:space="0" w:color="auto"/>
            </w:tcBorders>
            <w:hideMark/>
          </w:tcPr>
          <w:p w:rsidR="00467251" w:rsidRDefault="00E55EA0">
            <w:pP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805180" cy="8051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c>
        <w:tc>
          <w:tcPr>
            <w:tcW w:w="7762" w:type="dxa"/>
            <w:tcBorders>
              <w:top w:val="single" w:sz="4" w:space="0" w:color="auto"/>
              <w:left w:val="single" w:sz="4" w:space="0" w:color="auto"/>
              <w:bottom w:val="single" w:sz="4" w:space="0" w:color="auto"/>
              <w:right w:val="single" w:sz="4" w:space="0" w:color="auto"/>
            </w:tcBorders>
          </w:tcPr>
          <w:p w:rsidR="00467251" w:rsidRDefault="00E55EA0">
            <w:pPr>
              <w:jc w:val="both"/>
              <w:rPr>
                <w:rFonts w:ascii="Times New Roman" w:hAnsi="Times New Roman" w:cs="Times New Roman"/>
                <w:b/>
                <w:noProof/>
                <w:color w:val="002060"/>
                <w:sz w:val="24"/>
                <w:szCs w:val="24"/>
              </w:rPr>
            </w:pPr>
            <w:r>
              <w:rPr>
                <w:rFonts w:ascii="Times New Roman" w:hAnsi="Times New Roman"/>
                <w:b/>
                <w:noProof/>
                <w:color w:val="002060"/>
                <w:sz w:val="24"/>
              </w:rPr>
              <w:t xml:space="preserve">Укрепване на средствата за изпълнение и </w:t>
            </w:r>
            <w:r>
              <w:rPr>
                <w:rFonts w:ascii="Times New Roman" w:hAnsi="Times New Roman"/>
                <w:b/>
                <w:noProof/>
                <w:color w:val="002060"/>
                <w:sz w:val="24"/>
              </w:rPr>
              <w:t>възобновяване на световното партньорства за устойчиво развитие</w:t>
            </w:r>
          </w:p>
          <w:p w:rsidR="00467251" w:rsidRDefault="00467251">
            <w:pPr>
              <w:jc w:val="center"/>
              <w:rPr>
                <w:rFonts w:ascii="Times New Roman" w:hAnsi="Times New Roman" w:cs="Times New Roman"/>
                <w:b/>
                <w:noProof/>
                <w:color w:val="002060"/>
                <w:sz w:val="24"/>
                <w:szCs w:val="24"/>
              </w:rPr>
            </w:pPr>
          </w:p>
          <w:p w:rsidR="00467251" w:rsidRDefault="00467251">
            <w:pPr>
              <w:rPr>
                <w:rFonts w:ascii="Times New Roman" w:hAnsi="Times New Roman" w:cs="Times New Roman"/>
                <w:noProof/>
                <w:sz w:val="24"/>
                <w:szCs w:val="24"/>
              </w:rPr>
            </w:pPr>
          </w:p>
        </w:tc>
      </w:tr>
    </w:tbl>
    <w:tbl>
      <w:tblPr>
        <w:tblStyle w:val="ListTable3-Accent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88"/>
      </w:tblGrid>
      <w:tr w:rsidR="00467251" w:rsidTr="00467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днес</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Кратък преглед</w:t>
            </w:r>
          </w:p>
          <w:p w:rsidR="00467251" w:rsidRDefault="00E55EA0">
            <w:pPr>
              <w:pStyle w:val="NormalWeb"/>
              <w:spacing w:after="0"/>
              <w:jc w:val="both"/>
              <w:rPr>
                <w:b w:val="0"/>
                <w:noProof/>
              </w:rPr>
            </w:pPr>
            <w:r>
              <w:rPr>
                <w:b w:val="0"/>
                <w:noProof/>
              </w:rPr>
              <w:t>ЦУР имат централно място в прилагането на Глобалната стратегия за външната политика и политиката на сигурност на ЕС, в която е представена визията за ролята на ЕС на световната сцена. Европейският консенсус за развитие предоставя на ЕС и на държавите членк</w:t>
            </w:r>
            <w:r>
              <w:rPr>
                <w:b w:val="0"/>
                <w:noProof/>
              </w:rPr>
              <w:t xml:space="preserve">и рамка за общ подход в политиката за развитие въз основа на ЦУР. Въз основа на принципа за съгласуваност на политиките за развитие ЕС се стреми да постига максимална съгласуваност и синергии между своите различни политики в подкрепа на страните партньори </w:t>
            </w:r>
            <w:r>
              <w:rPr>
                <w:b w:val="0"/>
                <w:noProof/>
              </w:rPr>
              <w:t xml:space="preserve">за постигане на ЦУР. Днес ЕС е най-големият дарител на официална помощ за развитие в света. През последното десетилетие се наблюдава изместване на баланса на ролите, като отношението дарител — получател преминава във все по-равноправно партньорство. </w:t>
            </w:r>
            <w:r>
              <w:rPr>
                <w:rFonts w:eastAsiaTheme="minorHAnsi"/>
                <w:b w:val="0"/>
                <w:noProof/>
                <w:color w:val="000000"/>
              </w:rPr>
              <w:t>Полити</w:t>
            </w:r>
            <w:r>
              <w:rPr>
                <w:rFonts w:eastAsiaTheme="minorHAnsi"/>
                <w:b w:val="0"/>
                <w:noProof/>
                <w:color w:val="000000"/>
              </w:rPr>
              <w:t>ката на разширяване на ЕС и преразгледаната европейска политика за съседство се съсредоточават върху политически и икономически принципи, включително върховенството на закона, правата на човека, демокрацията и устойчивия икономически растеж и развитие в пъ</w:t>
            </w:r>
            <w:r>
              <w:rPr>
                <w:rFonts w:eastAsiaTheme="minorHAnsi"/>
                <w:b w:val="0"/>
                <w:noProof/>
                <w:color w:val="000000"/>
              </w:rPr>
              <w:t>лно съответствие с Програмата на ООН до 2030 г. за устойчиво развитие. Хуманитарният ангажимент на ЕС включва работа в тясно партньорство с голям брой организации на ООН и международни организации на гражданското общество, развиващи хуманитарна дейност и д</w:t>
            </w:r>
            <w:r>
              <w:rPr>
                <w:rFonts w:eastAsiaTheme="minorHAnsi"/>
                <w:b w:val="0"/>
                <w:noProof/>
                <w:color w:val="000000"/>
              </w:rPr>
              <w:t xml:space="preserve">ейност за развитие, целяща гарантиране на човешкото достойнство. </w:t>
            </w:r>
            <w:r>
              <w:rPr>
                <w:b w:val="0"/>
                <w:noProof/>
              </w:rPr>
              <w:t>Основаната на ценности търговска и инвестиционна политика на ЕС, както е заложена в стратегията „Търговия за всички“, се опира на различните ЦУР, интегрирайки действията за постигане на устой</w:t>
            </w:r>
            <w:r>
              <w:rPr>
                <w:b w:val="0"/>
                <w:noProof/>
              </w:rPr>
              <w:t>чиво развитие във всичките си измерения. ЕС остава твърд поддръжник на една универсална, основана на правила, отворена, недискриминационна и справедлива многостранна търговска система под егидата на Световната търговска организация (СТО) и работи активно з</w:t>
            </w:r>
            <w:r>
              <w:rPr>
                <w:b w:val="0"/>
                <w:noProof/>
              </w:rPr>
              <w:t>а запазването и укрепването на СТО във всички нейни функции. Освен това ЕС работи в тясно сътрудничество с други международни организации като Службата на върховния комисар за правата на човека (СВКПЧ), Международната организация на труда (МОТ) и Организац</w:t>
            </w:r>
            <w:r>
              <w:rPr>
                <w:b w:val="0"/>
                <w:noProof/>
              </w:rPr>
              <w:t>ията за икономическо сътрудничество и развитие (ОИСР) за насърчаване на правата на човека и корпоративната социална отговорност/отговорното бизнес поведение, а също и социалните и екологичните цели в своята търговска политика.</w:t>
            </w:r>
            <w:r>
              <w:rPr>
                <w:noProof/>
              </w:rPr>
              <w:t xml:space="preserve"> </w:t>
            </w:r>
            <w:r>
              <w:rPr>
                <w:b w:val="0"/>
                <w:noProof/>
              </w:rPr>
              <w:t>ЕС активно насърчава изпълнен</w:t>
            </w:r>
            <w:r>
              <w:rPr>
                <w:b w:val="0"/>
                <w:noProof/>
              </w:rPr>
              <w:t xml:space="preserve">ието на Програмата на ООН до 2030 г. за устойчиво развитие и целите за устойчиво развитие в рамките на Г-20. </w:t>
            </w:r>
            <w:r>
              <w:rPr>
                <w:rFonts w:eastAsiaTheme="minorHAnsi"/>
                <w:b w:val="0"/>
                <w:noProof/>
                <w:color w:val="000000"/>
              </w:rPr>
              <w:t>ЕС укрепва своето собствено фискално и икономическо управление посредством европейския семестър за координация на политиките, като по този начин до</w:t>
            </w:r>
            <w:r>
              <w:rPr>
                <w:rFonts w:eastAsiaTheme="minorHAnsi"/>
                <w:b w:val="0"/>
                <w:noProof/>
                <w:color w:val="000000"/>
              </w:rPr>
              <w:t>принася за световната макроикономическа стабилност. Чрез своята програма за по-добро регулиране Комисията допринася за повишената съгласуваност на политиките.</w:t>
            </w:r>
            <w:r>
              <w:rPr>
                <w:b w:val="0"/>
                <w:noProof/>
              </w:rPr>
              <w:t xml:space="preserve">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 xml:space="preserve">Основни тенденции </w:t>
            </w:r>
          </w:p>
          <w:p w:rsidR="00467251" w:rsidRDefault="00E55EA0">
            <w:pPr>
              <w:pStyle w:val="ListParagraph"/>
              <w:numPr>
                <w:ilvl w:val="0"/>
                <w:numId w:val="34"/>
              </w:numPr>
              <w:ind w:left="142" w:hanging="142"/>
              <w:jc w:val="both"/>
              <w:rPr>
                <w:rFonts w:ascii="Times New Roman" w:hAnsi="Times New Roman" w:cs="Times New Roman"/>
                <w:b w:val="0"/>
                <w:noProof/>
                <w:color w:val="000000"/>
                <w:sz w:val="24"/>
                <w:szCs w:val="24"/>
              </w:rPr>
            </w:pPr>
            <w:r>
              <w:rPr>
                <w:rFonts w:ascii="Times New Roman" w:hAnsi="Times New Roman"/>
                <w:b w:val="0"/>
                <w:noProof/>
                <w:color w:val="000000"/>
                <w:sz w:val="24"/>
              </w:rPr>
              <w:t xml:space="preserve">ЕС е </w:t>
            </w:r>
            <w:r>
              <w:rPr>
                <w:rFonts w:ascii="Times New Roman" w:hAnsi="Times New Roman"/>
                <w:noProof/>
                <w:color w:val="000000"/>
                <w:sz w:val="24"/>
              </w:rPr>
              <w:t xml:space="preserve">най-големият дарител на официална помощ за развитие в света, </w:t>
            </w:r>
            <w:r>
              <w:rPr>
                <w:rFonts w:ascii="Times New Roman" w:hAnsi="Times New Roman"/>
                <w:b w:val="0"/>
                <w:noProof/>
                <w:color w:val="000000"/>
                <w:sz w:val="24"/>
              </w:rPr>
              <w:t>като през 2017 г. предостави 75,7 милиарда евро. Освен това с 0,5 % през 2017 г. общото съотношение на ЕС между официалната помощ за развитие/брутния национален доход (БНД) беше значително по-високо, отколкото при повечето други дарители от ОИСР, като Кана</w:t>
            </w:r>
            <w:r>
              <w:rPr>
                <w:rFonts w:ascii="Times New Roman" w:hAnsi="Times New Roman"/>
                <w:b w:val="0"/>
                <w:noProof/>
                <w:color w:val="000000"/>
                <w:sz w:val="24"/>
              </w:rPr>
              <w:t xml:space="preserve">да, Япония или Съединените американски щати. </w:t>
            </w:r>
            <w:r>
              <w:rPr>
                <w:rFonts w:ascii="Times New Roman" w:hAnsi="Times New Roman"/>
                <w:b w:val="0"/>
                <w:noProof/>
                <w:sz w:val="24"/>
              </w:rPr>
              <w:t xml:space="preserve">Швеция, Дания, Люксембург и Обединеното кралство са постигнали целта за изразходване на 0,7 % от своя брутен национален доход (БНД) за официална помощ за развитие (през 2017 г.). </w:t>
            </w:r>
          </w:p>
          <w:p w:rsidR="00467251" w:rsidRDefault="00E55EA0">
            <w:pPr>
              <w:pStyle w:val="ListParagraph"/>
              <w:numPr>
                <w:ilvl w:val="0"/>
                <w:numId w:val="34"/>
              </w:numPr>
              <w:ind w:left="142" w:hanging="142"/>
              <w:jc w:val="both"/>
              <w:rPr>
                <w:rFonts w:ascii="Times New Roman" w:eastAsiaTheme="majorEastAsia" w:hAnsi="Times New Roman" w:cs="Times New Roman"/>
                <w:b w:val="0"/>
                <w:iCs/>
                <w:noProof/>
                <w:sz w:val="24"/>
                <w:szCs w:val="24"/>
              </w:rPr>
            </w:pPr>
            <w:r>
              <w:rPr>
                <w:rFonts w:ascii="Times New Roman" w:hAnsi="Times New Roman"/>
                <w:noProof/>
                <w:color w:val="000000"/>
                <w:sz w:val="24"/>
              </w:rPr>
              <w:t>Търговските отношения с развива</w:t>
            </w:r>
            <w:r>
              <w:rPr>
                <w:rFonts w:ascii="Times New Roman" w:hAnsi="Times New Roman"/>
                <w:noProof/>
                <w:color w:val="000000"/>
                <w:sz w:val="24"/>
              </w:rPr>
              <w:t xml:space="preserve">щите се страни </w:t>
            </w:r>
            <w:r>
              <w:rPr>
                <w:rFonts w:ascii="Times New Roman" w:hAnsi="Times New Roman"/>
                <w:b w:val="0"/>
                <w:noProof/>
                <w:color w:val="000000"/>
                <w:sz w:val="24"/>
              </w:rPr>
              <w:t>станаха по-интензивни</w:t>
            </w:r>
            <w:r>
              <w:rPr>
                <w:rFonts w:ascii="Times New Roman" w:hAnsi="Times New Roman"/>
                <w:noProof/>
                <w:color w:val="000000"/>
                <w:sz w:val="24"/>
              </w:rPr>
              <w:t>.</w:t>
            </w:r>
            <w:r>
              <w:rPr>
                <w:rFonts w:ascii="Times New Roman" w:hAnsi="Times New Roman"/>
                <w:b w:val="0"/>
                <w:noProof/>
                <w:color w:val="000000"/>
                <w:sz w:val="24"/>
              </w:rPr>
              <w:t xml:space="preserve"> Износът може да създаде местни работни места и да даде възможност на развиващите се страни да получат чужда валута, която може да се използва за внос на други необходими стоки. В периода между 2002 г. и 2017 г. вносът </w:t>
            </w:r>
            <w:r>
              <w:rPr>
                <w:rFonts w:ascii="Times New Roman" w:hAnsi="Times New Roman"/>
                <w:b w:val="0"/>
                <w:noProof/>
                <w:color w:val="000000"/>
                <w:sz w:val="24"/>
              </w:rPr>
              <w:t xml:space="preserve">в ЕС от развиващите се страни се увеличи над два пъти. </w:t>
            </w:r>
          </w:p>
          <w:p w:rsidR="00467251" w:rsidRDefault="00E55EA0">
            <w:pPr>
              <w:pStyle w:val="ListParagraph"/>
              <w:numPr>
                <w:ilvl w:val="0"/>
                <w:numId w:val="34"/>
              </w:numPr>
              <w:ind w:left="142" w:hanging="142"/>
              <w:jc w:val="both"/>
              <w:rPr>
                <w:rFonts w:ascii="Times New Roman" w:eastAsiaTheme="majorEastAsia" w:hAnsi="Times New Roman" w:cs="Times New Roman"/>
                <w:b w:val="0"/>
                <w:iCs/>
                <w:noProof/>
                <w:sz w:val="24"/>
                <w:szCs w:val="24"/>
              </w:rPr>
            </w:pPr>
            <w:r>
              <w:rPr>
                <w:rFonts w:ascii="Times New Roman" w:hAnsi="Times New Roman"/>
                <w:b w:val="0"/>
                <w:noProof/>
                <w:color w:val="000000"/>
                <w:sz w:val="24"/>
              </w:rPr>
              <w:t>Между 2002 г. и 2017 г. се увеличи</w:t>
            </w:r>
            <w:r>
              <w:rPr>
                <w:rFonts w:ascii="Times New Roman" w:hAnsi="Times New Roman"/>
                <w:noProof/>
                <w:color w:val="000000"/>
                <w:sz w:val="24"/>
              </w:rPr>
              <w:t xml:space="preserve"> делът на вноса в ЕС от най-слаборазвитите страни</w:t>
            </w:r>
            <w:r>
              <w:rPr>
                <w:rFonts w:ascii="Times New Roman" w:hAnsi="Times New Roman"/>
                <w:b w:val="0"/>
                <w:noProof/>
                <w:color w:val="000000"/>
                <w:sz w:val="24"/>
              </w:rPr>
              <w:t>. Въпреки това през 2017 г. почти 50-те най-слабо развити страни общо все още представляваха едва 2,0 % от целия внос</w:t>
            </w:r>
            <w:r>
              <w:rPr>
                <w:rFonts w:ascii="Times New Roman" w:hAnsi="Times New Roman"/>
                <w:b w:val="0"/>
                <w:noProof/>
                <w:color w:val="000000"/>
                <w:sz w:val="24"/>
              </w:rPr>
              <w:t xml:space="preserve"> в ЕС. През последните няколко години ЕС укрепи позицията си на основен пазар за износа от най-слабо развитите страни: делът му в износа на стоки от най-слаборазвитите страни се увеличи от 20,5 % през 2012 г. до близо 25 % през 2016 г., следван от Китай (2</w:t>
            </w:r>
            <w:r>
              <w:rPr>
                <w:rFonts w:ascii="Times New Roman" w:hAnsi="Times New Roman"/>
                <w:b w:val="0"/>
                <w:noProof/>
                <w:color w:val="000000"/>
                <w:sz w:val="24"/>
              </w:rPr>
              <w:t>1 %) и САЩ (8,2 %).</w:t>
            </w:r>
          </w:p>
          <w:p w:rsidR="00467251" w:rsidRDefault="00E55EA0">
            <w:pPr>
              <w:pStyle w:val="ListParagraph"/>
              <w:numPr>
                <w:ilvl w:val="0"/>
                <w:numId w:val="34"/>
              </w:numPr>
              <w:ind w:left="142" w:hanging="142"/>
              <w:jc w:val="both"/>
              <w:rPr>
                <w:rFonts w:ascii="Times New Roman" w:hAnsi="Times New Roman" w:cs="Times New Roman"/>
                <w:b w:val="0"/>
                <w:iCs/>
                <w:noProof/>
                <w:sz w:val="24"/>
                <w:szCs w:val="24"/>
              </w:rPr>
            </w:pPr>
            <w:r>
              <w:rPr>
                <w:rFonts w:ascii="Times New Roman" w:hAnsi="Times New Roman"/>
                <w:b w:val="0"/>
                <w:noProof/>
                <w:sz w:val="24"/>
              </w:rPr>
              <w:t>Подпомагането на развиващите се страни да увеличават</w:t>
            </w:r>
            <w:r>
              <w:rPr>
                <w:noProof/>
              </w:rPr>
              <w:t xml:space="preserve"> </w:t>
            </w:r>
            <w:r>
              <w:rPr>
                <w:rFonts w:ascii="Times New Roman" w:hAnsi="Times New Roman"/>
                <w:b w:val="0"/>
                <w:noProof/>
                <w:sz w:val="24"/>
              </w:rPr>
              <w:t>своите</w:t>
            </w:r>
            <w:r>
              <w:rPr>
                <w:rFonts w:ascii="Times New Roman" w:hAnsi="Times New Roman"/>
                <w:noProof/>
                <w:sz w:val="24"/>
              </w:rPr>
              <w:t xml:space="preserve"> национални ресурси е от </w:t>
            </w:r>
            <w:r>
              <w:rPr>
                <w:rFonts w:ascii="Times New Roman" w:hAnsi="Times New Roman"/>
                <w:b w:val="0"/>
                <w:noProof/>
                <w:sz w:val="24"/>
              </w:rPr>
              <w:t>решаващо значение. Подходът на ЕС към бюджетната подкрепа за страните партньори бе адаптиран с цел по-добро насърчаване на ЦУР, подобряване на ориентира</w:t>
            </w:r>
            <w:r>
              <w:rPr>
                <w:rFonts w:ascii="Times New Roman" w:hAnsi="Times New Roman"/>
                <w:b w:val="0"/>
                <w:noProof/>
                <w:sz w:val="24"/>
              </w:rPr>
              <w:t>ността на политиките на страните към постигането на резултати и осигуряване на изграждането на капацитет, посредством по-добра подкрепа за подобряване на държавното управление и управлението на публичните финанси, включително мерки за борба с корупцията.</w:t>
            </w:r>
          </w:p>
          <w:p w:rsidR="00467251" w:rsidRDefault="00E55EA0">
            <w:pPr>
              <w:pStyle w:val="ListParagraph"/>
              <w:numPr>
                <w:ilvl w:val="0"/>
                <w:numId w:val="34"/>
              </w:numPr>
              <w:ind w:left="142" w:hanging="142"/>
              <w:jc w:val="both"/>
              <w:rPr>
                <w:rFonts w:ascii="Times New Roman" w:hAnsi="Times New Roman" w:cs="Times New Roman"/>
                <w:noProof/>
                <w:sz w:val="24"/>
                <w:szCs w:val="24"/>
              </w:rPr>
            </w:pPr>
            <w:r>
              <w:rPr>
                <w:rFonts w:ascii="Times New Roman" w:hAnsi="Times New Roman"/>
                <w:noProof/>
                <w:sz w:val="24"/>
              </w:rPr>
              <w:t>И</w:t>
            </w:r>
            <w:r>
              <w:rPr>
                <w:rFonts w:ascii="Times New Roman" w:hAnsi="Times New Roman"/>
                <w:noProof/>
                <w:sz w:val="24"/>
              </w:rPr>
              <w:t>зместването на данъчната</w:t>
            </w:r>
            <w:r>
              <w:rPr>
                <w:rFonts w:ascii="Times New Roman" w:hAnsi="Times New Roman"/>
                <w:b w:val="0"/>
                <w:noProof/>
                <w:sz w:val="24"/>
              </w:rPr>
              <w:t xml:space="preserve"> </w:t>
            </w:r>
            <w:r>
              <w:rPr>
                <w:rFonts w:ascii="Times New Roman" w:hAnsi="Times New Roman"/>
                <w:noProof/>
                <w:sz w:val="24"/>
              </w:rPr>
              <w:t xml:space="preserve">тежест </w:t>
            </w:r>
            <w:r>
              <w:rPr>
                <w:rFonts w:ascii="Times New Roman" w:hAnsi="Times New Roman"/>
                <w:b w:val="0"/>
                <w:noProof/>
                <w:sz w:val="24"/>
              </w:rPr>
              <w:t>от труда към околната среда може да стимулира заетостта, да намали неравенствата и да ограничи въздействията върху околната среда. Делът на екологичните данъци в общите данъчни приходи в ЕС остава почти непроменен (6,8 % пре</w:t>
            </w:r>
            <w:r>
              <w:rPr>
                <w:rFonts w:ascii="Times New Roman" w:hAnsi="Times New Roman"/>
                <w:b w:val="0"/>
                <w:noProof/>
                <w:sz w:val="24"/>
              </w:rPr>
              <w:t>з 2002 г. и 6,1 % през 2017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Световна класация</w:t>
            </w:r>
          </w:p>
          <w:p w:rsidR="00467251" w:rsidRDefault="00E55EA0">
            <w:pPr>
              <w:jc w:val="both"/>
              <w:rPr>
                <w:rFonts w:ascii="Times New Roman" w:eastAsiaTheme="majorEastAsia" w:hAnsi="Times New Roman" w:cs="Times New Roman"/>
                <w:b w:val="0"/>
                <w:bCs w:val="0"/>
                <w:i/>
                <w:iCs/>
                <w:noProof/>
                <w:sz w:val="24"/>
                <w:szCs w:val="24"/>
              </w:rPr>
            </w:pPr>
            <w:r>
              <w:rPr>
                <w:rFonts w:ascii="Times New Roman" w:eastAsiaTheme="majorEastAsia" w:hAnsi="Times New Roman"/>
                <w:b w:val="0"/>
                <w:noProof/>
                <w:sz w:val="24"/>
              </w:rPr>
              <w:t>Според общия доклад „Индекс и показатели за ЦУР, 2018 г.“ (Bertelsmann Stiftung и Sustainable Development Solutions Network) шест държави — членки на ЕС, постигат над 70 от общо 100 точки за ЦУР 17. Три д</w:t>
            </w:r>
            <w:r>
              <w:rPr>
                <w:rFonts w:ascii="Times New Roman" w:eastAsiaTheme="majorEastAsia" w:hAnsi="Times New Roman"/>
                <w:b w:val="0"/>
                <w:noProof/>
                <w:sz w:val="24"/>
              </w:rPr>
              <w:t xml:space="preserve">ържави — членки на ЕС, са сред първите 20 в света.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467251" w:rsidRDefault="00E55EA0">
            <w:pPr>
              <w:jc w:val="center"/>
              <w:rPr>
                <w:rFonts w:ascii="Times New Roman" w:hAnsi="Times New Roman" w:cs="Times New Roman"/>
                <w:noProof/>
                <w:sz w:val="24"/>
                <w:szCs w:val="24"/>
              </w:rPr>
            </w:pPr>
            <w:r>
              <w:rPr>
                <w:rFonts w:ascii="Times New Roman" w:hAnsi="Times New Roman"/>
                <w:noProof/>
                <w:sz w:val="24"/>
              </w:rPr>
              <w:t>Европейският съюз през 2030 г.</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rPr>
                <w:rFonts w:ascii="Times New Roman" w:eastAsiaTheme="majorEastAsia" w:hAnsi="Times New Roman" w:cs="Times New Roman"/>
                <w:i/>
                <w:iCs/>
                <w:noProof/>
                <w:sz w:val="24"/>
                <w:szCs w:val="24"/>
              </w:rPr>
            </w:pPr>
            <w:r>
              <w:rPr>
                <w:rFonts w:ascii="Times New Roman" w:eastAsiaTheme="majorEastAsia" w:hAnsi="Times New Roman"/>
                <w:i/>
                <w:noProof/>
                <w:sz w:val="24"/>
              </w:rPr>
              <w:t>При настоящите тенденции и равни други условия</w:t>
            </w:r>
          </w:p>
          <w:p w:rsidR="00467251" w:rsidRDefault="00E55EA0">
            <w:pPr>
              <w:jc w:val="both"/>
              <w:rPr>
                <w:rFonts w:ascii="Times New Roman" w:hAnsi="Times New Roman" w:cs="Times New Roman"/>
                <w:b w:val="0"/>
                <w:noProof/>
                <w:sz w:val="24"/>
                <w:szCs w:val="24"/>
              </w:rPr>
            </w:pPr>
            <w:r>
              <w:rPr>
                <w:rFonts w:ascii="Times New Roman" w:hAnsi="Times New Roman"/>
                <w:b w:val="0"/>
                <w:noProof/>
                <w:color w:val="000000"/>
                <w:sz w:val="24"/>
              </w:rPr>
              <w:t>Предизвикателствата, пред които са изправени Европа и светът ще бъдат по-сложни, по-взаимосвързани и по-глобални от всякога.</w:t>
            </w:r>
            <w:r>
              <w:rPr>
                <w:rFonts w:ascii="Times New Roman" w:hAnsi="Times New Roman"/>
                <w:b w:val="0"/>
                <w:noProof/>
                <w:color w:val="000000"/>
                <w:sz w:val="24"/>
              </w:rPr>
              <w:t xml:space="preserve"> Световните партньорства, целящи изкореняването на бедността и постигането на всички други ЦУР, ще бъдат крайно необходими. На международно равнище ЕС ще продължи да насърчава запазването и укрепването на многостранния, основан на правила международен ред,</w:t>
            </w:r>
            <w:r>
              <w:rPr>
                <w:rFonts w:ascii="Times New Roman" w:hAnsi="Times New Roman"/>
                <w:b w:val="0"/>
                <w:noProof/>
                <w:color w:val="000000"/>
                <w:sz w:val="24"/>
              </w:rPr>
              <w:t xml:space="preserve"> в който ООН заема централно място. Това е необходимо условие за осигуряване на средствата за изпълнение. ЕС ще продължи да използва своята основана на ценности търговска политика за насърчаване на устойчивото развитие, включително корпоративната социална </w:t>
            </w:r>
            <w:r>
              <w:rPr>
                <w:rFonts w:ascii="Times New Roman" w:hAnsi="Times New Roman"/>
                <w:b w:val="0"/>
                <w:noProof/>
                <w:color w:val="000000"/>
                <w:sz w:val="24"/>
              </w:rPr>
              <w:t xml:space="preserve">отговорност/отговорното бизнес поведение, и ще продължи да оказва силна подкрепа на Световната търговска организация. Така например, за да се подобрят резултатите чрез разделяне на работата по възможно най-ефективния начин, ЕС и неговите държави членки ще </w:t>
            </w:r>
            <w:r>
              <w:rPr>
                <w:rFonts w:ascii="Times New Roman" w:hAnsi="Times New Roman"/>
                <w:b w:val="0"/>
                <w:noProof/>
                <w:color w:val="000000"/>
                <w:sz w:val="24"/>
              </w:rPr>
              <w:t>използват съвместното програмиране и съвместното изпълнение като ефективни средства за изпълнение на партньорствата за сътрудничество за развитие.</w:t>
            </w:r>
            <w:r>
              <w:rPr>
                <w:rFonts w:ascii="Times New Roman" w:eastAsiaTheme="majorEastAsia" w:hAnsi="Times New Roman"/>
                <w:b w:val="0"/>
                <w:noProof/>
                <w:sz w:val="24"/>
              </w:rPr>
              <w:t xml:space="preserve"> </w:t>
            </w:r>
            <w:r>
              <w:rPr>
                <w:rFonts w:ascii="Times New Roman" w:hAnsi="Times New Roman"/>
                <w:b w:val="0"/>
                <w:noProof/>
                <w:color w:val="000000"/>
                <w:sz w:val="24"/>
              </w:rPr>
              <w:t>Това означава, че заедно ще се определя кои дарители следва да работят в даден сектор. Освен това институциит</w:t>
            </w:r>
            <w:r>
              <w:rPr>
                <w:rFonts w:ascii="Times New Roman" w:hAnsi="Times New Roman"/>
                <w:b w:val="0"/>
                <w:noProof/>
                <w:color w:val="000000"/>
                <w:sz w:val="24"/>
              </w:rPr>
              <w:t>е на ЕС и държавите членки ще продължат да увеличават своите усилия за изпълнение на Програмата за действие от Адис Абеба, която е световната рамка за финансиране на Програмата до 2030 г. за устойчиво развитие и която подчертава ролята на науката, технолог</w:t>
            </w:r>
            <w:r>
              <w:rPr>
                <w:rFonts w:ascii="Times New Roman" w:hAnsi="Times New Roman"/>
                <w:b w:val="0"/>
                <w:noProof/>
                <w:color w:val="000000"/>
                <w:sz w:val="24"/>
              </w:rPr>
              <w:t>иите и иновациите. В „Хоризонт Европа“ — следващата програма за научни изследвания и иновации на ЕС за периода 2021—2027 г., се изтъква централната роля на международното научно сътрудничество за постигането на ЦУР. ЕС е в добра позиция по отношение на по-</w:t>
            </w:r>
            <w:r>
              <w:rPr>
                <w:rFonts w:ascii="Times New Roman" w:hAnsi="Times New Roman"/>
                <w:b w:val="0"/>
                <w:noProof/>
                <w:color w:val="000000"/>
                <w:sz w:val="24"/>
              </w:rPr>
              <w:t>голямата част от финансирането за ангажименти за развитие до 2030 г. В рамките на ЕС партньорствата за устойчиво развитие също ще бъдат насърчавани.</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Възможности/положителни движещи фактори</w:t>
            </w:r>
          </w:p>
          <w:p w:rsidR="00467251" w:rsidRDefault="00E55EA0">
            <w:pPr>
              <w:jc w:val="both"/>
              <w:rPr>
                <w:rFonts w:ascii="Times New Roman" w:eastAsiaTheme="majorEastAsia" w:hAnsi="Times New Roman" w:cs="Times New Roman"/>
                <w:b w:val="0"/>
                <w:iCs/>
                <w:noProof/>
                <w:sz w:val="24"/>
                <w:szCs w:val="24"/>
              </w:rPr>
            </w:pPr>
            <w:r>
              <w:rPr>
                <w:rFonts w:ascii="Times New Roman" w:eastAsiaTheme="majorEastAsia" w:hAnsi="Times New Roman"/>
                <w:b w:val="0"/>
                <w:noProof/>
                <w:sz w:val="24"/>
              </w:rPr>
              <w:t>Обществена ангажираност и участие в политическия живот, корпоратив</w:t>
            </w:r>
            <w:r>
              <w:rPr>
                <w:rFonts w:ascii="Times New Roman" w:eastAsiaTheme="majorEastAsia" w:hAnsi="Times New Roman"/>
                <w:b w:val="0"/>
                <w:noProof/>
                <w:sz w:val="24"/>
              </w:rPr>
              <w:t>на социална отговорност/отговорно бизнес поведение, по-добро регулиране, образование, цифровизация, изкуствен интелект, нови технологии, научни изследвания и иновации, ефективен трансфер на технологии и обмен на знания, наблюдение на Земята, образование, д</w:t>
            </w:r>
            <w:r>
              <w:rPr>
                <w:rFonts w:ascii="Times New Roman" w:eastAsiaTheme="majorEastAsia" w:hAnsi="Times New Roman"/>
                <w:b w:val="0"/>
                <w:noProof/>
                <w:sz w:val="24"/>
              </w:rPr>
              <w:t xml:space="preserve">оброволчество, колективно финансиране и други форми на иновативно финансиране, устойчиво финансиране, публично-частни партньорства, многостранно сътрудничество, отворена и справедлива търговия, помощ за развитие.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251" w:rsidRDefault="00E55EA0">
            <w:pPr>
              <w:jc w:val="both"/>
              <w:rPr>
                <w:rFonts w:ascii="Times New Roman" w:eastAsiaTheme="majorEastAsia" w:hAnsi="Times New Roman" w:cs="Times New Roman"/>
                <w:i/>
                <w:iCs/>
                <w:noProof/>
                <w:sz w:val="24"/>
                <w:szCs w:val="24"/>
              </w:rPr>
            </w:pPr>
            <w:r>
              <w:rPr>
                <w:rFonts w:ascii="Times New Roman" w:eastAsiaTheme="majorEastAsia" w:hAnsi="Times New Roman"/>
                <w:i/>
                <w:noProof/>
                <w:sz w:val="24"/>
              </w:rPr>
              <w:t>Рискове/отрицателни движещи фактори</w:t>
            </w:r>
          </w:p>
          <w:p w:rsidR="00467251" w:rsidRDefault="00E55EA0">
            <w:pPr>
              <w:jc w:val="both"/>
              <w:rPr>
                <w:rFonts w:ascii="Times New Roman" w:hAnsi="Times New Roman" w:cs="Times New Roman"/>
                <w:b w:val="0"/>
                <w:noProof/>
                <w:sz w:val="24"/>
                <w:szCs w:val="24"/>
              </w:rPr>
            </w:pPr>
            <w:r>
              <w:rPr>
                <w:rFonts w:ascii="Times New Roman" w:hAnsi="Times New Roman"/>
                <w:b w:val="0"/>
                <w:noProof/>
                <w:sz w:val="24"/>
              </w:rPr>
              <w:t xml:space="preserve">Геополитическа нестабилност и заплахи за сигурността, икономически протекционизъм, липса на международно сътрудничество, подкопаваща съществуващите многостранни институции. </w:t>
            </w:r>
          </w:p>
        </w:tc>
      </w:tr>
      <w:tr w:rsidR="00467251" w:rsidTr="00467251">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hideMark/>
          </w:tcPr>
          <w:p w:rsidR="00467251" w:rsidRDefault="00E55EA0">
            <w:pPr>
              <w:jc w:val="center"/>
              <w:rPr>
                <w:rFonts w:ascii="Times New Roman" w:hAnsi="Times New Roman" w:cs="Times New Roman"/>
                <w:noProof/>
                <w:sz w:val="24"/>
                <w:szCs w:val="24"/>
              </w:rPr>
            </w:pPr>
            <w:r>
              <w:rPr>
                <w:rFonts w:ascii="Times New Roman" w:hAnsi="Times New Roman"/>
                <w:noProof/>
                <w:sz w:val="24"/>
              </w:rPr>
              <w:t xml:space="preserve">Акценти на политиката </w:t>
            </w:r>
          </w:p>
        </w:tc>
      </w:tr>
      <w:tr w:rsidR="00467251" w:rsidTr="00467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251" w:rsidRDefault="00E55EA0">
            <w:pPr>
              <w:pStyle w:val="NormalWeb"/>
              <w:jc w:val="both"/>
              <w:rPr>
                <w:b w:val="0"/>
                <w:noProof/>
              </w:rPr>
            </w:pPr>
            <w:r>
              <w:rPr>
                <w:i/>
                <w:noProof/>
              </w:rPr>
              <w:t>ЕС на международно равнище:</w:t>
            </w:r>
            <w:r>
              <w:rPr>
                <w:noProof/>
              </w:rPr>
              <w:t xml:space="preserve"> </w:t>
            </w:r>
            <w:r>
              <w:rPr>
                <w:b w:val="0"/>
                <w:noProof/>
              </w:rPr>
              <w:t>ЕС участва заедно с други пар</w:t>
            </w:r>
            <w:r>
              <w:rPr>
                <w:b w:val="0"/>
                <w:noProof/>
              </w:rPr>
              <w:t>тньори от Г-20 и международни организации в Пакта за Африка на Г-20, чиято цел е да стимулира инвестициите в участващите африкански страни. ЕС ще оказва също така подкрепа за тристранното сътрудничество — партньорства, в които задвижващата сила е Югът, меж</w:t>
            </w:r>
            <w:r>
              <w:rPr>
                <w:b w:val="0"/>
                <w:noProof/>
              </w:rPr>
              <w:t>ду две или повече развиващите се страни, подпомагани от развита страна или многостранна организация, като важен инструмент за достигане до развиващите се държави и други заинтересовани страни.</w:t>
            </w:r>
          </w:p>
          <w:p w:rsidR="00467251" w:rsidRDefault="00E55EA0">
            <w:pPr>
              <w:pStyle w:val="NormalWeb"/>
              <w:jc w:val="both"/>
              <w:rPr>
                <w:b w:val="0"/>
                <w:noProof/>
              </w:rPr>
            </w:pPr>
            <w:r>
              <w:rPr>
                <w:i/>
                <w:noProof/>
              </w:rPr>
              <w:t>На равнище ЕС:</w:t>
            </w:r>
            <w:r>
              <w:rPr>
                <w:noProof/>
              </w:rPr>
              <w:t xml:space="preserve"> </w:t>
            </w:r>
            <w:r>
              <w:rPr>
                <w:b w:val="0"/>
                <w:noProof/>
              </w:rPr>
              <w:t>Европейският план за външни инвестиции и Европей</w:t>
            </w:r>
            <w:r>
              <w:rPr>
                <w:b w:val="0"/>
                <w:noProof/>
              </w:rPr>
              <w:t>ският фонд за устойчиво развитие към него представят бюджета на ЕС като гаранция за отключването и насърчаването на инвестиции в Африка и държавите в съседство. Те са предназначени за нестабилни, раздирани от конфликти и насилие страни, страни без излаз на</w:t>
            </w:r>
            <w:r>
              <w:rPr>
                <w:b w:val="0"/>
                <w:noProof/>
              </w:rPr>
              <w:t xml:space="preserve"> море и най-слабо развити страни, които са в най-голяма нужда. Целта е да се стимулират частните инвестиции и да се мобилизират допълнителни инвестиции в размер на 44 милиарда евро до 2020 г.</w:t>
            </w:r>
          </w:p>
          <w:p w:rsidR="00467251" w:rsidRDefault="00E55EA0">
            <w:pPr>
              <w:pStyle w:val="NormalWeb"/>
              <w:jc w:val="both"/>
              <w:rPr>
                <w:b w:val="0"/>
                <w:noProof/>
              </w:rPr>
            </w:pPr>
            <w:r>
              <w:rPr>
                <w:i/>
                <w:noProof/>
              </w:rPr>
              <w:t>На равнище държави членки:</w:t>
            </w:r>
            <w:r>
              <w:rPr>
                <w:noProof/>
              </w:rPr>
              <w:t xml:space="preserve"> </w:t>
            </w:r>
            <w:r>
              <w:rPr>
                <w:b w:val="0"/>
                <w:noProof/>
              </w:rPr>
              <w:t>„Финландията, която искаме до 2050 г. — ангажиментът на обществото за устойчиво развитие“ е новаторски начин да се ангажира цялото общество в постигането на ЦУР. За да се постигнат поставените осем цели на тази визия за 2050 г., са установени оперативни ан</w:t>
            </w:r>
            <w:r>
              <w:rPr>
                <w:b w:val="0"/>
                <w:noProof/>
              </w:rPr>
              <w:t xml:space="preserve">гажименти с административните сектори и други обществени участници, като например дружества, общини, организации, учебни заведения и местни стопански субекти. Ангажиментите трябва да бъдат нови и измерими. </w:t>
            </w:r>
          </w:p>
          <w:p w:rsidR="00467251" w:rsidRDefault="00E55EA0">
            <w:pPr>
              <w:pStyle w:val="NormalWeb"/>
              <w:jc w:val="both"/>
              <w:rPr>
                <w:noProof/>
              </w:rPr>
            </w:pPr>
            <w:r>
              <w:rPr>
                <w:i/>
                <w:noProof/>
              </w:rPr>
              <w:t>На регионално/местно равнище:</w:t>
            </w:r>
            <w:r>
              <w:rPr>
                <w:b w:val="0"/>
                <w:noProof/>
              </w:rPr>
              <w:t xml:space="preserve"> латвийските местни </w:t>
            </w:r>
            <w:r>
              <w:rPr>
                <w:b w:val="0"/>
                <w:noProof/>
              </w:rPr>
              <w:t>власти и неправителствени организации активно участват в проекти за сътрудничество за развитие със страните от Източното партньорство и централноазиатските държави — Молдова, Грузия, Украйна, Киргизстан и други. Латвийското сдружение на местните и регионал</w:t>
            </w:r>
            <w:r>
              <w:rPr>
                <w:b w:val="0"/>
                <w:noProof/>
              </w:rPr>
              <w:t>ните власти предлага дългосрочна експертна подкрепа за планирането на бюджета на страната партньор, за преговорите на държавно равнище, участието на гражданите в процеса на вземане на решения и насърчаването на стопанската дейност.</w:t>
            </w:r>
          </w:p>
          <w:p w:rsidR="00467251" w:rsidRDefault="00E55EA0">
            <w:pPr>
              <w:pStyle w:val="Default"/>
              <w:jc w:val="both"/>
              <w:rPr>
                <w:b w:val="0"/>
                <w:noProof/>
                <w:color w:val="auto"/>
              </w:rPr>
            </w:pPr>
            <w:r>
              <w:rPr>
                <w:i/>
                <w:noProof/>
              </w:rPr>
              <w:t>На равнище предприятия:</w:t>
            </w:r>
            <w:r>
              <w:rPr>
                <w:noProof/>
              </w:rPr>
              <w:t xml:space="preserve"> </w:t>
            </w:r>
            <w:r>
              <w:rPr>
                <w:b w:val="0"/>
                <w:noProof/>
                <w:color w:val="auto"/>
              </w:rPr>
              <w:t xml:space="preserve">Unilever </w:t>
            </w:r>
            <w:r>
              <w:rPr>
                <w:b w:val="0"/>
                <w:noProof/>
              </w:rPr>
              <w:t xml:space="preserve">— транснационално дружество производител на потребителски стоки, </w:t>
            </w:r>
            <w:r>
              <w:rPr>
                <w:b w:val="0"/>
                <w:noProof/>
                <w:color w:val="auto"/>
              </w:rPr>
              <w:t>е силен застъпник на ЦУР</w:t>
            </w:r>
            <w:r>
              <w:rPr>
                <w:b w:val="0"/>
                <w:noProof/>
              </w:rPr>
              <w:t xml:space="preserve"> още от приемането на Програмата на ООН до 2030 г. за устойчиво развитие, като неговият главен изпълнителен директор участва в Групата за застъпничество на ЦУ</w:t>
            </w:r>
            <w:r>
              <w:rPr>
                <w:b w:val="0"/>
                <w:noProof/>
              </w:rPr>
              <w:t>Р към генералния секретар на ООН</w:t>
            </w:r>
            <w:r>
              <w:rPr>
                <w:b w:val="0"/>
                <w:noProof/>
                <w:color w:val="auto"/>
              </w:rPr>
              <w:t>. Unilever</w:t>
            </w:r>
            <w:r>
              <w:rPr>
                <w:b w:val="0"/>
                <w:noProof/>
              </w:rPr>
              <w:t xml:space="preserve"> съфинансира основаната през 2016 г. Бизнес комисия за устойчиво развитие, чиято работа достигна своя връх с публикуването през 2017 г. на конструктивен доклад за размисъл, озаглавен „Better Business Better World“ </w:t>
            </w:r>
            <w:r>
              <w:rPr>
                <w:b w:val="0"/>
                <w:noProof/>
              </w:rPr>
              <w:t>(„По-добър бизнес, по-добър свят“), относно икономическите аргументи в полза на действията в областта на ЦУР.</w:t>
            </w:r>
          </w:p>
          <w:p w:rsidR="00467251" w:rsidRDefault="00467251">
            <w:pPr>
              <w:pStyle w:val="Default"/>
              <w:jc w:val="both"/>
              <w:rPr>
                <w:b w:val="0"/>
                <w:noProof/>
                <w:color w:val="auto"/>
              </w:rPr>
            </w:pPr>
          </w:p>
          <w:p w:rsidR="00467251" w:rsidRDefault="00E55EA0">
            <w:pPr>
              <w:pStyle w:val="NormalWeb"/>
              <w:spacing w:after="120"/>
              <w:jc w:val="both"/>
              <w:rPr>
                <w:b w:val="0"/>
                <w:noProof/>
              </w:rPr>
            </w:pPr>
            <w:r>
              <w:rPr>
                <w:i/>
                <w:noProof/>
              </w:rPr>
              <w:t>На равнище гражданско общество:</w:t>
            </w:r>
            <w:r>
              <w:rPr>
                <w:noProof/>
              </w:rPr>
              <w:t xml:space="preserve"> </w:t>
            </w:r>
            <w:r>
              <w:rPr>
                <w:rFonts w:eastAsiaTheme="minorHAnsi"/>
                <w:b w:val="0"/>
                <w:noProof/>
              </w:rPr>
              <w:t>Италианското сдружение за устойчиво развитие (ASviS) има за цел да се повиши осведомеността на италианското общес</w:t>
            </w:r>
            <w:r>
              <w:rPr>
                <w:rFonts w:eastAsiaTheme="minorHAnsi"/>
                <w:b w:val="0"/>
                <w:noProof/>
              </w:rPr>
              <w:t xml:space="preserve">тво, икономическите субекти и институциите относно значението на Програмата на ООН </w:t>
            </w:r>
            <w:hyperlink r:id="rId107" w:history="1">
              <w:r>
                <w:rPr>
                  <w:rFonts w:eastAsiaTheme="minorHAnsi"/>
                  <w:b w:val="0"/>
                  <w:noProof/>
                </w:rPr>
                <w:t>до 2030 г. за устойчиво развитие и да се мобилизират действия от тяхна страна</w:t>
              </w:r>
            </w:hyperlink>
            <w:r>
              <w:rPr>
                <w:rFonts w:eastAsiaTheme="minorHAnsi"/>
                <w:b w:val="0"/>
                <w:noProof/>
              </w:rPr>
              <w:t>. То обединява</w:t>
            </w:r>
            <w:hyperlink r:id="rId108" w:history="1">
              <w:r>
                <w:rPr>
                  <w:rFonts w:eastAsiaTheme="minorHAnsi"/>
                  <w:b w:val="0"/>
                  <w:noProof/>
                </w:rPr>
                <w:t xml:space="preserve"> над 180</w:t>
              </w:r>
            </w:hyperlink>
            <w:r>
              <w:rPr>
                <w:rFonts w:eastAsiaTheme="minorHAnsi"/>
                <w:b w:val="0"/>
                <w:noProof/>
              </w:rPr>
              <w:t xml:space="preserve"> от най-големите институции и мрежи на гражданското общество заедно с университети и предприятия.</w:t>
            </w:r>
          </w:p>
        </w:tc>
      </w:tr>
    </w:tbl>
    <w:p w:rsidR="00467251" w:rsidRDefault="00467251">
      <w:pPr>
        <w:rPr>
          <w:rFonts w:ascii="Times New Roman" w:hAnsi="Times New Roman" w:cs="Times New Roman"/>
          <w:noProof/>
          <w:sz w:val="24"/>
          <w:szCs w:val="24"/>
        </w:rPr>
      </w:pPr>
    </w:p>
    <w:p w:rsidR="00467251" w:rsidRDefault="00E55EA0">
      <w:pPr>
        <w:rPr>
          <w:rFonts w:ascii="Times New Roman" w:hAnsi="Times New Roman" w:cs="Times New Roman"/>
          <w:b/>
          <w:noProof/>
          <w:sz w:val="24"/>
          <w:u w:val="single"/>
        </w:rPr>
      </w:pPr>
      <w:r>
        <w:rPr>
          <w:noProof/>
        </w:rPr>
        <w:br w:type="page"/>
      </w:r>
    </w:p>
    <w:p w:rsidR="00467251" w:rsidRDefault="00E55EA0">
      <w:pPr>
        <w:jc w:val="both"/>
        <w:rPr>
          <w:rFonts w:ascii="Times New Roman" w:hAnsi="Times New Roman" w:cs="Times New Roman"/>
          <w:b/>
          <w:noProof/>
          <w:sz w:val="24"/>
          <w:u w:val="single"/>
        </w:rPr>
      </w:pPr>
      <w:r>
        <w:rPr>
          <w:rFonts w:ascii="Times New Roman" w:hAnsi="Times New Roman"/>
          <w:b/>
          <w:noProof/>
          <w:sz w:val="24"/>
          <w:u w:val="single"/>
        </w:rPr>
        <w:t>Приложение III Обобщение на приноса на Многостранната платформа за ЦУР към документа за размис</w:t>
      </w:r>
      <w:r>
        <w:rPr>
          <w:rFonts w:ascii="Times New Roman" w:hAnsi="Times New Roman"/>
          <w:b/>
          <w:noProof/>
          <w:sz w:val="24"/>
          <w:u w:val="single"/>
        </w:rPr>
        <w:t>ъл „Към устойчива Европа до 2030 г.“</w:t>
      </w:r>
    </w:p>
    <w:p w:rsidR="00467251" w:rsidRDefault="00467251">
      <w:pPr>
        <w:pStyle w:val="Annexetitre"/>
        <w:rPr>
          <w:noProof/>
        </w:rPr>
      </w:pPr>
    </w:p>
    <w:p w:rsidR="00467251" w:rsidRDefault="00E55EA0">
      <w:pPr>
        <w:jc w:val="center"/>
        <w:rPr>
          <w:rFonts w:ascii="Times New Roman" w:hAnsi="Times New Roman" w:cs="Times New Roman"/>
          <w:b/>
          <w:noProof/>
          <w:sz w:val="24"/>
          <w:szCs w:val="24"/>
        </w:rPr>
      </w:pPr>
      <w:r>
        <w:rPr>
          <w:rFonts w:ascii="Times New Roman" w:hAnsi="Times New Roman"/>
          <w:b/>
          <w:noProof/>
          <w:sz w:val="24"/>
        </w:rPr>
        <w:t>Писмо от членовете на Платформата</w:t>
      </w:r>
    </w:p>
    <w:p w:rsidR="00467251" w:rsidRDefault="00467251">
      <w:pPr>
        <w:jc w:val="both"/>
        <w:rPr>
          <w:rFonts w:ascii="Times New Roman" w:hAnsi="Times New Roman" w:cs="Times New Roman"/>
          <w:noProof/>
          <w:sz w:val="24"/>
          <w:szCs w:val="24"/>
        </w:rPr>
      </w:pPr>
    </w:p>
    <w:p w:rsidR="00467251" w:rsidRDefault="00E55EA0">
      <w:pPr>
        <w:jc w:val="right"/>
        <w:rPr>
          <w:rFonts w:ascii="Times New Roman" w:hAnsi="Times New Roman" w:cs="Times New Roman"/>
          <w:noProof/>
          <w:sz w:val="24"/>
          <w:szCs w:val="24"/>
        </w:rPr>
      </w:pPr>
      <w:r>
        <w:rPr>
          <w:rFonts w:ascii="Times New Roman" w:hAnsi="Times New Roman"/>
          <w:noProof/>
          <w:sz w:val="24"/>
        </w:rPr>
        <w:t>Брюксел, 11 октомври 2018 г.</w:t>
      </w: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noProof/>
          <w:sz w:val="24"/>
        </w:rPr>
        <w:t>До настоящите и бъдещите ръководители на Европейската комисия и другите институции на ЕС,</w:t>
      </w:r>
    </w:p>
    <w:p w:rsidR="00467251" w:rsidRDefault="00E55EA0">
      <w:pPr>
        <w:jc w:val="both"/>
        <w:rPr>
          <w:rFonts w:ascii="Times New Roman" w:hAnsi="Times New Roman" w:cs="Times New Roman"/>
          <w:noProof/>
          <w:sz w:val="24"/>
          <w:szCs w:val="24"/>
        </w:rPr>
      </w:pPr>
      <w:r>
        <w:rPr>
          <w:rFonts w:ascii="Times New Roman" w:hAnsi="Times New Roman"/>
          <w:noProof/>
          <w:sz w:val="24"/>
        </w:rPr>
        <w:t xml:space="preserve">До всички субекти от значение за устойчивия живот на хората и </w:t>
      </w:r>
      <w:r>
        <w:rPr>
          <w:rFonts w:ascii="Times New Roman" w:hAnsi="Times New Roman"/>
          <w:noProof/>
          <w:sz w:val="24"/>
        </w:rPr>
        <w:t>за екологичното, социалното, икономическото и управленческото развитие на Европа,</w:t>
      </w:r>
    </w:p>
    <w:p w:rsidR="00467251" w:rsidRDefault="00E55EA0">
      <w:pPr>
        <w:jc w:val="both"/>
        <w:rPr>
          <w:rFonts w:ascii="Times New Roman" w:hAnsi="Times New Roman" w:cs="Times New Roman"/>
          <w:noProof/>
          <w:sz w:val="24"/>
          <w:szCs w:val="24"/>
        </w:rPr>
      </w:pPr>
      <w:r>
        <w:rPr>
          <w:rFonts w:ascii="Times New Roman" w:hAnsi="Times New Roman"/>
          <w:noProof/>
          <w:sz w:val="24"/>
        </w:rPr>
        <w:t>До народите и избирателите в Европа,</w:t>
      </w: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noProof/>
          <w:sz w:val="24"/>
        </w:rPr>
        <w:t>С тази нова платформа и с нашия доклад искаме да дадем ясен сигнал на ръководителите, субектите и народите във и извън Европейския съюз:</w:t>
      </w:r>
      <w:r>
        <w:rPr>
          <w:rFonts w:ascii="Times New Roman" w:hAnsi="Times New Roman"/>
          <w:noProof/>
          <w:sz w:val="24"/>
        </w:rPr>
        <w:t xml:space="preserve"> повече от всякога е време да се изготви една далновидна и амбициозна стратегия за устойчива Европа до 2030 г.</w:t>
      </w:r>
    </w:p>
    <w:p w:rsidR="00467251" w:rsidRDefault="00E55EA0">
      <w:pPr>
        <w:jc w:val="both"/>
        <w:rPr>
          <w:rFonts w:ascii="Times New Roman" w:hAnsi="Times New Roman" w:cs="Times New Roman"/>
          <w:noProof/>
          <w:sz w:val="24"/>
          <w:szCs w:val="24"/>
        </w:rPr>
      </w:pPr>
      <w:r>
        <w:rPr>
          <w:rFonts w:ascii="Times New Roman" w:hAnsi="Times New Roman"/>
          <w:noProof/>
          <w:sz w:val="24"/>
        </w:rPr>
        <w:t>Важно е да се отбележи, че от нито един от членовете на Платформата не се очаква да подкрепи всички препоръки или становища, изложени в настоящия</w:t>
      </w:r>
      <w:r>
        <w:rPr>
          <w:rFonts w:ascii="Times New Roman" w:hAnsi="Times New Roman"/>
          <w:noProof/>
          <w:sz w:val="24"/>
        </w:rPr>
        <w:t xml:space="preserve"> доклад, и че всеки има право на различно становище по отношение на разглежданите въпроси.</w:t>
      </w:r>
    </w:p>
    <w:p w:rsidR="00467251" w:rsidRDefault="00E55EA0">
      <w:pPr>
        <w:jc w:val="both"/>
        <w:rPr>
          <w:rFonts w:ascii="Times New Roman" w:hAnsi="Times New Roman" w:cs="Times New Roman"/>
          <w:noProof/>
          <w:sz w:val="24"/>
          <w:szCs w:val="24"/>
        </w:rPr>
      </w:pPr>
      <w:r>
        <w:rPr>
          <w:rFonts w:ascii="Times New Roman" w:hAnsi="Times New Roman"/>
          <w:noProof/>
          <w:sz w:val="24"/>
        </w:rPr>
        <w:t>Въпреки това в рамките на кратък период от време се опитахме в дух на взаимно уважение да използваме своя различен опит и виждания, за да зададем един и същи курс на</w:t>
      </w:r>
      <w:r>
        <w:rPr>
          <w:rFonts w:ascii="Times New Roman" w:hAnsi="Times New Roman"/>
          <w:noProof/>
          <w:sz w:val="24"/>
        </w:rPr>
        <w:t xml:space="preserve"> изграждането на една по-добра, устойчива Европа.</w:t>
      </w:r>
    </w:p>
    <w:p w:rsidR="00467251" w:rsidRDefault="00E55EA0">
      <w:pPr>
        <w:jc w:val="both"/>
        <w:rPr>
          <w:rFonts w:ascii="Times New Roman" w:hAnsi="Times New Roman" w:cs="Times New Roman"/>
          <w:noProof/>
          <w:sz w:val="24"/>
          <w:szCs w:val="24"/>
        </w:rPr>
      </w:pPr>
      <w:r>
        <w:rPr>
          <w:rFonts w:ascii="Times New Roman" w:hAnsi="Times New Roman"/>
          <w:noProof/>
          <w:sz w:val="24"/>
        </w:rPr>
        <w:t>С помощта на силните общи ценности, структурните подобрения в политиките и новаторските предложения за действия ние отправяме своите препоръки, опирайки се на опита и усилията на хиляди мъже и жени, работещ</w:t>
      </w:r>
      <w:r>
        <w:rPr>
          <w:rFonts w:ascii="Times New Roman" w:hAnsi="Times New Roman"/>
          <w:noProof/>
          <w:sz w:val="24"/>
        </w:rPr>
        <w:t xml:space="preserve">и в публичния сектор, гражданското общество и частния сектор. Те имат общата амбиция да превърнат Целите за устойчиво развитие в практически решения за благосъстоянието на гражданите и опазването на околната среда за днешните и бъдещите поколения. </w:t>
      </w:r>
    </w:p>
    <w:p w:rsidR="00467251" w:rsidRDefault="00E55EA0">
      <w:pPr>
        <w:jc w:val="both"/>
        <w:rPr>
          <w:rFonts w:ascii="Times New Roman" w:hAnsi="Times New Roman" w:cs="Times New Roman"/>
          <w:noProof/>
          <w:sz w:val="24"/>
          <w:szCs w:val="24"/>
        </w:rPr>
      </w:pPr>
      <w:r>
        <w:rPr>
          <w:rFonts w:ascii="Times New Roman" w:hAnsi="Times New Roman"/>
          <w:noProof/>
          <w:sz w:val="24"/>
        </w:rPr>
        <w:t>В нашия</w:t>
      </w:r>
      <w:r>
        <w:rPr>
          <w:rFonts w:ascii="Times New Roman" w:hAnsi="Times New Roman"/>
          <w:noProof/>
          <w:sz w:val="24"/>
        </w:rPr>
        <w:t xml:space="preserve"> доклад се представят различни гледни точки и се разглеждат някои нелесни компромиси между екологичните, икономическите, социалните и управленските аспекти на устойчивото развитие, за някои от които успяхме да постигнем съгласие, докато за други е необходи</w:t>
      </w:r>
      <w:r>
        <w:rPr>
          <w:rFonts w:ascii="Times New Roman" w:hAnsi="Times New Roman"/>
          <w:noProof/>
          <w:sz w:val="24"/>
        </w:rPr>
        <w:t xml:space="preserve">ма повече яснота и консенсус. </w:t>
      </w:r>
    </w:p>
    <w:p w:rsidR="00467251" w:rsidRDefault="00E55EA0">
      <w:pPr>
        <w:jc w:val="both"/>
        <w:rPr>
          <w:rFonts w:ascii="Times New Roman" w:hAnsi="Times New Roman" w:cs="Times New Roman"/>
          <w:noProof/>
          <w:sz w:val="24"/>
          <w:szCs w:val="24"/>
        </w:rPr>
      </w:pPr>
      <w:r>
        <w:rPr>
          <w:rFonts w:ascii="Times New Roman" w:hAnsi="Times New Roman"/>
          <w:noProof/>
          <w:sz w:val="24"/>
        </w:rPr>
        <w:t>Вярваме, че доверието и участието на народите и лидерите им в постоянното преобразяване на Европа ще са ползотворни. За това е необходима култура на справедлив и равноправен диалог и партньорство на всички равнища, в което вс</w:t>
      </w:r>
      <w:r>
        <w:rPr>
          <w:rFonts w:ascii="Times New Roman" w:hAnsi="Times New Roman"/>
          <w:noProof/>
          <w:sz w:val="24"/>
        </w:rPr>
        <w:t>ички партньори могат да бъдат и да вярват, че и другите са, основоположници на една Европа, която се грижи и работи за всички. Това включва също и всеобхватна стратегия за устойчива Европа, която да ръководи всички европейски политики и програми, с които щ</w:t>
      </w:r>
      <w:r>
        <w:rPr>
          <w:rFonts w:ascii="Times New Roman" w:hAnsi="Times New Roman"/>
          <w:noProof/>
          <w:sz w:val="24"/>
        </w:rPr>
        <w:t>е се увеличат нашите индивидуални и колективни ангажименти, за да се постигнат устойчива сигурност, просперитет и достойнство за всички.</w:t>
      </w:r>
    </w:p>
    <w:p w:rsidR="00467251" w:rsidRDefault="00E55EA0">
      <w:pPr>
        <w:jc w:val="both"/>
        <w:rPr>
          <w:rFonts w:ascii="Times New Roman" w:hAnsi="Times New Roman" w:cs="Times New Roman"/>
          <w:noProof/>
          <w:sz w:val="24"/>
          <w:szCs w:val="24"/>
        </w:rPr>
      </w:pPr>
      <w:r>
        <w:rPr>
          <w:rFonts w:ascii="Times New Roman" w:hAnsi="Times New Roman"/>
          <w:noProof/>
          <w:sz w:val="24"/>
        </w:rPr>
        <w:t>Гордеем се с постигнатото досега, като същевременно усещаме, че необходимо да се направи много повече. Затова си пожела</w:t>
      </w:r>
      <w:r>
        <w:rPr>
          <w:rFonts w:ascii="Times New Roman" w:hAnsi="Times New Roman"/>
          <w:noProof/>
          <w:sz w:val="24"/>
        </w:rPr>
        <w:t>ваме диалогът и сътрудничеството за устойчивост както между заинтересованите страни, така и с институциите на ЕС в рамките на тази платформа бързо да се разраснат и подобрят.</w:t>
      </w:r>
    </w:p>
    <w:p w:rsidR="00467251" w:rsidRDefault="00467251">
      <w:pPr>
        <w:rPr>
          <w:rFonts w:ascii="Times New Roman" w:hAnsi="Times New Roman" w:cs="Times New Roman"/>
          <w:noProof/>
        </w:rPr>
      </w:pPr>
    </w:p>
    <w:p w:rsidR="00467251" w:rsidRDefault="00E55EA0">
      <w:pPr>
        <w:jc w:val="both"/>
        <w:rPr>
          <w:rFonts w:ascii="Times New Roman" w:hAnsi="Times New Roman" w:cs="Times New Roman"/>
          <w:noProof/>
        </w:rPr>
      </w:pPr>
      <w:r>
        <w:rPr>
          <w:rFonts w:ascii="Times New Roman" w:hAnsi="Times New Roman" w:cs="Times New Roman"/>
          <w:noProof/>
          <w:lang w:val="en-GB" w:eastAsia="en-GB" w:bidi="ar-SA"/>
        </w:rPr>
        <w:drawing>
          <wp:inline distT="0" distB="0" distL="0" distR="0">
            <wp:extent cx="5636260" cy="795655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36260" cy="7956550"/>
                    </a:xfrm>
                    <a:prstGeom prst="rect">
                      <a:avLst/>
                    </a:prstGeom>
                    <a:noFill/>
                    <a:ln>
                      <a:noFill/>
                    </a:ln>
                  </pic:spPr>
                </pic:pic>
              </a:graphicData>
            </a:graphic>
          </wp:inline>
        </w:drawing>
      </w:r>
    </w:p>
    <w:p w:rsidR="00467251" w:rsidRDefault="00E55EA0">
      <w:pPr>
        <w:rPr>
          <w:rFonts w:ascii="Times New Roman" w:hAnsi="Times New Roman" w:cs="Times New Roman"/>
          <w:noProof/>
        </w:rPr>
      </w:pPr>
      <w:r>
        <w:rPr>
          <w:noProof/>
        </w:rPr>
        <w:br w:type="page"/>
      </w:r>
    </w:p>
    <w:p w:rsidR="00467251" w:rsidRDefault="00E55EA0">
      <w:pPr>
        <w:jc w:val="center"/>
        <w:rPr>
          <w:rFonts w:ascii="Times New Roman" w:hAnsi="Times New Roman" w:cs="Times New Roman"/>
          <w:b/>
          <w:noProof/>
          <w:sz w:val="24"/>
          <w:szCs w:val="24"/>
        </w:rPr>
      </w:pPr>
      <w:r>
        <w:rPr>
          <w:rFonts w:ascii="Times New Roman" w:hAnsi="Times New Roman"/>
          <w:b/>
          <w:noProof/>
          <w:sz w:val="24"/>
        </w:rPr>
        <w:t>Резюме на доклада „Европа по пътя към устойчиво бъдеще“ — принос на Многостр</w:t>
      </w:r>
      <w:r>
        <w:rPr>
          <w:rFonts w:ascii="Times New Roman" w:hAnsi="Times New Roman"/>
          <w:b/>
          <w:noProof/>
          <w:sz w:val="24"/>
        </w:rPr>
        <w:t>анната платформа за ЦУР към документа за размисъл „Към устойчива Европа до 2030 г.“, октомври 2018 г.</w:t>
      </w: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noProof/>
          <w:sz w:val="24"/>
        </w:rPr>
        <w:t>Многостранната платформа по въпросите на изпълнението на Целите за устойчиво развитие в Европейския съюз — „Многостранната платформа за ЦУР в ЕС“ — бе съ</w:t>
      </w:r>
      <w:r>
        <w:rPr>
          <w:rFonts w:ascii="Times New Roman" w:hAnsi="Times New Roman"/>
          <w:noProof/>
          <w:sz w:val="24"/>
        </w:rPr>
        <w:t>здадена през май 2017 г. с цел да подпомага и съветва Европейската комисия и всички заинтересовани страни, ангажирани с изпълнението на ЦУР на равнище ЕС.</w:t>
      </w:r>
    </w:p>
    <w:p w:rsidR="00467251" w:rsidRDefault="00E55EA0">
      <w:pPr>
        <w:jc w:val="both"/>
        <w:rPr>
          <w:rFonts w:ascii="Times New Roman" w:hAnsi="Times New Roman" w:cs="Times New Roman"/>
          <w:noProof/>
          <w:sz w:val="24"/>
          <w:szCs w:val="24"/>
        </w:rPr>
      </w:pPr>
      <w:r>
        <w:rPr>
          <w:rFonts w:ascii="Times New Roman" w:hAnsi="Times New Roman"/>
          <w:noProof/>
          <w:sz w:val="24"/>
        </w:rPr>
        <w:t>Водени от силни общи ценности ние, в качеството си на представители на публичния сектор, гражданското</w:t>
      </w:r>
      <w:r>
        <w:rPr>
          <w:rFonts w:ascii="Times New Roman" w:hAnsi="Times New Roman"/>
          <w:noProof/>
          <w:sz w:val="24"/>
        </w:rPr>
        <w:t xml:space="preserve"> общество и частния сектор, работихме усърдно за отправянето на добре обмислени препоръки относно това как да се превърнат Целите за устойчиво развитие в практически решения за благосъстоянието на сегашните и бъдещите поколения в ЕС и извън него. Нашите пр</w:t>
      </w:r>
      <w:r>
        <w:rPr>
          <w:rFonts w:ascii="Times New Roman" w:hAnsi="Times New Roman"/>
          <w:noProof/>
          <w:sz w:val="24"/>
        </w:rPr>
        <w:t>епоръки имат за цел да вдъхновят и да предоставят насоки за документа за размисъл на Комисията, озаглавен „Към устойчива Европа до 2030 г.“</w:t>
      </w:r>
    </w:p>
    <w:p w:rsidR="00467251" w:rsidRDefault="00E55EA0">
      <w:pPr>
        <w:jc w:val="both"/>
        <w:rPr>
          <w:rFonts w:ascii="Times New Roman" w:hAnsi="Times New Roman" w:cs="Times New Roman"/>
          <w:noProof/>
          <w:sz w:val="24"/>
          <w:szCs w:val="24"/>
        </w:rPr>
      </w:pPr>
      <w:r>
        <w:rPr>
          <w:rFonts w:ascii="Times New Roman" w:hAnsi="Times New Roman"/>
          <w:noProof/>
          <w:sz w:val="24"/>
        </w:rPr>
        <w:t>Като се имат предвид амбициозната програма и универсалният и неделим характер на Целите за устойчиво развитие, не съ</w:t>
      </w:r>
      <w:r>
        <w:rPr>
          <w:rFonts w:ascii="Times New Roman" w:hAnsi="Times New Roman"/>
          <w:noProof/>
          <w:sz w:val="24"/>
        </w:rPr>
        <w:t>ществува едно единствено решение, за което да се застъпим. Постигането на Целите изисква цялостен преглед, определянето на областите, в които са необходими промени, както и развитието на съгласувани политики, които създават трайни социални, икономически, у</w:t>
      </w:r>
      <w:r>
        <w:rPr>
          <w:rFonts w:ascii="Times New Roman" w:hAnsi="Times New Roman"/>
          <w:noProof/>
          <w:sz w:val="24"/>
        </w:rPr>
        <w:t>правленски и екологични съпътстващи ползи, а също и разпознаването и работа по взаимовръзките между всички цели и задачи. Нашите препоръки предоставят амбициозен и основан на консенсус принос за тази цел.</w:t>
      </w:r>
    </w:p>
    <w:p w:rsidR="00467251" w:rsidRDefault="00E55EA0">
      <w:pPr>
        <w:jc w:val="both"/>
        <w:rPr>
          <w:rFonts w:ascii="Times New Roman" w:hAnsi="Times New Roman" w:cs="Times New Roman"/>
          <w:noProof/>
          <w:sz w:val="24"/>
          <w:szCs w:val="24"/>
        </w:rPr>
      </w:pPr>
      <w:r>
        <w:rPr>
          <w:rFonts w:ascii="Times New Roman" w:hAnsi="Times New Roman"/>
          <w:noProof/>
          <w:sz w:val="24"/>
        </w:rPr>
        <w:t>Като приоритетни действия препоръчваме ЕС да развив</w:t>
      </w:r>
      <w:r>
        <w:rPr>
          <w:rFonts w:ascii="Times New Roman" w:hAnsi="Times New Roman"/>
          <w:noProof/>
          <w:sz w:val="24"/>
        </w:rPr>
        <w:t>а и прилага всеобхватна далновидна и преобразяваща стратегия за устойчива Европа до 2030 г., от която да се ръководят всички политики и програми на ЕС. За да бъде ефективна, тази стратегия би трябвало да включва както временни, така и дългосрочни цели и да</w:t>
      </w:r>
      <w:r>
        <w:rPr>
          <w:rFonts w:ascii="Times New Roman" w:hAnsi="Times New Roman"/>
          <w:noProof/>
          <w:sz w:val="24"/>
        </w:rPr>
        <w:t xml:space="preserve"> представя визията на Европа за устойчива Европа отвъд рамките на Програмата до 2030 г.</w:t>
      </w:r>
    </w:p>
    <w:p w:rsidR="00467251" w:rsidRDefault="00E55EA0">
      <w:pPr>
        <w:jc w:val="both"/>
        <w:rPr>
          <w:rFonts w:ascii="Times New Roman" w:hAnsi="Times New Roman" w:cs="Times New Roman"/>
          <w:noProof/>
          <w:sz w:val="24"/>
          <w:szCs w:val="24"/>
        </w:rPr>
      </w:pPr>
      <w:r>
        <w:rPr>
          <w:rFonts w:ascii="Times New Roman" w:hAnsi="Times New Roman"/>
          <w:noProof/>
          <w:sz w:val="24"/>
        </w:rPr>
        <w:t>При изпълнението на Програмата до 2030 г. Европейската комисия и всички други заинтересовани страни трябва да спазват основните принципи, да изпълняват съществуващите а</w:t>
      </w:r>
      <w:r>
        <w:rPr>
          <w:rFonts w:ascii="Times New Roman" w:hAnsi="Times New Roman"/>
          <w:noProof/>
          <w:sz w:val="24"/>
        </w:rPr>
        <w:t>нгажименти по международни споразумения, да се ангажират с промяна на нашия социален и икономически модел, като и да дадат приоритет и да ускорят изпълнението на действията, насочени към най-бедните и най-маргинализираните хора в обществото („никой да не б</w:t>
      </w:r>
      <w:r>
        <w:rPr>
          <w:rFonts w:ascii="Times New Roman" w:hAnsi="Times New Roman"/>
          <w:noProof/>
          <w:sz w:val="24"/>
        </w:rPr>
        <w:t>ъде изоставен“), да признаят границите на планетата, да зачитат правата на човека и върховенството на закона, както и да гарантират съгласуваността на политиките за устойчиво развитие.</w:t>
      </w:r>
    </w:p>
    <w:p w:rsidR="00467251" w:rsidRDefault="00E55EA0">
      <w:pPr>
        <w:jc w:val="both"/>
        <w:rPr>
          <w:rFonts w:ascii="Times New Roman" w:hAnsi="Times New Roman" w:cs="Times New Roman"/>
          <w:noProof/>
          <w:sz w:val="24"/>
          <w:szCs w:val="24"/>
        </w:rPr>
      </w:pPr>
      <w:r>
        <w:rPr>
          <w:rFonts w:ascii="Times New Roman" w:hAnsi="Times New Roman"/>
          <w:noProof/>
          <w:sz w:val="24"/>
        </w:rPr>
        <w:t xml:space="preserve">Отправяме също и няколко хоризонтални препоръки. Препоръчваме на ЕС да </w:t>
      </w:r>
      <w:r>
        <w:rPr>
          <w:rFonts w:ascii="Times New Roman" w:hAnsi="Times New Roman"/>
          <w:noProof/>
          <w:sz w:val="24"/>
        </w:rPr>
        <w:t>преосмисли своята система на управление, за да се осигури съгласуван подход към устойчивото развитие. Председателят на Комисията, подпомаган от специален екип по проекта, следва да отговаря за Програмата до 2030 г., да гарантира ефективната ѝ координация и</w:t>
      </w:r>
      <w:r>
        <w:rPr>
          <w:rFonts w:ascii="Times New Roman" w:hAnsi="Times New Roman"/>
          <w:noProof/>
          <w:sz w:val="24"/>
        </w:rPr>
        <w:t xml:space="preserve"> да докладва за нейното изпълнението по време на годишната си реч за състоянието на Европейския съюз. Необходимо ще е също така регионите, градовете, гражданите, общностите, предприятията и гражданското общество в своето многообразие да предприемат действи</w:t>
      </w:r>
      <w:r>
        <w:rPr>
          <w:rFonts w:ascii="Times New Roman" w:hAnsi="Times New Roman"/>
          <w:noProof/>
          <w:sz w:val="24"/>
        </w:rPr>
        <w:t>я за постигането на ЦУР и за изпълнение на Парижкото споразумение. ЕС следва да насърчава прилагането на териториален подход за постигането на ЦУР и да предоставя възможности за двупосочен диалог, когато към европейските и националните стратегии се асоциир</w:t>
      </w:r>
      <w:r>
        <w:rPr>
          <w:rFonts w:ascii="Times New Roman" w:hAnsi="Times New Roman"/>
          <w:noProof/>
          <w:sz w:val="24"/>
        </w:rPr>
        <w:t>ат регионалните и местните органи, както и гражданското общество и професионалните организации в един многостепенен и многостранен подход на управление. Предлагаме също да се направи оценка по същество на самата Платформа — както на нейния състав, така и н</w:t>
      </w:r>
      <w:r>
        <w:rPr>
          <w:rFonts w:ascii="Times New Roman" w:hAnsi="Times New Roman"/>
          <w:noProof/>
          <w:sz w:val="24"/>
        </w:rPr>
        <w:t>а нейната мисия — и да се обсъди как в бъдеще тя може да допринесе в най-голяма степен за нашето предложение за всеобхватна, основана на участието и на прозрачността на стратегия за устойчива Европа до 2030 г И накрая, трябва да бъдат положени допълнителни</w:t>
      </w:r>
      <w:r>
        <w:rPr>
          <w:rFonts w:ascii="Times New Roman" w:hAnsi="Times New Roman"/>
          <w:noProof/>
          <w:sz w:val="24"/>
        </w:rPr>
        <w:t xml:space="preserve"> усилия, за да се осигури съгласуваност на политиките за устойчиво развитие, което означава, че всички политики на ЕС следва да допринасят за устойчивото развитие в Европа или извън нейните граници.</w:t>
      </w:r>
    </w:p>
    <w:p w:rsidR="00467251" w:rsidRDefault="00E55EA0">
      <w:pPr>
        <w:jc w:val="both"/>
        <w:rPr>
          <w:rFonts w:ascii="Times New Roman" w:hAnsi="Times New Roman" w:cs="Times New Roman"/>
          <w:noProof/>
          <w:sz w:val="24"/>
          <w:szCs w:val="24"/>
        </w:rPr>
      </w:pPr>
      <w:r>
        <w:rPr>
          <w:rFonts w:ascii="Times New Roman" w:hAnsi="Times New Roman"/>
          <w:noProof/>
          <w:sz w:val="24"/>
        </w:rPr>
        <w:t>Имаме и някои конкретни препоръки относно начините за укр</w:t>
      </w:r>
      <w:r>
        <w:rPr>
          <w:rFonts w:ascii="Times New Roman" w:hAnsi="Times New Roman"/>
          <w:noProof/>
          <w:sz w:val="24"/>
        </w:rPr>
        <w:t>епване на наличния инструментариум на ЕС. Програмата за по-добро регулиране би могла да има по-голям ефект, като се интегрират напълно целите и принципите за устойчиво развитие в процеса на изготвяне на политиките. Създателите на политики в ЕС следва да из</w:t>
      </w:r>
      <w:r>
        <w:rPr>
          <w:rFonts w:ascii="Times New Roman" w:hAnsi="Times New Roman"/>
          <w:noProof/>
          <w:sz w:val="24"/>
        </w:rPr>
        <w:t>ползват по-добре насоките за оценка на въздействието и да ги усъвършенстват, като включат в тях устойчивото развитие. Следва да се създаде цикъл за координиране на политиките за устойчива Европа, който да включва планове за действие за устойчиво развитие н</w:t>
      </w:r>
      <w:r>
        <w:rPr>
          <w:rFonts w:ascii="Times New Roman" w:hAnsi="Times New Roman"/>
          <w:noProof/>
          <w:sz w:val="24"/>
        </w:rPr>
        <w:t>а ЕС, както и доклади и препоръки за устойчиво развитие от държавите членки и Европейската комисия. Процесът на европейския семестър следва да се ръководи от Стратегията за устойчива Европа до 2030 г. и да включва проверка на устойчивостта. Публичните фина</w:t>
      </w:r>
      <w:r>
        <w:rPr>
          <w:rFonts w:ascii="Times New Roman" w:hAnsi="Times New Roman"/>
          <w:noProof/>
          <w:sz w:val="24"/>
        </w:rPr>
        <w:t>нси на ЕС, в това число многогодишната финансова рамка, следва да бъдат напълно устойчиви, а във финансовите регламенти да са определени екологичните, социалните и управленските рискове. На равнището на държавите членки следва да се проведат устойчиви данъ</w:t>
      </w:r>
      <w:r>
        <w:rPr>
          <w:rFonts w:ascii="Times New Roman" w:hAnsi="Times New Roman"/>
          <w:noProof/>
          <w:sz w:val="24"/>
        </w:rPr>
        <w:t>чни реформи, да се вземат мерки за справяне с избягването на корпоративни данъци и данъчния дъмпинг, а Програмата за действие от Адис Абеба да бъде изпълнена във всяко отношение. ЕС следва да разработи интегрирана и основана на участието рамка за наблюдени</w:t>
      </w:r>
      <w:r>
        <w:rPr>
          <w:rFonts w:ascii="Times New Roman" w:hAnsi="Times New Roman"/>
          <w:noProof/>
          <w:sz w:val="24"/>
        </w:rPr>
        <w:t>е, отчетност и преглед, включително пълен набор от показатели за ЦУР на ЕС и качествен анализ, чрез които да се предоставя информация на бъдещите създатели на политики.</w:t>
      </w:r>
    </w:p>
    <w:p w:rsidR="00467251" w:rsidRDefault="00E55EA0">
      <w:pPr>
        <w:jc w:val="both"/>
        <w:rPr>
          <w:rFonts w:ascii="Times New Roman" w:hAnsi="Times New Roman" w:cs="Times New Roman"/>
          <w:noProof/>
          <w:sz w:val="24"/>
          <w:szCs w:val="24"/>
        </w:rPr>
      </w:pPr>
      <w:r>
        <w:rPr>
          <w:rFonts w:ascii="Times New Roman" w:hAnsi="Times New Roman"/>
          <w:noProof/>
          <w:sz w:val="24"/>
        </w:rPr>
        <w:t>Някои от отправените от нас препоръки са специфични за определени сектори. Устойчивостт</w:t>
      </w:r>
      <w:r>
        <w:rPr>
          <w:rFonts w:ascii="Times New Roman" w:hAnsi="Times New Roman"/>
          <w:noProof/>
          <w:sz w:val="24"/>
        </w:rPr>
        <w:t>а следва да бъде отразявана последователно във всички политики и инициативи на ЕС. За целите на настоящия документ обаче бяха установени пет области на политиката на ЕС, които са от жизненоважно значение за постигането на ЦУР:</w:t>
      </w:r>
    </w:p>
    <w:p w:rsidR="00467251" w:rsidRDefault="00E55EA0">
      <w:pPr>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Устойчивото потребление и</w:t>
      </w:r>
      <w:r>
        <w:rPr>
          <w:rFonts w:ascii="Times New Roman" w:hAnsi="Times New Roman"/>
          <w:noProof/>
          <w:sz w:val="24"/>
        </w:rPr>
        <w:t xml:space="preserve"> производство следва да бъдат популяризирани, стимулирани и регулирани в още по-голяма степен, като същевременно се обръща специално внимание на световните вериги на доставките. За управлението на този преход са необходими правни, политически и финансови м</w:t>
      </w:r>
      <w:r>
        <w:rPr>
          <w:rFonts w:ascii="Times New Roman" w:hAnsi="Times New Roman"/>
          <w:noProof/>
          <w:sz w:val="24"/>
        </w:rPr>
        <w:t>ерки. Необходимо е екологичният отпечатък на ЕС да се намали, да се въведена конвенция за управлението на ресурсите и да се разработят основаващи се на потреблението показатели. Устойчивостта следва да бъдат част от Стратегията за европейската промишленост</w:t>
      </w:r>
      <w:r>
        <w:rPr>
          <w:rFonts w:ascii="Times New Roman" w:hAnsi="Times New Roman"/>
          <w:noProof/>
          <w:sz w:val="24"/>
        </w:rPr>
        <w:t xml:space="preserve"> до 2030 г. </w:t>
      </w: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ЕС следва да инвестира в научните изследвания и иновациите, в хората и техните таланти, в пригодността за заетост и социалното приобщаване. Европейският стълб на социалните права следва да се осъществи в пълна степен. Социалната и солидар</w:t>
      </w:r>
      <w:r>
        <w:rPr>
          <w:rFonts w:ascii="Times New Roman" w:hAnsi="Times New Roman"/>
          <w:noProof/>
          <w:sz w:val="24"/>
        </w:rPr>
        <w:t>ната икономика следва да бъде насърчавана, инвестициите в здравето и благосъстоянието — увеличени, а устойчивостта следва да се превърне в интердисциплинарна наука. Следва да се гарантира качественото образование, да се даде приоритет на подпомагането на д</w:t>
      </w:r>
      <w:r>
        <w:rPr>
          <w:rFonts w:ascii="Times New Roman" w:hAnsi="Times New Roman"/>
          <w:noProof/>
          <w:sz w:val="24"/>
        </w:rPr>
        <w:t>ецата и младите хора, да се осигурят безопасни маршрути за търсещите убежище и мигрантите чрез въвеждането на нова нормативна уредба, като същевременно се укрепи политиката на интеграция и приобщаване.</w:t>
      </w: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Политики в областта на климата и енергетиката. ЕС</w:t>
      </w:r>
      <w:r>
        <w:rPr>
          <w:rFonts w:ascii="Times New Roman" w:hAnsi="Times New Roman"/>
          <w:noProof/>
          <w:sz w:val="24"/>
        </w:rPr>
        <w:t xml:space="preserve"> следва да приведе своите цели в областта на климата и енергетиката в съответствие с договорената цел за ограничаване на повишаването на световната температура до 1,5 °C спрямо нивата от прединдустриалния период, като същевременно се повиши издържливостта.</w:t>
      </w:r>
      <w:r>
        <w:rPr>
          <w:rFonts w:ascii="Times New Roman" w:hAnsi="Times New Roman"/>
          <w:noProof/>
          <w:sz w:val="24"/>
        </w:rPr>
        <w:t xml:space="preserve"> Използването на изкопаеми горива следва постепенно да се преустанови, като следва да се повишат инвестициите в енергийната ефективност и чистата енергия и да се насърчава внедряването на природосъобразни решения. Следва да се намалят задръстванията на дви</w:t>
      </w:r>
      <w:r>
        <w:rPr>
          <w:rFonts w:ascii="Times New Roman" w:hAnsi="Times New Roman"/>
          <w:noProof/>
          <w:sz w:val="24"/>
        </w:rPr>
        <w:t>жението по пътищата и да се стимулират изграждането на устойчива инфраструктура и прилагането на подробни планове за мобилност. ЕС следва също така да подкрепи развиващите се страни в адаптирането им към изменението на климата и устойчивостта им спрямо изм</w:t>
      </w:r>
      <w:r>
        <w:rPr>
          <w:rFonts w:ascii="Times New Roman" w:hAnsi="Times New Roman"/>
          <w:noProof/>
          <w:sz w:val="24"/>
        </w:rPr>
        <w:t>енението на климата.</w:t>
      </w: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Храни, селско стопанство и използване на земите, включително общата селскостопанска политика. ЕС следва да гарантира, че всички инвестиции на ЕС в селското стопанство са в съответствие с Договора за ЕС, за да се гарантират високот</w:t>
      </w:r>
      <w:r>
        <w:rPr>
          <w:rFonts w:ascii="Times New Roman" w:hAnsi="Times New Roman"/>
          <w:noProof/>
          <w:sz w:val="24"/>
        </w:rPr>
        <w:t>о равнище на закрила на човешкото здраве, продоволствената сигурност, както и защитата и подобряването на качеството на околната среда. Публичното подпомагане на доходите следва да подпомага производството на храни, предоставянето на обществени блага и еко</w:t>
      </w:r>
      <w:r>
        <w:rPr>
          <w:rFonts w:ascii="Times New Roman" w:hAnsi="Times New Roman"/>
          <w:noProof/>
          <w:sz w:val="24"/>
        </w:rPr>
        <w:t>системни услуги, като в същото време осигурява достоен жизнен стандарт за селскостопанската общност и благоприятства прехода към устойчиво селско стопанство и продоволствени системи. Следва да се даде приоритет на инвестициите и научноизследователската раб</w:t>
      </w:r>
      <w:r>
        <w:rPr>
          <w:rFonts w:ascii="Times New Roman" w:hAnsi="Times New Roman"/>
          <w:noProof/>
          <w:sz w:val="24"/>
        </w:rPr>
        <w:t>ота в областта на екологосъобразните и икономически рентабилните практики, а глобалните вериги за създаване на стойност да станат устойчиви.</w:t>
      </w: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Политиката на сближаване е основен инвестиционен инструмент на ЕС в подкрепа на постигането на Целите за устой</w:t>
      </w:r>
      <w:r>
        <w:rPr>
          <w:rFonts w:ascii="Times New Roman" w:hAnsi="Times New Roman"/>
          <w:noProof/>
          <w:sz w:val="24"/>
        </w:rPr>
        <w:t>чиво развитие. Чрез нея следва да се засили локализирането на Целите, като се подпомагат пряко поднационалните правителства, да се подкрепя Програмата на ЕС за градовете, да се насърчават допълнително социалните цели и да се стимулират инвестициите към по-</w:t>
      </w:r>
      <w:r>
        <w:rPr>
          <w:rFonts w:ascii="Times New Roman" w:hAnsi="Times New Roman"/>
          <w:noProof/>
          <w:sz w:val="24"/>
        </w:rPr>
        <w:t>екологична и по-устойчива инфраструктура, включително в селските райони.</w:t>
      </w:r>
    </w:p>
    <w:p w:rsidR="00467251" w:rsidRDefault="00E55EA0">
      <w:pPr>
        <w:jc w:val="both"/>
        <w:rPr>
          <w:rFonts w:ascii="Times New Roman" w:hAnsi="Times New Roman" w:cs="Times New Roman"/>
          <w:noProof/>
          <w:sz w:val="24"/>
          <w:szCs w:val="24"/>
        </w:rPr>
      </w:pPr>
      <w:r>
        <w:rPr>
          <w:rFonts w:ascii="Times New Roman" w:hAnsi="Times New Roman"/>
          <w:noProof/>
          <w:sz w:val="24"/>
        </w:rPr>
        <w:t xml:space="preserve">Предвид неотложната необходимост от действия настоятелно препоръчваме на Комисията да предприеме бързи и своевременни последващи действия във връзка с нашите препоръки, за да може </w:t>
      </w:r>
      <w:r>
        <w:rPr>
          <w:rFonts w:ascii="Times New Roman" w:hAnsi="Times New Roman"/>
          <w:noProof/>
          <w:sz w:val="24"/>
        </w:rPr>
        <w:t>Европа бързо и изцяло да прегърне възможността, която устойчивото развитие представлява за нашите общества. За изпълнението на нашите изисквания ще е необходим приобщаващ и основан на участието подход, а ние се ангажираме изцяло с подкрепата за него. Нашат</w:t>
      </w:r>
      <w:r>
        <w:rPr>
          <w:rFonts w:ascii="Times New Roman" w:hAnsi="Times New Roman"/>
          <w:noProof/>
          <w:sz w:val="24"/>
        </w:rPr>
        <w:t>а крайна цел е устойчивото развитие да стане постоянен елемент в процеса на създаване на европейските политики.</w:t>
      </w:r>
    </w:p>
    <w:p w:rsidR="00467251" w:rsidRDefault="00467251">
      <w:pPr>
        <w:jc w:val="both"/>
        <w:rPr>
          <w:rFonts w:ascii="Times New Roman" w:hAnsi="Times New Roman" w:cs="Times New Roman"/>
          <w:noProof/>
          <w:sz w:val="24"/>
          <w:szCs w:val="24"/>
        </w:rPr>
      </w:pPr>
    </w:p>
    <w:p w:rsidR="00467251" w:rsidRDefault="00467251">
      <w:pPr>
        <w:jc w:val="both"/>
        <w:rPr>
          <w:rFonts w:ascii="Times New Roman" w:hAnsi="Times New Roman" w:cs="Times New Roman"/>
          <w:noProof/>
          <w:sz w:val="24"/>
          <w:szCs w:val="24"/>
        </w:rPr>
      </w:pPr>
    </w:p>
    <w:p w:rsidR="00467251" w:rsidRDefault="00467251">
      <w:pPr>
        <w:jc w:val="both"/>
        <w:rPr>
          <w:rFonts w:ascii="Times New Roman" w:hAnsi="Times New Roman" w:cs="Times New Roman"/>
          <w:noProof/>
          <w:sz w:val="24"/>
          <w:szCs w:val="24"/>
        </w:rPr>
      </w:pPr>
      <w:bookmarkStart w:id="1" w:name="_GoBack"/>
      <w:bookmarkEnd w:id="1"/>
    </w:p>
    <w:p w:rsidR="00467251" w:rsidRDefault="00467251">
      <w:pPr>
        <w:jc w:val="both"/>
        <w:rPr>
          <w:rFonts w:ascii="Times New Roman" w:hAnsi="Times New Roman" w:cs="Times New Roman"/>
          <w:noProof/>
          <w:sz w:val="24"/>
          <w:szCs w:val="24"/>
        </w:rPr>
      </w:pPr>
    </w:p>
    <w:p w:rsidR="00467251" w:rsidRDefault="00467251">
      <w:pPr>
        <w:jc w:val="both"/>
        <w:rPr>
          <w:rFonts w:ascii="Times New Roman" w:hAnsi="Times New Roman" w:cs="Times New Roman"/>
          <w:noProof/>
          <w:sz w:val="24"/>
          <w:szCs w:val="24"/>
        </w:rPr>
      </w:pPr>
    </w:p>
    <w:p w:rsidR="00467251" w:rsidRDefault="00E55EA0">
      <w:pPr>
        <w:jc w:val="both"/>
        <w:rPr>
          <w:rFonts w:ascii="Times New Roman" w:hAnsi="Times New Roman" w:cs="Times New Roman"/>
          <w:i/>
          <w:noProof/>
        </w:rPr>
      </w:pPr>
      <w:r>
        <w:rPr>
          <w:rFonts w:ascii="Times New Roman" w:hAnsi="Times New Roman"/>
          <w:i/>
          <w:noProof/>
          <w:sz w:val="24"/>
        </w:rPr>
        <w:t>Пълният текст на приноса на Многостранната платформа за ЦУР към документа за размисъл „Към устойчива Европа до 2030 г.“ може да бъде намере</w:t>
      </w:r>
      <w:r>
        <w:rPr>
          <w:rFonts w:ascii="Times New Roman" w:hAnsi="Times New Roman"/>
          <w:i/>
          <w:noProof/>
          <w:sz w:val="24"/>
        </w:rPr>
        <w:t>н на следния адрес:</w:t>
      </w:r>
      <w:hyperlink r:id="rId110" w:history="1">
        <w:r>
          <w:rPr>
            <w:rStyle w:val="Hyperlink"/>
            <w:rFonts w:ascii="Times New Roman" w:hAnsi="Times New Roman"/>
            <w:i/>
            <w:noProof/>
            <w:sz w:val="24"/>
          </w:rPr>
          <w:t>https://ec.europa.eu/info/sites/info/files/sdg_multi-stakeholder_platform_input_to_reflection_pap</w:t>
        </w:r>
        <w:r>
          <w:rPr>
            <w:rStyle w:val="Hyperlink"/>
            <w:rFonts w:ascii="Times New Roman" w:hAnsi="Times New Roman"/>
            <w:i/>
            <w:noProof/>
            <w:sz w:val="24"/>
          </w:rPr>
          <w:t>er_sustainable_europe2.pdf</w:t>
        </w:r>
      </w:hyperlink>
      <w:r>
        <w:rPr>
          <w:rFonts w:ascii="Times New Roman" w:hAnsi="Times New Roman"/>
          <w:i/>
          <w:noProof/>
        </w:rPr>
        <w:t xml:space="preserve"> </w:t>
      </w:r>
    </w:p>
    <w:sectPr w:rsidR="00467251">
      <w:headerReference w:type="even" r:id="rId111"/>
      <w:headerReference w:type="default" r:id="rId112"/>
      <w:footerReference w:type="even" r:id="rId113"/>
      <w:footerReference w:type="default" r:id="rId114"/>
      <w:headerReference w:type="first" r:id="rId115"/>
      <w:footerReference w:type="first" r:id="rId116"/>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51" w:rsidRDefault="00E55EA0">
      <w:pPr>
        <w:spacing w:after="0" w:line="240" w:lineRule="auto"/>
      </w:pPr>
      <w:r>
        <w:separator/>
      </w:r>
    </w:p>
  </w:endnote>
  <w:endnote w:type="continuationSeparator" w:id="0">
    <w:p w:rsidR="00467251" w:rsidRDefault="00E5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5926"/>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467251" w:rsidRDefault="0046725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23117"/>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noProof/>
          </w:rPr>
          <w:fldChar w:fldCharType="end"/>
        </w:r>
      </w:p>
    </w:sdtContent>
  </w:sdt>
  <w:p w:rsidR="00467251" w:rsidRDefault="0046725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6889"/>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noProof/>
          </w:rPr>
          <w:fldChar w:fldCharType="end"/>
        </w:r>
      </w:p>
    </w:sdtContent>
  </w:sdt>
  <w:p w:rsidR="00467251" w:rsidRDefault="0046725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E55EA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19529"/>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16</w:t>
        </w:r>
        <w:r>
          <w:rPr>
            <w:rFonts w:ascii="Times New Roman" w:hAnsi="Times New Roman" w:cs="Times New Roman"/>
            <w:noProof/>
          </w:rPr>
          <w:fldChar w:fldCharType="end"/>
        </w:r>
      </w:p>
    </w:sdtContent>
  </w:sdt>
  <w:p w:rsidR="00467251" w:rsidRDefault="0046725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31424"/>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rsidR="00467251" w:rsidRDefault="0046725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291899"/>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noProof/>
          </w:rPr>
          <w:fldChar w:fldCharType="end"/>
        </w:r>
      </w:p>
    </w:sdtContent>
  </w:sdt>
  <w:p w:rsidR="00467251" w:rsidRDefault="0046725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222507"/>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noProof/>
          </w:rPr>
          <w:fldChar w:fldCharType="end"/>
        </w:r>
      </w:p>
    </w:sdtContent>
  </w:sdt>
  <w:p w:rsidR="00467251" w:rsidRDefault="00467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704197"/>
      <w:docPartObj>
        <w:docPartGallery w:val="Page Numbers (Bottom of Page)"/>
        <w:docPartUnique/>
      </w:docPartObj>
    </w:sdtPr>
    <w:sdtEndPr>
      <w:rPr>
        <w:rFonts w:ascii="Times New Roman" w:hAnsi="Times New Roman" w:cs="Times New Roman"/>
        <w:noProof/>
      </w:rPr>
    </w:sdtEndPr>
    <w:sdtContent>
      <w:p w:rsidR="00467251" w:rsidRDefault="00E55EA0">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82</w:t>
        </w:r>
        <w:r>
          <w:rPr>
            <w:rFonts w:ascii="Times New Roman" w:hAnsi="Times New Roman" w:cs="Times New Roman"/>
            <w:noProof/>
          </w:rPr>
          <w:fldChar w:fldCharType="end"/>
        </w:r>
      </w:p>
    </w:sdtContent>
  </w:sdt>
  <w:p w:rsidR="00467251" w:rsidRDefault="0046725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43588"/>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467251" w:rsidRDefault="004672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13752"/>
      <w:docPartObj>
        <w:docPartGallery w:val="Page Numbers (Bottom of Page)"/>
        <w:docPartUnique/>
      </w:docPartObj>
    </w:sdtPr>
    <w:sdtEndPr>
      <w:rPr>
        <w:rFonts w:ascii="Garamond" w:hAnsi="Garamond"/>
        <w:noProof/>
      </w:rPr>
    </w:sdtEndPr>
    <w:sdtContent>
      <w:p w:rsidR="00467251" w:rsidRDefault="00E55EA0">
        <w:pPr>
          <w:pStyle w:val="Footer"/>
          <w:jc w:val="center"/>
          <w:rPr>
            <w:rFonts w:ascii="Garamond" w:hAnsi="Garamond"/>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rsidR="00467251" w:rsidRDefault="0046725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51" w:rsidRDefault="00E55EA0">
      <w:pPr>
        <w:spacing w:after="0" w:line="240" w:lineRule="auto"/>
      </w:pPr>
      <w:r>
        <w:separator/>
      </w:r>
    </w:p>
  </w:footnote>
  <w:footnote w:type="continuationSeparator" w:id="0">
    <w:p w:rsidR="00467251" w:rsidRDefault="00E55EA0">
      <w:pPr>
        <w:spacing w:after="0" w:line="240" w:lineRule="auto"/>
      </w:pPr>
      <w:r>
        <w:continuationSeparator/>
      </w:r>
    </w:p>
  </w:footnote>
  <w:footnote w:id="1">
    <w:p w:rsidR="00467251" w:rsidRDefault="00E55EA0">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Посочената в настоящия параграф световна класация се базира на доклада </w:t>
      </w:r>
      <w:hyperlink r:id="rId1">
        <w:r>
          <w:rPr>
            <w:rStyle w:val="Hyperlink"/>
            <w:rFonts w:ascii="Times New Roman" w:hAnsi="Times New Roman" w:cs="Times New Roman"/>
          </w:rPr>
          <w:t>The 2018 SDG Index and Dashboards Report</w:t>
        </w:r>
      </w:hyperlink>
      <w:r>
        <w:rPr>
          <w:rFonts w:ascii="Times New Roman" w:hAnsi="Times New Roman" w:cs="Times New Roman"/>
        </w:rPr>
        <w:t xml:space="preserve"> (Индекс и показатели за ЦУР, 2018</w:t>
      </w:r>
      <w:r>
        <w:rPr>
          <w:rFonts w:ascii="Times New Roman" w:hAnsi="Times New Roman" w:cs="Times New Roman"/>
        </w:rPr>
        <w:t xml:space="preserve"> г.), изготвен от </w:t>
      </w:r>
      <w:hyperlink r:id="rId2">
        <w:r>
          <w:rPr>
            <w:rFonts w:ascii="Times New Roman" w:hAnsi="Times New Roman" w:cs="Times New Roman"/>
          </w:rPr>
          <w:t>Sustainable Development Solutions Network (SDSN)</w:t>
        </w:r>
      </w:hyperlink>
      <w:r>
        <w:rPr>
          <w:rFonts w:ascii="Times New Roman" w:hAnsi="Times New Roman" w:cs="Times New Roman"/>
        </w:rPr>
        <w:t xml:space="preserve"> и Bertelsmann Stiftung, а тенденциите в ЕС се основават на изданието от 2018 г. на доклада на Евростат „</w:t>
      </w:r>
      <w:hyperlink r:id="rId3">
        <w:r>
          <w:rPr>
            <w:rStyle w:val="Hyperlink"/>
            <w:rFonts w:ascii="Times New Roman" w:hAnsi="Times New Roman" w:cs="Times New Roman"/>
          </w:rPr>
          <w:t>Устойчивото развитие в Европейския съюз — Мониторингов доклад за напредъка по постигането на ЦУР в ЕС, изд. 2018 г.</w:t>
        </w:r>
      </w:hyperlink>
      <w:r>
        <w:rPr>
          <w:rFonts w:ascii="Times New Roman" w:hAnsi="Times New Roman" w:cs="Times New Roman"/>
        </w:rPr>
        <w:t xml:space="preserve">“. </w:t>
      </w:r>
    </w:p>
  </w:footnote>
  <w:footnote w:id="2">
    <w:p w:rsidR="00467251" w:rsidRDefault="00E55EA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Евростат (2018 г.), „Устойчивото развитие в Европейския съюз — Монитори</w:t>
      </w:r>
      <w:r>
        <w:rPr>
          <w:rFonts w:ascii="Times New Roman" w:hAnsi="Times New Roman" w:cs="Times New Roman"/>
        </w:rPr>
        <w:t>нгов доклад за напредъка по постигането на ЦУР в ЕС, изд.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51" w:rsidRDefault="00467251">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B0A"/>
    <w:multiLevelType w:val="hybridMultilevel"/>
    <w:tmpl w:val="7BBA17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A436D0A"/>
    <w:multiLevelType w:val="hybridMultilevel"/>
    <w:tmpl w:val="D124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BF00E2"/>
    <w:multiLevelType w:val="hybridMultilevel"/>
    <w:tmpl w:val="2E1C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72C6C"/>
    <w:multiLevelType w:val="hybridMultilevel"/>
    <w:tmpl w:val="B16CF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884480"/>
    <w:multiLevelType w:val="hybridMultilevel"/>
    <w:tmpl w:val="4B6A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B072F"/>
    <w:multiLevelType w:val="hybridMultilevel"/>
    <w:tmpl w:val="AA621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7E3726"/>
    <w:multiLevelType w:val="hybridMultilevel"/>
    <w:tmpl w:val="B2D28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3B0CE7"/>
    <w:multiLevelType w:val="hybridMultilevel"/>
    <w:tmpl w:val="43BE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21A0F"/>
    <w:multiLevelType w:val="hybridMultilevel"/>
    <w:tmpl w:val="BD887CD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7290B"/>
    <w:multiLevelType w:val="hybridMultilevel"/>
    <w:tmpl w:val="6B24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63A55"/>
    <w:multiLevelType w:val="hybridMultilevel"/>
    <w:tmpl w:val="30582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D6C06"/>
    <w:multiLevelType w:val="hybridMultilevel"/>
    <w:tmpl w:val="8D8E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37A1A"/>
    <w:multiLevelType w:val="hybridMultilevel"/>
    <w:tmpl w:val="32F0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5F056D"/>
    <w:multiLevelType w:val="hybridMultilevel"/>
    <w:tmpl w:val="BA50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E07F0"/>
    <w:multiLevelType w:val="hybridMultilevel"/>
    <w:tmpl w:val="DEC8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4B09ED"/>
    <w:multiLevelType w:val="hybridMultilevel"/>
    <w:tmpl w:val="115070C0"/>
    <w:lvl w:ilvl="0" w:tplc="08090001">
      <w:start w:val="1"/>
      <w:numFmt w:val="bullet"/>
      <w:lvlText w:val=""/>
      <w:lvlJc w:val="left"/>
      <w:pPr>
        <w:ind w:left="389" w:hanging="360"/>
      </w:pPr>
      <w:rPr>
        <w:rFonts w:ascii="Symbol" w:hAnsi="Symbol" w:hint="default"/>
        <w:b w:val="0"/>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6" w15:restartNumberingAfterBreak="0">
    <w:nsid w:val="4DC245E5"/>
    <w:multiLevelType w:val="hybridMultilevel"/>
    <w:tmpl w:val="589E0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D4005D"/>
    <w:multiLevelType w:val="hybridMultilevel"/>
    <w:tmpl w:val="219E1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0F2291"/>
    <w:multiLevelType w:val="hybridMultilevel"/>
    <w:tmpl w:val="BC12A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97760C"/>
    <w:multiLevelType w:val="hybridMultilevel"/>
    <w:tmpl w:val="39DC3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E51A1C"/>
    <w:multiLevelType w:val="hybridMultilevel"/>
    <w:tmpl w:val="C838C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D81801"/>
    <w:multiLevelType w:val="hybridMultilevel"/>
    <w:tmpl w:val="4C04AC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9F58A8"/>
    <w:multiLevelType w:val="hybridMultilevel"/>
    <w:tmpl w:val="1B6437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A103E"/>
    <w:multiLevelType w:val="hybridMultilevel"/>
    <w:tmpl w:val="19FA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0E379C"/>
    <w:multiLevelType w:val="hybridMultilevel"/>
    <w:tmpl w:val="403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82695"/>
    <w:multiLevelType w:val="hybridMultilevel"/>
    <w:tmpl w:val="BC86D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BB77AA"/>
    <w:multiLevelType w:val="hybridMultilevel"/>
    <w:tmpl w:val="02F60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F6C62"/>
    <w:multiLevelType w:val="hybridMultilevel"/>
    <w:tmpl w:val="750EF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B53C9"/>
    <w:multiLevelType w:val="hybridMultilevel"/>
    <w:tmpl w:val="17A68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055C08"/>
    <w:multiLevelType w:val="hybridMultilevel"/>
    <w:tmpl w:val="C296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3"/>
  </w:num>
  <w:num w:numId="4">
    <w:abstractNumId w:val="2"/>
  </w:num>
  <w:num w:numId="5">
    <w:abstractNumId w:val="19"/>
  </w:num>
  <w:num w:numId="6">
    <w:abstractNumId w:val="6"/>
  </w:num>
  <w:num w:numId="7">
    <w:abstractNumId w:val="23"/>
  </w:num>
  <w:num w:numId="8">
    <w:abstractNumId w:val="4"/>
  </w:num>
  <w:num w:numId="9">
    <w:abstractNumId w:val="18"/>
  </w:num>
  <w:num w:numId="10">
    <w:abstractNumId w:val="17"/>
  </w:num>
  <w:num w:numId="11">
    <w:abstractNumId w:val="16"/>
  </w:num>
  <w:num w:numId="12">
    <w:abstractNumId w:val="12"/>
  </w:num>
  <w:num w:numId="13">
    <w:abstractNumId w:val="29"/>
  </w:num>
  <w:num w:numId="14">
    <w:abstractNumId w:val="26"/>
  </w:num>
  <w:num w:numId="15">
    <w:abstractNumId w:val="10"/>
  </w:num>
  <w:num w:numId="16">
    <w:abstractNumId w:val="1"/>
  </w:num>
  <w:num w:numId="17">
    <w:abstractNumId w:val="3"/>
  </w:num>
  <w:num w:numId="18">
    <w:abstractNumId w:val="20"/>
  </w:num>
  <w:num w:numId="19">
    <w:abstractNumId w:val="14"/>
  </w:num>
  <w:num w:numId="20">
    <w:abstractNumId w:val="28"/>
  </w:num>
  <w:num w:numId="21">
    <w:abstractNumId w:val="0"/>
  </w:num>
  <w:num w:numId="22">
    <w:abstractNumId w:val="5"/>
  </w:num>
  <w:num w:numId="23">
    <w:abstractNumId w:val="25"/>
  </w:num>
  <w:num w:numId="24">
    <w:abstractNumId w:val="11"/>
  </w:num>
  <w:num w:numId="25">
    <w:abstractNumId w:val="7"/>
  </w:num>
  <w:num w:numId="26">
    <w:abstractNumId w:val="27"/>
  </w:num>
  <w:num w:numId="27">
    <w:abstractNumId w:val="22"/>
  </w:num>
  <w:num w:numId="28">
    <w:abstractNumId w:val="21"/>
  </w:num>
  <w:num w:numId="29">
    <w:abstractNumId w:val="8"/>
  </w:num>
  <w:num w:numId="30">
    <w:abstractNumId w:val="9"/>
  </w:num>
  <w:num w:numId="31">
    <w:abstractNumId w:val="12"/>
  </w:num>
  <w:num w:numId="32">
    <w:abstractNumId w:val="29"/>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FFC4CA0D-762E-491A-A110-9ED417D2A26F"/>
    <w:docVar w:name="LW_COVERPAGE_TYPE" w:val="1"/>
    <w:docVar w:name="LW_CROSSREFERENCE" w:val="&lt;UNUSED&gt;"/>
    <w:docVar w:name="LW_DATE.ADOPT.CP_ISODATE" w:val="&lt;EMPTY&gt;"/>
    <w:docVar w:name="LW_DocType" w:val="NORMAL"/>
    <w:docVar w:name="LW_EMISSION" w:val="30.1.2019"/>
    <w:docVar w:name="LW_EMISSION_ISODATE" w:val="2019-01-30"/>
    <w:docVar w:name="LW_EMISSION_LOCATION" w:val="BRX"/>
    <w:docVar w:name="LW_EMISSION_PREFIX" w:val="Брюксел, "/>
    <w:docVar w:name="LW_EMISSION_SUFFIX" w:val=" \u1075?."/>
    <w:docVar w:name="LW_ID_DOCTYPE_NONLW" w:val="CP-03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u8222?\u1050?\u1098?\u1084? \u1091?\u1089?\u1090?\u1086?\u1081?\u1095?\u1080?\u1074?\u1072? \u1045?\u1074?\u1088?\u1086?\u1087?\u1072? \u1076?\u1086? 2030 \u1075?.\u8220?"/>
    <w:docVar w:name="LW_PART_NBR" w:val="&lt;UNUSED&gt;"/>
    <w:docVar w:name="LW_PART_NBR_TOTAL" w:val="&lt;UNUSED&gt;"/>
    <w:docVar w:name="LW_REF.II.NEW.CP" w:val="&lt;UNUSED&gt;"/>
    <w:docVar w:name="LW_REF.II.NEW.CP_NUMBER" w:val="&lt;UNUSED&gt;"/>
    <w:docVar w:name="LW_REF.II.NEW.CP_YEAR" w:val="2019"/>
    <w:docVar w:name="LW_REF.INST.NEW" w:val="COM"/>
    <w:docVar w:name="LW_REF.INST.NEW_ADOPTED" w:val="final"/>
    <w:docVar w:name="LW_REF.INST.NEW_TEXT" w:val="(2019)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71?_x000b_"/>
    <w:docVar w:name="LW_TYPEACTEPRINCIPAL.CP" w:val="\u1076?\u1086?\u1082?\u1091?\u1084?\u1077?\u1085?\u1090?\u1072? \u1079?\u1072? \u1088?\u1072?\u1079?\u1084?\u1080?\u1089?\u1098?\u1083?"/>
  </w:docVars>
  <w:rsids>
    <w:rsidRoot w:val="00467251"/>
    <w:rsid w:val="00467251"/>
    <w:rsid w:val="00E5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outlineLvl w:val="2"/>
    </w:pPr>
    <w:rPr>
      <w:rFonts w:ascii="Arial" w:eastAsiaTheme="majorEastAsia" w:hAnsi="Arial" w:cstheme="majorBidi"/>
      <w:b/>
      <w:bCs/>
      <w:color w:val="466EB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paragraph" w:customStyle="1" w:styleId="ann">
    <w:name w:val="ann"/>
    <w:basedOn w:val="Normal"/>
    <w:pPr>
      <w:jc w:val="center"/>
    </w:pPr>
    <w:rPr>
      <w:rFonts w:ascii="Times New Roman" w:hAnsi="Times New Roman" w:cs="Times New Roman"/>
      <w:b/>
    </w:rPr>
  </w:style>
  <w:style w:type="paragraph" w:customStyle="1" w:styleId="annex">
    <w:name w:val="annex"/>
    <w:basedOn w:val="ann"/>
  </w:style>
  <w:style w:type="paragraph" w:customStyle="1" w:styleId="Annexetitre">
    <w:name w:val="Annexe titre"/>
    <w:basedOn w:val="Normal"/>
    <w:next w:val="Normal"/>
    <w:uiPriority w:val="99"/>
    <w:pPr>
      <w:spacing w:before="120" w:after="120" w:line="240" w:lineRule="auto"/>
      <w:jc w:val="center"/>
    </w:pPr>
    <w:rPr>
      <w:rFonts w:ascii="Times New Roman" w:hAnsi="Times New Roman" w:cs="Times New Roman"/>
      <w:b/>
      <w:sz w:val="24"/>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1">
    <w:name w:val="List Table 3 - Accent 21"/>
    <w:basedOn w:val="TableNormal"/>
    <w:uiPriority w:val="4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Arial" w:eastAsiaTheme="majorEastAsia" w:hAnsi="Arial" w:cstheme="majorBidi"/>
      <w:b/>
      <w:bCs/>
      <w:color w:val="466EB4"/>
      <w:szCs w:val="24"/>
      <w:lang w:val="bg-BG"/>
    </w:rPr>
  </w:style>
  <w:style w:type="character" w:customStyle="1" w:styleId="A0">
    <w:name w:val="A0"/>
    <w:uiPriority w:val="99"/>
    <w:rPr>
      <w:rFonts w:cs="EC Square Sans Pro Medium"/>
      <w:color w:val="000000"/>
      <w:sz w:val="22"/>
      <w:szCs w:val="22"/>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val="bg-BG"/>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6772">
      <w:bodyDiv w:val="1"/>
      <w:marLeft w:val="0"/>
      <w:marRight w:val="0"/>
      <w:marTop w:val="0"/>
      <w:marBottom w:val="0"/>
      <w:divBdr>
        <w:top w:val="none" w:sz="0" w:space="0" w:color="auto"/>
        <w:left w:val="none" w:sz="0" w:space="0" w:color="auto"/>
        <w:bottom w:val="none" w:sz="0" w:space="0" w:color="auto"/>
        <w:right w:val="none" w:sz="0" w:space="0" w:color="auto"/>
      </w:divBdr>
    </w:div>
    <w:div w:id="1288391685">
      <w:bodyDiv w:val="1"/>
      <w:marLeft w:val="0"/>
      <w:marRight w:val="0"/>
      <w:marTop w:val="0"/>
      <w:marBottom w:val="0"/>
      <w:divBdr>
        <w:top w:val="none" w:sz="0" w:space="0" w:color="auto"/>
        <w:left w:val="none" w:sz="0" w:space="0" w:color="auto"/>
        <w:bottom w:val="none" w:sz="0" w:space="0" w:color="auto"/>
        <w:right w:val="none" w:sz="0" w:space="0" w:color="auto"/>
      </w:divBdr>
    </w:div>
    <w:div w:id="1335574924">
      <w:bodyDiv w:val="1"/>
      <w:marLeft w:val="0"/>
      <w:marRight w:val="0"/>
      <w:marTop w:val="0"/>
      <w:marBottom w:val="0"/>
      <w:divBdr>
        <w:top w:val="none" w:sz="0" w:space="0" w:color="auto"/>
        <w:left w:val="none" w:sz="0" w:space="0" w:color="auto"/>
        <w:bottom w:val="none" w:sz="0" w:space="0" w:color="auto"/>
        <w:right w:val="none" w:sz="0" w:space="0" w:color="auto"/>
      </w:divBdr>
    </w:div>
    <w:div w:id="1968732045">
      <w:bodyDiv w:val="1"/>
      <w:marLeft w:val="0"/>
      <w:marRight w:val="0"/>
      <w:marTop w:val="0"/>
      <w:marBottom w:val="0"/>
      <w:divBdr>
        <w:top w:val="none" w:sz="0" w:space="0" w:color="auto"/>
        <w:left w:val="none" w:sz="0" w:space="0" w:color="auto"/>
        <w:bottom w:val="none" w:sz="0" w:space="0" w:color="auto"/>
        <w:right w:val="none" w:sz="0" w:space="0" w:color="auto"/>
      </w:divBdr>
    </w:div>
    <w:div w:id="21108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ntTable" Target="fontTable.xml"/><Relationship Id="rId21" Type="http://schemas.openxmlformats.org/officeDocument/2006/relationships/header" Target="header7.xml"/><Relationship Id="rId42" Type="http://schemas.openxmlformats.org/officeDocument/2006/relationships/footer" Target="footer15.xml"/><Relationship Id="rId47" Type="http://schemas.openxmlformats.org/officeDocument/2006/relationships/footer" Target="footer17.xml"/><Relationship Id="rId63" Type="http://schemas.openxmlformats.org/officeDocument/2006/relationships/footer" Target="footer24.xml"/><Relationship Id="rId68" Type="http://schemas.openxmlformats.org/officeDocument/2006/relationships/footer" Target="footer26.xml"/><Relationship Id="rId84" Type="http://schemas.openxmlformats.org/officeDocument/2006/relationships/hyperlink" Target="http://www.europarl.europa.eu/charter/pdf/text_en.pdf" TargetMode="External"/><Relationship Id="rId89" Type="http://schemas.openxmlformats.org/officeDocument/2006/relationships/hyperlink" Target="http://eige.europa.eu/rdc/eige-publications/gender-equality-index-2017-measuring-gender-equality-european-union-2005-2015-report" TargetMode="External"/><Relationship Id="rId112" Type="http://schemas.openxmlformats.org/officeDocument/2006/relationships/header" Target="header32.xml"/><Relationship Id="rId16" Type="http://schemas.openxmlformats.org/officeDocument/2006/relationships/header" Target="header5.xml"/><Relationship Id="rId107" Type="http://schemas.openxmlformats.org/officeDocument/2006/relationships/hyperlink" Target="http://asvis.it/public/asvis/files/Agenda_2030_EN_UN_1_.pdf" TargetMode="Externa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header" Target="header26.xml"/><Relationship Id="rId74" Type="http://schemas.openxmlformats.org/officeDocument/2006/relationships/footer" Target="footer28.xml"/><Relationship Id="rId79" Type="http://schemas.openxmlformats.org/officeDocument/2006/relationships/image" Target="media/image2.png"/><Relationship Id="rId87" Type="http://schemas.openxmlformats.org/officeDocument/2006/relationships/image" Target="media/image7.emf"/><Relationship Id="rId102" Type="http://schemas.openxmlformats.org/officeDocument/2006/relationships/hyperlink" Target="https://ec.europa.eu/maritimeaffairs/sites/maritimeaffairs/files/join-2016-49_en.pdf" TargetMode="External"/><Relationship Id="rId110" Type="http://schemas.openxmlformats.org/officeDocument/2006/relationships/hyperlink" Target="https://ec.europa.eu/info/sites/info/files/sdg_multi-stakeholder_platform_input_to_reflection_paper_sustainable_europe2.pdf" TargetMode="External"/><Relationship Id="rId115"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footer" Target="footer23.xml"/><Relationship Id="rId82" Type="http://schemas.openxmlformats.org/officeDocument/2006/relationships/image" Target="media/image4.emf"/><Relationship Id="rId90" Type="http://schemas.openxmlformats.org/officeDocument/2006/relationships/image" Target="media/image8.emf"/><Relationship Id="rId95" Type="http://schemas.openxmlformats.org/officeDocument/2006/relationships/image" Target="media/image12.emf"/><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sustainabledevelopment.un.org/post2015/transformingourworld" TargetMode="External"/><Relationship Id="rId30" Type="http://schemas.openxmlformats.org/officeDocument/2006/relationships/header" Target="header11.xml"/><Relationship Id="rId35" Type="http://schemas.openxmlformats.org/officeDocument/2006/relationships/hyperlink" Target="https://ec.europa.eu/commission/priorities/deeper-and-fairer-economic-and-monetary-union/european-pillar-social-rights_bg" TargetMode="External"/><Relationship Id="rId43" Type="http://schemas.openxmlformats.org/officeDocument/2006/relationships/hyperlink" Target="https://ec.europa.eu/commission/priorities/state-union-speeches/state-union-2018/state-union-2018-africa_bg" TargetMode="External"/><Relationship Id="rId48" Type="http://schemas.openxmlformats.org/officeDocument/2006/relationships/header" Target="header18.xml"/><Relationship Id="rId56" Type="http://schemas.openxmlformats.org/officeDocument/2006/relationships/header" Target="header21.xml"/><Relationship Id="rId64" Type="http://schemas.openxmlformats.org/officeDocument/2006/relationships/hyperlink" Target="https://ec.europa.eu/anti-trafficking/eu-policy/strategic-engagement-gender-equality-2016-2019_en" TargetMode="External"/><Relationship Id="rId69" Type="http://schemas.openxmlformats.org/officeDocument/2006/relationships/header" Target="header27.xml"/><Relationship Id="rId77" Type="http://schemas.openxmlformats.org/officeDocument/2006/relationships/footer" Target="footer30.xml"/><Relationship Id="rId100" Type="http://schemas.openxmlformats.org/officeDocument/2006/relationships/hyperlink" Target="https://ec.europa.eu/clima/policies/adaptation/what_en" TargetMode="External"/><Relationship Id="rId105" Type="http://schemas.openxmlformats.org/officeDocument/2006/relationships/image" Target="media/image18.emf"/><Relationship Id="rId113" Type="http://schemas.openxmlformats.org/officeDocument/2006/relationships/footer" Target="footer31.xml"/><Relationship Id="rId118"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ec.europa.eu/echo/news/european-commission-launches-sendai-action-plan-disaster-risk-reduction_en" TargetMode="External"/><Relationship Id="rId72" Type="http://schemas.openxmlformats.org/officeDocument/2006/relationships/header" Target="header28.xml"/><Relationship Id="rId80" Type="http://schemas.openxmlformats.org/officeDocument/2006/relationships/image" Target="media/image3.emf"/><Relationship Id="rId85" Type="http://schemas.openxmlformats.org/officeDocument/2006/relationships/hyperlink" Target="http://ec.europa.eu/health/amr/action_eu_en" TargetMode="External"/><Relationship Id="rId93" Type="http://schemas.openxmlformats.org/officeDocument/2006/relationships/image" Target="media/image11.emf"/><Relationship Id="rId98" Type="http://schemas.openxmlformats.org/officeDocument/2006/relationships/image" Target="media/image14.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footer" Target="footer25.xml"/><Relationship Id="rId103" Type="http://schemas.openxmlformats.org/officeDocument/2006/relationships/hyperlink" Target="https://ec.europa.eu/jrc/en/news/566-billion-and-growing-eu-blue-economy-thriving" TargetMode="External"/><Relationship Id="rId108" Type="http://schemas.openxmlformats.org/officeDocument/2006/relationships/hyperlink" Target="http://www.asvis.it/gli-attuali-aderenti/" TargetMode="External"/><Relationship Id="rId116" Type="http://schemas.openxmlformats.org/officeDocument/2006/relationships/footer" Target="footer33.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footer" Target="footer27.xml"/><Relationship Id="rId75" Type="http://schemas.openxmlformats.org/officeDocument/2006/relationships/footer" Target="footer29.xml"/><Relationship Id="rId83" Type="http://schemas.openxmlformats.org/officeDocument/2006/relationships/image" Target="media/image5.emf"/><Relationship Id="rId88" Type="http://schemas.openxmlformats.org/officeDocument/2006/relationships/hyperlink" Target="http://ec.europa.eu/commfrontoffice/publicopinion/index.cfm/Survey/getSurveyDetail/instruments/SPECIAL/surveyKy/2154" TargetMode="External"/><Relationship Id="rId91" Type="http://schemas.openxmlformats.org/officeDocument/2006/relationships/image" Target="media/image9.emf"/><Relationship Id="rId96" Type="http://schemas.openxmlformats.org/officeDocument/2006/relationships/image" Target="media/image13.emf"/><Relationship Id="rId11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un.org/en/index.html" TargetMode="External"/><Relationship Id="rId36" Type="http://schemas.openxmlformats.org/officeDocument/2006/relationships/hyperlink" Target="https://ec.europa.eu/commission/sites/beta-political/files/social-summit-work-life-balance-parents-carers_en.pdf" TargetMode="External"/><Relationship Id="rId49" Type="http://schemas.openxmlformats.org/officeDocument/2006/relationships/footer" Target="footer18.xml"/><Relationship Id="rId57" Type="http://schemas.openxmlformats.org/officeDocument/2006/relationships/footer" Target="footer21.xml"/><Relationship Id="rId106" Type="http://schemas.openxmlformats.org/officeDocument/2006/relationships/image" Target="media/image19.emf"/><Relationship Id="rId114" Type="http://schemas.openxmlformats.org/officeDocument/2006/relationships/footer" Target="footer32.xml"/><Relationship Id="rId10" Type="http://schemas.openxmlformats.org/officeDocument/2006/relationships/header" Target="header2.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hyperlink" Target="http://ec.europa.eu/echo/sites/echo-site/files/sendai_swd_2016_205_0.pdf" TargetMode="External"/><Relationship Id="rId81" Type="http://schemas.openxmlformats.org/officeDocument/2006/relationships/hyperlink" Target="https://ec.europa.eu/commission/priorities/deeper-and-fairer-economic-and-monetary-union/european-pillar-social-rights_bg" TargetMode="External"/><Relationship Id="rId86" Type="http://schemas.openxmlformats.org/officeDocument/2006/relationships/image" Target="media/image6.emf"/><Relationship Id="rId94" Type="http://schemas.openxmlformats.org/officeDocument/2006/relationships/hyperlink" Target="http://s3platform.jrc.ec.europa.eu/industrial-modernisation" TargetMode="External"/><Relationship Id="rId99" Type="http://schemas.openxmlformats.org/officeDocument/2006/relationships/image" Target="media/image15.emf"/><Relationship Id="rId10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3.xml"/><Relationship Id="rId109" Type="http://schemas.openxmlformats.org/officeDocument/2006/relationships/image" Target="media/image20.emf"/><Relationship Id="rId34" Type="http://schemas.openxmlformats.org/officeDocument/2006/relationships/footer" Target="footer12.xml"/><Relationship Id="rId50" Type="http://schemas.openxmlformats.org/officeDocument/2006/relationships/hyperlink" Target="http://europa.eu/rapid/press-release_IP-15-6147_bg.htm" TargetMode="External"/><Relationship Id="rId55" Type="http://schemas.openxmlformats.org/officeDocument/2006/relationships/footer" Target="footer20.xml"/><Relationship Id="rId76" Type="http://schemas.openxmlformats.org/officeDocument/2006/relationships/header" Target="header30.xml"/><Relationship Id="rId97" Type="http://schemas.openxmlformats.org/officeDocument/2006/relationships/hyperlink" Target="https://ec.europa.eu/futurium/en/content/pact-amsterdam" TargetMode="External"/><Relationship Id="rId104" Type="http://schemas.openxmlformats.org/officeDocument/2006/relationships/image" Target="media/image17.emf"/><Relationship Id="rId7" Type="http://schemas.openxmlformats.org/officeDocument/2006/relationships/endnotes" Target="endnotes.xml"/><Relationship Id="rId71" Type="http://schemas.openxmlformats.org/officeDocument/2006/relationships/hyperlink" Target="https://ec.europa.eu/echo/news/european-commission-launches-sendai-action-plan-disaster-risk-reduction_en" TargetMode="External"/><Relationship Id="rId92" Type="http://schemas.openxmlformats.org/officeDocument/2006/relationships/image" Target="media/image10.emf"/><Relationship Id="rId2" Type="http://schemas.openxmlformats.org/officeDocument/2006/relationships/numbering" Target="numbering.xml"/><Relationship Id="rId29"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sdi/overview" TargetMode="External"/><Relationship Id="rId2" Type="http://schemas.openxmlformats.org/officeDocument/2006/relationships/hyperlink" Target="http://unsdsn.org/" TargetMode="External"/><Relationship Id="rId1" Type="http://schemas.openxmlformats.org/officeDocument/2006/relationships/hyperlink" Target="http://sdgin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ED84FD-A7AC-44CA-A313-31E1E550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34984</Words>
  <Characters>206406</Characters>
  <Application>Microsoft Office Word</Application>
  <DocSecurity>0</DocSecurity>
  <Lines>3822</Lines>
  <Paragraphs>1001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2019-01-29T22:29:00Z</dcterms:created>
  <dcterms:modified xsi:type="dcterms:W3CDTF">2019-01-31T15:30:00Z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3</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DocStatus">
    <vt:lpwstr>Green</vt:lpwstr>
  </property>
  <property fmtid="{D5CDD505-2E9C-101B-9397-08002B2CF9AE}" pid="10" name="Created using">
    <vt:lpwstr>LW 6.0.1, Build 20180503</vt:lpwstr>
  </property>
</Properties>
</file>