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0800991-CC84-4C00-A227-A1E5542C9D8B" style="width:450.45pt;height:3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OBRAZLOŽITVENI MEMORANDUM</w:t>
      </w:r>
    </w:p>
    <w:p>
      <w:pPr>
        <w:pStyle w:val="ManualHeading1"/>
        <w:rPr>
          <w:noProof/>
        </w:rPr>
      </w:pPr>
      <w:r>
        <w:rPr>
          <w:noProof/>
        </w:rPr>
        <w:t>1.</w:t>
      </w:r>
      <w:r>
        <w:rPr>
          <w:noProof/>
        </w:rPr>
        <w:tab/>
        <w:t>OZADJE PREDLOGA</w:t>
      </w:r>
    </w:p>
    <w:p>
      <w:pPr>
        <w:pStyle w:val="ManualHeading2"/>
        <w:rPr>
          <w:rFonts w:eastAsia="Arial Unicode MS"/>
          <w:noProof/>
        </w:rPr>
      </w:pPr>
      <w:r>
        <w:rPr>
          <w:noProof/>
          <w:color w:val="000000"/>
          <w:u w:color="000000"/>
          <w:bdr w:val="nil"/>
        </w:rPr>
        <w:t>•</w:t>
      </w:r>
      <w:r>
        <w:rPr>
          <w:noProof/>
        </w:rPr>
        <w:tab/>
        <w:t>Razlogi za predlog in njegovi cilji</w:t>
      </w:r>
    </w:p>
    <w:p>
      <w:pPr>
        <w:pBdr>
          <w:top w:val="nil"/>
          <w:left w:val="nil"/>
          <w:bottom w:val="nil"/>
          <w:right w:val="nil"/>
          <w:between w:val="nil"/>
          <w:bar w:val="nil"/>
        </w:pBdr>
        <w:spacing w:before="0" w:after="240"/>
        <w:rPr>
          <w:rFonts w:eastAsia="Arial Unicode MS"/>
          <w:noProof/>
        </w:rPr>
      </w:pPr>
      <w:r>
        <w:rPr>
          <w:noProof/>
        </w:rPr>
        <w:t>Stockholmska konvencija o obstojnih organskih onesnaževalih (v nadaljnjem besedilu: Konvencija), odobrena s Sklepom Sveta 2006/507/ES</w:t>
      </w:r>
      <w:r>
        <w:rPr>
          <w:rStyle w:val="FootnoteReference"/>
          <w:noProof/>
        </w:rPr>
        <w:footnoteReference w:id="1"/>
      </w:r>
      <w:r>
        <w:rPr>
          <w:noProof/>
        </w:rPr>
        <w:t>, je začela veljati 17. maja 2004. Cilj Konvencije je zaščititi zdravje ljudi in okolje pred obstojnimi organskimi onesnaževali. Konvencija zagotavlja na previdnostnem načelu temelječi okvir za odpravo proizvodnje, uporabe, uvoza in izvoza obstojnih organskih onesnaževal, varno ravnanje z njimi in njihovo odlaganje ter odpravo ali zmanjšanje izpustov nekaterih nenamernih obstojnih organskih onesnaževal.</w:t>
      </w:r>
    </w:p>
    <w:p>
      <w:pPr>
        <w:pBdr>
          <w:top w:val="nil"/>
          <w:left w:val="nil"/>
          <w:bottom w:val="nil"/>
          <w:right w:val="nil"/>
          <w:between w:val="nil"/>
          <w:bar w:val="nil"/>
        </w:pBdr>
        <w:spacing w:before="0" w:after="240"/>
        <w:rPr>
          <w:rFonts w:eastAsia="Arial Unicode MS"/>
          <w:noProof/>
        </w:rPr>
      </w:pPr>
      <w:r>
        <w:rPr>
          <w:noProof/>
        </w:rPr>
        <w:t>Uredba Evropskega parlamenta in Sveta (ES) št. 850/2004</w:t>
      </w:r>
      <w:r>
        <w:rPr>
          <w:rStyle w:val="FootnoteReference"/>
          <w:noProof/>
        </w:rPr>
        <w:footnoteReference w:id="2"/>
      </w:r>
      <w:r>
        <w:rPr>
          <w:noProof/>
        </w:rPr>
        <w:t xml:space="preserve"> v okviru prava Unije izvaja obveznosti iz Konvencije in Protokola o obstojnih organskih onesnaževalih h Konvenciji iz leta 1979 o onesnaževanju zraka na velike razdalje preko meja (v nadaljnjem besedilu: Protokol), odobrenega s Sklepom Sveta št. 259/2004/ES</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Člen 8(1) Konvencije določa, da lahko katera koli pogodbenica Sekretariatu predloži predlog za vključitev kemikalije v Prilogo A, B in/ali C h Konvenciji, ki ga bo pregledal odbor za pregled obstojnih organskih onesnaževal (v nadaljnjem besedilu: odbor POPRC) v skladu s členom 8(3) in (4). Predlog vsebuje informacije, določene v Prilogi D. Na podlagi priporočil odbora POPRC se Konferenca pogodbenic odloči, ali se snov vključi na seznam iz Priloge A (odprava), Priloge B (omejitev) in/ali Priloge C (nenamerno nastajanje). Postopek za sprejetje sprememb prilog ureja člen 22 Konvencije.</w:t>
      </w:r>
    </w:p>
    <w:p>
      <w:pPr>
        <w:pBdr>
          <w:top w:val="nil"/>
          <w:left w:val="nil"/>
          <w:bottom w:val="nil"/>
          <w:right w:val="nil"/>
          <w:between w:val="nil"/>
          <w:bar w:val="nil"/>
        </w:pBdr>
        <w:spacing w:before="0" w:after="240"/>
        <w:rPr>
          <w:rFonts w:eastAsia="Arial Unicode MS"/>
          <w:noProof/>
        </w:rPr>
      </w:pPr>
      <w:r>
        <w:rPr>
          <w:noProof/>
        </w:rPr>
        <w:t>V skladu z Uredbo (ES) št. 1107/2009 Evropskega parlamenta in Sveta</w:t>
      </w:r>
      <w:r>
        <w:rPr>
          <w:rStyle w:val="FootnoteReference"/>
          <w:noProof/>
        </w:rPr>
        <w:footnoteReference w:id="4"/>
      </w:r>
      <w:r>
        <w:rPr>
          <w:noProof/>
        </w:rPr>
        <w:t xml:space="preserve"> oziroma Uredbo (EU) št. 528/2012 Evropskega parlamenta in Sveta</w:t>
      </w:r>
      <w:r>
        <w:rPr>
          <w:rStyle w:val="FootnoteReference"/>
          <w:noProof/>
        </w:rPr>
        <w:footnoteReference w:id="5"/>
      </w:r>
      <w:r>
        <w:rPr>
          <w:noProof/>
        </w:rPr>
        <w:t xml:space="preserve"> je prepovedana uporaba metoksiklora kot aktivne snovi v fitofarmacevtskih sredstvih in biocidnih proizvodih v Evropski uniji. Poleg tega metoksiklor ni registriran v skladu z Uredbo (ES) št. 1907/2006 Evropskega parlamenta in Sveta</w:t>
      </w:r>
      <w:r>
        <w:rPr>
          <w:rStyle w:val="FootnoteReference"/>
          <w:noProof/>
        </w:rPr>
        <w:footnoteReference w:id="6"/>
      </w:r>
      <w:r>
        <w:rPr>
          <w:noProof/>
        </w:rPr>
        <w:t>, zato ni odobren za proizvodnjo ali dajanje na trg v Uniji v količini 1 tono ali več na leto na proizvajalca ali uvoznika.</w:t>
      </w:r>
    </w:p>
    <w:p>
      <w:pPr>
        <w:pBdr>
          <w:top w:val="nil"/>
          <w:left w:val="nil"/>
          <w:bottom w:val="nil"/>
          <w:right w:val="nil"/>
          <w:between w:val="nil"/>
          <w:bar w:val="nil"/>
        </w:pBdr>
        <w:spacing w:before="0" w:after="240"/>
        <w:rPr>
          <w:rFonts w:eastAsia="Arial Unicode MS"/>
          <w:noProof/>
        </w:rPr>
      </w:pPr>
      <w:r>
        <w:rPr>
          <w:noProof/>
        </w:rPr>
        <w:t>Po razpoložljivih informacijah in podatkih o intrinzičnih lastnostih metoksiklora, ki so bili ocenjeni na podlagi meril iz Priloge D h Konvenciji, je mogoče skleniti, da je metoksiklor obstojen, bioakumulativen in strupen. Poleg tega se metoksiklor prenaša v okolju na velike razdalje in je bil ugotovljen v oddaljenih območjih, kot je Arktika. Glede na to, da je metoksiklor obstojen, bioakumulativen in strupen ter se prenaša v okolju na velike razdalje, se priporoča, da metoksiklor izpolnjuje merila iz Priloge D h Konvenciji in ga je zato treba obravnavati kot obstojno organsko onesnaževalo. Podrobnosti ocene so na voljo v znanstveni dokumentaciji, ki bo priložena predlogu za vključitev metoksiklora v Prilogo A k Stockholmski konvenciji.</w:t>
      </w:r>
    </w:p>
    <w:p>
      <w:pPr>
        <w:pBdr>
          <w:top w:val="nil"/>
          <w:left w:val="nil"/>
          <w:bottom w:val="nil"/>
          <w:right w:val="nil"/>
          <w:between w:val="nil"/>
          <w:bar w:val="nil"/>
        </w:pBdr>
        <w:spacing w:before="0" w:after="240"/>
        <w:rPr>
          <w:rFonts w:eastAsia="Arial Unicode MS"/>
          <w:noProof/>
        </w:rPr>
      </w:pPr>
      <w:r>
        <w:rPr>
          <w:noProof/>
        </w:rPr>
        <w:t>Čeprav je bil pred nekaj leti metoksiklor prepovedan za uporabo kot aktivna snov v fitofarmacevtskih sredstvih in biocidnih proizvodih v Uniji in ni drugih znanih uporab, ni mogoče izključiti, da se metoksiklor še vedno proizvaja, uporablja ali izpušča v drugih državah. Ker se lahko prenaša na velike razdalje, ukrepi, sprejeti na nacionalni ravni ali ravni Unije, ne zadostujejo za zagotavljanje visoke stopnje varstva okolja in zdravja ljudi, zato je potrebno ukrepanje na širši mednarodni ravni.</w:t>
      </w:r>
    </w:p>
    <w:p>
      <w:pPr>
        <w:pBdr>
          <w:top w:val="nil"/>
          <w:left w:val="nil"/>
          <w:bottom w:val="nil"/>
          <w:right w:val="nil"/>
          <w:between w:val="nil"/>
          <w:bar w:val="nil"/>
        </w:pBdr>
        <w:spacing w:before="0" w:after="240"/>
        <w:rPr>
          <w:rFonts w:eastAsia="Arial Unicode MS"/>
          <w:noProof/>
        </w:rPr>
      </w:pPr>
      <w:r>
        <w:rPr>
          <w:noProof/>
        </w:rPr>
        <w:t>Ker je naslednje zasedanje odbora POPRC septembra 2019, je primerno, da Komisija v imenu Unije sekretariatu Stockholmske konvencije predloži predlog za vključitev metoksiklora v Prilogo A. Navedeni predlog bo pregledan v skladu z merili in postopki iz Konvencije, preden bo Konferenca pogodbenic sprejela sklep o vključitvi.</w:t>
      </w:r>
    </w:p>
    <w:p>
      <w:pPr>
        <w:pStyle w:val="ManualHeading2"/>
        <w:rPr>
          <w:rFonts w:eastAsia="Arial Unicode MS"/>
          <w:noProof/>
          <w:color w:val="000000"/>
          <w:u w:color="000000"/>
          <w:bdr w:val="nil"/>
        </w:rPr>
      </w:pPr>
      <w:r>
        <w:rPr>
          <w:noProof/>
          <w:color w:val="000000"/>
          <w:u w:color="000000"/>
          <w:bdr w:val="nil"/>
        </w:rPr>
        <w:t>•</w:t>
      </w:r>
      <w:r>
        <w:rPr>
          <w:noProof/>
        </w:rPr>
        <w:tab/>
        <w:t>Skladnost z veljavnimi predpisi s področja zadevne politike</w:t>
      </w:r>
    </w:p>
    <w:p>
      <w:pPr>
        <w:pBdr>
          <w:top w:val="nil"/>
          <w:left w:val="nil"/>
          <w:bottom w:val="nil"/>
          <w:right w:val="nil"/>
          <w:between w:val="nil"/>
          <w:bar w:val="nil"/>
        </w:pBdr>
        <w:spacing w:before="0" w:after="240"/>
        <w:rPr>
          <w:rFonts w:eastAsia="Arial Unicode MS"/>
          <w:noProof/>
        </w:rPr>
      </w:pPr>
      <w:r>
        <w:rPr>
          <w:noProof/>
        </w:rPr>
        <w:t>Predlog je skladen z izvajanjem Uredbe (ES) št. 850/2004, ki izvaja Stockholmsko konvencijo v Uniji, in ga dopolnjuje. Je popolnoma v skladu s ciljem varovanja zdravja ljudi in okolja pred obstojnimi organskimi onesnaževali.</w:t>
      </w:r>
    </w:p>
    <w:p>
      <w:pPr>
        <w:pStyle w:val="ManualHeading2"/>
        <w:rPr>
          <w:rFonts w:eastAsia="Arial Unicode MS"/>
          <w:noProof/>
        </w:rPr>
      </w:pPr>
      <w:r>
        <w:rPr>
          <w:noProof/>
          <w:color w:val="000000"/>
          <w:u w:color="000000"/>
          <w:bdr w:val="nil"/>
        </w:rPr>
        <w:t>•</w:t>
      </w:r>
      <w:r>
        <w:rPr>
          <w:noProof/>
        </w:rPr>
        <w:tab/>
        <w:t>Skladnost z drugimi politikami Unije</w:t>
      </w:r>
    </w:p>
    <w:p>
      <w:pPr>
        <w:pBdr>
          <w:top w:val="nil"/>
          <w:left w:val="nil"/>
          <w:bottom w:val="nil"/>
          <w:right w:val="nil"/>
          <w:between w:val="nil"/>
          <w:bar w:val="nil"/>
        </w:pBdr>
        <w:spacing w:before="0" w:after="240"/>
        <w:rPr>
          <w:rFonts w:eastAsia="Arial Unicode MS"/>
          <w:noProof/>
        </w:rPr>
      </w:pPr>
      <w:r>
        <w:rPr>
          <w:noProof/>
        </w:rPr>
        <w:t>Predlog je skladen z Uredbo (ES) št. 1107/2009 in Uredbo (EU) št. 528/2012, saj obe določata merila, ki ne dovoljujeta dajanja v promet in uporabe snovi, ki so obstojne, bioakumulativne in strupene, in snovi, ki so razvrščene kot obstojna organska onesnaževala. V dokumentu o skupnem razumevanju</w:t>
      </w:r>
      <w:r>
        <w:rPr>
          <w:rStyle w:val="FootnoteReference"/>
          <w:noProof/>
        </w:rPr>
        <w:footnoteReference w:id="7"/>
      </w:r>
      <w:r>
        <w:rPr>
          <w:noProof/>
        </w:rPr>
        <w:t xml:space="preserve"> je preučeno razmerje med Stockholmsko konvencijo, Uredbo (ES) št. 850/2004 in Uredbo (ES) št. 1907/2006 v zvezi z omejitvami in zahtevami glede dovoljenj, da se zagotovi skladnost.</w:t>
      </w:r>
    </w:p>
    <w:p>
      <w:pPr>
        <w:pStyle w:val="ManualHeading1"/>
        <w:rPr>
          <w:noProof/>
        </w:rPr>
      </w:pPr>
      <w:r>
        <w:rPr>
          <w:noProof/>
        </w:rPr>
        <w:t>2.</w:t>
      </w:r>
      <w:r>
        <w:rPr>
          <w:noProof/>
        </w:rPr>
        <w:tab/>
        <w:t>PRAVNA PODLAGA, SUBSIDIARNOST IN SORAZMERNOST</w:t>
      </w:r>
    </w:p>
    <w:p>
      <w:pPr>
        <w:pStyle w:val="ManualHeading2"/>
        <w:rPr>
          <w:rFonts w:eastAsia="Arial Unicode MS"/>
          <w:noProof/>
          <w:u w:color="000000"/>
          <w:bdr w:val="nil"/>
        </w:rPr>
      </w:pPr>
      <w:r>
        <w:rPr>
          <w:noProof/>
        </w:rPr>
        <w:t>•</w:t>
      </w:r>
      <w:r>
        <w:rPr>
          <w:noProof/>
        </w:rPr>
        <w:tab/>
        <w:t>Pravna podlaga</w:t>
      </w:r>
    </w:p>
    <w:p>
      <w:pPr>
        <w:pBdr>
          <w:top w:val="nil"/>
          <w:left w:val="nil"/>
          <w:bottom w:val="nil"/>
          <w:right w:val="nil"/>
          <w:between w:val="nil"/>
          <w:bar w:val="nil"/>
        </w:pBdr>
        <w:spacing w:before="0" w:after="240"/>
        <w:rPr>
          <w:noProof/>
        </w:rPr>
      </w:pPr>
      <w:r>
        <w:rPr>
          <w:noProof/>
        </w:rPr>
        <w:t>Postopkovna pravna podlaga za predlagani sklep Sveta je člen 218(9) PDEU, ki je ustrezna podlaga za akt, ki opredeljuje stališče Evropske unije v zvezi z mednarodnim sporazumom, v tem primeru Stockholmsko konvencijo.</w:t>
      </w:r>
    </w:p>
    <w:p>
      <w:pPr>
        <w:pBdr>
          <w:top w:val="nil"/>
          <w:left w:val="nil"/>
          <w:bottom w:val="nil"/>
          <w:right w:val="nil"/>
          <w:between w:val="nil"/>
          <w:bar w:val="nil"/>
        </w:pBdr>
        <w:spacing w:before="0" w:after="240"/>
        <w:rPr>
          <w:rFonts w:eastAsia="Arial Unicode MS"/>
          <w:noProof/>
        </w:rPr>
      </w:pPr>
      <w:r>
        <w:rPr>
          <w:noProof/>
        </w:rPr>
        <w:t>Materialnopravna podlaga je člen 192(1) PDEU, glede na to, da ukrepi, dogovorjeni v okviru Stockholmske konvencije, sledijo predvsem okoljskemu cilju (tj. odpravi obstojnih organskih onesnaževal).</w:t>
      </w:r>
    </w:p>
    <w:p>
      <w:pPr>
        <w:pStyle w:val="ManualHeading2"/>
        <w:rPr>
          <w:rFonts w:eastAsia="Arial Unicode MS"/>
          <w:noProof/>
          <w:u w:color="000000"/>
          <w:bdr w:val="nil"/>
        </w:rPr>
      </w:pPr>
      <w:r>
        <w:rPr>
          <w:noProof/>
        </w:rPr>
        <w:t>•</w:t>
      </w:r>
      <w:r>
        <w:rPr>
          <w:noProof/>
        </w:rPr>
        <w:tab/>
        <w:t xml:space="preserve">Subsidiarnost (za neizključno pristojnost) </w:t>
      </w:r>
    </w:p>
    <w:p>
      <w:pPr>
        <w:pBdr>
          <w:top w:val="nil"/>
          <w:left w:val="nil"/>
          <w:bottom w:val="nil"/>
          <w:right w:val="nil"/>
          <w:between w:val="nil"/>
          <w:bar w:val="nil"/>
        </w:pBdr>
        <w:spacing w:before="0" w:after="240"/>
        <w:rPr>
          <w:rFonts w:eastAsia="Arial Unicode MS"/>
          <w:noProof/>
        </w:rPr>
      </w:pPr>
      <w:r>
        <w:rPr>
          <w:noProof/>
        </w:rPr>
        <w:t>Obstojna organska onesnaževala so svetovnega pomena, Stockholmska konvencija pa se v Uniji izvaja z Uredbo (ES) št. 850/2004. Ker je Unija pogodbenica Konvencije, je primerno, da Unija imenuje novo kemikalijo.</w:t>
      </w:r>
    </w:p>
    <w:p>
      <w:pPr>
        <w:pStyle w:val="ManualHeading2"/>
        <w:rPr>
          <w:rFonts w:eastAsia="Arial Unicode MS"/>
          <w:noProof/>
          <w:u w:color="000000"/>
          <w:bdr w:val="nil"/>
        </w:rPr>
      </w:pPr>
      <w:r>
        <w:rPr>
          <w:noProof/>
        </w:rPr>
        <w:t>•</w:t>
      </w:r>
      <w:r>
        <w:rPr>
          <w:noProof/>
        </w:rPr>
        <w:tab/>
        <w:t>Sorazmernost</w:t>
      </w:r>
    </w:p>
    <w:p>
      <w:pPr>
        <w:pBdr>
          <w:top w:val="nil"/>
          <w:left w:val="nil"/>
          <w:bottom w:val="nil"/>
          <w:right w:val="nil"/>
          <w:between w:val="nil"/>
          <w:bar w:val="nil"/>
        </w:pBdr>
        <w:spacing w:before="0" w:after="240"/>
        <w:rPr>
          <w:rFonts w:eastAsia="Arial Unicode MS"/>
          <w:noProof/>
        </w:rPr>
      </w:pPr>
      <w:r>
        <w:rPr>
          <w:noProof/>
        </w:rPr>
        <w:t>Obstojna organska onesnaževala so svetovnega pomena, cilj Stockholmske konvencije pa je odprava proizvodnje in uporabe navedenih kemikalij. Zato je sorazmerno, da se Konvenciji predlaga navedena kemikalija, da se zagotovi sprejetje ustreznih ukrepov na svetovni ravni.</w:t>
      </w:r>
    </w:p>
    <w:p>
      <w:pPr>
        <w:pStyle w:val="ManualHeading1"/>
        <w:rPr>
          <w:noProof/>
        </w:rPr>
      </w:pPr>
      <w:r>
        <w:rPr>
          <w:noProof/>
        </w:rPr>
        <w:t>3.</w:t>
      </w:r>
      <w:r>
        <w:rPr>
          <w:noProof/>
        </w:rPr>
        <w:tab/>
        <w:t>REZULTATI NAKNADNIH OCEN, POSVETOVANJ Z ZAINTERESIRANIMI STRANMI IN OCEN UČINKA</w:t>
      </w:r>
    </w:p>
    <w:p>
      <w:pPr>
        <w:pStyle w:val="ManualHeading2"/>
        <w:rPr>
          <w:rFonts w:eastAsia="Arial Unicode MS"/>
          <w:noProof/>
          <w:u w:color="000000"/>
          <w:bdr w:val="nil"/>
        </w:rPr>
      </w:pPr>
      <w:r>
        <w:rPr>
          <w:noProof/>
        </w:rPr>
        <w:t>•</w:t>
      </w:r>
      <w:r>
        <w:rPr>
          <w:noProof/>
        </w:rPr>
        <w:tab/>
        <w:t>Posvetovanja z zainteresiranimi stranmi</w:t>
      </w:r>
    </w:p>
    <w:p>
      <w:pPr>
        <w:pBdr>
          <w:top w:val="nil"/>
          <w:left w:val="nil"/>
          <w:bottom w:val="nil"/>
          <w:right w:val="nil"/>
          <w:between w:val="nil"/>
          <w:bar w:val="nil"/>
        </w:pBdr>
        <w:spacing w:before="0" w:after="240"/>
        <w:rPr>
          <w:rFonts w:eastAsia="Arial Unicode MS"/>
          <w:noProof/>
        </w:rPr>
      </w:pPr>
      <w:r>
        <w:rPr>
          <w:noProof/>
        </w:rPr>
        <w:t>O predlogu se je razpravljalo z državami članicami in drugimi zainteresiranimi stranmi na več sestankih pristojnih organov za Uredbo (ES) št. 850/2004 ter poleg tega na sestanku in v pisnem postopku strokovne skupine Evropske agencije za kemikalije za obstojne, bioakumulativne in strupene snovi, obravnavane pa so bile prejete pripombe.</w:t>
      </w:r>
    </w:p>
    <w:p>
      <w:pPr>
        <w:pStyle w:val="ManualHeading2"/>
        <w:rPr>
          <w:rFonts w:eastAsia="Arial Unicode MS"/>
          <w:noProof/>
          <w:u w:color="000000"/>
          <w:bdr w:val="nil"/>
        </w:rPr>
      </w:pPr>
      <w:r>
        <w:rPr>
          <w:noProof/>
        </w:rPr>
        <w:t>•</w:t>
      </w:r>
      <w:r>
        <w:rPr>
          <w:noProof/>
        </w:rPr>
        <w:tab/>
        <w:t>Ocena učinka</w:t>
      </w:r>
    </w:p>
    <w:p>
      <w:pPr>
        <w:pBdr>
          <w:top w:val="nil"/>
          <w:left w:val="nil"/>
          <w:bottom w:val="nil"/>
          <w:right w:val="nil"/>
          <w:between w:val="nil"/>
          <w:bar w:val="nil"/>
        </w:pBdr>
        <w:spacing w:before="0" w:after="240"/>
        <w:rPr>
          <w:rFonts w:eastAsia="Arial Unicode MS"/>
          <w:noProof/>
        </w:rPr>
      </w:pPr>
      <w:r>
        <w:rPr>
          <w:noProof/>
        </w:rPr>
        <w:t>Ocena učinka ni bila opravljena. Imenovanje kemikalije Konvenciji ne bo imelo nobenega vpliva, saj se ne zdi, da bi se uporabljala v EU. Če bo odbor POPRC ugotovil, da je kemikalija obstojno organsko onesnaževalo, bo opravil oceno učinka morebitnih ukrepov za upravljanje ob upoštevanju socialno-ekonomskih informacij.</w:t>
      </w:r>
    </w:p>
    <w:p>
      <w:pPr>
        <w:pStyle w:val="ManualHeading2"/>
        <w:rPr>
          <w:rFonts w:eastAsia="Arial Unicode MS"/>
          <w:noProof/>
          <w:u w:color="000000"/>
          <w:bdr w:val="nil"/>
        </w:rPr>
      </w:pPr>
      <w:r>
        <w:rPr>
          <w:noProof/>
        </w:rPr>
        <w:t>•</w:t>
      </w:r>
      <w:r>
        <w:rPr>
          <w:noProof/>
        </w:rPr>
        <w:tab/>
        <w:t>Ustreznost in poenostavitev ureditve</w:t>
      </w:r>
    </w:p>
    <w:p>
      <w:pPr>
        <w:pBdr>
          <w:top w:val="nil"/>
          <w:left w:val="nil"/>
          <w:bottom w:val="nil"/>
          <w:right w:val="nil"/>
          <w:between w:val="nil"/>
          <w:bar w:val="nil"/>
        </w:pBdr>
        <w:spacing w:before="0" w:after="240"/>
        <w:rPr>
          <w:rFonts w:eastAsia="Arial Unicode MS"/>
          <w:noProof/>
        </w:rPr>
      </w:pPr>
      <w:r>
        <w:rPr>
          <w:noProof/>
        </w:rPr>
        <w:t>Predlog ne vpliva na komercialno dejavnost, saj se kemikalija ne uporablja v komercialne namene v Uniji, mikropodjetja niso izvzeta in posebna pravila za MSP niso določena. Predlog ne vpliva na sektorsko konkurenčnost EU ali na trgovino, saj se s kemikalijo ne trguje med Unijo in tretjimi državami.</w:t>
      </w:r>
    </w:p>
    <w:p>
      <w:pPr>
        <w:pStyle w:val="ManualHeading1"/>
        <w:rPr>
          <w:noProof/>
        </w:rPr>
      </w:pPr>
      <w:r>
        <w:rPr>
          <w:noProof/>
        </w:rPr>
        <w:t>4.</w:t>
      </w:r>
      <w:r>
        <w:rPr>
          <w:noProof/>
        </w:rPr>
        <w:tab/>
        <w:t>PRORAČUNSKE POSLEDICE</w:t>
      </w:r>
    </w:p>
    <w:p>
      <w:pPr>
        <w:pBdr>
          <w:top w:val="nil"/>
          <w:left w:val="nil"/>
          <w:bottom w:val="nil"/>
          <w:right w:val="nil"/>
          <w:between w:val="nil"/>
          <w:bar w:val="nil"/>
        </w:pBdr>
        <w:spacing w:before="0" w:after="240"/>
        <w:rPr>
          <w:rFonts w:eastAsia="Arial Unicode MS"/>
          <w:noProof/>
        </w:rPr>
      </w:pPr>
      <w:r>
        <w:rPr>
          <w:noProof/>
        </w:rPr>
        <w:t>Predlog nima proračunskih posledic.</w:t>
      </w:r>
    </w:p>
    <w:p>
      <w:pPr>
        <w:pStyle w:val="ManualHeading1"/>
        <w:rPr>
          <w:noProof/>
        </w:rPr>
      </w:pPr>
      <w:r>
        <w:rPr>
          <w:noProof/>
        </w:rPr>
        <w:t>5.</w:t>
      </w:r>
      <w:r>
        <w:rPr>
          <w:noProof/>
        </w:rPr>
        <w:tab/>
        <w:t>DRUGI ELEMENTI</w:t>
      </w:r>
    </w:p>
    <w:p>
      <w:pPr>
        <w:pStyle w:val="ManualHeading2"/>
        <w:rPr>
          <w:rFonts w:eastAsia="Arial Unicode MS"/>
          <w:noProof/>
          <w:u w:color="000000"/>
          <w:bdr w:val="nil"/>
        </w:rPr>
      </w:pPr>
      <w:r>
        <w:rPr>
          <w:noProof/>
        </w:rPr>
        <w:t>•</w:t>
      </w:r>
      <w:r>
        <w:rPr>
          <w:noProof/>
        </w:rPr>
        <w:tab/>
        <w:t>Načrti za izvedbo ter ureditev spremljanja, ocenjevanja in poročanja</w:t>
      </w:r>
    </w:p>
    <w:p>
      <w:pPr>
        <w:pBdr>
          <w:top w:val="nil"/>
          <w:left w:val="nil"/>
          <w:bottom w:val="nil"/>
          <w:right w:val="nil"/>
          <w:between w:val="nil"/>
          <w:bar w:val="nil"/>
        </w:pBdr>
        <w:spacing w:before="0" w:after="240"/>
        <w:rPr>
          <w:rFonts w:eastAsia="Arial Unicode MS"/>
          <w:noProof/>
        </w:rPr>
      </w:pPr>
      <w:r>
        <w:rPr>
          <w:noProof/>
        </w:rPr>
        <w:t>Načrt za izvedbo, spremljanje, ocenjevanje in poročanje se ne štejejo za potrebni.</w:t>
      </w:r>
    </w:p>
    <w:p>
      <w:pPr>
        <w:pStyle w:val="ManualHeading2"/>
        <w:rPr>
          <w:rFonts w:eastAsia="Arial Unicode MS"/>
          <w:noProof/>
          <w:u w:color="000000"/>
          <w:bdr w:val="nil"/>
        </w:rPr>
      </w:pPr>
      <w:r>
        <w:rPr>
          <w:noProof/>
        </w:rPr>
        <w:t>•</w:t>
      </w:r>
      <w:r>
        <w:rPr>
          <w:noProof/>
        </w:rPr>
        <w:tab/>
        <w:t>Natančnejša pojasnitev posameznih določb predloga</w:t>
      </w:r>
    </w:p>
    <w:p>
      <w:pPr>
        <w:pBdr>
          <w:top w:val="nil"/>
          <w:left w:val="nil"/>
          <w:bottom w:val="nil"/>
          <w:right w:val="nil"/>
          <w:between w:val="nil"/>
          <w:bar w:val="nil"/>
        </w:pBdr>
        <w:spacing w:before="0" w:after="240"/>
        <w:rPr>
          <w:rFonts w:eastAsia="Arial Unicode MS"/>
          <w:noProof/>
        </w:rPr>
      </w:pPr>
      <w:r>
        <w:rPr>
          <w:noProof/>
        </w:rPr>
        <w:t>Predlog Komisiji podeljuje pooblastilo, da v imenu Evropske unije Stockholmski konvenciji imenuje metoksiklor.</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2019/0039 (NLE)</w:t>
      </w:r>
    </w:p>
    <w:p>
      <w:pPr>
        <w:pStyle w:val="Statut"/>
        <w:rPr>
          <w:noProof/>
        </w:rPr>
      </w:pPr>
      <w:r>
        <w:rPr>
          <w:noProof/>
        </w:rPr>
        <w:t>Predlog</w:t>
      </w:r>
    </w:p>
    <w:p>
      <w:pPr>
        <w:pStyle w:val="Typedudocument"/>
        <w:rPr>
          <w:noProof/>
        </w:rPr>
      </w:pPr>
      <w:r>
        <w:rPr>
          <w:noProof/>
        </w:rPr>
        <w:t>SKLEP SVETA</w:t>
      </w:r>
    </w:p>
    <w:p>
      <w:pPr>
        <w:pStyle w:val="Titreobjet"/>
        <w:rPr>
          <w:noProof/>
        </w:rPr>
      </w:pPr>
      <w:r>
        <w:rPr>
          <w:noProof/>
        </w:rPr>
        <w:t>o predložitvi predloga za vključitev metoksiklora v Prilogo A k Stockholmski konvenciji o obstojnih organskih onesnaževalih v imenu Evropske unije</w:t>
      </w:r>
    </w:p>
    <w:p>
      <w:pPr>
        <w:pStyle w:val="Institutionquiagit"/>
        <w:rPr>
          <w:noProof/>
        </w:rPr>
      </w:pPr>
      <w:r>
        <w:rPr>
          <w:noProof/>
        </w:rPr>
        <w:t>SVET EVROPSKE UNIJE JE –</w:t>
      </w:r>
    </w:p>
    <w:p>
      <w:pPr>
        <w:rPr>
          <w:noProof/>
        </w:rPr>
      </w:pPr>
      <w:r>
        <w:rPr>
          <w:noProof/>
        </w:rPr>
        <w:t>ob upoštevanju Pogodbe o delovanju Evropske unije in zlasti člena 192(1) v povezavi s členom 218(9) Pogodbe,</w:t>
      </w:r>
    </w:p>
    <w:p>
      <w:pPr>
        <w:rPr>
          <w:noProof/>
        </w:rPr>
      </w:pPr>
      <w:r>
        <w:rPr>
          <w:noProof/>
        </w:rPr>
        <w:t>ob upoštevanju predloga Evropske komisije,</w:t>
      </w:r>
    </w:p>
    <w:p>
      <w:pPr>
        <w:rPr>
          <w:noProof/>
        </w:rPr>
      </w:pPr>
      <w:r>
        <w:rPr>
          <w:noProof/>
        </w:rPr>
        <w:t>ob upoštevanju naslednjega:</w:t>
      </w:r>
    </w:p>
    <w:p>
      <w:pPr>
        <w:pStyle w:val="ManualConsidrant"/>
        <w:rPr>
          <w:noProof/>
        </w:rPr>
      </w:pPr>
      <w:r>
        <w:t>(1)</w:t>
      </w:r>
      <w:r>
        <w:tab/>
      </w:r>
      <w:r>
        <w:rPr>
          <w:noProof/>
        </w:rPr>
        <w:t>Stockholmska konvencija o obstojnih organskih onesnaževalih je bila 14. oktobra 2004 v imenu Evropske skupnosti sklenjena s Sklepom Sveta 2006/507/ES</w:t>
      </w:r>
      <w:r>
        <w:rPr>
          <w:rStyle w:val="FootnoteReference"/>
          <w:noProof/>
        </w:rPr>
        <w:footnoteReference w:id="8"/>
      </w:r>
      <w:r>
        <w:rPr>
          <w:noProof/>
        </w:rPr>
        <w:t>.</w:t>
      </w:r>
    </w:p>
    <w:p>
      <w:pPr>
        <w:pStyle w:val="ManualConsidrant"/>
        <w:rPr>
          <w:noProof/>
        </w:rPr>
      </w:pPr>
      <w:r>
        <w:t>(2)</w:t>
      </w:r>
      <w:r>
        <w:tab/>
      </w:r>
      <w:r>
        <w:rPr>
          <w:noProof/>
        </w:rPr>
        <w:t xml:space="preserve">Kot pogodbenica Konvencije lahko Unija daje predloge za spremembo prilog h Konvenciji. V Prilogi A h Konvenciji so navedena obstojna organska onesnaževala, ki jih je treba odpraviti, v Prilogi B tista, ki jih je treba omejiti, v Priloga C pa tista, katerih sproščanje ob nenamernem nastajanju je treba zmanjšati ali odpraviti. </w:t>
      </w:r>
    </w:p>
    <w:p>
      <w:pPr>
        <w:pStyle w:val="ManualConsidrant"/>
        <w:rPr>
          <w:noProof/>
        </w:rPr>
      </w:pPr>
      <w:r>
        <w:t>(3)</w:t>
      </w:r>
      <w:r>
        <w:tab/>
      </w:r>
      <w:r>
        <w:rPr>
          <w:noProof/>
        </w:rPr>
        <w:t xml:space="preserve">Po razpoložljivih znanstvenih informacijah in poročilih o pregledu ter ob upoštevanju meril za pregled iz Priloge D h Konvenciji kaže metoksiklor lastnosti obstojnega organskega onesnaževala. </w:t>
      </w:r>
    </w:p>
    <w:p>
      <w:pPr>
        <w:pStyle w:val="ManualConsidrant"/>
        <w:rPr>
          <w:noProof/>
        </w:rPr>
      </w:pPr>
      <w:r>
        <w:t>(4)</w:t>
      </w:r>
      <w:r>
        <w:tab/>
      </w:r>
      <w:r>
        <w:rPr>
          <w:noProof/>
        </w:rPr>
        <w:t>Metoksiklor ni odobren kot aktivna snov v skladu z Uredbo (ES) št. 1107/2009 Evropskega parlamenta in Sveta</w:t>
      </w:r>
      <w:r>
        <w:rPr>
          <w:rStyle w:val="FootnoteReference"/>
          <w:noProof/>
        </w:rPr>
        <w:footnoteReference w:id="9"/>
      </w:r>
      <w:r>
        <w:rPr>
          <w:noProof/>
        </w:rPr>
        <w:t xml:space="preserve"> in zato njegovo dajanje v promet ali uporaba v Uniji v fitofarmacevtskih sredstvih ni dovoljena. Metoksiklor tudi ni odobren kot aktivna snov v skladu z Uredbo (EU) št. 528/2012 Evropskega parlamenta in Sveta</w:t>
      </w:r>
      <w:r>
        <w:rPr>
          <w:rStyle w:val="FootnoteReference"/>
          <w:noProof/>
        </w:rPr>
        <w:footnoteReference w:id="10"/>
      </w:r>
      <w:r>
        <w:rPr>
          <w:noProof/>
        </w:rPr>
        <w:t xml:space="preserve"> in zato njegovo dajanje na trg ali uporaba v Uniji v biocidnih proizvodih ni dovoljena. Poleg tega metoksiklor ni registriran v skladu z Uredbo (ES) št. 1907/2006 Evropskega parlamenta in Sveta</w:t>
      </w:r>
      <w:r>
        <w:rPr>
          <w:rStyle w:val="FootnoteReference"/>
          <w:noProof/>
        </w:rPr>
        <w:footnoteReference w:id="11"/>
      </w:r>
      <w:r>
        <w:rPr>
          <w:noProof/>
        </w:rPr>
        <w:t>, zato ni odobren za proizvodnjo ali dajanje na trg v Uniji v količini 1 tono ali več na leto na proizvajalca ali uvoznika.</w:t>
      </w:r>
    </w:p>
    <w:p>
      <w:pPr>
        <w:pStyle w:val="ManualConsidrant"/>
        <w:rPr>
          <w:noProof/>
        </w:rPr>
      </w:pPr>
      <w:r>
        <w:t>(5)</w:t>
      </w:r>
      <w:r>
        <w:tab/>
      </w:r>
      <w:r>
        <w:rPr>
          <w:noProof/>
        </w:rPr>
        <w:t>Čeprav se je metoksiklor že dolgo časa nazaj v Uniji postopno ukinjal, se lahko še vedno uporablja kot pesticid in razpršuje v okolju v Uniji, kar je lahko razlog za njegovo odkritje v okolju. Ker se metoksiklor lahko prenaša na velike razdalje, ukrepi, sprejeti na nacionalni ravni ali ravni Unije, ne zadostujejo za zagotavljanje visoke stopnje varstva okolja in zdravja ljudi, zato je potrebno ukrepanje na širši mednarodni ravni.</w:t>
      </w:r>
    </w:p>
    <w:p>
      <w:pPr>
        <w:pStyle w:val="ManualConsidrant"/>
        <w:rPr>
          <w:noProof/>
        </w:rPr>
      </w:pPr>
      <w:r>
        <w:t>(6)</w:t>
      </w:r>
      <w:r>
        <w:tab/>
      </w:r>
      <w:r>
        <w:rPr>
          <w:noProof/>
        </w:rPr>
        <w:t>Unija bi zato morala predložiti predlog Sekretariatu Konvencije za vključitev metoksiklora v Prilogo A h Konvenciji −</w:t>
      </w:r>
    </w:p>
    <w:p>
      <w:pPr>
        <w:pStyle w:val="Formuledadoption"/>
        <w:rPr>
          <w:noProof/>
        </w:rPr>
      </w:pPr>
      <w:r>
        <w:rPr>
          <w:noProof/>
        </w:rPr>
        <w:t xml:space="preserve">SPREJELA NASLEDNJI SKLEP: </w:t>
      </w:r>
    </w:p>
    <w:p>
      <w:pPr>
        <w:pStyle w:val="Titrearticle"/>
        <w:rPr>
          <w:noProof/>
        </w:rPr>
      </w:pPr>
      <w:r>
        <w:rPr>
          <w:noProof/>
        </w:rPr>
        <w:t>Člen 1</w:t>
      </w:r>
    </w:p>
    <w:p>
      <w:pPr>
        <w:outlineLvl w:val="0"/>
        <w:rPr>
          <w:rFonts w:eastAsia="Calibri"/>
          <w:noProof/>
          <w:szCs w:val="24"/>
        </w:rPr>
      </w:pPr>
      <w:r>
        <w:rPr>
          <w:noProof/>
        </w:rPr>
        <w:t>Unija predloži predlog za vključitev metoksiklora (št. CAS: 72-43-5, št. ES: 200-779-9) v Prilogo A k Stockholmski konvenciji o obstojnih organskih onesnaževalih (v nadaljnjem besedilu: Konvencija).</w:t>
      </w:r>
    </w:p>
    <w:p>
      <w:pPr>
        <w:outlineLvl w:val="0"/>
        <w:rPr>
          <w:rFonts w:eastAsia="Calibri"/>
          <w:noProof/>
          <w:szCs w:val="24"/>
        </w:rPr>
      </w:pPr>
      <w:r>
        <w:rPr>
          <w:noProof/>
        </w:rPr>
        <w:t>Komisija Sekretariatu Konvencije sporoči predlog v imenu Unije z vsemi zahtevanimi informacijami v skladu s Prilogo D h Konvenciji.</w:t>
      </w:r>
    </w:p>
    <w:p>
      <w:pPr>
        <w:pStyle w:val="Titrearticle"/>
        <w:rPr>
          <w:noProof/>
        </w:rPr>
      </w:pPr>
      <w:r>
        <w:rPr>
          <w:noProof/>
        </w:rPr>
        <w:t>Člen 2</w:t>
      </w:r>
    </w:p>
    <w:p>
      <w:pPr>
        <w:outlineLvl w:val="0"/>
        <w:rPr>
          <w:noProof/>
        </w:rPr>
      </w:pPr>
      <w:r>
        <w:rPr>
          <w:noProof/>
        </w:rPr>
        <w:t>Ta sklep je naslovljen na Komisijo.</w:t>
      </w:r>
    </w:p>
    <w:p>
      <w:pPr>
        <w:pStyle w:val="Fait"/>
        <w:rPr>
          <w:noProof/>
        </w:rPr>
      </w:pPr>
      <w:r>
        <w:t>V Bruslju,</w:t>
      </w:r>
    </w:p>
    <w:p>
      <w:pPr>
        <w:pStyle w:val="Institutionquisigne"/>
        <w:rPr>
          <w:noProof/>
        </w:rPr>
      </w:pPr>
      <w:r>
        <w:rPr>
          <w:noProof/>
        </w:rPr>
        <w:tab/>
        <w:t>Za Svet</w:t>
      </w:r>
    </w:p>
    <w:p>
      <w:pPr>
        <w:pStyle w:val="Personnequisigne"/>
        <w:rPr>
          <w:noProof/>
        </w:rPr>
      </w:pPr>
      <w:r>
        <w:rPr>
          <w:noProof/>
        </w:rPr>
        <w:tab/>
        <w:t>Predsednik</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SL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Sklep Sveta 2006/507/ES z dne 14. oktobra 2004 o sklenitvi, v imenu Evropske skupnosti, Stockholmske konvencije o obstojnih organskih onesnaževalih (UL L 209, 31.7.2006, str. 1).</w:t>
      </w:r>
    </w:p>
  </w:footnote>
  <w:footnote w:id="2">
    <w:p>
      <w:pPr>
        <w:pStyle w:val="FootnoteText"/>
      </w:pPr>
      <w:r>
        <w:rPr>
          <w:rStyle w:val="FootnoteReference"/>
        </w:rPr>
        <w:footnoteRef/>
      </w:r>
      <w:r>
        <w:tab/>
        <w:t>Uredba Evropskega parlamenta in Sveta (ES) št. 850/2004 z dne 29. aprila 2004 o obstojnih organskih onesnaževalih in spremembi Direktive 79/117/EGS (UL L 158, 30.4.2004, str. 7).</w:t>
      </w:r>
    </w:p>
  </w:footnote>
  <w:footnote w:id="3">
    <w:p>
      <w:pPr>
        <w:pStyle w:val="FootnoteText"/>
      </w:pPr>
      <w:r>
        <w:rPr>
          <w:rStyle w:val="FootnoteReference"/>
        </w:rPr>
        <w:footnoteRef/>
      </w:r>
      <w:r>
        <w:tab/>
        <w:t>Sklep Sveta 2004/259/ES z dne 19. februarja 2004 o sklenitvi Protokola o obstojnih organskih onesnaževalih h Konvenciji iz leta 1979 o onesnaževanju zraka na velike razdalje preko meja v imenu Evropske skupnosti (UL L 81, 19.3.2004, str. 35).</w:t>
      </w:r>
    </w:p>
  </w:footnote>
  <w:footnote w:id="4">
    <w:p>
      <w:pPr>
        <w:pStyle w:val="FootnoteText"/>
      </w:pPr>
      <w:r>
        <w:rPr>
          <w:rStyle w:val="FootnoteReference"/>
        </w:rPr>
        <w:footnoteRef/>
      </w:r>
      <w:r>
        <w:tab/>
        <w:t>Uredba (ES) št. 1107/2009 Evropskega parlamenta in Sveta z dne 21. oktobra 2009 o dajanju fitofarmacevtskih sredstev v promet in razveljavitvi direktiv Sveta 79/117/EGS in 91/414/EGS (UL L 309, 24.11.2009, str. 1).</w:t>
      </w:r>
    </w:p>
  </w:footnote>
  <w:footnote w:id="5">
    <w:p>
      <w:pPr>
        <w:pStyle w:val="FootnoteText"/>
      </w:pPr>
      <w:r>
        <w:rPr>
          <w:rStyle w:val="FootnoteReference"/>
        </w:rPr>
        <w:footnoteRef/>
      </w:r>
      <w:r>
        <w:tab/>
        <w:t>Uredba (EU) št. 528/2012 Evropskega parlamenta in Sveta z dne 22. maja 2012 o dostopnosti na trgu in uporabi biocidnih proizvodov (UL L 167, 27.6.2012, str. 1).</w:t>
      </w:r>
    </w:p>
  </w:footnote>
  <w:footnote w:id="6">
    <w:p>
      <w:pPr>
        <w:pStyle w:val="FootnoteText"/>
      </w:pPr>
      <w:r>
        <w:rPr>
          <w:rStyle w:val="FootnoteReference"/>
        </w:rPr>
        <w:footnoteRef/>
      </w:r>
      <w:r>
        <w:tab/>
        <w:t>Uredba (ES) št. 1907/2006 Evropskega parlamenta in Sveta z dne 18. decembra 2006 o registraciji, evalvaciji, avtorizaciji in omejevanju kemikalij (REACH) ter o ustanovitvi Evropske agencije za kemikalije in o spremembi Direktive 1999/45/ES ter o razveljavitvi Uredbe Sveta (EGS) št. 793/93 in Uredbe Komisije (ES) št. 1488/94 ter Direktive Sveta 76/769/EGS in direktiv Komisije 91/155/EGS, 93/67/EGS, 93/105/ES in 2000/21/ES (UL L 396, 30.12.2006, str. 1).</w:t>
      </w:r>
    </w:p>
  </w:footnote>
  <w:footnote w:id="7">
    <w:p>
      <w:pPr>
        <w:pStyle w:val="FootnoteText"/>
      </w:pPr>
      <w:r>
        <w:rPr>
          <w:rStyle w:val="FootnoteReference"/>
        </w:rPr>
        <w:footnoteRef/>
      </w:r>
      <w:r>
        <w:tab/>
      </w:r>
      <w:hyperlink r:id="rId1">
        <w:r>
          <w:rPr>
            <w:rStyle w:val="Hyperlink"/>
          </w:rPr>
          <w:t>http://ec.europa.eu/growth/sectors/chemicals/reach/special-cases_en.</w:t>
        </w:r>
      </w:hyperlink>
      <w:r>
        <w:t xml:space="preserve"> </w:t>
      </w:r>
    </w:p>
  </w:footnote>
  <w:footnote w:id="8">
    <w:p>
      <w:pPr>
        <w:pStyle w:val="FootnoteText"/>
      </w:pPr>
      <w:r>
        <w:rPr>
          <w:rStyle w:val="FootnoteReference"/>
        </w:rPr>
        <w:footnoteRef/>
      </w:r>
      <w:r>
        <w:tab/>
        <w:t>Sklep Sveta 2006/507/ES z dne 14. oktobra 2004 o sklenitvi, v imenu Evropske skupnosti, Stockholmske konvencije o obstojnih organskih onesnaževalih (UL L 209, 31.7.2006, str. 1).</w:t>
      </w:r>
    </w:p>
  </w:footnote>
  <w:footnote w:id="9">
    <w:p>
      <w:pPr>
        <w:pStyle w:val="FootnoteText"/>
      </w:pPr>
      <w:r>
        <w:rPr>
          <w:rStyle w:val="FootnoteReference"/>
        </w:rPr>
        <w:footnoteRef/>
      </w:r>
      <w:r>
        <w:tab/>
        <w:t>Uredba (ES) št. 1107/2009 Evropskega parlamenta in Sveta z dne 21. oktobra 2009 o dajanju fitofarmacevtskih sredstev v promet in razveljavitvi direktiv Sveta 79/117/EGS in 91/414/EGS (UL L 309, 24.11.2009, str. 1).</w:t>
      </w:r>
    </w:p>
  </w:footnote>
  <w:footnote w:id="10">
    <w:p>
      <w:pPr>
        <w:pStyle w:val="FootnoteText"/>
      </w:pPr>
      <w:r>
        <w:rPr>
          <w:rStyle w:val="FootnoteReference"/>
        </w:rPr>
        <w:footnoteRef/>
      </w:r>
      <w:r>
        <w:tab/>
        <w:t>Uredba (EU) št. 528/2012 Evropskega parlamenta in Sveta z dne 22. maja 2012 o dostopnosti na trgu in uporabi biocidnih proizvodov (UL L 167, 27.6.2012, str. 1).</w:t>
      </w:r>
    </w:p>
  </w:footnote>
  <w:footnote w:id="11">
    <w:p>
      <w:pPr>
        <w:pStyle w:val="FootnoteText"/>
      </w:pPr>
      <w:r>
        <w:rPr>
          <w:rStyle w:val="FootnoteReference"/>
        </w:rPr>
        <w:footnoteRef/>
      </w:r>
      <w:r>
        <w:tab/>
        <w:t>Uredba (ES) št. 1907/2006 Evropskega parlamenta in Sveta z dne 18. decembra 2006 o registraciji, evalvaciji, avtorizaciji in omejevanju kemikalij (REACH), o ustanovitvi Evropske agencije za kemikalije ter spremembi Direktive 1999/45/ES ter razveljavitvi Uredbe Sveta (EGS) št. 793/93 in Uredbe Komisije (ES) št. 1488/94 ter Direktive Sveta 76/769/EGS in direktiv Komisije 91/155/EGS, 93/67/EGS, 93/105/ES in 2000/21/ES (UL L 396, 30.12.2006,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163B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7AC4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A04C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39625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4E1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247B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A85850"/>
    <w:lvl w:ilvl="0">
      <w:start w:val="1"/>
      <w:numFmt w:val="decimal"/>
      <w:pStyle w:val="ListNumber"/>
      <w:lvlText w:val="%1."/>
      <w:lvlJc w:val="left"/>
      <w:pPr>
        <w:tabs>
          <w:tab w:val="num" w:pos="360"/>
        </w:tabs>
        <w:ind w:left="360" w:hanging="360"/>
      </w:pPr>
    </w:lvl>
  </w:abstractNum>
  <w:abstractNum w:abstractNumId="7">
    <w:nsid w:val="FFFFFF89"/>
    <w:multiLevelType w:val="singleLevel"/>
    <w:tmpl w:val="C8E6A6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8 10:21: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0800991-CC84-4C00-A227-A1E5542C9D8B"/>
    <w:docVar w:name="LW_COVERPAGE_TYPE" w:val="1"/>
    <w:docVar w:name="LW_CROSSREFERENCE" w:val="&lt;UNUSED&gt;"/>
    <w:docVar w:name="LW_DocType" w:val="COM"/>
    <w:docVar w:name="LW_EMISSION" w:val="15.2.2019"/>
    <w:docVar w:name="LW_EMISSION_ISODATE" w:val="2019-02-15"/>
    <w:docVar w:name="LW_EMISSION_LOCATION" w:val="BRX"/>
    <w:docVar w:name="LW_EMISSION_PREFIX" w:val="Bruselj,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SL"/>
    <w:docVar w:name="LW_LEVEL_OF_SENSITIVITY" w:val="Standard treatment"/>
    <w:docVar w:name="LW_NOM.INST" w:val="EVROPSKA KOMISIJA"/>
    <w:docVar w:name="LW_NOM.INST_JOINTDOC" w:val="&lt;EMPTY&gt;"/>
    <w:docVar w:name="LW_PART_NBR" w:val="1"/>
    <w:docVar w:name="LW_PART_NBR_TOTAL" w:val="1"/>
    <w:docVar w:name="LW_REF.II.NEW.CP" w:val="NLE"/>
    <w:docVar w:name="LW_REF.II.NEW.CP_NUMBER" w:val="0039"/>
    <w:docVar w:name="LW_REF.II.NEW.CP_YEAR" w:val="2019"/>
    <w:docVar w:name="LW_REF.INST.NEW" w:val="COM"/>
    <w:docVar w:name="LW_REF.INST.NEW_ADOPTED" w:val="final"/>
    <w:docVar w:name="LW_REF.INST.NEW_TEXT" w:val="(2019) 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edlog"/>
    <w:docVar w:name="LW_SUPERTITRE" w:val="&lt;UNUSED&gt;"/>
    <w:docVar w:name="LW_TITRE.OBJ.CP" w:val="o predlo\u382?itvi predloga za vklju\u269?itev metoksiklora v Prilogo A k Stockholmski konvenciji o obstojnih organskih onesna\u382?evalih v imenu Evropske unije"/>
    <w:docVar w:name="LW_TYPE.DOC.CP" w:val="SKLEP SVET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l-S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l-S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l-S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l-S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l-S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l-S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l-S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l-S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ectors/chemicals/reach/special-cas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3B4EF7-57A0-47B2-8A45-1BCC42BF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1401</Words>
  <Characters>8266</Characters>
  <Application>Microsoft Office Word</Application>
  <DocSecurity>0</DocSecurity>
  <Lines>150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2018-04-16T08:53:00Z</cp:lastPrinted>
  <dcterms:created xsi:type="dcterms:W3CDTF">2019-01-28T15:17:00Z</dcterms:created>
  <dcterms:modified xsi:type="dcterms:W3CDTF">2019-02-08T09:21:00Z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