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3FCA878-5D8C-4C10-BF66-822787984F64" style="width:450.75pt;height:361.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ΕΚΘΕΣΗ ΤΗΣ ΕΠΙΤΡΟΠΗΣ ΠΡΟΣ ΤΟ ΕΥΡΩΠΑΪΚΟ ΚΟΙΝΟΒΟΥΛΙΟ ΚΑΙ ΤΟ ΣΥΜΒΟΥΛΙΟ</w:t>
      </w:r>
    </w:p>
    <w:p>
      <w:pPr>
        <w:pStyle w:val="ListParagraph"/>
        <w:jc w:val="center"/>
        <w:rPr>
          <w:rFonts w:ascii="Times New Roman" w:hAnsi="Times New Roman" w:cs="Times New Roman"/>
          <w:b/>
          <w:noProof/>
          <w:sz w:val="24"/>
          <w:szCs w:val="24"/>
        </w:rPr>
      </w:pPr>
      <w:r>
        <w:rPr>
          <w:rFonts w:ascii="Times New Roman" w:hAnsi="Times New Roman"/>
          <w:b/>
          <w:noProof/>
          <w:sz w:val="24"/>
        </w:rPr>
        <w:t>σχετικά με την άσκηση της εξουσιοδότησης που ανατέθηκε στην Επιτροπή σύμφωνα με τον κανονισμό (ΕΕ) αριθ. 995/2010 του Ευρωπαϊκού Κοινοβουλίου και του Συμβουλίου, της 20ής Οκτωβρίου 2010, για τη θέσπιση των υποχρεώσεων των φορέων εκμετάλλευσης που διαθέτουν ξυλεία και προϊόντα ξυλείας στην αγορά (κανονισμός της ΕΕ για την ξυλεία)</w:t>
      </w:r>
    </w:p>
    <w:p>
      <w:pPr>
        <w:pStyle w:val="ListParagraph"/>
        <w:rPr>
          <w:rFonts w:ascii="Times New Roman" w:hAnsi="Times New Roman" w:cs="Times New Roman"/>
          <w:b/>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ΕΙΣΑΓΩΓΗ</w:t>
      </w:r>
    </w:p>
    <w:p>
      <w:pPr>
        <w:pStyle w:val="Default"/>
        <w:spacing w:after="200" w:line="276" w:lineRule="auto"/>
        <w:ind w:left="720"/>
        <w:contextualSpacing/>
        <w:jc w:val="both"/>
        <w:rPr>
          <w:noProof/>
        </w:rPr>
      </w:pPr>
      <w:r>
        <w:rPr>
          <w:noProof/>
        </w:rPr>
        <w:t>Ο κανονισμός (ΕΕ) αριθ. 995/2010</w:t>
      </w:r>
      <w:r>
        <w:rPr>
          <w:rStyle w:val="FootnoteReference"/>
          <w:noProof/>
        </w:rPr>
        <w:footnoteReference w:id="1"/>
      </w:r>
      <w:r>
        <w:rPr>
          <w:noProof/>
        </w:rPr>
        <w:t xml:space="preserve"> (εφεξής: «ο κανονισμός της ΕΕ για την ξυλεία» ή «ο κανονισμός») απαγορεύει τη διάθεση στην εσωτερική αγορά παράνομα υλοτομημένης ξυλείας και προϊόντων που προέρχονται από τέτοια ξυλεία. Ο κανονισμός της ΕΕ για την ξυλεία αποτελεί μέρος μιας ευρείας δέσμης μέτρων που θεσπίστηκαν με το σχέδιο δράσης FLEGT</w:t>
      </w:r>
      <w:r>
        <w:rPr>
          <w:rStyle w:val="FootnoteReference"/>
          <w:noProof/>
        </w:rPr>
        <w:footnoteReference w:id="2"/>
      </w:r>
      <w:r>
        <w:rPr>
          <w:noProof/>
        </w:rPr>
        <w:t xml:space="preserve">, το οποίο αποτελεί τη συνολική απάντηση της ΕΕ στο διαδεδομένο πρόβλημα της παράνομης υλοτομίας και των καταστρεπτικών επιπτώσεών του για τα δάση. Συμβάλλει επίσης στη μείωση των εκπομπών από την αποψίλωση και την υποβάθμιση των δασών, καθώς και στη διατήρηση του ρόλου των δασών, τη βιώσιμη διαχείρισή τους και την ενίσχυση των αποθηκευμένων στα δάση ποσοτήτων διοξειδίου του άνθρακα στις αναπτυσσόμενες χώρες. </w:t>
      </w:r>
    </w:p>
    <w:p>
      <w:pPr>
        <w:pStyle w:val="Default"/>
        <w:spacing w:after="200" w:line="276" w:lineRule="auto"/>
        <w:ind w:left="720"/>
        <w:contextualSpacing/>
        <w:jc w:val="both"/>
        <w:rPr>
          <w:noProof/>
        </w:rPr>
      </w:pPr>
    </w:p>
    <w:p>
      <w:pPr>
        <w:pStyle w:val="Default"/>
        <w:spacing w:after="200" w:line="276" w:lineRule="auto"/>
        <w:ind w:left="720"/>
        <w:contextualSpacing/>
        <w:jc w:val="both"/>
        <w:rPr>
          <w:noProof/>
        </w:rPr>
      </w:pPr>
      <w:r>
        <w:rPr>
          <w:noProof/>
        </w:rPr>
        <w:t>Ο κανονισμός της ΕΕ για την ξυλεία θέσπισε τρεις υποχρεώσεις:</w:t>
      </w:r>
    </w:p>
    <w:p>
      <w:pPr>
        <w:pStyle w:val="ListParagraph"/>
        <w:numPr>
          <w:ilvl w:val="1"/>
          <w:numId w:val="1"/>
        </w:numPr>
        <w:jc w:val="both"/>
        <w:rPr>
          <w:rFonts w:ascii="Times New Roman" w:eastAsia="Calibri" w:hAnsi="Times New Roman" w:cs="Times New Roman"/>
          <w:noProof/>
          <w:sz w:val="24"/>
          <w:szCs w:val="24"/>
        </w:rPr>
      </w:pPr>
      <w:r>
        <w:rPr>
          <w:rFonts w:ascii="Times New Roman" w:hAnsi="Times New Roman"/>
          <w:noProof/>
          <w:sz w:val="24"/>
        </w:rPr>
        <w:t>Απαγορεύει τη διάθεση στην αγορά παράνομα υλοτομημένης ξυλείας (δηλ. ξυλείας που υλοτομήθηκε κατά παράβαση της κείμενης νομοθεσίας της χώρας υλοτόμησης) ή προϊόντων που προέρχονται από τέτοια ξυλεία·</w:t>
      </w:r>
    </w:p>
    <w:p>
      <w:pPr>
        <w:pStyle w:val="ListParagraph"/>
        <w:ind w:left="1440"/>
        <w:jc w:val="both"/>
        <w:rPr>
          <w:rFonts w:ascii="Times New Roman" w:eastAsia="Calibri" w:hAnsi="Times New Roman" w:cs="Times New Roman"/>
          <w:noProof/>
          <w:sz w:val="24"/>
          <w:szCs w:val="24"/>
        </w:rPr>
      </w:pPr>
    </w:p>
    <w:p>
      <w:pPr>
        <w:pStyle w:val="ListParagraph"/>
        <w:numPr>
          <w:ilvl w:val="1"/>
          <w:numId w:val="1"/>
        </w:numPr>
        <w:jc w:val="both"/>
        <w:rPr>
          <w:rFonts w:ascii="Times New Roman" w:eastAsia="Calibri" w:hAnsi="Times New Roman" w:cs="Times New Roman"/>
          <w:noProof/>
          <w:sz w:val="24"/>
          <w:szCs w:val="24"/>
        </w:rPr>
      </w:pPr>
      <w:r>
        <w:rPr>
          <w:rFonts w:ascii="Times New Roman" w:hAnsi="Times New Roman"/>
          <w:noProof/>
          <w:sz w:val="24"/>
        </w:rPr>
        <w:t>απαιτεί από τους φορείς εκμετάλλευσης που διαθέτουν για πρώτη φορά ξυλεία και προϊόντα ξυλείας στην αγορά της ΕΕ να εφαρμόζουν δέουσα επιμέλεια, δηλαδή</w:t>
      </w:r>
      <w:r>
        <w:rPr>
          <w:rFonts w:ascii="Calibri" w:hAnsi="Calibri"/>
          <w:noProof/>
        </w:rPr>
        <w:t xml:space="preserve"> </w:t>
      </w:r>
      <w:r>
        <w:rPr>
          <w:rFonts w:ascii="Times New Roman" w:hAnsi="Times New Roman"/>
          <w:noProof/>
          <w:sz w:val="24"/>
        </w:rPr>
        <w:t>μια διαδικασία διαχείρισης κινδύνων που να διασφαλίζει ότι στην ενωσιακή αγορά διατίθεται μόνο νόμιμα υλοτομημένη ξυλεία (ξυλεία που υλοτομήθηκε σύμφωνα με την κείμενη νομοθεσία της χώρας υλοτόμησης) και προϊόντα που προέρχονται από τέτοια ξυλεία·</w:t>
      </w:r>
    </w:p>
    <w:p>
      <w:pPr>
        <w:pStyle w:val="ListParagraph"/>
        <w:rPr>
          <w:rFonts w:ascii="Times New Roman" w:eastAsia="Calibri" w:hAnsi="Times New Roman" w:cs="Times New Roman"/>
          <w:noProof/>
          <w:sz w:val="24"/>
          <w:szCs w:val="24"/>
        </w:rPr>
      </w:pPr>
    </w:p>
    <w:p>
      <w:pPr>
        <w:pStyle w:val="ListParagraph"/>
        <w:numPr>
          <w:ilvl w:val="1"/>
          <w:numId w:val="1"/>
        </w:numPr>
        <w:jc w:val="both"/>
        <w:rPr>
          <w:rFonts w:ascii="Times New Roman" w:eastAsia="Calibri" w:hAnsi="Times New Roman" w:cs="Times New Roman"/>
          <w:noProof/>
          <w:sz w:val="24"/>
          <w:szCs w:val="24"/>
        </w:rPr>
      </w:pPr>
      <w:r>
        <w:rPr>
          <w:rFonts w:ascii="Times New Roman" w:hAnsi="Times New Roman"/>
          <w:noProof/>
          <w:sz w:val="24"/>
        </w:rPr>
        <w:t>απαιτεί από τους εμπόρους ξυλείας και προϊόντων ξυλείας που διατίθενται ήδη στην αγορά της ΕΕ να τηρούν αρχεία των προμηθευτών και των πελατών τους («υποχρέωση ιχνηλασιμότητας»).</w:t>
      </w:r>
    </w:p>
    <w:p>
      <w:pPr>
        <w:pStyle w:val="Default"/>
        <w:spacing w:after="200" w:line="276" w:lineRule="auto"/>
        <w:ind w:left="720"/>
        <w:contextualSpacing/>
        <w:jc w:val="both"/>
        <w:rPr>
          <w:noProof/>
        </w:rPr>
      </w:pPr>
      <w:r>
        <w:rPr>
          <w:noProof/>
        </w:rPr>
        <w:t xml:space="preserve">Ο κανονισμός της ΕΕ για την ξυλεία καλύπτει ευρύ φάσμα προϊόντων ξυλείας που παρατίθενται στο παράρτημά του με κωδικούς της συνδυασμένης ονοματολογίας της </w:t>
      </w:r>
      <w:r>
        <w:rPr>
          <w:noProof/>
        </w:rPr>
        <w:lastRenderedPageBreak/>
        <w:t xml:space="preserve">ΕΕ. Επίσης, προβλέπει «οργανισμούς παρακολούθησης», που πρέπει να αναγνωριστούν από την Επιτροπή, με καθήκον να παρέχουν στους φορείς εκμετάλλευσης επιχειρησιακά συστήματα δέουσας επιμέλειας και να τους βοηθούν στην εκπλήρωση των υποχρεώσεών τους. </w:t>
      </w:r>
    </w:p>
    <w:p>
      <w:pPr>
        <w:pStyle w:val="ListParagraph"/>
        <w:jc w:val="both"/>
        <w:rPr>
          <w:rFonts w:ascii="Times New Roman" w:hAnsi="Times New Roman" w:cs="Times New Roman"/>
          <w:noProof/>
          <w:sz w:val="24"/>
          <w:szCs w:val="24"/>
        </w:rPr>
      </w:pPr>
      <w:r>
        <w:rPr>
          <w:rFonts w:ascii="Times New Roman" w:hAnsi="Times New Roman"/>
          <w:noProof/>
          <w:sz w:val="24"/>
        </w:rPr>
        <w:t>Ο κανονισμός της ΕΕ για την ξυλεία εκδόθηκε τον Δεκέμβριο του 2010 και άρχισε να εφαρμόζεται στις 3 Μαρτίου 2013. Κατά τη διάρκεια αυτής της περιόδου, η Επιτροπή ενέκρινε δύο μη νομοθετικές πράξεις. Η πρώτη είναι ο εκτελεστικός κανονισμός (ΕΕ) αριθ. 607/2012 της Επιτροπής, της 6ης Ιουλίου 2012, περί λεπτομερών κανόνων σχετικά με το σύστημα δέουσας επιμέλειας και με τη συχνότητα και τη φύση των ελέγχων στους οργανισμούς παρακολούθησης</w:t>
      </w:r>
      <w:r>
        <w:rPr>
          <w:rStyle w:val="FootnoteReference"/>
          <w:rFonts w:ascii="Times New Roman" w:hAnsi="Times New Roman"/>
          <w:noProof/>
          <w:sz w:val="24"/>
        </w:rPr>
        <w:footnoteReference w:id="3"/>
      </w:r>
      <w:r>
        <w:rPr>
          <w:rFonts w:ascii="Times New Roman" w:hAnsi="Times New Roman"/>
          <w:noProof/>
          <w:sz w:val="24"/>
        </w:rPr>
        <w:t>, που εκδόθηκε σύμφωνα με το άρθρο 18 παράγραφος 2 του κανονισμού της ΕΕ για την ξυλεία και τα άρθρα 5 και 7 της απόφασης 1999/468/ΕΚ για τον καθορισμό των όρων άσκησης των εκτελεστικών αρμοδιοτήτων που ανατίθενται στην Επιτροπή. Η δεύτερη είναι ο κατ’ εξουσιοδότηση κανονισμός (ΕΕ) αριθ. 363/2012 της Επιτροπής, της 23ης Φεβρουαρίου 2012, σχετικά με τους διαδικαστικούς κανόνες για την αναγνώριση και την ανάκληση της αναγνώρισης των οργανισμών παρακολούθησης που προβλέπονται στον κανονισμό (ΕΕ) αριθ. 995/2010</w:t>
      </w:r>
      <w:r>
        <w:rPr>
          <w:rStyle w:val="FootnoteReference"/>
          <w:rFonts w:ascii="Times New Roman" w:hAnsi="Times New Roman"/>
          <w:noProof/>
          <w:sz w:val="24"/>
        </w:rPr>
        <w:footnoteReference w:id="4"/>
      </w:r>
      <w:r>
        <w:rPr>
          <w:rFonts w:ascii="Times New Roman" w:hAnsi="Times New Roman"/>
          <w:noProof/>
          <w:sz w:val="24"/>
        </w:rPr>
        <w:t xml:space="preserve">, που εκδόθηκε σύμφωνα με το άρθρο 8 παράγραφος 7 του κανονισμού της ΕΕ για την ξυλεία. </w:t>
      </w:r>
    </w:p>
    <w:p>
      <w:pPr>
        <w:pStyle w:val="ListParagraph"/>
        <w:jc w:val="both"/>
        <w:rPr>
          <w:rFonts w:ascii="Times New Roman" w:hAnsi="Times New Roman" w:cs="Times New Roman"/>
          <w:bCs/>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ΝΟΜΙΚΗ ΒΑΣΗ</w:t>
      </w:r>
    </w:p>
    <w:p>
      <w:pPr>
        <w:pStyle w:val="Default"/>
        <w:spacing w:after="200" w:line="276" w:lineRule="auto"/>
        <w:ind w:left="720"/>
        <w:contextualSpacing/>
        <w:jc w:val="both"/>
        <w:rPr>
          <w:noProof/>
          <w:color w:val="auto"/>
        </w:rPr>
      </w:pPr>
      <w:r>
        <w:rPr>
          <w:noProof/>
          <w:color w:val="auto"/>
        </w:rPr>
        <w:t xml:space="preserve">Σύμφωνα με το άρθρο 6 παράγραφος 3 του κανονισμού της ΕΕ για την ξυλεία, «η Επιτροπή μπορεί να εγκρίνει κατ’ εξουσιοδότηση πράξεις […] όσον αφορά περαιτέρω συναφή κριτήρια αξιολόγησης των κινδύνων που ενδέχεται να είναι απαραίτητα για τη συμπλήρωση εκείνων που προβλέπονται» στον κανονισμό της ΕΕ για την ξυλεία. Το άρθρο 8 παράγραφος 7 του κανονισμού της ΕΕ για την ξυλεία προβλέπει τη δυνατότητα έκδοσης κατ’ εξουσιοδότηση πράξεων προς συμπλήρωση των διαδικαστικών κανόνων όσον αφορά την αναγνώριση και την ανάκληση της αναγνώρισης των οργανισμών παρακολούθησης, αν αυτό απαιτείται βάσει της αποκτηθείσας πείρας. Σύμφωνα με το άρθρο 14 του κανονισμού της ΕΕ για την ξυλεία, η Επιτροπή «μπορεί να εγκρίνει κατ’ εξουσιοδότηση πράξεις […] για την τροποποίηση και τη συμπλήρωση του καταλόγου της ξυλείας και των προϊόντων ξυλείας του παραρτήματος» του κανονισμού της ΕΕ για την ξυλεία. </w:t>
      </w:r>
    </w:p>
    <w:p>
      <w:pPr>
        <w:pStyle w:val="Default"/>
        <w:spacing w:after="200" w:line="276" w:lineRule="auto"/>
        <w:ind w:left="720"/>
        <w:contextualSpacing/>
        <w:jc w:val="both"/>
        <w:rPr>
          <w:noProof/>
          <w:color w:val="auto"/>
        </w:rPr>
      </w:pPr>
    </w:p>
    <w:p>
      <w:pPr>
        <w:pStyle w:val="Default"/>
        <w:spacing w:after="200" w:line="276" w:lineRule="auto"/>
        <w:ind w:left="720"/>
        <w:contextualSpacing/>
        <w:jc w:val="both"/>
        <w:rPr>
          <w:noProof/>
          <w:color w:val="auto"/>
        </w:rPr>
      </w:pPr>
      <w:r>
        <w:rPr>
          <w:noProof/>
          <w:color w:val="auto"/>
        </w:rPr>
        <w:t>Το άρθρο 15 παράγραφος 1 του κανονισμού της ΕΕ για την ξυλεία ορίζει ότι «η εξουσία να εκδίδει τις κατ’ εξουσιοδότηση πράξεις που αναφέρονται στο άρθρο 6 παράγραφος 3, στο άρθρο 8 παράγραφος 7 και στο άρθρο 14 ανατίθεται στην Επιτροπή για χρονικό διάστημα επτά ετών από τις 2 Δεκεμβρίου 2010».  Προβλέπει επίσης ότι «Η εξουσιοδότηση παρατείνεται αυτομάτως για περιόδους της αυτής διάρκειας», δηλαδή επτά ετών, «εκτός εάν το Ευρωπαϊκό Κοινοβούλιο ή το Συμβούλιο την ανακαλέσουν σύμφωνα με το άρθρο 16» του κανονισμού της ΕΕ για την ξυλεία. Κατ’ αυτόν τον τρόπο η εξουσιοδότηση παρατάθηκε αυτόματα την τελευταία φορά από τις 2 Δεκεμβρίου 2017 έως την 1η Δεκεμβρίου 2024.</w:t>
      </w:r>
    </w:p>
    <w:p>
      <w:pPr>
        <w:pStyle w:val="Default"/>
        <w:spacing w:after="200" w:line="276" w:lineRule="auto"/>
        <w:ind w:left="720"/>
        <w:contextualSpacing/>
        <w:jc w:val="both"/>
        <w:rPr>
          <w:noProof/>
          <w:color w:val="auto"/>
        </w:rPr>
      </w:pPr>
    </w:p>
    <w:p>
      <w:pPr>
        <w:pStyle w:val="Default"/>
        <w:spacing w:after="200" w:line="276" w:lineRule="auto"/>
        <w:ind w:left="720"/>
        <w:contextualSpacing/>
        <w:jc w:val="both"/>
        <w:rPr>
          <w:noProof/>
          <w:color w:val="auto"/>
        </w:rPr>
      </w:pPr>
      <w:r>
        <w:rPr>
          <w:noProof/>
          <w:color w:val="auto"/>
        </w:rPr>
        <w:t>Επιπλέον, το άρθρο 15 παράγραφος 1 του κανονισμού της ΕΕ για την ξυλεία απαιτεί από την Επιτροπή να υποβάλει έκθεση σχετικά με τις κατ’ εξουσιοδότηση αρμοδιότητες το αργότερο τρεις μήνες πριν από την παρέλευση τριετίας από την ημερομηνία έναρξης της εφαρμογής του κανονισμού της ΕΕ για την ξυλεία, ο οποίος άρχισε να εφαρμόζεται στις 3 Μαρτίου 2013. Η Επιτροπή εκπλήρωσε την υποχρέωση αυτή στις 18 Φεβρουαρίου 2016</w:t>
      </w:r>
      <w:r>
        <w:rPr>
          <w:rStyle w:val="FootnoteReference"/>
          <w:noProof/>
          <w:color w:val="auto"/>
        </w:rPr>
        <w:footnoteReference w:id="5"/>
      </w:r>
      <w:r>
        <w:rPr>
          <w:noProof/>
          <w:color w:val="auto"/>
        </w:rPr>
        <w:t>.</w:t>
      </w:r>
    </w:p>
    <w:p>
      <w:pPr>
        <w:pStyle w:val="Default"/>
        <w:spacing w:after="200" w:line="276" w:lineRule="auto"/>
        <w:ind w:left="720"/>
        <w:contextualSpacing/>
        <w:jc w:val="both"/>
        <w:rPr>
          <w:noProof/>
          <w:color w:val="auto"/>
        </w:rPr>
      </w:pPr>
    </w:p>
    <w:p>
      <w:pPr>
        <w:pStyle w:val="Default"/>
        <w:ind w:left="720"/>
        <w:contextualSpacing/>
        <w:jc w:val="both"/>
        <w:rPr>
          <w:noProof/>
          <w:color w:val="auto"/>
        </w:rPr>
      </w:pPr>
      <w:r>
        <w:rPr>
          <w:noProof/>
          <w:color w:val="auto"/>
        </w:rPr>
        <w:t>Το άρθρο 15 παράγραφος 1 αναφέρεται μόνο στην πρώτη προθεσμία υποβολής, δηλαδή τρεις μήνες πριν από τη λήξη της τριετούς περιόδου μετά την ημερομηνία έναρξης της εφαρμογής (ήτοι τον Δεκέμβριο του 2015), ενώ η ανά τριετία υποβολή εκθέσεων δεν συμβαδίζει με την επταετή περίοδο παράτασης. Ωστόσο, από την πρακτική υποβολής εκθέσεων σχετικά με τις κατ’ εξουσιοδότηση αρμοδιότητες</w:t>
      </w:r>
      <w:r>
        <w:rPr>
          <w:rStyle w:val="FootnoteReference"/>
          <w:noProof/>
          <w:color w:val="auto"/>
        </w:rPr>
        <w:footnoteReference w:id="6"/>
      </w:r>
      <w:r>
        <w:rPr>
          <w:noProof/>
          <w:color w:val="auto"/>
        </w:rPr>
        <w:t xml:space="preserve">, καθώς και από την επιλογή της μη χρησιμοποίησης οριστικού άρθρου («της») όσον αφορά την τριετή περίοδο («τριετία»), είναι δυνατόν να συναχθεί ότι η Επιτροπή αναμένεται να υποβάλει έκθεση σχετικά με την άσκηση των κατ’ εξουσιοδότηση αρμοδιοτήτων κάθε τρία έτη στη συνέχεια. </w:t>
      </w:r>
    </w:p>
    <w:p>
      <w:pPr>
        <w:pStyle w:val="Default"/>
        <w:ind w:left="720"/>
        <w:contextualSpacing/>
        <w:jc w:val="both"/>
        <w:rPr>
          <w:noProof/>
        </w:rPr>
      </w:pPr>
    </w:p>
    <w:p>
      <w:pPr>
        <w:pStyle w:val="Default"/>
        <w:spacing w:after="200" w:line="276" w:lineRule="auto"/>
        <w:ind w:left="720"/>
        <w:contextualSpacing/>
        <w:jc w:val="both"/>
        <w:rPr>
          <w:noProof/>
        </w:rPr>
      </w:pPr>
      <w:r>
        <w:rPr>
          <w:noProof/>
          <w:color w:val="auto"/>
        </w:rPr>
        <w:t>Ως εκ τούτου, υπό το πνεύμα αυτό</w:t>
      </w:r>
      <w:r>
        <w:rPr>
          <w:noProof/>
        </w:rPr>
        <w:t>, η Επιτροπή υποβάλλει την παρούσα δεύτερη έκθεση σχετικά με την ανάθεση εξουσιών.</w:t>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ΑΣΚΗΣΗ ΤΗΣ ΕΞΟΥΣΙΟΔΟΤΗΣΗΣ</w:t>
      </w:r>
    </w:p>
    <w:p>
      <w:pPr>
        <w:pStyle w:val="Default"/>
        <w:spacing w:after="200" w:line="276" w:lineRule="auto"/>
        <w:ind w:left="720"/>
        <w:contextualSpacing/>
        <w:jc w:val="both"/>
        <w:rPr>
          <w:rFonts w:eastAsia="Times New Roman"/>
          <w:noProof/>
          <w:color w:val="auto"/>
        </w:rPr>
      </w:pPr>
      <w:r>
        <w:rPr>
          <w:noProof/>
        </w:rPr>
        <w:t xml:space="preserve">Κατά τη δεύτερη περίοδο μετά την ημερομηνία έναρξης εφαρμογής του κανονισμού της ΕΕ για την ξυλεία, μέχρι την ημερομηνία έκδοσης της παρούσας έκθεσης, η Επιτροπή δεν έκανε χρήση των εξουσιών που της έχουν ανατεθεί. Το 2017 η Επιτροπή </w:t>
      </w:r>
      <w:r>
        <w:rPr>
          <w:noProof/>
          <w:color w:val="auto"/>
        </w:rPr>
        <w:t>δρομολόγησε μελέτη εκτίμησης επιπτώσεων</w:t>
      </w:r>
      <w:r>
        <w:rPr>
          <w:noProof/>
        </w:rPr>
        <w:t xml:space="preserve">. Επρόκειτο για </w:t>
      </w:r>
      <w:r>
        <w:rPr>
          <w:noProof/>
          <w:color w:val="auto"/>
        </w:rPr>
        <w:t>τη συνέχεια που δόθηκε στην πρώτη επανεξέταση</w:t>
      </w:r>
      <w:r>
        <w:rPr>
          <w:noProof/>
        </w:rPr>
        <w:t xml:space="preserve"> του κανονισμού της ΕΕ για την ξυλεία</w:t>
      </w:r>
      <w:r>
        <w:rPr>
          <w:rStyle w:val="FootnoteReference"/>
          <w:noProof/>
        </w:rPr>
        <w:footnoteReference w:id="7"/>
      </w:r>
      <w:r>
        <w:rPr>
          <w:noProof/>
        </w:rPr>
        <w:t xml:space="preserve">, ένα από </w:t>
      </w:r>
      <w:r>
        <w:rPr>
          <w:noProof/>
          <w:color w:val="auto"/>
        </w:rPr>
        <w:t>τα συμπεράσματα της οποίας ήταν ότι το σημερινό πεδίο εφαρμογής του κανονισμού της ΕΕ για την ξυλεία δεν είναι το βέλτιστο, λόγω της ελλιπούς κάλυψης των σχετικών προϊόντων</w:t>
      </w:r>
      <w:r>
        <w:rPr>
          <w:noProof/>
        </w:rPr>
        <w:t>.</w:t>
      </w:r>
      <w:r>
        <w:rPr>
          <w:noProof/>
          <w:color w:val="auto"/>
        </w:rPr>
        <w:t xml:space="preserve"> Στόχος της μελέτης ήταν να αναλυθεί η επάρκεια του ισχύοντος πεδίου κάλυψης των σχετικών προϊόντων από τον κανονισμό της ΕΕ για την ξυλεία, υπό το πρίσμα του σκοπού που επιδιώκει ο κανονισμός —δηλαδή της καταπολέμησης της παράνομης υλοτομίας και του σχετικού εμπορίου—, και να εκτιμηθούν οι όποιες σημαντικές οικονομικές, περιβαλλοντικές και κοινωνικές επιπτώσεις των επιλογών για την αναθεώρηση του πεδίου των καλυπτόμενων προϊόντων. Η μελέτη αυτή περιλάμβανε επίσης και δημόσια διαβούλευση, η οποία πραγματοποιήθηκε από τις 29 Ιανουαρίου έως τις 24 Απριλίου 2018</w:t>
      </w:r>
      <w:r>
        <w:rPr>
          <w:rStyle w:val="FootnoteReference"/>
          <w:noProof/>
          <w:color w:val="auto"/>
        </w:rPr>
        <w:footnoteReference w:id="8"/>
      </w:r>
      <w:r>
        <w:rPr>
          <w:noProof/>
          <w:color w:val="auto"/>
        </w:rPr>
        <w:t>. Η Επιτροπή θα δώσει συνέχεια στη μελέτη εκτίμησης επιπτώσεων σε εύθετο χρόνο.</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Κανονισμός (ΕΕ) αριθ. 995/2010 του Ευρωπαϊκού Κοινοβουλίου και του Συμβουλίου, της 20ής Οκτωβρίου 2010, για τη θέσπιση των υποχρεώσεων των φορέων εκμετάλλευσης που διαθέτουν ξυλεία και προϊόντα ξυλείας στην αγορά (Κείμενο που παρουσιάζει ενδιαφέρον για τον ΕΟΧ) (ΕΕ L 295 της 12.11.2010, σ. 23).</w:t>
      </w:r>
    </w:p>
  </w:footnote>
  <w:footnote w:id="2">
    <w:p>
      <w:pPr>
        <w:pStyle w:val="FootnoteText"/>
        <w:jc w:val="both"/>
      </w:pPr>
      <w:r>
        <w:rPr>
          <w:rStyle w:val="FootnoteReference"/>
        </w:rPr>
        <w:footnoteRef/>
      </w:r>
      <w:r>
        <w:t xml:space="preserve"> </w:t>
      </w:r>
      <w:r>
        <w:rPr>
          <w:rFonts w:ascii="Times New Roman" w:hAnsi="Times New Roman"/>
          <w:color w:val="444444"/>
          <w:sz w:val="18"/>
        </w:rPr>
        <w:t>Ανακοίνωση της Επιτροπής προς το Συμβούλιο και το Ευρωπαϊκό Κοινοβούλιο — Η επιβολή της δασικής νομοθεσίας, η διακυβέρνηση και το εμπόριο (FLEGT) — Πρόταση για σχέδιο δράσης της ΕΕ, COM/2003/0251 τελικό.</w:t>
      </w:r>
    </w:p>
  </w:footnote>
  <w:footnote w:id="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Εκτελεστικός κανονισμός (ΕΕ) αριθ. 607/2012 της Επιτροπής (ΕΕ L 177 της 7.7.2012, σ. 16-18).</w:t>
      </w:r>
    </w:p>
  </w:footnote>
  <w:footnote w:id="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Κατ’ εξουσιοδότηση κανονισμός (ΕΕ) αριθ. 363/2012 της Επιτροπής (ΕΕ L 115 της 27.4.2012, σ. 12-16).</w:t>
      </w:r>
    </w:p>
  </w:footnote>
  <w:footnote w:id="5">
    <w:p>
      <w:pPr>
        <w:pStyle w:val="FootnoteText"/>
      </w:pPr>
      <w:r>
        <w:rPr>
          <w:rStyle w:val="FootnoteReference"/>
          <w:rFonts w:ascii="Times New Roman" w:hAnsi="Times New Roman"/>
          <w:sz w:val="18"/>
        </w:rPr>
        <w:footnoteRef/>
      </w:r>
      <w:r>
        <w:rPr>
          <w:rFonts w:ascii="Times New Roman" w:hAnsi="Times New Roman"/>
          <w:sz w:val="18"/>
        </w:rPr>
        <w:t xml:space="preserve"> </w:t>
      </w:r>
      <w:hyperlink r:id="rId1">
        <w:r>
          <w:rPr>
            <w:rStyle w:val="Hyperlink"/>
            <w:rFonts w:ascii="Times New Roman" w:hAnsi="Times New Roman"/>
            <w:sz w:val="18"/>
          </w:rPr>
          <w:t>https://eur-lex.europa.eu/legal-content/EN/TXT/?uri=CELEX:52016DC0060</w:t>
        </w:r>
      </w:hyperlink>
      <w:r>
        <w:rPr>
          <w:rFonts w:ascii="Times New Roman" w:hAnsi="Times New Roman"/>
          <w:sz w:val="18"/>
        </w:rPr>
        <w:t xml:space="preserve"> </w:t>
      </w:r>
    </w:p>
  </w:footnote>
  <w:footnote w:id="6">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Στις ρυθμίσεις που ακολουθούν τις συμφωνημένες τυποποιημένες ρήτρες, και συγκεκριμένα στο σημείο 17 της κοινής αντίληψης που προσαρτάται στη διοργανική συμφωνία μεταξύ του Ευρωπαϊκού Κοινοβουλίου, του Συμβουλίου της Ευρωπαϊκής Ένωσης και της Ευρωπαϊκής Επιτροπής για τη βελτίωση του νομοθετικού έργου, της 13ης Απριλίου 2016 (ΕΕ L 123 της 12.5.2016, σ. 1), ορίζεται ότι η Επιτροπή υποβάλλει έκθεση σχετικά με την εξουσία που της έχει ανατεθεί το αργότερο εννέα μήνες πριν από τη λήξη «κάθε» χρονικής περιόδου.</w:t>
      </w:r>
    </w:p>
  </w:footnote>
  <w:footnote w:id="7">
    <w:p>
      <w:pPr>
        <w:pStyle w:val="FootnoteText"/>
        <w:jc w:val="both"/>
        <w:rPr>
          <w:sz w:val="18"/>
          <w:szCs w:val="18"/>
        </w:rPr>
      </w:pPr>
      <w:r>
        <w:rPr>
          <w:rStyle w:val="FootnoteReference"/>
          <w:rFonts w:ascii="Times New Roman" w:hAnsi="Times New Roman"/>
          <w:sz w:val="18"/>
        </w:rPr>
        <w:footnoteRef/>
      </w:r>
      <w:r>
        <w:rPr>
          <w:rFonts w:ascii="Times New Roman" w:hAnsi="Times New Roman"/>
          <w:sz w:val="18"/>
        </w:rPr>
        <w:t xml:space="preserve"> Έκθεση της Επιτροπής προς το Ευρωπαϊκό Κοινοβούλιο και το Συμβούλιο σχετικά με τον κανονισμό (ΕΕ) αριθ. 995/2010 του Ευρωπαϊκού Κοινοβουλίου και του Συμβουλίου, της 20ής Οκτωβρίου 2010, για τη θέσπιση των υποχρεώσεων των φορέων εκμετάλλευσης που διαθέτουν ξυλεία και προϊόντα ξυλείας στην αγορά, </w:t>
      </w:r>
      <w:r>
        <w:rPr>
          <w:rFonts w:ascii="Times New Roman" w:hAnsi="Times New Roman" w:cs="Times New Roman"/>
          <w:sz w:val="18"/>
          <w:szCs w:val="18"/>
        </w:rPr>
        <w:t>COM/2016/74 final.</w:t>
      </w:r>
    </w:p>
  </w:footnote>
  <w:footnote w:id="8">
    <w:p>
      <w:pPr>
        <w:pStyle w:val="FootnoteText"/>
      </w:pPr>
      <w:r>
        <w:rPr>
          <w:rStyle w:val="FootnoteReference"/>
        </w:rPr>
        <w:footnoteRef/>
      </w:r>
      <w:r>
        <w:t xml:space="preserve"> </w:t>
      </w:r>
      <w:r>
        <w:rPr>
          <w:rFonts w:ascii="Times New Roman" w:hAnsi="Times New Roman"/>
          <w:sz w:val="18"/>
        </w:rPr>
        <w:t>Τα αποτελέσματα της δημόσιας διαβούλευσης είναι διαθέσιμα στην ηλεκτρονική διεύθυνση: https://ec.europa.eu/info/consultations/public-consultation-product-scope-eu-timber-regulation_en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16557"/>
    <w:multiLevelType w:val="hybridMultilevel"/>
    <w:tmpl w:val="B44C79B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3FCA878-5D8C-4C10-BF66-822787984F64"/>
    <w:docVar w:name="LW_COVERPAGE_TYPE" w:val="1"/>
    <w:docVar w:name="LW_CROSSREFERENCE" w:val="&lt;UNUSED&gt;"/>
    <w:docVar w:name="LW_DocType" w:val="NORMAL"/>
    <w:docVar w:name="LW_EMISSION" w:val="18.2.2019"/>
    <w:docVar w:name="LW_EMISSION_ISODATE" w:val="2019-02-18"/>
    <w:docVar w:name="LW_EMISSION_LOCATION" w:val="BRX"/>
    <w:docVar w:name="LW_EMISSION_PREFIX" w:val="Βρυξέλλες, "/>
    <w:docVar w:name="LW_EMISSION_SUFFIX" w:val=" "/>
    <w:docVar w:name="LW_ID_DOCTYPE_NONLW" w:val="CP-006"/>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9)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963?\u967?\u949?\u964?\u953?\u954?\u940? \u956?\u949? \u964?\u951?\u957? \u940?\u963?\u954?\u951?\u963?\u951? \u964?\u951?\u962? \u949?\u958?\u959?\u965?\u963?\u953?\u959?\u948?\u972?\u964?\u951?\u963?\u951?\u962? \u960?\u959?\u965? \u945?\u957?\u945?\u964?\u941?\u952?\u951?\u954?\u949? \u963?\u964?\u951?\u957? \u917?\u960?\u953?\u964?\u961?\u959?\u960?\u942? \u963?\u973?\u956?\u966?\u969?\u957?\u945? \u956?\u949? \u964?\u959?\u957? \u954?\u945?\u957?\u959?\u957?\u953?\u963?\u956?\u972? (\u917?\u917?) \u945?\u961?\u953?\u952?. 995/2010 \u964?\u959?\u965? \u917?\u965?\u961?\u969?\u960?\u945?\u970?\u954?\u959?\u973? \u922?\u959?\u953?\u957?\u959?\u946?\u959?\u965?\u955?\u943?\u959?\u965? \u954?\u945?\u953? \u964?\u959?\u965? \u931?\u965?\u956?\u946?\u959?\u965?\u955?\u943?\u959?\u965?, \u964?\u951?\u962? 20\u942?\u962? \u927?\u954?\u964?\u969?\u946?\u961?\u943?\u959?\u965? 2010, \u947?\u953?\u945? \u964?\u951? \u952?\u941?\u963?\u960?\u953?\u963?\u951? \u964?\u969?\u957? \u965?\u960?\u959?\u967?\u961?\u949?\u974?\u963?\u949?\u969?\u957? \u964?\u969?\u957? \u966?\u959?\u961?\u941?\u969?\u957? \u949?\u954?\u956?\u949?\u964?\u940?\u955?\u955?\u949?\u965?\u963?\u951?\u962? \u960?\u959?\u965? \u948?\u953?\u945?\u952?\u941?\u964?\u959?\u965?\u957? \u958?\u965?\u955?\u949?\u943?\u945? \u954?\u945?\u953? \u960?\u961?\u959?\u970?\u972?\u957?\u964?\u945? \u958?\u965?\u955?\u949?\u943?\u945?\u962? \u963?\u964?\u951?\u957? \u945?\u947?\u959?\u961?\u940? (\u954?\u945?\u957?\u959?\u957?\u953?\u963?\u956?\u972?\u962? \u964?\u951?\u962? \u917?\u917? \u947?\u953?\u945? \u964?\u951?\u957? \u958?\u965?\u955?\u949?\u943?\u945?)&lt;/FMT&gt;"/>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0662">
      <w:bodyDiv w:val="1"/>
      <w:marLeft w:val="0"/>
      <w:marRight w:val="0"/>
      <w:marTop w:val="0"/>
      <w:marBottom w:val="0"/>
      <w:divBdr>
        <w:top w:val="none" w:sz="0" w:space="0" w:color="auto"/>
        <w:left w:val="none" w:sz="0" w:space="0" w:color="auto"/>
        <w:bottom w:val="none" w:sz="0" w:space="0" w:color="auto"/>
        <w:right w:val="none" w:sz="0" w:space="0" w:color="auto"/>
      </w:divBdr>
    </w:div>
    <w:div w:id="1112552352">
      <w:bodyDiv w:val="1"/>
      <w:marLeft w:val="0"/>
      <w:marRight w:val="0"/>
      <w:marTop w:val="0"/>
      <w:marBottom w:val="0"/>
      <w:divBdr>
        <w:top w:val="none" w:sz="0" w:space="0" w:color="auto"/>
        <w:left w:val="none" w:sz="0" w:space="0" w:color="auto"/>
        <w:bottom w:val="none" w:sz="0" w:space="0" w:color="auto"/>
        <w:right w:val="none" w:sz="0" w:space="0" w:color="auto"/>
      </w:divBdr>
    </w:div>
    <w:div w:id="1134132177">
      <w:bodyDiv w:val="1"/>
      <w:marLeft w:val="0"/>
      <w:marRight w:val="0"/>
      <w:marTop w:val="0"/>
      <w:marBottom w:val="0"/>
      <w:divBdr>
        <w:top w:val="none" w:sz="0" w:space="0" w:color="auto"/>
        <w:left w:val="none" w:sz="0" w:space="0" w:color="auto"/>
        <w:bottom w:val="none" w:sz="0" w:space="0" w:color="auto"/>
        <w:right w:val="none" w:sz="0" w:space="0" w:color="auto"/>
      </w:divBdr>
      <w:divsChild>
        <w:div w:id="729231795">
          <w:marLeft w:val="0"/>
          <w:marRight w:val="0"/>
          <w:marTop w:val="0"/>
          <w:marBottom w:val="0"/>
          <w:divBdr>
            <w:top w:val="none" w:sz="0" w:space="0" w:color="auto"/>
            <w:left w:val="none" w:sz="0" w:space="0" w:color="auto"/>
            <w:bottom w:val="none" w:sz="0" w:space="0" w:color="auto"/>
            <w:right w:val="none" w:sz="0" w:space="0" w:color="auto"/>
          </w:divBdr>
          <w:divsChild>
            <w:div w:id="377315876">
              <w:marLeft w:val="0"/>
              <w:marRight w:val="0"/>
              <w:marTop w:val="0"/>
              <w:marBottom w:val="0"/>
              <w:divBdr>
                <w:top w:val="none" w:sz="0" w:space="0" w:color="auto"/>
                <w:left w:val="none" w:sz="0" w:space="0" w:color="auto"/>
                <w:bottom w:val="none" w:sz="0" w:space="0" w:color="auto"/>
                <w:right w:val="none" w:sz="0" w:space="0" w:color="auto"/>
              </w:divBdr>
              <w:divsChild>
                <w:div w:id="1226337271">
                  <w:marLeft w:val="0"/>
                  <w:marRight w:val="0"/>
                  <w:marTop w:val="0"/>
                  <w:marBottom w:val="0"/>
                  <w:divBdr>
                    <w:top w:val="none" w:sz="0" w:space="0" w:color="auto"/>
                    <w:left w:val="none" w:sz="0" w:space="0" w:color="auto"/>
                    <w:bottom w:val="none" w:sz="0" w:space="0" w:color="auto"/>
                    <w:right w:val="none" w:sz="0" w:space="0" w:color="auto"/>
                  </w:divBdr>
                  <w:divsChild>
                    <w:div w:id="1502157547">
                      <w:marLeft w:val="1"/>
                      <w:marRight w:val="1"/>
                      <w:marTop w:val="0"/>
                      <w:marBottom w:val="0"/>
                      <w:divBdr>
                        <w:top w:val="none" w:sz="0" w:space="0" w:color="auto"/>
                        <w:left w:val="none" w:sz="0" w:space="0" w:color="auto"/>
                        <w:bottom w:val="none" w:sz="0" w:space="0" w:color="auto"/>
                        <w:right w:val="none" w:sz="0" w:space="0" w:color="auto"/>
                      </w:divBdr>
                      <w:divsChild>
                        <w:div w:id="786507227">
                          <w:marLeft w:val="0"/>
                          <w:marRight w:val="0"/>
                          <w:marTop w:val="0"/>
                          <w:marBottom w:val="0"/>
                          <w:divBdr>
                            <w:top w:val="none" w:sz="0" w:space="0" w:color="auto"/>
                            <w:left w:val="none" w:sz="0" w:space="0" w:color="auto"/>
                            <w:bottom w:val="none" w:sz="0" w:space="0" w:color="auto"/>
                            <w:right w:val="none" w:sz="0" w:space="0" w:color="auto"/>
                          </w:divBdr>
                          <w:divsChild>
                            <w:div w:id="755322526">
                              <w:marLeft w:val="0"/>
                              <w:marRight w:val="0"/>
                              <w:marTop w:val="0"/>
                              <w:marBottom w:val="360"/>
                              <w:divBdr>
                                <w:top w:val="none" w:sz="0" w:space="0" w:color="auto"/>
                                <w:left w:val="none" w:sz="0" w:space="0" w:color="auto"/>
                                <w:bottom w:val="none" w:sz="0" w:space="0" w:color="auto"/>
                                <w:right w:val="none" w:sz="0" w:space="0" w:color="auto"/>
                              </w:divBdr>
                              <w:divsChild>
                                <w:div w:id="255752448">
                                  <w:marLeft w:val="0"/>
                                  <w:marRight w:val="0"/>
                                  <w:marTop w:val="0"/>
                                  <w:marBottom w:val="0"/>
                                  <w:divBdr>
                                    <w:top w:val="none" w:sz="0" w:space="0" w:color="auto"/>
                                    <w:left w:val="none" w:sz="0" w:space="0" w:color="auto"/>
                                    <w:bottom w:val="none" w:sz="0" w:space="0" w:color="auto"/>
                                    <w:right w:val="none" w:sz="0" w:space="0" w:color="auto"/>
                                  </w:divBdr>
                                  <w:divsChild>
                                    <w:div w:id="1997759792">
                                      <w:marLeft w:val="0"/>
                                      <w:marRight w:val="0"/>
                                      <w:marTop w:val="0"/>
                                      <w:marBottom w:val="0"/>
                                      <w:divBdr>
                                        <w:top w:val="none" w:sz="0" w:space="0" w:color="auto"/>
                                        <w:left w:val="none" w:sz="0" w:space="0" w:color="auto"/>
                                        <w:bottom w:val="none" w:sz="0" w:space="0" w:color="auto"/>
                                        <w:right w:val="none" w:sz="0" w:space="0" w:color="auto"/>
                                      </w:divBdr>
                                      <w:divsChild>
                                        <w:div w:id="1272085453">
                                          <w:marLeft w:val="0"/>
                                          <w:marRight w:val="0"/>
                                          <w:marTop w:val="0"/>
                                          <w:marBottom w:val="0"/>
                                          <w:divBdr>
                                            <w:top w:val="none" w:sz="0" w:space="0" w:color="auto"/>
                                            <w:left w:val="none" w:sz="0" w:space="0" w:color="auto"/>
                                            <w:bottom w:val="none" w:sz="0" w:space="0" w:color="auto"/>
                                            <w:right w:val="none" w:sz="0" w:space="0" w:color="auto"/>
                                          </w:divBdr>
                                        </w:div>
                                        <w:div w:id="419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16DC0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920ABE-706B-4177-B02C-7772C28B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1142</Words>
  <Characters>6294</Characters>
  <Application>Microsoft Office Word</Application>
  <DocSecurity>0</DocSecurity>
  <Lines>121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cp:lastPrinted>2018-10-24T07:05:00Z</cp:lastPrinted>
  <dcterms:created xsi:type="dcterms:W3CDTF">2019-01-17T13:42:00Z</dcterms:created>
  <dcterms:modified xsi:type="dcterms:W3CDTF">2019-02-18T09:10:00Z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