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DE"/>
        </w:rPr>
      </w:pPr>
      <w:bookmarkStart w:id="0" w:name="LW_BM_COVERPAGE"/>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FDC4286-C8DA-4D89-A848-5CD2086CDB30" style="width:450pt;height:307.5pt">
            <v:imagedata r:id="rId8" o:title=""/>
          </v:shape>
        </w:pict>
      </w:r>
    </w:p>
    <w:bookmarkEnd w:id="0"/>
    <w:p>
      <w:pPr>
        <w:rPr>
          <w:noProof/>
          <w:lang w:val="de-D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sz w:val="28"/>
          <w:szCs w:val="28"/>
          <w:lang w:val="de-DE"/>
        </w:rPr>
      </w:pPr>
      <w:bookmarkStart w:id="1" w:name="_GoBack"/>
      <w:bookmarkEnd w:id="1"/>
      <w:r>
        <w:rPr>
          <w:noProof/>
          <w:sz w:val="28"/>
          <w:lang w:val="de-DE"/>
        </w:rPr>
        <w:lastRenderedPageBreak/>
        <w:t>Einleitung und wichtigste Ergebnisse</w:t>
      </w:r>
    </w:p>
    <w:p>
      <w:pPr>
        <w:keepNext/>
        <w:jc w:val="both"/>
        <w:outlineLvl w:val="1"/>
        <w:rPr>
          <w:rFonts w:ascii="Times New Roman" w:eastAsia="Times New Roman" w:hAnsi="Times New Roman" w:cs="Times New Roman"/>
          <w:noProof/>
          <w:sz w:val="24"/>
          <w:szCs w:val="24"/>
          <w:lang w:val="de-DE"/>
        </w:rPr>
      </w:pPr>
      <w:r>
        <w:rPr>
          <w:rFonts w:ascii="Times New Roman" w:hAnsi="Times New Roman"/>
          <w:b/>
          <w:noProof/>
          <w:sz w:val="24"/>
          <w:lang w:val="de-DE"/>
        </w:rPr>
        <w:t>Strategien zur Steigerung von Produktivität und Wettbewerbsfähigkeit haben für die Mitgliedstaaten, aber auch für die Union und insbesondere für den Euro-Raum Priorität.</w:t>
      </w:r>
      <w:r>
        <w:rPr>
          <w:rFonts w:ascii="Times New Roman" w:hAnsi="Times New Roman"/>
          <w:noProof/>
          <w:sz w:val="24"/>
          <w:lang w:val="de-DE"/>
        </w:rPr>
        <w:t xml:space="preserve"> Das Produktivitätswachstum ist seit einigen Jahrzehnten rückläufig und hat sich durch die Wirtschafts- und Finanzkrise weiter verschlechtert. Darüber hinaus trugen schon vor der Krise die uneinheitlichen Entwicklungen bei Wettbewerbsfähigkeit und Produktivität im Euro-Raum dazu bei, dass sich makroökonomische Ungleichgewichte anhäuften, was langwierige und teure Korrekturen nach sich zog. Da die nationale Produktivität eine zentrale Triebfeder für Wohlstand und Einkommenszuwächse ist, wirken sich diese Entwicklungen beträchtlich auf das wirtschaftliche Wohl und die Einkommensverteilung sowie auf das reibungslose Funktionieren der Wirtschafts- und Währungsunion aus. </w:t>
      </w:r>
    </w:p>
    <w:p>
      <w:pPr>
        <w:keepNext/>
        <w:jc w:val="both"/>
        <w:outlineLvl w:val="1"/>
        <w:rPr>
          <w:rFonts w:ascii="Times New Roman" w:eastAsia="Times New Roman" w:hAnsi="Times New Roman" w:cs="Times New Roman"/>
          <w:noProof/>
          <w:sz w:val="24"/>
          <w:szCs w:val="24"/>
          <w:lang w:val="de-DE"/>
        </w:rPr>
      </w:pPr>
      <w:r>
        <w:rPr>
          <w:rFonts w:ascii="Times New Roman" w:hAnsi="Times New Roman"/>
          <w:b/>
          <w:noProof/>
          <w:sz w:val="24"/>
          <w:lang w:val="de-DE"/>
        </w:rPr>
        <w:t>Es sind einige Fortschritte zu verzeichnen, dennoch muss mehr getan werden, um die wirtschaftliche Widerstandsfähigkeit des Euro-Raums zu erhöhen und die Union für langfristige Herausforderungen wie alternde Gesellschaften, die Globalisierung und den technologischen Wandel zu rüsten</w:t>
      </w:r>
      <w:r>
        <w:rPr>
          <w:rFonts w:ascii="Times New Roman" w:hAnsi="Times New Roman"/>
          <w:noProof/>
          <w:sz w:val="24"/>
          <w:lang w:val="de-DE"/>
        </w:rPr>
        <w:t>. Politisches Handeln ist sowohl auf Ebene der Mitgliedstaaten als auch auf Unionsebene gefragt. Die Förderung der Produktivität hat im Jahreswachstumsbericht</w:t>
      </w:r>
      <w:r>
        <w:rPr>
          <w:rFonts w:ascii="Times New Roman" w:hAnsi="Times New Roman"/>
          <w:noProof/>
          <w:sz w:val="24"/>
          <w:vertAlign w:val="superscript"/>
          <w:lang w:val="de-DE"/>
        </w:rPr>
        <w:footnoteReference w:id="1"/>
      </w:r>
      <w:r>
        <w:rPr>
          <w:rFonts w:ascii="Times New Roman" w:hAnsi="Times New Roman"/>
          <w:noProof/>
          <w:sz w:val="24"/>
          <w:lang w:val="de-DE"/>
        </w:rPr>
        <w:t xml:space="preserve"> und den Empfehlungen für das Euro-Währungsgebiet einen zentralen Stellenwert. Das Europäische Semester hat die Unterstützung für die Umsetzung von Strukturreformen verstärkt. Zudem arbeitet die Union daran, Investitionen anzukurbeln, das regulatorische Umfeld zu verbessern und den Binnenmarkt, den digitalen Binnenmarkt, die Kapitalmarktunion, die Bankenunion und die Energieunion zu vollenden. Die Reformfortschritte in den Mitgliedstaaten waren jedoch zu holprig und insgesamt zu schleppend.</w:t>
      </w:r>
    </w:p>
    <w:p>
      <w:pPr>
        <w:keepNext/>
        <w:jc w:val="both"/>
        <w:outlineLvl w:val="1"/>
        <w:rPr>
          <w:rFonts w:ascii="Times New Roman" w:eastAsia="Times New Roman" w:hAnsi="Times New Roman" w:cs="Times New Roman"/>
          <w:b/>
          <w:noProof/>
          <w:sz w:val="24"/>
          <w:szCs w:val="24"/>
          <w:lang w:val="de-DE"/>
        </w:rPr>
      </w:pPr>
      <w:r>
        <w:rPr>
          <w:rFonts w:ascii="Times New Roman" w:hAnsi="Times New Roman"/>
          <w:b/>
          <w:noProof/>
          <w:sz w:val="24"/>
          <w:lang w:val="de-DE"/>
        </w:rPr>
        <w:t>Strategien für mehr Produktivität zu gestalten und umzusetzen, stellt eine Herausforderung dar – und für den Erfolg ist eine starke nationale Eigenverantwortung erforderlich.</w:t>
      </w:r>
      <w:r>
        <w:rPr>
          <w:rFonts w:ascii="Times New Roman" w:hAnsi="Times New Roman"/>
          <w:noProof/>
          <w:sz w:val="24"/>
          <w:lang w:val="de-DE"/>
        </w:rPr>
        <w:t xml:space="preserve"> Solche Strategien sollten auf stichhaltigen Befunden basieren und die komplexen Triebfedern der Produktivität – die in gewissem Maße für jeden Mitgliedstaat spezifisch sind – umfassend in den Blick nehmen. Deshalb empfahl der Bericht der fünf Präsidenten zur Vollendung der Wirtschafts- und Währungsunion</w:t>
      </w:r>
      <w:r>
        <w:rPr>
          <w:rFonts w:ascii="Times New Roman" w:hAnsi="Times New Roman"/>
          <w:noProof/>
          <w:sz w:val="24"/>
          <w:vertAlign w:val="superscript"/>
          <w:lang w:val="de-DE"/>
        </w:rPr>
        <w:footnoteReference w:id="2"/>
      </w:r>
      <w:r>
        <w:rPr>
          <w:rFonts w:ascii="Times New Roman" w:hAnsi="Times New Roman"/>
          <w:noProof/>
          <w:sz w:val="24"/>
          <w:lang w:val="de-DE"/>
        </w:rPr>
        <w:t xml:space="preserve"> jedem Mitgliedstaat des Euro-Währungsgebiets die Schaffung einer Einrichtung, die dafür zuständig ist, die Wettbewerbsfähigkeit der Wirtschaft im Auge zu behalten und entsprechende strategische Empfehlungen in diesem Bereich zu geben. Sinn und Zweck dieser Einrichtungen ist es, durch eine solide analytische Basis und Beiträge zur öffentlichen Diskussion die Umsetzung von Strukturreformen zu fördern und zu unterstützen. Die Regierungen der Mitgliedstaaten können die Befunde dieser Einrichtungen nutzen, um für die erforderlichen Reformen die Unterstützung von Politik und Öffentlichkeit zu gewinnen.</w:t>
      </w:r>
    </w:p>
    <w:p>
      <w:pPr>
        <w:jc w:val="both"/>
        <w:rPr>
          <w:rFonts w:ascii="Times New Roman" w:eastAsia="Times New Roman" w:hAnsi="Times New Roman" w:cs="Times New Roman"/>
          <w:noProof/>
          <w:sz w:val="24"/>
          <w:szCs w:val="24"/>
          <w:lang w:val="de-DE"/>
        </w:rPr>
      </w:pPr>
      <w:r>
        <w:rPr>
          <w:rFonts w:ascii="Times New Roman" w:hAnsi="Times New Roman"/>
          <w:b/>
          <w:noProof/>
          <w:sz w:val="24"/>
          <w:lang w:val="de-DE"/>
        </w:rPr>
        <w:lastRenderedPageBreak/>
        <w:t>Der Rat hat im September 2016 auf der Grundlage eines Kommissionsvorschlags eine Empfehlung angenommen, mit der die Mitgliedstaaten des Euro-Raums ersucht wurden, bis März 2018 nationale Ausschüsse für Produktivität einzurichten.</w:t>
      </w:r>
      <w:r>
        <w:rPr>
          <w:rFonts w:ascii="Times New Roman" w:hAnsi="Times New Roman"/>
          <w:b/>
          <w:noProof/>
          <w:sz w:val="24"/>
          <w:vertAlign w:val="superscript"/>
          <w:lang w:val="de-DE"/>
        </w:rPr>
        <w:footnoteReference w:id="3"/>
      </w:r>
      <w:r>
        <w:rPr>
          <w:rFonts w:ascii="Times New Roman" w:hAnsi="Times New Roman"/>
          <w:noProof/>
          <w:sz w:val="24"/>
          <w:lang w:val="de-DE"/>
        </w:rPr>
        <w:t xml:space="preserve"> Die Empfehlung ist an die Euro-Mitgliedstaaten gerichtet, doch auch die nicht dem Euro-Währungsgebiet angehörenden Mitgliedstaaten werden ermutigt, ähnliche Gremien zu benennen oder einzurichten. Die Ausschüsse für Produktivität sind als Einrichtungen gedacht, die bei der Analyse und im Inhalt objektiv, neutral und unabhängig sein sollen, die Herausforderungen im Bereich Produktivität untersuchen und einen Beitrag zu faktengestützter Politikgestaltung leisten. Auf der Grundlage gemeinsamer Merkmale und Aufgaben solcher Ausschüsse kann jeder Mitgliedstaat über das genaue Profil seines Ausschusses für Produktivität entscheiden. </w:t>
      </w:r>
    </w:p>
    <w:p>
      <w:pPr>
        <w:jc w:val="both"/>
        <w:rPr>
          <w:rFonts w:ascii="Times New Roman" w:eastAsia="Times New Roman" w:hAnsi="Times New Roman" w:cs="Times New Roman"/>
          <w:noProof/>
          <w:sz w:val="24"/>
          <w:szCs w:val="24"/>
          <w:lang w:val="de-DE"/>
        </w:rPr>
      </w:pPr>
      <w:r>
        <w:rPr>
          <w:rFonts w:ascii="Times New Roman" w:hAnsi="Times New Roman"/>
          <w:b/>
          <w:noProof/>
          <w:sz w:val="24"/>
          <w:lang w:val="de-DE"/>
        </w:rPr>
        <w:t>In der Empfehlung des Rates wird zudem die Kommission ersucht, bis zum 20. März 2019 einen Fortschrittsbericht über die Umsetzung und Angemessenheit der Empfehlung auszuarbeiten</w:t>
      </w:r>
      <w:r>
        <w:rPr>
          <w:rFonts w:ascii="Times New Roman" w:hAnsi="Times New Roman"/>
          <w:noProof/>
          <w:sz w:val="24"/>
          <w:lang w:val="de-DE"/>
        </w:rPr>
        <w:t>. Dieses Mandat ist mit dem vorliegenden Bericht erfüllt. Der Bericht basiert auf der Beantwortung eines Fragebogens, den Kommissionsmitarbeiter im Dezember 2018 den eingesetzten Ausschüssen für Produktivität und den Mitgliedern des Ausschusses für Wirtschaftspolitik zugesandt hatten. Er gibt einen Überblick über die Entwicklung von Produktivität und Wettbewerbsfähigkeit in der Union und im Euro-Raum, beschreibt den Sachstand bei der Einrichtung der Ausschüsse für Produktivität bis Ende 2018 und erläutert kurz die Zusammenarbeit dieser Ausschüsse und die Rolle der Kommission. Die wichtigsten Ergebnisse dieses Berichts sind:</w:t>
      </w:r>
    </w:p>
    <w:p>
      <w:pPr>
        <w:keepNext/>
        <w:numPr>
          <w:ilvl w:val="0"/>
          <w:numId w:val="5"/>
        </w:numPr>
        <w:spacing w:after="0"/>
        <w:jc w:val="both"/>
        <w:outlineLvl w:val="1"/>
        <w:rPr>
          <w:rFonts w:ascii="Times New Roman" w:eastAsia="Times New Roman" w:hAnsi="Times New Roman" w:cs="Times New Roman"/>
          <w:noProof/>
          <w:sz w:val="24"/>
          <w:szCs w:val="24"/>
          <w:lang w:val="de-DE"/>
        </w:rPr>
      </w:pPr>
      <w:r>
        <w:rPr>
          <w:rFonts w:ascii="Times New Roman" w:hAnsi="Times New Roman"/>
          <w:b/>
          <w:noProof/>
          <w:sz w:val="24"/>
          <w:lang w:val="de-DE"/>
        </w:rPr>
        <w:t>In der Mehrzahl der Mitgliedstaaten, die dem Euro-Währungsgebiet angehören, wurden bereits nationale Ausschüsse für Produktivität eingerichtet, und die Zahl der Ausschüsse nimmt stetig zu.</w:t>
      </w:r>
      <w:r>
        <w:rPr>
          <w:rFonts w:ascii="Times New Roman" w:hAnsi="Times New Roman"/>
          <w:noProof/>
          <w:sz w:val="24"/>
          <w:lang w:val="de-DE"/>
        </w:rPr>
        <w:t xml:space="preserve"> 10 Mitgliedstaaten des Euro-Raums haben bisher ihren eigenen Ausschuss für Produktivität eingerichtet (Belgien, Finnland, Frankreich, Irland, Litauen, Luxemburg, die Niederlande, Portugal, Slowenien und Zypern). Die verbleibenden Euro-Mitgliedstaaten haben ihre Absicht bekräftigt, ebenfalls Ausschüsse für Produktivität einzurichten, und einige von ihnen sind dabei schon in einem fortgeschrittenen Stadium angelangt (Griechenland, Malta und die Slowakei). Darüber hinaus haben drei Mitgliedstaaten, die nicht dem Euro-Währungsgebiet angehören, ähnliche Institutionen benannt oder eingerichtet (Dänemark, Rumänien und Ungarn). </w:t>
      </w:r>
    </w:p>
    <w:p>
      <w:pPr>
        <w:numPr>
          <w:ilvl w:val="0"/>
          <w:numId w:val="5"/>
        </w:numPr>
        <w:spacing w:after="0"/>
        <w:contextualSpacing/>
        <w:jc w:val="both"/>
        <w:rPr>
          <w:rFonts w:ascii="Times New Roman" w:eastAsia="Times New Roman" w:hAnsi="Times New Roman" w:cs="Times New Roman"/>
          <w:noProof/>
          <w:sz w:val="24"/>
          <w:szCs w:val="24"/>
          <w:lang w:val="de-DE"/>
        </w:rPr>
      </w:pPr>
      <w:r>
        <w:rPr>
          <w:rFonts w:ascii="Times New Roman" w:hAnsi="Times New Roman"/>
          <w:b/>
          <w:noProof/>
          <w:sz w:val="24"/>
          <w:lang w:val="de-DE"/>
        </w:rPr>
        <w:t xml:space="preserve">Die Mitgliedstaaten haben sich für unterschiedliche Strukturen entschieden, was im Wesentlichen den länderspezifischen Umständen zuzuschreiben ist. </w:t>
      </w:r>
      <w:r>
        <w:rPr>
          <w:rFonts w:ascii="Times New Roman" w:hAnsi="Times New Roman"/>
          <w:noProof/>
          <w:sz w:val="24"/>
          <w:lang w:val="de-DE"/>
        </w:rPr>
        <w:t xml:space="preserve">Die Gestaltung der eingesetzten Ausschüsse für Produktivität scheint weitgehend den Anforderungen der Ratsempfehlung zu entsprechen. In einigen Fällen sind jedoch manche der Anforderungen nicht explizit in die nationale Gesetzgebung eingeflossen – zum Beispiel, was Bestimmungen zur Gewährleistung der funktionellen Eigenständigkeit und den angemessenen Zugang zu Informationen betrifft. Einige Ausschüsse für Produktivität haben zudem ein zeitlich befristetes Mandat. Ob sich </w:t>
      </w:r>
      <w:r>
        <w:rPr>
          <w:rFonts w:ascii="Times New Roman" w:hAnsi="Times New Roman"/>
          <w:noProof/>
          <w:sz w:val="24"/>
          <w:lang w:val="de-DE"/>
        </w:rPr>
        <w:lastRenderedPageBreak/>
        <w:t>diese Faktoren auf die Leistungsfähigkeit der jeweiligen Ausschüsse auswirken, bleibt jedoch abzuwarten, da die meisten von ihnen noch relativ neu sind und es einige Zeit dauern wird, bis eine erste Bilanz gezogen werden kann.</w:t>
      </w:r>
    </w:p>
    <w:p>
      <w:pPr>
        <w:numPr>
          <w:ilvl w:val="0"/>
          <w:numId w:val="5"/>
        </w:numPr>
        <w:spacing w:after="0"/>
        <w:contextualSpacing/>
        <w:jc w:val="both"/>
        <w:rPr>
          <w:rFonts w:ascii="Times New Roman" w:eastAsia="Times New Roman" w:hAnsi="Times New Roman" w:cs="Times New Roman"/>
          <w:b/>
          <w:noProof/>
          <w:sz w:val="24"/>
          <w:szCs w:val="24"/>
          <w:lang w:val="de-DE"/>
        </w:rPr>
      </w:pPr>
      <w:r>
        <w:rPr>
          <w:rFonts w:ascii="Times New Roman" w:hAnsi="Times New Roman"/>
          <w:b/>
          <w:noProof/>
          <w:sz w:val="24"/>
          <w:lang w:val="de-DE"/>
        </w:rPr>
        <w:t>Es ist eine ermutigende Beobachtung, dass einige Ausschüsse für Produktivität in ihrem Land aktiv zur Diskussion über produktivitätsbezogene Herausforderungen beitragen.</w:t>
      </w:r>
      <w:r>
        <w:rPr>
          <w:rFonts w:ascii="Times New Roman" w:hAnsi="Times New Roman"/>
          <w:noProof/>
          <w:sz w:val="24"/>
          <w:lang w:val="de-DE"/>
        </w:rPr>
        <w:t xml:space="preserve"> In der Regel waren die Ausschüsse für Produktivität, die auf bereits bestehenden Institutionen aufbauen konnten, in diesem Bereich am erfolgreichsten. Einige Ausschüsse haben bereits ihre Jahresberichte veröffentlicht. Sie sind zudem aktiv an der Produktivitätsdebatte beteiligt, unter anderem durch Organisation von Veranstaltungen, Konferenzen und Workshops sowie Veröffentlichung von Berichten.</w:t>
      </w:r>
    </w:p>
    <w:p>
      <w:pPr>
        <w:numPr>
          <w:ilvl w:val="0"/>
          <w:numId w:val="5"/>
        </w:numPr>
        <w:contextualSpacing/>
        <w:jc w:val="both"/>
        <w:rPr>
          <w:rFonts w:ascii="Times New Roman" w:eastAsia="Times New Roman" w:hAnsi="Times New Roman" w:cs="Times New Roman"/>
          <w:noProof/>
          <w:sz w:val="24"/>
          <w:szCs w:val="24"/>
          <w:lang w:val="de-DE"/>
        </w:rPr>
      </w:pPr>
      <w:r>
        <w:rPr>
          <w:rFonts w:ascii="Times New Roman" w:hAnsi="Times New Roman"/>
          <w:b/>
          <w:noProof/>
          <w:sz w:val="24"/>
          <w:lang w:val="de-DE"/>
        </w:rPr>
        <w:t>Die Europäische Kommission hat ein Netz für die Ausschüsse für Produktivität an den Start gebracht, um den Austausch von Meinungen, Verfahren und Erfahrungen zu fördern und sie dabei zu unterstützen, der größeren Dimension von Euro-Raum und Union stärker Rechnung zu tragen.</w:t>
      </w:r>
      <w:r>
        <w:rPr>
          <w:rFonts w:ascii="Times New Roman" w:hAnsi="Times New Roman"/>
          <w:noProof/>
          <w:sz w:val="24"/>
          <w:lang w:val="de-DE"/>
        </w:rPr>
        <w:t xml:space="preserve"> Die Kommission betrachtet die Ausschüsse als wichtige Gesprächspartner und Mittler, um die nationale Eigenverantwortlichkeit beim Thema Reformen voranzubringen. Die Kommission wird – auch im Zuge der Besuche im Rahmen des Europäischen Semesters in den Mitgliedstaaten – einen regelmäßigen Meinungsaustausch mit allen teilnehmenden Ausschüssen für Produktivität führen.</w:t>
      </w:r>
    </w:p>
    <w:p>
      <w:pPr>
        <w:pStyle w:val="Heading1"/>
        <w:rPr>
          <w:noProof/>
          <w:sz w:val="28"/>
          <w:szCs w:val="28"/>
          <w:lang w:val="de-DE"/>
        </w:rPr>
      </w:pPr>
      <w:r>
        <w:rPr>
          <w:noProof/>
          <w:sz w:val="28"/>
          <w:lang w:val="de-DE"/>
        </w:rPr>
        <w:t>Produktivität und Wettbewerbsfähigkeit in der Union und im Euro-Raum</w:t>
      </w:r>
    </w:p>
    <w:p>
      <w:pPr>
        <w:jc w:val="both"/>
        <w:rPr>
          <w:rFonts w:ascii="Times New Roman" w:hAnsi="Times New Roman"/>
          <w:noProof/>
          <w:sz w:val="24"/>
          <w:lang w:val="de-DE"/>
        </w:rPr>
      </w:pPr>
      <w:r>
        <w:rPr>
          <w:rFonts w:ascii="Times New Roman" w:hAnsi="Times New Roman"/>
          <w:b/>
          <w:noProof/>
          <w:sz w:val="24"/>
          <w:lang w:val="de-DE"/>
        </w:rPr>
        <w:t>Das Wachstum der Arbeitsproduktivität in der Union und anderen entwickelten Volkwirtschaften schrumpfte bereits lange vor der Krise.</w:t>
      </w:r>
      <w:r>
        <w:rPr>
          <w:rFonts w:ascii="Times New Roman" w:hAnsi="Times New Roman"/>
          <w:noProof/>
          <w:sz w:val="24"/>
          <w:lang w:val="de-DE"/>
        </w:rPr>
        <w:t xml:space="preserve"> Auch wenn die meisten fortgeschrittenen Volkswirtschaften unter der Krise gelitten haben, nahm das Produktivitätsgefälle zwischen der Union und den USA im Verlauf der vergangenen beiden Jahrzehnte zu (Abbildung 1). Trotz der jüngsten Erholung sind das Wachstum von Arbeitsproduktivität und totaler Faktorproduktivität (TFP) in der Union und in der Euro-Zone verhalten und bewegen sich noch immer unterhalb ihres Vorkrisenniveaus (Abbildung 2). Darüber hinaus kaschieren die Verbesserungen der jüngsten Zeit beträchtliche Unterschiede zwischen den Mitgliedstaaten.</w:t>
      </w:r>
      <w:r>
        <w:rPr>
          <w:rFonts w:ascii="Times New Roman" w:hAnsi="Times New Roman"/>
          <w:noProof/>
          <w:sz w:val="24"/>
          <w:vertAlign w:val="superscript"/>
          <w:lang w:val="de-DE"/>
        </w:rPr>
        <w:footnoteReference w:id="4"/>
      </w:r>
      <w:r>
        <w:rPr>
          <w:rFonts w:ascii="Times New Roman" w:hAnsi="Times New Roman"/>
          <w:noProof/>
          <w:sz w:val="24"/>
          <w:lang w:val="de-DE"/>
        </w:rPr>
        <w:t xml:space="preserve"> Die europaweiten Unterschiede beim Wachstum der Arbeitsproduktivität hängen u. a. mit Faktoren dem Aufholprozess in einigen Mitgliedstaaten zusammen; Länder mit einer anfänglich niedrigeren Arbeitsproduktivität konnten im Schnitt seit 1995 ein stärkeres Produktivitätswachstum verzeichnen (Abbildung 3).</w:t>
      </w:r>
    </w:p>
    <w:p>
      <w:pPr>
        <w:jc w:val="both"/>
        <w:rPr>
          <w:rFonts w:ascii="Times New Roman" w:hAnsi="Times New Roman"/>
          <w:noProof/>
          <w:sz w:val="24"/>
          <w:lang w:val="de-DE"/>
        </w:rPr>
      </w:pPr>
    </w:p>
    <w:p>
      <w:pPr>
        <w:jc w:val="both"/>
        <w:rPr>
          <w:rFonts w:ascii="Times New Roman" w:hAnsi="Times New Roman"/>
          <w:noProof/>
          <w:sz w:val="24"/>
          <w:lang w:val="de-DE"/>
        </w:rPr>
      </w:pPr>
    </w:p>
    <w:p>
      <w:pPr>
        <w:jc w:val="both"/>
        <w:rPr>
          <w:rFonts w:ascii="Times New Roman" w:hAnsi="Times New Roman"/>
          <w:noProof/>
          <w:sz w:val="24"/>
          <w:lang w:val="de-DE"/>
        </w:rPr>
      </w:pPr>
    </w:p>
    <w:p>
      <w:pPr>
        <w:jc w:val="both"/>
        <w:rPr>
          <w:rFonts w:ascii="Times New Roman" w:hAnsi="Times New Roman"/>
          <w:noProof/>
          <w:sz w:val="24"/>
          <w:lang w:val="de-DE"/>
        </w:rPr>
      </w:pPr>
    </w:p>
    <w:tbl>
      <w:tblPr>
        <w:tblStyle w:val="TableGrid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37"/>
        <w:gridCol w:w="4623"/>
        <w:gridCol w:w="292"/>
      </w:tblGrid>
      <w:tr>
        <w:trPr>
          <w:gridAfter w:val="1"/>
          <w:wAfter w:w="292" w:type="dxa"/>
        </w:trPr>
        <w:tc>
          <w:tcPr>
            <w:tcW w:w="4686" w:type="dxa"/>
            <w:hideMark/>
          </w:tcPr>
          <w:p>
            <w:pPr>
              <w:rPr>
                <w:rFonts w:ascii="Century Gothic" w:hAnsi="Century Gothic"/>
                <w:b/>
                <w:noProof/>
                <w:color w:val="1F497D" w:themeColor="text2"/>
                <w:sz w:val="18"/>
                <w:lang w:val="de-DE"/>
              </w:rPr>
            </w:pPr>
            <w:r>
              <w:rPr>
                <w:rFonts w:ascii="Century Gothic" w:hAnsi="Century Gothic"/>
                <w:b/>
                <w:noProof/>
                <w:color w:val="1F497D" w:themeColor="text2"/>
                <w:sz w:val="18"/>
                <w:lang w:val="de-DE"/>
              </w:rPr>
              <w:t>Abbildung 1: Arbeitsproduktivität im Euro-Raum und in der EU-28 im Vergleich zu den USA und Japan</w:t>
            </w:r>
          </w:p>
        </w:tc>
        <w:tc>
          <w:tcPr>
            <w:tcW w:w="4660" w:type="dxa"/>
            <w:gridSpan w:val="2"/>
            <w:hideMark/>
          </w:tcPr>
          <w:p>
            <w:pPr>
              <w:rPr>
                <w:rFonts w:ascii="Century Gothic" w:hAnsi="Century Gothic"/>
                <w:b/>
                <w:noProof/>
                <w:color w:val="1F497D" w:themeColor="text2"/>
                <w:sz w:val="18"/>
                <w:lang w:val="de-DE"/>
              </w:rPr>
            </w:pPr>
            <w:r>
              <w:rPr>
                <w:rFonts w:ascii="Century Gothic" w:hAnsi="Century Gothic"/>
                <w:b/>
                <w:noProof/>
                <w:color w:val="1F497D" w:themeColor="text2"/>
                <w:sz w:val="18"/>
                <w:lang w:val="de-DE"/>
              </w:rPr>
              <w:t>Abbildung 2: Wachstum von Arbeits-</w:t>
            </w:r>
          </w:p>
          <w:p>
            <w:pPr>
              <w:rPr>
                <w:rFonts w:ascii="Times New Roman" w:hAnsi="Times New Roman"/>
                <w:noProof/>
                <w:lang w:val="de-DE"/>
              </w:rPr>
            </w:pPr>
            <w:r>
              <w:rPr>
                <w:rFonts w:ascii="Century Gothic" w:hAnsi="Century Gothic"/>
                <w:b/>
                <w:noProof/>
                <w:color w:val="1F497D" w:themeColor="text2"/>
                <w:sz w:val="18"/>
                <w:lang w:val="de-DE"/>
              </w:rPr>
              <w:t>produktivität und totaler Faktorproduktivität</w:t>
            </w:r>
          </w:p>
        </w:tc>
      </w:tr>
      <w:tr>
        <w:trPr>
          <w:trHeight w:val="2835"/>
        </w:trPr>
        <w:tc>
          <w:tcPr>
            <w:tcW w:w="4723" w:type="dxa"/>
            <w:gridSpan w:val="2"/>
            <w:vAlign w:val="center"/>
            <w:hideMark/>
          </w:tcPr>
          <w:p>
            <w:pPr>
              <w:jc w:val="center"/>
              <w:rPr>
                <w:rFonts w:ascii="Century Gothic" w:hAnsi="Century Gothic"/>
                <w:b/>
                <w:noProof/>
                <w:color w:val="1F497D" w:themeColor="text2"/>
                <w:sz w:val="18"/>
                <w:szCs w:val="18"/>
                <w:lang w:val="de-DE"/>
              </w:rPr>
            </w:pPr>
            <w:r>
              <w:rPr>
                <w:noProof/>
                <w:lang w:eastAsia="en-GB"/>
              </w:rPr>
              <w:drawing>
                <wp:inline distT="0" distB="0" distL="0" distR="0">
                  <wp:extent cx="2803585" cy="195904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04761" cy="1959870"/>
                          </a:xfrm>
                          <a:prstGeom prst="rect">
                            <a:avLst/>
                          </a:prstGeom>
                        </pic:spPr>
                      </pic:pic>
                    </a:graphicData>
                  </a:graphic>
                </wp:inline>
              </w:drawing>
            </w:r>
          </w:p>
        </w:tc>
        <w:tc>
          <w:tcPr>
            <w:tcW w:w="4915" w:type="dxa"/>
            <w:gridSpan w:val="2"/>
            <w:vAlign w:val="center"/>
            <w:hideMark/>
          </w:tcPr>
          <w:p>
            <w:pPr>
              <w:jc w:val="center"/>
              <w:rPr>
                <w:rFonts w:ascii="Century Gothic" w:hAnsi="Century Gothic"/>
                <w:b/>
                <w:noProof/>
                <w:color w:val="1F497D" w:themeColor="text2"/>
                <w:sz w:val="18"/>
                <w:szCs w:val="18"/>
                <w:lang w:val="de-DE"/>
              </w:rPr>
            </w:pPr>
            <w:r>
              <w:rPr>
                <w:noProof/>
                <w:lang w:eastAsia="en-GB"/>
              </w:rPr>
              <w:drawing>
                <wp:inline distT="0" distB="0" distL="0" distR="0">
                  <wp:extent cx="2725947" cy="189174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27311" cy="1892689"/>
                          </a:xfrm>
                          <a:prstGeom prst="rect">
                            <a:avLst/>
                          </a:prstGeom>
                        </pic:spPr>
                      </pic:pic>
                    </a:graphicData>
                  </a:graphic>
                </wp:inline>
              </w:drawing>
            </w:r>
          </w:p>
        </w:tc>
      </w:tr>
    </w:tbl>
    <w:p>
      <w:pPr>
        <w:jc w:val="both"/>
        <w:rPr>
          <w:rFonts w:ascii="Times New Roman" w:hAnsi="Times New Roman"/>
          <w:noProof/>
          <w:sz w:val="24"/>
          <w:lang w:val="de-DE"/>
        </w:rPr>
      </w:pPr>
    </w:p>
    <w:tbl>
      <w:tblPr>
        <w:tblStyle w:val="TableGrid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6"/>
      </w:tblGrid>
      <w:tr>
        <w:tc>
          <w:tcPr>
            <w:tcW w:w="4832" w:type="dxa"/>
            <w:hideMark/>
          </w:tcPr>
          <w:p>
            <w:pPr>
              <w:spacing w:before="120"/>
              <w:rPr>
                <w:rFonts w:ascii="Century Gothic" w:hAnsi="Century Gothic"/>
                <w:b/>
                <w:noProof/>
                <w:color w:val="1F497D" w:themeColor="text2"/>
                <w:sz w:val="18"/>
                <w:szCs w:val="18"/>
                <w:lang w:val="de-DE"/>
              </w:rPr>
            </w:pPr>
            <w:r>
              <w:rPr>
                <w:rFonts w:ascii="Century Gothic" w:hAnsi="Century Gothic"/>
                <w:b/>
                <w:noProof/>
                <w:color w:val="1F497D" w:themeColor="text2"/>
                <w:sz w:val="18"/>
                <w:lang w:val="de-DE"/>
              </w:rPr>
              <w:t>Abbildung 3: Arbeitsproduktivität im Jahr 1995 (horizontale Achse) und durchschnittlicher Produktivitätszuwachs 1995-2017 (vertikale Achse)</w:t>
            </w:r>
          </w:p>
        </w:tc>
        <w:tc>
          <w:tcPr>
            <w:tcW w:w="4806" w:type="dxa"/>
            <w:hideMark/>
          </w:tcPr>
          <w:p>
            <w:pPr>
              <w:spacing w:before="120"/>
              <w:rPr>
                <w:rFonts w:ascii="Century Gothic" w:hAnsi="Century Gothic"/>
                <w:b/>
                <w:noProof/>
                <w:color w:val="1F497D" w:themeColor="text2"/>
                <w:sz w:val="18"/>
                <w:szCs w:val="18"/>
                <w:lang w:val="de-DE"/>
              </w:rPr>
            </w:pPr>
            <w:r>
              <w:rPr>
                <w:rFonts w:ascii="Century Gothic" w:hAnsi="Century Gothic"/>
                <w:b/>
                <w:noProof/>
                <w:color w:val="1F497D" w:themeColor="text2"/>
                <w:sz w:val="18"/>
                <w:lang w:val="de-DE"/>
              </w:rPr>
              <w:t>Abbildung 4: Beiträge zum Wachstum der Arbeitsproduktivität</w:t>
            </w:r>
          </w:p>
        </w:tc>
      </w:tr>
    </w:tbl>
    <w:p>
      <w:pPr>
        <w:jc w:val="both"/>
        <w:rPr>
          <w:rFonts w:ascii="Times New Roman" w:hAnsi="Times New Roman"/>
          <w:noProof/>
          <w:sz w:val="24"/>
          <w:lang w:val="de-DE"/>
        </w:rPr>
      </w:pPr>
      <w:r>
        <w:rPr>
          <w:noProof/>
          <w:lang w:eastAsia="en-GB"/>
        </w:rPr>
        <w:drawing>
          <wp:inline distT="0" distB="0" distL="0" distR="0">
            <wp:extent cx="2732112" cy="1949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31771" cy="1949326"/>
                    </a:xfrm>
                    <a:prstGeom prst="rect">
                      <a:avLst/>
                    </a:prstGeom>
                  </pic:spPr>
                </pic:pic>
              </a:graphicData>
            </a:graphic>
          </wp:inline>
        </w:drawing>
      </w:r>
      <w:r>
        <w:rPr>
          <w:rFonts w:ascii="Times New Roman" w:hAnsi="Times New Roman"/>
          <w:noProof/>
          <w:sz w:val="24"/>
          <w:lang w:val="de-DE"/>
        </w:rPr>
        <w:t xml:space="preserve">     </w:t>
      </w:r>
      <w:r>
        <w:rPr>
          <w:noProof/>
          <w:lang w:eastAsia="en-GB"/>
        </w:rPr>
        <w:drawing>
          <wp:inline distT="0" distB="0" distL="0" distR="0">
            <wp:extent cx="2605178" cy="177796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06501" cy="1778870"/>
                    </a:xfrm>
                    <a:prstGeom prst="rect">
                      <a:avLst/>
                    </a:prstGeom>
                  </pic:spPr>
                </pic:pic>
              </a:graphicData>
            </a:graphic>
          </wp:inline>
        </w:drawing>
      </w:r>
    </w:p>
    <w:p>
      <w:pPr>
        <w:spacing w:before="60" w:after="240"/>
        <w:ind w:left="142"/>
        <w:rPr>
          <w:rFonts w:ascii="Century Gothic" w:hAnsi="Century Gothic"/>
          <w:noProof/>
          <w:color w:val="1F497D" w:themeColor="text2"/>
          <w:sz w:val="16"/>
          <w:lang w:val="de-DE"/>
        </w:rPr>
      </w:pPr>
      <w:r>
        <w:rPr>
          <w:rFonts w:ascii="Century Gothic" w:hAnsi="Century Gothic"/>
          <w:noProof/>
          <w:color w:val="1F497D" w:themeColor="text2"/>
          <w:sz w:val="16"/>
          <w:lang w:val="de-DE"/>
        </w:rPr>
        <w:t xml:space="preserve">Quelle: AMECO. Anmerkung: In Abbildung 3 wird die Arbeitsproduktivität im Jahr 1995 in Kaufkraftstandard bemessen. </w:t>
      </w:r>
    </w:p>
    <w:p>
      <w:pPr>
        <w:spacing w:after="120"/>
        <w:jc w:val="both"/>
        <w:rPr>
          <w:rFonts w:ascii="Times New Roman" w:hAnsi="Times New Roman"/>
          <w:noProof/>
          <w:sz w:val="24"/>
          <w:lang w:val="de-DE"/>
        </w:rPr>
      </w:pPr>
      <w:r>
        <w:rPr>
          <w:rFonts w:ascii="Times New Roman" w:hAnsi="Times New Roman"/>
          <w:b/>
          <w:noProof/>
          <w:sz w:val="24"/>
          <w:lang w:val="de-DE"/>
        </w:rPr>
        <w:t xml:space="preserve">Das Wachstum der Arbeitsproduktivität wird durch produktive Investitionen und technologischen Fortschritt angetrieben, beide Faktoren sind noch relativ schwach (Abbildung 4). </w:t>
      </w:r>
      <w:r>
        <w:rPr>
          <w:rFonts w:ascii="Times New Roman" w:hAnsi="Times New Roman"/>
          <w:noProof/>
          <w:sz w:val="24"/>
          <w:lang w:val="de-DE"/>
        </w:rPr>
        <w:t>Der technologische Fortschritt in der Union – gemessen am Wachstum der totalen Faktorproduktivität – verlangsamte sich in der Krisenphase und befindet sich noch nicht wieder vollständig auf Vorkrisenniveau. Auch die Investitionstätigkeit ging während der weltweiten Wirtschafts- und Finanzkrise zurück und muss sich noch vollständig erholen. Entschiedenes politisches Handeln auf Ebene der Union (z. B. durch die Investitionsoffensive für Europa) und auf Ebene der Mitgliedstaaten hat dazu beigetragen, dass sich die Investitionstätigkeit deutlich erholen konnte – sie liegt aber dennoch weiter unter dem Niveau vor der Krise.</w:t>
      </w:r>
      <w:r>
        <w:rPr>
          <w:rFonts w:ascii="Times New Roman" w:hAnsi="Times New Roman"/>
          <w:b/>
          <w:noProof/>
          <w:sz w:val="24"/>
          <w:lang w:val="de-DE"/>
        </w:rPr>
        <w:t xml:space="preserve"> </w:t>
      </w:r>
    </w:p>
    <w:p>
      <w:pPr>
        <w:spacing w:after="240"/>
        <w:jc w:val="both"/>
        <w:rPr>
          <w:rFonts w:ascii="Times New Roman" w:hAnsi="Times New Roman"/>
          <w:noProof/>
          <w:sz w:val="24"/>
          <w:lang w:val="de-DE"/>
        </w:rPr>
      </w:pPr>
      <w:r>
        <w:rPr>
          <w:rFonts w:ascii="Times New Roman" w:hAnsi="Times New Roman"/>
          <w:b/>
          <w:noProof/>
          <w:sz w:val="24"/>
          <w:lang w:val="de-DE"/>
        </w:rPr>
        <w:t>Das Produktivitätswachstum hat sich verlangsamt, während sich die Kluft bei der Nutzung technologischer Fortschritte zwischen den führenden und den schwächeren Unternehmen vergrößert hat.</w:t>
      </w:r>
      <w:r>
        <w:rPr>
          <w:rFonts w:ascii="Times New Roman" w:hAnsi="Times New Roman"/>
          <w:noProof/>
          <w:sz w:val="24"/>
          <w:vertAlign w:val="superscript"/>
          <w:lang w:val="de-DE"/>
        </w:rPr>
        <w:footnoteReference w:id="5"/>
      </w:r>
      <w:r>
        <w:rPr>
          <w:rFonts w:ascii="Times New Roman" w:hAnsi="Times New Roman"/>
          <w:noProof/>
          <w:sz w:val="24"/>
          <w:lang w:val="de-DE"/>
        </w:rPr>
        <w:t xml:space="preserve"> Die wachsende Kluft zwischen den Produktivitätsniveaus der leistungsstärksten Unternehmen am Markt und den am wenigsten produktiven Konzernen belegt dies; vom technologischen Fortschritt profitieren meist die leistungsstärksten Unternehmen, die ihre vorherrschende Position am Markt ausgebaut haben. Im Gegensatz dazu waren die am wenigsten produktiven Unternehmen nicht dazu in der Lage, sich neuere Technologien zunutze zu machen, und fielen zurück. Dieses Phänomen hat auch soziale Auswirkungen, da eine breitere Streuung der Produktivität bei den Firmen eine breitere Einkommensstreuung in der gesamten Wirtschaft nach sich ziehen und damit die Ungleichverteilung von Einkommen verschärfen kann.  </w:t>
      </w:r>
    </w:p>
    <w:p>
      <w:pPr>
        <w:spacing w:after="120"/>
        <w:jc w:val="both"/>
        <w:rPr>
          <w:rFonts w:ascii="Times New Roman" w:hAnsi="Times New Roman"/>
          <w:b/>
          <w:noProof/>
          <w:sz w:val="24"/>
          <w:lang w:val="de-DE"/>
        </w:rPr>
      </w:pPr>
      <w:r>
        <w:rPr>
          <w:rFonts w:ascii="Times New Roman" w:hAnsi="Times New Roman"/>
          <w:b/>
          <w:noProof/>
          <w:sz w:val="24"/>
          <w:lang w:val="de-DE"/>
        </w:rPr>
        <w:t>Makroökonomische, institutionelle und regulatorische Bedingungen und ihr Einfluss auf Produktivitätswachstum und Wettbewerbsfähigkeit.</w:t>
      </w:r>
      <w:r>
        <w:rPr>
          <w:rFonts w:ascii="Times New Roman" w:hAnsi="Times New Roman"/>
          <w:noProof/>
          <w:sz w:val="24"/>
          <w:lang w:val="de-DE"/>
        </w:rPr>
        <w:t xml:space="preserve"> Zu diesen Bedingungen gehören: i) nachhaltige Innovationen und Optimierungen im Bildungsbereich, ii) funktionierende Arbeits- und Produktmärkte, iii) Zugang zu Finanzmitteln und wirksame Insolvenzregelungen sowie iv) ein unternehmensfreundliches Geschäftsumfeld. In einer Reihe von Mitgliedstaaten haben verschiedene Faktoren einen wichtigen Einfluss auf das lustlose Produktivitätswachstum gehabt – so etwa die gebremste Einführung neuer Technologien, wettbewerbshemmende Produktmarktregulierungen und schlecht funktionierende Arbeitsmärkte.</w:t>
      </w:r>
      <w:r>
        <w:rPr>
          <w:rFonts w:ascii="Times New Roman" w:hAnsi="Times New Roman"/>
          <w:noProof/>
          <w:sz w:val="24"/>
          <w:vertAlign w:val="superscript"/>
          <w:lang w:val="de-DE"/>
        </w:rPr>
        <w:footnoteReference w:id="6"/>
      </w:r>
      <w:r>
        <w:rPr>
          <w:rFonts w:ascii="Times New Roman" w:hAnsi="Times New Roman"/>
          <w:noProof/>
          <w:sz w:val="24"/>
          <w:lang w:val="de-DE"/>
        </w:rPr>
        <w:t xml:space="preserve"> </w:t>
      </w:r>
      <w:r>
        <w:rPr>
          <w:rFonts w:ascii="Times New Roman" w:hAnsi="Times New Roman"/>
          <w:noProof/>
          <w:sz w:val="24"/>
          <w:vertAlign w:val="superscript"/>
          <w:lang w:val="de-DE"/>
        </w:rPr>
        <w:footnoteReference w:id="7"/>
      </w:r>
      <w:r>
        <w:rPr>
          <w:rFonts w:ascii="Times New Roman" w:hAnsi="Times New Roman"/>
          <w:noProof/>
          <w:sz w:val="24"/>
          <w:lang w:val="de-DE"/>
        </w:rPr>
        <w:t xml:space="preserve"> </w:t>
      </w:r>
    </w:p>
    <w:p>
      <w:pPr>
        <w:spacing w:after="120"/>
        <w:jc w:val="both"/>
        <w:rPr>
          <w:rFonts w:ascii="Times New Roman" w:hAnsi="Times New Roman"/>
          <w:b/>
          <w:noProof/>
          <w:sz w:val="24"/>
          <w:lang w:val="de-DE"/>
        </w:rPr>
      </w:pPr>
      <w:r>
        <w:rPr>
          <w:rFonts w:ascii="Times New Roman" w:hAnsi="Times New Roman"/>
          <w:b/>
          <w:noProof/>
          <w:sz w:val="24"/>
          <w:lang w:val="de-DE"/>
        </w:rPr>
        <w:t xml:space="preserve">Die Förderung des Produktivitätswachstums erfordert gezielte, faktengestützte Strategien. </w:t>
      </w:r>
      <w:r>
        <w:rPr>
          <w:rFonts w:ascii="Times New Roman" w:hAnsi="Times New Roman"/>
          <w:noProof/>
          <w:sz w:val="24"/>
          <w:lang w:val="de-DE"/>
        </w:rPr>
        <w:t>Um die Herausforderungen im Bereich Produktivitätswachstum zu meistern, gibt es sowohl auf nationaler als auch auf Unionsebene Spielraum für politische Maßnahmen. Nationale Reformen sollten darauf abzielen, das Produktivitätswachstum zu steigern und gezielte Maßnahmen beinhalten, um Investitionen, Kompetenzentwicklung und eine stärkere und bessere Verknüpfung zwischen den Bildungssystemen und der Wirtschaft zu fördern. Zudem sollten die Mitgliedstaaten sowohl kollektiv als auch einzeln Verantwortung am Binnenmarkt übernehmen, um dessen volles Potenzial freizusetzen. Die Debatte über produktivitätsrelevante Strategien und Strukturreformen muss fundiert sein, um die Herausforderungen und möglichen Auswirkungen von Strategien korrekt ermitteln zu können. Ausschüsse für Produktivität können deshalb zu einer faktengestützten Diskussion beitragen und durch ihre unabhängige Analysetätigkeit dafür sorgen, dass bewährte Verfahren Schule machen.</w:t>
      </w:r>
    </w:p>
    <w:p>
      <w:pPr>
        <w:spacing w:after="240"/>
        <w:jc w:val="both"/>
        <w:rPr>
          <w:rFonts w:ascii="Times New Roman" w:hAnsi="Times New Roman"/>
          <w:noProof/>
          <w:sz w:val="24"/>
          <w:lang w:val="de-DE"/>
        </w:rPr>
      </w:pPr>
      <w:r>
        <w:rPr>
          <w:rFonts w:ascii="Times New Roman" w:hAnsi="Times New Roman"/>
          <w:b/>
          <w:noProof/>
          <w:sz w:val="24"/>
          <w:lang w:val="de-DE"/>
        </w:rPr>
        <w:t xml:space="preserve">Im Rahmen des Europäischen Semesters werden Strategien zur Produktivitätssteigerung thematisiert. </w:t>
      </w:r>
      <w:r>
        <w:rPr>
          <w:rFonts w:ascii="Times New Roman" w:hAnsi="Times New Roman"/>
          <w:noProof/>
          <w:sz w:val="24"/>
          <w:lang w:val="de-DE"/>
        </w:rPr>
        <w:t xml:space="preserve">Herausforderungen für das Produktivitätswachstum sind in gewissem Maße länderspezifisch, weshalb es kein Patentrezept gibt, um sie zu bewältigen. Im Jahr 2018 erhielten die meisten Mitgliedstaaten eine länderspezifische Empfehlung für politische Maßnahmen in einem Bereich, der mit der Produktivität zusammenhängt. Auch in der Empfehlung für das Euro-Währungsgebiet 2018 wurden die Mitgliedstaaten des Euro-Raums aufgefordert, Reformen zu Förderung von Produktivität und Wachstumspotenzial vorrangig zu verfolgen. </w:t>
      </w:r>
    </w:p>
    <w:p>
      <w:pPr>
        <w:pStyle w:val="Heading1"/>
        <w:rPr>
          <w:noProof/>
          <w:sz w:val="28"/>
          <w:szCs w:val="28"/>
          <w:lang w:val="de-DE"/>
        </w:rPr>
      </w:pPr>
      <w:r>
        <w:rPr>
          <w:noProof/>
          <w:sz w:val="28"/>
          <w:lang w:val="de-DE"/>
        </w:rPr>
        <w:t xml:space="preserve">Stand bei der Einrichtung nationaler Ausschüsse für Produktivität bis Ende 2018 </w:t>
      </w:r>
    </w:p>
    <w:p>
      <w:pPr>
        <w:jc w:val="both"/>
        <w:rPr>
          <w:rFonts w:ascii="Times New Roman" w:hAnsi="Times New Roman"/>
          <w:noProof/>
          <w:sz w:val="24"/>
          <w:lang w:val="de-DE"/>
        </w:rPr>
      </w:pPr>
      <w:r>
        <w:rPr>
          <w:rFonts w:ascii="Times New Roman" w:hAnsi="Times New Roman"/>
          <w:b/>
          <w:noProof/>
          <w:sz w:val="24"/>
          <w:lang w:val="de-DE"/>
        </w:rPr>
        <w:t>Zehn Mitgliedstaaten des Euro-Raums und drei Mitgliedstaaten, die dem Euro-Raum nicht angehören, haben</w:t>
      </w:r>
      <w:r>
        <w:rPr>
          <w:rFonts w:ascii="Times New Roman" w:hAnsi="Times New Roman"/>
          <w:noProof/>
          <w:sz w:val="24"/>
          <w:lang w:val="de-DE"/>
        </w:rPr>
        <w:t xml:space="preserve"> </w:t>
      </w:r>
      <w:r>
        <w:rPr>
          <w:rFonts w:ascii="Times New Roman" w:hAnsi="Times New Roman"/>
          <w:b/>
          <w:noProof/>
          <w:sz w:val="24"/>
          <w:lang w:val="de-DE"/>
        </w:rPr>
        <w:t>nationale Ausschüsse für Produktivität eingerichtet</w:t>
      </w:r>
      <w:r>
        <w:rPr>
          <w:rFonts w:ascii="Times New Roman" w:hAnsi="Times New Roman"/>
          <w:noProof/>
          <w:sz w:val="24"/>
          <w:lang w:val="de-DE"/>
        </w:rPr>
        <w:t>.</w:t>
      </w:r>
      <w:r>
        <w:rPr>
          <w:rFonts w:ascii="Times New Roman" w:hAnsi="Times New Roman"/>
          <w:noProof/>
          <w:sz w:val="24"/>
          <w:vertAlign w:val="superscript"/>
          <w:lang w:val="de-DE"/>
        </w:rPr>
        <w:footnoteReference w:id="8"/>
      </w:r>
      <w:r>
        <w:rPr>
          <w:rFonts w:ascii="Times New Roman" w:hAnsi="Times New Roman"/>
          <w:noProof/>
          <w:sz w:val="24"/>
          <w:lang w:val="de-DE"/>
        </w:rPr>
        <w:t xml:space="preserve"> Im Euro-Raum sind dies Belgien, Finnland, Frankreich, Irland, Litauen, Luxemburg, die Niederlande, Portugal, Slowenien und Zypern; die drei Mitgliedstaaten, die nicht zur Euro-Zone gehören, sind Dänemark, Rumänien und Ungarn. Die verbleibenden neun Euro-Länder (Deutschland, Estland, Griechenland, Italien, Lettland, Malta, Österreich, Slowakei und Spanien) haben die Absicht erklärt, Ausschüsse einzurichten; in Griechenland, Malta und der Slowakei ist dieser Prozess bereits weit vorangeschritten.</w:t>
      </w:r>
      <w:r>
        <w:rPr>
          <w:rFonts w:ascii="Times New Roman" w:hAnsi="Times New Roman"/>
          <w:noProof/>
          <w:sz w:val="24"/>
          <w:vertAlign w:val="superscript"/>
          <w:lang w:val="de-DE"/>
        </w:rPr>
        <w:footnoteReference w:id="9"/>
      </w:r>
      <w:r>
        <w:rPr>
          <w:rFonts w:ascii="Times New Roman" w:hAnsi="Times New Roman"/>
          <w:noProof/>
          <w:sz w:val="24"/>
          <w:lang w:val="de-DE"/>
        </w:rPr>
        <w:t xml:space="preserve"> </w:t>
      </w:r>
    </w:p>
    <w:p>
      <w:pPr>
        <w:jc w:val="both"/>
        <w:rPr>
          <w:rFonts w:ascii="Times New Roman" w:hAnsi="Times New Roman" w:cs="Times New Roman"/>
          <w:noProof/>
          <w:sz w:val="24"/>
          <w:lang w:val="de-DE"/>
        </w:rPr>
      </w:pPr>
      <w:r>
        <w:rPr>
          <w:rFonts w:ascii="Times New Roman" w:hAnsi="Times New Roman"/>
          <w:b/>
          <w:noProof/>
          <w:sz w:val="24"/>
          <w:lang w:val="de-DE"/>
        </w:rPr>
        <w:t xml:space="preserve">Außer Kroatien haben die fünf anderen nicht dem Euro-Raum angehörenden Mitgliedstaaten </w:t>
      </w:r>
      <w:r>
        <w:rPr>
          <w:rFonts w:ascii="Times New Roman" w:hAnsi="Times New Roman"/>
          <w:noProof/>
          <w:sz w:val="24"/>
          <w:lang w:val="de-DE"/>
        </w:rPr>
        <w:t>(Bulgarien, Polen, Schweden, Tschechien und das Vereinigte Königreich)</w:t>
      </w:r>
      <w:r>
        <w:rPr>
          <w:rFonts w:ascii="Times New Roman" w:hAnsi="Times New Roman"/>
          <w:b/>
          <w:noProof/>
          <w:sz w:val="24"/>
          <w:lang w:val="de-DE"/>
        </w:rPr>
        <w:t xml:space="preserve"> entschieden, keine Ausschüsse für Produktivität einzurichten.</w:t>
      </w:r>
      <w:r>
        <w:rPr>
          <w:rFonts w:ascii="Times New Roman" w:hAnsi="Times New Roman"/>
          <w:noProof/>
          <w:sz w:val="24"/>
          <w:lang w:val="de-DE"/>
        </w:rPr>
        <w:t xml:space="preserve"> Die meisten davon begründen ihre Entscheidung damit, dass es im jeweiligen Land bereits Einrichtungen gibt, die einige oder alle in der Empfehlung des Rates genannten Aufgaben wahrnehmen. </w:t>
      </w:r>
    </w:p>
    <w:p>
      <w:pPr>
        <w:jc w:val="both"/>
        <w:rPr>
          <w:rFonts w:ascii="Times New Roman" w:hAnsi="Times New Roman"/>
          <w:noProof/>
          <w:sz w:val="24"/>
          <w:lang w:val="de-DE"/>
        </w:rPr>
      </w:pPr>
      <w:r>
        <w:rPr>
          <w:rFonts w:ascii="Times New Roman" w:hAnsi="Times New Roman"/>
          <w:b/>
          <w:noProof/>
          <w:sz w:val="24"/>
          <w:lang w:val="de-DE"/>
        </w:rPr>
        <w:t>Eine große Zahl der bestehenden Ausschüsse für Produktivität wurde erst kürzlich eingesetzt, weshalb es noch zu früh ist, um ihren Einfluss eingehend zu beurteilen</w:t>
      </w:r>
      <w:r>
        <w:rPr>
          <w:rFonts w:ascii="Times New Roman" w:hAnsi="Times New Roman"/>
          <w:noProof/>
          <w:sz w:val="24"/>
          <w:lang w:val="de-DE"/>
        </w:rPr>
        <w:t xml:space="preserve">. Angesichts dessen bewertet dieser Abschnitt die zentralen Merkmale der Ausschüsse für Produktivität, insbesondere im Hinblick auf die in der Ratsempfehlung festgeschriebenen Anforderungen (d. h. die ihnen zugewiesenen Aufgaben, eine weitgehende funktionelle Eigenständigkeit und die Fähigkeit zur Ausarbeitung hochwertiger und objektiver Analysen). </w:t>
      </w:r>
    </w:p>
    <w:p>
      <w:pPr>
        <w:numPr>
          <w:ilvl w:val="1"/>
          <w:numId w:val="3"/>
        </w:numPr>
        <w:jc w:val="both"/>
        <w:rPr>
          <w:rFonts w:ascii="Times New Roman" w:hAnsi="Times New Roman"/>
          <w:b/>
          <w:noProof/>
          <w:sz w:val="24"/>
          <w:lang w:val="de-DE"/>
        </w:rPr>
      </w:pPr>
      <w:r>
        <w:rPr>
          <w:rFonts w:ascii="Times New Roman" w:hAnsi="Times New Roman"/>
          <w:b/>
          <w:noProof/>
          <w:sz w:val="24"/>
          <w:lang w:val="de-DE"/>
        </w:rPr>
        <w:t>Organisatorische Struktur der eingerichteten nationalen Ausschüsse für Produktivität</w:t>
      </w:r>
    </w:p>
    <w:p>
      <w:pPr>
        <w:jc w:val="both"/>
        <w:rPr>
          <w:rFonts w:ascii="Times New Roman" w:hAnsi="Times New Roman"/>
          <w:noProof/>
          <w:sz w:val="24"/>
          <w:lang w:val="de-DE"/>
        </w:rPr>
      </w:pPr>
      <w:r>
        <w:rPr>
          <w:rFonts w:ascii="Times New Roman" w:hAnsi="Times New Roman"/>
          <w:b/>
          <w:noProof/>
          <w:sz w:val="24"/>
          <w:lang w:val="de-DE"/>
        </w:rPr>
        <w:t>Die meisten der Ausschüsse für Produktivität profitieren in irgendeiner Form von bereits bestehenden Einrichtungen</w:t>
      </w:r>
      <w:r>
        <w:rPr>
          <w:rFonts w:ascii="Times New Roman" w:hAnsi="Times New Roman"/>
          <w:noProof/>
          <w:sz w:val="24"/>
          <w:lang w:val="de-DE"/>
        </w:rPr>
        <w:t>. Sieben Mitgliedstaaten (Dänemark, Irland, Litauen, die Niederlande, Portugal, Rumänien und Slowenien) haben bereits bestehende Einrichtungen als Ausschüsse für Produktivität eingesetzt und ihre Mandate dahin gehend erweitert, dass sie die vorgesehenen Aufgaben ausführen können. Die sechs verbleibenden Mitgliedstaaten (Belgien, Finnland, Frankreich, Luxemburg, Ungarn und Zypern) haben neue Gremien geschaffen, die in der Regel von einer bestehenden Struktur unterstützt werden, z. B. einer Abteilung eines Ministeriums oder einem Forschungsinstitut (siehe Tabelle 1 für Einzelheiten).</w:t>
      </w:r>
    </w:p>
    <w:p>
      <w:pPr>
        <w:keepNext/>
        <w:keepLines/>
        <w:spacing w:after="120"/>
        <w:jc w:val="center"/>
        <w:rPr>
          <w:rFonts w:ascii="Times New Roman" w:hAnsi="Times New Roman"/>
          <w:b/>
          <w:i/>
          <w:noProof/>
          <w:lang w:val="de-DE"/>
        </w:rPr>
      </w:pPr>
      <w:r>
        <w:rPr>
          <w:rFonts w:ascii="Times New Roman" w:hAnsi="Times New Roman"/>
          <w:b/>
          <w:i/>
          <w:noProof/>
          <w:lang w:val="de-DE"/>
        </w:rPr>
        <w:t>Tabelle 1: Bestehende Ausschüsse für Produktivität und Gründungsdatum</w:t>
      </w:r>
    </w:p>
    <w:tbl>
      <w:tblPr>
        <w:tblStyle w:val="TableGrid"/>
        <w:tblW w:w="0" w:type="auto"/>
        <w:tblInd w:w="360" w:type="dxa"/>
        <w:tblLook w:val="04A0" w:firstRow="1" w:lastRow="0" w:firstColumn="1" w:lastColumn="0" w:noHBand="0" w:noVBand="1"/>
      </w:tblPr>
      <w:tblGrid>
        <w:gridCol w:w="506"/>
        <w:gridCol w:w="4357"/>
        <w:gridCol w:w="1820"/>
        <w:gridCol w:w="2245"/>
      </w:tblGrid>
      <w:tr>
        <w:tc>
          <w:tcPr>
            <w:tcW w:w="506" w:type="dxa"/>
            <w:tcBorders>
              <w:bottom w:val="single" w:sz="4" w:space="0" w:color="auto"/>
            </w:tcBorders>
          </w:tcPr>
          <w:p>
            <w:pPr>
              <w:keepNext/>
              <w:keepLines/>
              <w:jc w:val="both"/>
              <w:rPr>
                <w:rFonts w:ascii="Times New Roman" w:hAnsi="Times New Roman"/>
                <w:noProof/>
                <w:sz w:val="20"/>
                <w:szCs w:val="20"/>
                <w:lang w:val="de-DE"/>
              </w:rPr>
            </w:pPr>
          </w:p>
        </w:tc>
        <w:tc>
          <w:tcPr>
            <w:tcW w:w="4357" w:type="dxa"/>
            <w:tcBorders>
              <w:bottom w:val="single" w:sz="4" w:space="0" w:color="auto"/>
            </w:tcBorders>
            <w:shd w:val="clear" w:color="auto" w:fill="5B9BD5"/>
          </w:tcPr>
          <w:p>
            <w:pPr>
              <w:keepNext/>
              <w:keepLines/>
              <w:jc w:val="center"/>
              <w:rPr>
                <w:rFonts w:ascii="Times New Roman" w:hAnsi="Times New Roman"/>
                <w:b/>
                <w:noProof/>
                <w:color w:val="FFFFFF" w:themeColor="background1"/>
                <w:sz w:val="20"/>
                <w:szCs w:val="20"/>
                <w:lang w:val="de-DE"/>
              </w:rPr>
            </w:pPr>
            <w:r>
              <w:rPr>
                <w:rFonts w:ascii="Times New Roman" w:hAnsi="Times New Roman"/>
                <w:b/>
                <w:noProof/>
                <w:color w:val="FFFFFF" w:themeColor="background1"/>
                <w:sz w:val="20"/>
                <w:lang w:val="de-DE"/>
              </w:rPr>
              <w:t>Name des Ausschusses für Produktivität</w:t>
            </w:r>
          </w:p>
        </w:tc>
        <w:tc>
          <w:tcPr>
            <w:tcW w:w="1820" w:type="dxa"/>
            <w:tcBorders>
              <w:bottom w:val="single" w:sz="4" w:space="0" w:color="auto"/>
            </w:tcBorders>
            <w:shd w:val="clear" w:color="auto" w:fill="5B9BD5"/>
          </w:tcPr>
          <w:p>
            <w:pPr>
              <w:keepNext/>
              <w:keepLines/>
              <w:jc w:val="center"/>
              <w:rPr>
                <w:rFonts w:ascii="Times New Roman" w:hAnsi="Times New Roman"/>
                <w:b/>
                <w:noProof/>
                <w:color w:val="FFFFFF" w:themeColor="background1"/>
                <w:sz w:val="20"/>
                <w:szCs w:val="20"/>
                <w:lang w:val="de-DE"/>
              </w:rPr>
            </w:pPr>
            <w:r>
              <w:rPr>
                <w:rFonts w:ascii="Times New Roman" w:hAnsi="Times New Roman"/>
                <w:b/>
                <w:noProof/>
                <w:color w:val="FFFFFF" w:themeColor="background1"/>
                <w:sz w:val="20"/>
                <w:lang w:val="de-DE"/>
              </w:rPr>
              <w:t>Datum der Schaffung</w:t>
            </w:r>
          </w:p>
        </w:tc>
        <w:tc>
          <w:tcPr>
            <w:tcW w:w="2245" w:type="dxa"/>
            <w:tcBorders>
              <w:bottom w:val="single" w:sz="4" w:space="0" w:color="auto"/>
            </w:tcBorders>
            <w:shd w:val="clear" w:color="auto" w:fill="5B9BD5"/>
          </w:tcPr>
          <w:p>
            <w:pPr>
              <w:keepNext/>
              <w:keepLines/>
              <w:jc w:val="center"/>
              <w:rPr>
                <w:rFonts w:ascii="Times New Roman" w:hAnsi="Times New Roman"/>
                <w:b/>
                <w:noProof/>
                <w:color w:val="FFFFFF" w:themeColor="background1"/>
                <w:sz w:val="20"/>
                <w:szCs w:val="20"/>
                <w:lang w:val="de-DE"/>
              </w:rPr>
            </w:pPr>
            <w:r>
              <w:rPr>
                <w:rFonts w:ascii="Times New Roman" w:hAnsi="Times New Roman"/>
                <w:b/>
                <w:noProof/>
                <w:color w:val="FFFFFF" w:themeColor="background1"/>
                <w:sz w:val="20"/>
                <w:lang w:val="de-DE"/>
              </w:rPr>
              <w:t>Merkmale</w:t>
            </w:r>
          </w:p>
        </w:tc>
      </w:tr>
      <w:tr>
        <w:tc>
          <w:tcPr>
            <w:tcW w:w="506" w:type="dxa"/>
            <w:shd w:val="clear" w:color="auto" w:fill="BDD7EE"/>
            <w:vAlign w:val="center"/>
          </w:tcPr>
          <w:p>
            <w:pPr>
              <w:keepNext/>
              <w:keepLines/>
              <w:rPr>
                <w:rFonts w:ascii="Times New Roman" w:hAnsi="Times New Roman"/>
                <w:noProof/>
                <w:sz w:val="20"/>
                <w:szCs w:val="20"/>
                <w:lang w:val="de-DE"/>
              </w:rPr>
            </w:pPr>
            <w:r>
              <w:rPr>
                <w:rFonts w:ascii="Times New Roman" w:hAnsi="Times New Roman"/>
                <w:noProof/>
                <w:sz w:val="20"/>
                <w:lang w:val="de-DE"/>
              </w:rPr>
              <w:t>BE</w:t>
            </w:r>
          </w:p>
        </w:tc>
        <w:tc>
          <w:tcPr>
            <w:tcW w:w="4357" w:type="dxa"/>
            <w:shd w:val="clear" w:color="auto" w:fill="BDD7EE"/>
            <w:vAlign w:val="center"/>
          </w:tcPr>
          <w:p>
            <w:pPr>
              <w:keepNext/>
              <w:keepLines/>
              <w:rPr>
                <w:rFonts w:ascii="Times New Roman" w:hAnsi="Times New Roman"/>
                <w:noProof/>
                <w:sz w:val="20"/>
                <w:szCs w:val="20"/>
                <w:lang w:val="de-DE"/>
              </w:rPr>
            </w:pPr>
            <w:r>
              <w:rPr>
                <w:rFonts w:ascii="Times New Roman" w:hAnsi="Times New Roman"/>
                <w:noProof/>
                <w:sz w:val="20"/>
                <w:lang w:val="de-DE"/>
              </w:rPr>
              <w:t xml:space="preserve">Nationaler Rat für Produktivität </w:t>
            </w:r>
          </w:p>
          <w:p>
            <w:pPr>
              <w:keepNext/>
              <w:keepLines/>
              <w:rPr>
                <w:rFonts w:ascii="Times New Roman" w:hAnsi="Times New Roman"/>
                <w:noProof/>
                <w:sz w:val="20"/>
                <w:szCs w:val="20"/>
                <w:lang w:val="de-DE"/>
              </w:rPr>
            </w:pPr>
            <w:r>
              <w:rPr>
                <w:rFonts w:ascii="Times New Roman" w:hAnsi="Times New Roman"/>
                <w:noProof/>
                <w:sz w:val="20"/>
                <w:lang w:val="de-DE"/>
              </w:rPr>
              <w:t>(</w:t>
            </w:r>
            <w:r>
              <w:rPr>
                <w:rFonts w:ascii="Times New Roman" w:hAnsi="Times New Roman"/>
                <w:i/>
                <w:noProof/>
                <w:sz w:val="20"/>
                <w:lang w:val="de-DE"/>
              </w:rPr>
              <w:t>Nationale Raad voor de Productiviteit/ Conseil National de la Productivité</w:t>
            </w:r>
            <w:r>
              <w:rPr>
                <w:rFonts w:ascii="Times New Roman" w:hAnsi="Times New Roman"/>
                <w:noProof/>
                <w:sz w:val="20"/>
                <w:lang w:val="de-DE"/>
              </w:rPr>
              <w:t>)</w:t>
            </w:r>
          </w:p>
        </w:tc>
        <w:tc>
          <w:tcPr>
            <w:tcW w:w="1820" w:type="dxa"/>
            <w:shd w:val="clear" w:color="auto" w:fill="BDD7EE"/>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November 2018</w:t>
            </w:r>
          </w:p>
        </w:tc>
        <w:tc>
          <w:tcPr>
            <w:tcW w:w="2245" w:type="dxa"/>
            <w:shd w:val="clear" w:color="auto" w:fill="BDD7EE"/>
            <w:vAlign w:val="center"/>
          </w:tcPr>
          <w:p>
            <w:pPr>
              <w:keepNext/>
              <w:keepLines/>
              <w:rPr>
                <w:rFonts w:ascii="Times New Roman" w:hAnsi="Times New Roman"/>
                <w:noProof/>
                <w:sz w:val="20"/>
                <w:szCs w:val="20"/>
                <w:lang w:val="de-DE"/>
              </w:rPr>
            </w:pPr>
            <w:r>
              <w:rPr>
                <w:rFonts w:ascii="Times New Roman" w:hAnsi="Times New Roman"/>
                <w:noProof/>
                <w:sz w:val="20"/>
                <w:lang w:val="de-DE"/>
              </w:rPr>
              <w:t>Neue Einrichtung</w:t>
            </w:r>
          </w:p>
        </w:tc>
      </w:tr>
      <w:tr>
        <w:trPr>
          <w:trHeight w:val="486"/>
        </w:trPr>
        <w:tc>
          <w:tcPr>
            <w:tcW w:w="506" w:type="dxa"/>
            <w:tcBorders>
              <w:bottom w:val="single" w:sz="4" w:space="0" w:color="auto"/>
            </w:tcBorders>
            <w:vAlign w:val="center"/>
          </w:tcPr>
          <w:p>
            <w:pPr>
              <w:keepNext/>
              <w:keepLines/>
              <w:rPr>
                <w:rFonts w:ascii="Times New Roman" w:hAnsi="Times New Roman"/>
                <w:noProof/>
                <w:sz w:val="20"/>
                <w:szCs w:val="20"/>
                <w:lang w:val="de-DE"/>
              </w:rPr>
            </w:pPr>
            <w:r>
              <w:rPr>
                <w:rFonts w:ascii="Times New Roman" w:hAnsi="Times New Roman"/>
                <w:noProof/>
                <w:sz w:val="20"/>
                <w:lang w:val="de-DE"/>
              </w:rPr>
              <w:t>CY</w:t>
            </w:r>
          </w:p>
        </w:tc>
        <w:tc>
          <w:tcPr>
            <w:tcW w:w="4357" w:type="dxa"/>
            <w:tcBorders>
              <w:bottom w:val="single" w:sz="4" w:space="0" w:color="auto"/>
            </w:tcBorders>
            <w:vAlign w:val="center"/>
          </w:tcPr>
          <w:p>
            <w:pPr>
              <w:keepNext/>
              <w:keepLines/>
              <w:rPr>
                <w:rFonts w:ascii="Times New Roman" w:hAnsi="Times New Roman"/>
                <w:noProof/>
                <w:sz w:val="20"/>
                <w:szCs w:val="20"/>
                <w:lang w:val="de-DE"/>
              </w:rPr>
            </w:pPr>
            <w:r>
              <w:rPr>
                <w:rFonts w:ascii="Times New Roman" w:hAnsi="Times New Roman"/>
                <w:noProof/>
                <w:sz w:val="20"/>
                <w:lang w:val="de-DE"/>
              </w:rPr>
              <w:t xml:space="preserve">Rat für Wirtschaft und Wettbewerbsfähigkeit Zyperns </w:t>
            </w:r>
          </w:p>
        </w:tc>
        <w:tc>
          <w:tcPr>
            <w:tcW w:w="1820" w:type="dxa"/>
            <w:tcBorders>
              <w:bottom w:val="single" w:sz="4" w:space="0" w:color="auto"/>
            </w:tcBorders>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Juni 2018</w:t>
            </w:r>
          </w:p>
        </w:tc>
        <w:tc>
          <w:tcPr>
            <w:tcW w:w="2245" w:type="dxa"/>
            <w:tcBorders>
              <w:bottom w:val="single" w:sz="4" w:space="0" w:color="auto"/>
            </w:tcBorders>
            <w:vAlign w:val="center"/>
          </w:tcPr>
          <w:p>
            <w:pPr>
              <w:keepNext/>
              <w:keepLines/>
              <w:rPr>
                <w:rFonts w:ascii="Times New Roman" w:hAnsi="Times New Roman"/>
                <w:noProof/>
                <w:sz w:val="20"/>
                <w:szCs w:val="20"/>
                <w:lang w:val="de-DE"/>
              </w:rPr>
            </w:pPr>
            <w:r>
              <w:rPr>
                <w:rFonts w:ascii="Times New Roman" w:hAnsi="Times New Roman"/>
                <w:noProof/>
                <w:sz w:val="20"/>
                <w:lang w:val="de-DE"/>
              </w:rPr>
              <w:t>Neue Einrichtung</w:t>
            </w:r>
          </w:p>
        </w:tc>
      </w:tr>
      <w:tr>
        <w:tc>
          <w:tcPr>
            <w:tcW w:w="506" w:type="dxa"/>
            <w:shd w:val="clear" w:color="auto" w:fill="BDD7EE"/>
            <w:vAlign w:val="center"/>
          </w:tcPr>
          <w:p>
            <w:pPr>
              <w:keepNext/>
              <w:keepLines/>
              <w:rPr>
                <w:rFonts w:ascii="Times New Roman" w:hAnsi="Times New Roman"/>
                <w:noProof/>
                <w:sz w:val="20"/>
                <w:szCs w:val="20"/>
                <w:lang w:val="de-DE"/>
              </w:rPr>
            </w:pPr>
            <w:r>
              <w:rPr>
                <w:rFonts w:ascii="Times New Roman" w:hAnsi="Times New Roman"/>
                <w:noProof/>
                <w:sz w:val="20"/>
                <w:lang w:val="de-DE"/>
              </w:rPr>
              <w:t>DK</w:t>
            </w:r>
          </w:p>
        </w:tc>
        <w:tc>
          <w:tcPr>
            <w:tcW w:w="4357" w:type="dxa"/>
            <w:shd w:val="clear" w:color="auto" w:fill="BDD7EE"/>
            <w:vAlign w:val="center"/>
          </w:tcPr>
          <w:p>
            <w:pPr>
              <w:keepNext/>
              <w:keepLines/>
              <w:rPr>
                <w:rFonts w:ascii="Times New Roman" w:hAnsi="Times New Roman"/>
                <w:noProof/>
                <w:sz w:val="20"/>
                <w:szCs w:val="20"/>
                <w:lang w:val="de-DE"/>
              </w:rPr>
            </w:pPr>
            <w:r>
              <w:rPr>
                <w:rFonts w:ascii="Times New Roman" w:hAnsi="Times New Roman"/>
                <w:noProof/>
                <w:sz w:val="20"/>
                <w:lang w:val="de-DE"/>
              </w:rPr>
              <w:t>Dänische Wirtschaftsräte</w:t>
            </w:r>
          </w:p>
        </w:tc>
        <w:tc>
          <w:tcPr>
            <w:tcW w:w="1820" w:type="dxa"/>
            <w:shd w:val="clear" w:color="auto" w:fill="BDD7EE"/>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Februar 2017</w:t>
            </w:r>
          </w:p>
        </w:tc>
        <w:tc>
          <w:tcPr>
            <w:tcW w:w="2245" w:type="dxa"/>
            <w:shd w:val="clear" w:color="auto" w:fill="BDD7EE"/>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506"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FI</w:t>
            </w:r>
          </w:p>
        </w:tc>
        <w:tc>
          <w:tcPr>
            <w:tcW w:w="4357"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Finnischer Ausschuss für Produktivität</w:t>
            </w:r>
          </w:p>
          <w:p>
            <w:pPr>
              <w:keepNext/>
              <w:keepLines/>
              <w:rPr>
                <w:rFonts w:ascii="Times New Roman" w:hAnsi="Times New Roman"/>
                <w:noProof/>
                <w:sz w:val="20"/>
                <w:szCs w:val="20"/>
                <w:lang w:val="de-DE"/>
              </w:rPr>
            </w:pPr>
            <w:r>
              <w:rPr>
                <w:rFonts w:ascii="Times New Roman" w:hAnsi="Times New Roman"/>
                <w:noProof/>
                <w:sz w:val="20"/>
                <w:lang w:val="de-DE"/>
              </w:rPr>
              <w:t>(</w:t>
            </w:r>
            <w:r>
              <w:rPr>
                <w:rFonts w:ascii="Times New Roman" w:hAnsi="Times New Roman"/>
                <w:i/>
                <w:noProof/>
                <w:sz w:val="20"/>
                <w:lang w:val="de-DE"/>
              </w:rPr>
              <w:t>Tuottavuuslautakunta</w:t>
            </w:r>
            <w:r>
              <w:rPr>
                <w:rFonts w:ascii="Times New Roman" w:hAnsi="Times New Roman"/>
                <w:noProof/>
                <w:sz w:val="20"/>
                <w:lang w:val="de-DE"/>
              </w:rPr>
              <w:t>)</w:t>
            </w:r>
          </w:p>
        </w:tc>
        <w:tc>
          <w:tcPr>
            <w:tcW w:w="1820" w:type="dxa"/>
            <w:tcBorders>
              <w:bottom w:val="single" w:sz="4" w:space="0" w:color="auto"/>
            </w:tcBorders>
            <w:shd w:val="clear" w:color="auto" w:fill="FFFFFF" w:themeFill="background1"/>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Oktober 2018</w:t>
            </w:r>
          </w:p>
        </w:tc>
        <w:tc>
          <w:tcPr>
            <w:tcW w:w="2245"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Neue Einrichtung</w:t>
            </w:r>
          </w:p>
        </w:tc>
      </w:tr>
      <w:tr>
        <w:tc>
          <w:tcPr>
            <w:tcW w:w="506"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FR</w:t>
            </w:r>
          </w:p>
        </w:tc>
        <w:tc>
          <w:tcPr>
            <w:tcW w:w="4357"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 xml:space="preserve">Nationaler Rat für Produktivität </w:t>
            </w:r>
          </w:p>
          <w:p>
            <w:pPr>
              <w:keepNext/>
              <w:keepLines/>
              <w:rPr>
                <w:rFonts w:ascii="Times New Roman" w:hAnsi="Times New Roman"/>
                <w:noProof/>
                <w:sz w:val="20"/>
                <w:szCs w:val="20"/>
                <w:lang w:val="de-DE"/>
              </w:rPr>
            </w:pPr>
            <w:r>
              <w:rPr>
                <w:rFonts w:ascii="Times New Roman" w:hAnsi="Times New Roman"/>
                <w:noProof/>
                <w:sz w:val="20"/>
                <w:lang w:val="de-DE"/>
              </w:rPr>
              <w:t>(</w:t>
            </w:r>
            <w:r>
              <w:rPr>
                <w:rFonts w:ascii="Times New Roman" w:hAnsi="Times New Roman"/>
                <w:i/>
                <w:noProof/>
                <w:sz w:val="20"/>
                <w:lang w:val="de-DE"/>
              </w:rPr>
              <w:t>Conseil National de la Productivité</w:t>
            </w:r>
            <w:r>
              <w:rPr>
                <w:rFonts w:ascii="Times New Roman" w:hAnsi="Times New Roman"/>
                <w:noProof/>
                <w:sz w:val="20"/>
                <w:lang w:val="de-DE"/>
              </w:rPr>
              <w:t>)</w:t>
            </w:r>
          </w:p>
        </w:tc>
        <w:tc>
          <w:tcPr>
            <w:tcW w:w="1820" w:type="dxa"/>
            <w:tcBorders>
              <w:bottom w:val="single" w:sz="4" w:space="0" w:color="auto"/>
            </w:tcBorders>
            <w:shd w:val="clear" w:color="auto" w:fill="B8CCE4" w:themeFill="accent1" w:themeFillTint="66"/>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Juni 2018</w:t>
            </w:r>
          </w:p>
        </w:tc>
        <w:tc>
          <w:tcPr>
            <w:tcW w:w="2245"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Neue Einrichtung</w:t>
            </w:r>
          </w:p>
        </w:tc>
      </w:tr>
      <w:tr>
        <w:tc>
          <w:tcPr>
            <w:tcW w:w="506"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HU</w:t>
            </w:r>
          </w:p>
        </w:tc>
        <w:tc>
          <w:tcPr>
            <w:tcW w:w="4357"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Nationaler Rat für Wettbewerbsfähigkeit</w:t>
            </w:r>
          </w:p>
        </w:tc>
        <w:tc>
          <w:tcPr>
            <w:tcW w:w="1820" w:type="dxa"/>
            <w:tcBorders>
              <w:bottom w:val="single" w:sz="4" w:space="0" w:color="auto"/>
            </w:tcBorders>
            <w:shd w:val="clear" w:color="auto" w:fill="FFFFFF" w:themeFill="background1"/>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Oktober 2016</w:t>
            </w:r>
          </w:p>
        </w:tc>
        <w:tc>
          <w:tcPr>
            <w:tcW w:w="2245"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Neue Einrichtung</w:t>
            </w:r>
          </w:p>
        </w:tc>
      </w:tr>
      <w:tr>
        <w:tc>
          <w:tcPr>
            <w:tcW w:w="506"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IE</w:t>
            </w:r>
          </w:p>
        </w:tc>
        <w:tc>
          <w:tcPr>
            <w:tcW w:w="4357"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Nationaler Rat für Wettbewerbsfähigkeit</w:t>
            </w:r>
          </w:p>
        </w:tc>
        <w:tc>
          <w:tcPr>
            <w:tcW w:w="1820" w:type="dxa"/>
            <w:tcBorders>
              <w:bottom w:val="single" w:sz="4" w:space="0" w:color="auto"/>
            </w:tcBorders>
            <w:shd w:val="clear" w:color="auto" w:fill="B8CCE4" w:themeFill="accent1" w:themeFillTint="66"/>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März 2018</w:t>
            </w:r>
          </w:p>
        </w:tc>
        <w:tc>
          <w:tcPr>
            <w:tcW w:w="2245"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506"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LT</w:t>
            </w:r>
          </w:p>
        </w:tc>
        <w:tc>
          <w:tcPr>
            <w:tcW w:w="4357"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Ministerium für Wirtschaft und Innovation</w:t>
            </w:r>
          </w:p>
        </w:tc>
        <w:tc>
          <w:tcPr>
            <w:tcW w:w="1820" w:type="dxa"/>
            <w:tcBorders>
              <w:bottom w:val="single" w:sz="4" w:space="0" w:color="auto"/>
            </w:tcBorders>
            <w:shd w:val="clear" w:color="auto" w:fill="FFFFFF" w:themeFill="background1"/>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4. Quartal 2017</w:t>
            </w:r>
          </w:p>
        </w:tc>
        <w:tc>
          <w:tcPr>
            <w:tcW w:w="2245"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506"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LU</w:t>
            </w:r>
          </w:p>
        </w:tc>
        <w:tc>
          <w:tcPr>
            <w:tcW w:w="4357"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 xml:space="preserve">Nationaler Rat für Produktivität </w:t>
            </w:r>
          </w:p>
          <w:p>
            <w:pPr>
              <w:keepNext/>
              <w:keepLines/>
              <w:rPr>
                <w:rFonts w:ascii="Times New Roman" w:hAnsi="Times New Roman"/>
                <w:noProof/>
                <w:sz w:val="20"/>
                <w:szCs w:val="20"/>
                <w:lang w:val="de-DE"/>
              </w:rPr>
            </w:pPr>
            <w:r>
              <w:rPr>
                <w:rFonts w:ascii="Times New Roman" w:hAnsi="Times New Roman"/>
                <w:noProof/>
                <w:sz w:val="20"/>
                <w:lang w:val="de-DE"/>
              </w:rPr>
              <w:t>(</w:t>
            </w:r>
            <w:r>
              <w:rPr>
                <w:rFonts w:ascii="Times New Roman" w:hAnsi="Times New Roman"/>
                <w:i/>
                <w:noProof/>
                <w:sz w:val="20"/>
                <w:lang w:val="de-DE"/>
              </w:rPr>
              <w:t>Conseil National de la Productivité</w:t>
            </w:r>
            <w:r>
              <w:rPr>
                <w:rFonts w:ascii="Times New Roman" w:hAnsi="Times New Roman"/>
                <w:noProof/>
                <w:sz w:val="20"/>
                <w:lang w:val="de-DE"/>
              </w:rPr>
              <w:t>)</w:t>
            </w:r>
          </w:p>
        </w:tc>
        <w:tc>
          <w:tcPr>
            <w:tcW w:w="1820" w:type="dxa"/>
            <w:tcBorders>
              <w:bottom w:val="single" w:sz="4" w:space="0" w:color="auto"/>
            </w:tcBorders>
            <w:shd w:val="clear" w:color="auto" w:fill="B8CCE4" w:themeFill="accent1" w:themeFillTint="66"/>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September 2018</w:t>
            </w:r>
          </w:p>
        </w:tc>
        <w:tc>
          <w:tcPr>
            <w:tcW w:w="2245"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Neue Einrichtung</w:t>
            </w:r>
          </w:p>
        </w:tc>
      </w:tr>
      <w:tr>
        <w:tc>
          <w:tcPr>
            <w:tcW w:w="506"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NL</w:t>
            </w:r>
          </w:p>
        </w:tc>
        <w:tc>
          <w:tcPr>
            <w:tcW w:w="4357"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Niederländisches Büro für wirtschaftspolitische Analysen</w:t>
            </w:r>
          </w:p>
          <w:p>
            <w:pPr>
              <w:keepNext/>
              <w:keepLines/>
              <w:rPr>
                <w:rFonts w:ascii="Times New Roman" w:hAnsi="Times New Roman"/>
                <w:noProof/>
                <w:sz w:val="20"/>
                <w:szCs w:val="20"/>
                <w:lang w:val="de-DE"/>
              </w:rPr>
            </w:pPr>
            <w:r>
              <w:rPr>
                <w:rFonts w:ascii="Times New Roman" w:hAnsi="Times New Roman"/>
                <w:noProof/>
                <w:sz w:val="20"/>
                <w:lang w:val="de-DE"/>
              </w:rPr>
              <w:t>(</w:t>
            </w:r>
            <w:r>
              <w:rPr>
                <w:rFonts w:ascii="Times New Roman" w:hAnsi="Times New Roman"/>
                <w:i/>
                <w:noProof/>
                <w:sz w:val="20"/>
                <w:lang w:val="de-DE"/>
              </w:rPr>
              <w:t>Centraal Planbureau</w:t>
            </w:r>
            <w:r>
              <w:rPr>
                <w:rFonts w:ascii="Times New Roman" w:hAnsi="Times New Roman"/>
                <w:noProof/>
                <w:sz w:val="20"/>
                <w:lang w:val="de-DE"/>
              </w:rPr>
              <w:t xml:space="preserve">) </w:t>
            </w:r>
          </w:p>
        </w:tc>
        <w:tc>
          <w:tcPr>
            <w:tcW w:w="1820" w:type="dxa"/>
            <w:tcBorders>
              <w:bottom w:val="single" w:sz="4" w:space="0" w:color="auto"/>
            </w:tcBorders>
            <w:shd w:val="clear" w:color="auto" w:fill="FFFFFF" w:themeFill="background1"/>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April 2017</w:t>
            </w:r>
          </w:p>
        </w:tc>
        <w:tc>
          <w:tcPr>
            <w:tcW w:w="2245"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506"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PT</w:t>
            </w:r>
          </w:p>
        </w:tc>
        <w:tc>
          <w:tcPr>
            <w:tcW w:w="4357"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 xml:space="preserve">Rat für Produktivität </w:t>
            </w:r>
          </w:p>
          <w:p>
            <w:pPr>
              <w:keepNext/>
              <w:keepLines/>
              <w:rPr>
                <w:rFonts w:ascii="Times New Roman" w:hAnsi="Times New Roman"/>
                <w:i/>
                <w:noProof/>
                <w:sz w:val="20"/>
                <w:szCs w:val="20"/>
                <w:lang w:val="de-DE"/>
              </w:rPr>
            </w:pPr>
            <w:r>
              <w:rPr>
                <w:rFonts w:ascii="Times New Roman" w:hAnsi="Times New Roman"/>
                <w:i/>
                <w:noProof/>
                <w:sz w:val="20"/>
                <w:lang w:val="de-DE"/>
              </w:rPr>
              <w:t>(Conselho para a Produtividade)</w:t>
            </w:r>
          </w:p>
        </w:tc>
        <w:tc>
          <w:tcPr>
            <w:tcW w:w="1820" w:type="dxa"/>
            <w:tcBorders>
              <w:bottom w:val="single" w:sz="4" w:space="0" w:color="auto"/>
            </w:tcBorders>
            <w:shd w:val="clear" w:color="auto" w:fill="B8CCE4" w:themeFill="accent1" w:themeFillTint="66"/>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März 2018</w:t>
            </w:r>
          </w:p>
        </w:tc>
        <w:tc>
          <w:tcPr>
            <w:tcW w:w="2245"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506"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RO</w:t>
            </w:r>
          </w:p>
        </w:tc>
        <w:tc>
          <w:tcPr>
            <w:tcW w:w="4357"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Rat für Wirtschaftsplanung bei der Nationalen Kommission für Strategie und Prognose</w:t>
            </w:r>
          </w:p>
        </w:tc>
        <w:tc>
          <w:tcPr>
            <w:tcW w:w="1820" w:type="dxa"/>
            <w:tcBorders>
              <w:bottom w:val="single" w:sz="4" w:space="0" w:color="auto"/>
            </w:tcBorders>
            <w:shd w:val="clear" w:color="auto" w:fill="FFFFFF" w:themeFill="background1"/>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August 2018</w:t>
            </w:r>
          </w:p>
        </w:tc>
        <w:tc>
          <w:tcPr>
            <w:tcW w:w="2245" w:type="dxa"/>
            <w:tcBorders>
              <w:bottom w:val="single" w:sz="4" w:space="0" w:color="auto"/>
            </w:tcBorders>
            <w:shd w:val="clear" w:color="auto" w:fill="FFFFFF" w:themeFill="background1"/>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506"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SI</w:t>
            </w:r>
          </w:p>
        </w:tc>
        <w:tc>
          <w:tcPr>
            <w:tcW w:w="4357"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 xml:space="preserve">Institut für makroökonomische Analyse und Entwicklung </w:t>
            </w:r>
          </w:p>
          <w:p>
            <w:pPr>
              <w:keepNext/>
              <w:keepLines/>
              <w:rPr>
                <w:rFonts w:ascii="Times New Roman" w:hAnsi="Times New Roman"/>
                <w:noProof/>
                <w:sz w:val="20"/>
                <w:szCs w:val="20"/>
                <w:lang w:val="de-DE"/>
              </w:rPr>
            </w:pPr>
            <w:r>
              <w:rPr>
                <w:rFonts w:ascii="Times New Roman" w:hAnsi="Times New Roman"/>
                <w:i/>
                <w:noProof/>
                <w:sz w:val="20"/>
                <w:lang w:val="de-DE"/>
              </w:rPr>
              <w:t>(Urad RS za makroekonomske analize in razvoj)</w:t>
            </w:r>
          </w:p>
        </w:tc>
        <w:tc>
          <w:tcPr>
            <w:tcW w:w="1820" w:type="dxa"/>
            <w:tcBorders>
              <w:bottom w:val="single" w:sz="4" w:space="0" w:color="auto"/>
            </w:tcBorders>
            <w:shd w:val="clear" w:color="auto" w:fill="B8CCE4" w:themeFill="accent1" w:themeFillTint="66"/>
            <w:vAlign w:val="center"/>
          </w:tcPr>
          <w:p>
            <w:pPr>
              <w:keepNext/>
              <w:keepLines/>
              <w:jc w:val="center"/>
              <w:rPr>
                <w:rFonts w:ascii="Times New Roman" w:hAnsi="Times New Roman"/>
                <w:noProof/>
                <w:sz w:val="20"/>
                <w:szCs w:val="20"/>
                <w:lang w:val="de-DE"/>
              </w:rPr>
            </w:pPr>
            <w:r>
              <w:rPr>
                <w:rFonts w:ascii="Times New Roman" w:hAnsi="Times New Roman"/>
                <w:noProof/>
                <w:sz w:val="20"/>
                <w:lang w:val="de-DE"/>
              </w:rPr>
              <w:t>April 2018</w:t>
            </w:r>
          </w:p>
        </w:tc>
        <w:tc>
          <w:tcPr>
            <w:tcW w:w="2245" w:type="dxa"/>
            <w:tcBorders>
              <w:bottom w:val="single" w:sz="4" w:space="0" w:color="auto"/>
            </w:tcBorders>
            <w:shd w:val="clear" w:color="auto" w:fill="B8CCE4" w:themeFill="accent1" w:themeFillTint="66"/>
            <w:vAlign w:val="center"/>
          </w:tcPr>
          <w:p>
            <w:pPr>
              <w:keepNext/>
              <w:keepLines/>
              <w:rPr>
                <w:rFonts w:ascii="Times New Roman" w:hAnsi="Times New Roman"/>
                <w:noProof/>
                <w:sz w:val="20"/>
                <w:szCs w:val="20"/>
                <w:lang w:val="de-DE"/>
              </w:rPr>
            </w:pPr>
            <w:r>
              <w:rPr>
                <w:rFonts w:ascii="Times New Roman" w:hAnsi="Times New Roman"/>
                <w:noProof/>
                <w:sz w:val="20"/>
                <w:lang w:val="de-DE"/>
              </w:rPr>
              <w:t>Auf Grundlage einer bestehenden Einrichtung</w:t>
            </w:r>
          </w:p>
        </w:tc>
      </w:tr>
      <w:tr>
        <w:tc>
          <w:tcPr>
            <w:tcW w:w="8928" w:type="dxa"/>
            <w:gridSpan w:val="4"/>
            <w:tcBorders>
              <w:top w:val="single" w:sz="4" w:space="0" w:color="auto"/>
              <w:left w:val="nil"/>
              <w:bottom w:val="nil"/>
              <w:right w:val="nil"/>
            </w:tcBorders>
            <w:vAlign w:val="center"/>
          </w:tcPr>
          <w:p>
            <w:pPr>
              <w:keepNext/>
              <w:keepLines/>
              <w:ind w:left="-76"/>
              <w:rPr>
                <w:rFonts w:ascii="Times New Roman" w:hAnsi="Times New Roman"/>
                <w:noProof/>
                <w:sz w:val="18"/>
                <w:szCs w:val="18"/>
                <w:lang w:val="de-DE"/>
              </w:rPr>
            </w:pPr>
            <w:r>
              <w:rPr>
                <w:rFonts w:ascii="Times New Roman" w:hAnsi="Times New Roman"/>
                <w:noProof/>
                <w:sz w:val="18"/>
                <w:lang w:val="de-DE"/>
              </w:rPr>
              <w:t>Quelle: Antworten auf einen Fragebogen, den die Kommission den eingerichteten Ausschüssen und den Mitgliedern des Ausschusses für Wirtschaftspolitik im Dezember 2018 zugesandt hatte.</w:t>
            </w:r>
          </w:p>
        </w:tc>
      </w:tr>
    </w:tbl>
    <w:p>
      <w:pPr>
        <w:ind w:left="360"/>
        <w:jc w:val="both"/>
        <w:rPr>
          <w:rFonts w:ascii="Times New Roman" w:hAnsi="Times New Roman"/>
          <w:noProof/>
          <w:sz w:val="24"/>
          <w:lang w:val="de-DE"/>
        </w:rPr>
      </w:pPr>
    </w:p>
    <w:p>
      <w:pPr>
        <w:jc w:val="both"/>
        <w:rPr>
          <w:rFonts w:ascii="Times New Roman" w:hAnsi="Times New Roman"/>
          <w:b/>
          <w:noProof/>
          <w:sz w:val="24"/>
          <w:lang w:val="de-DE"/>
        </w:rPr>
      </w:pPr>
      <w:r>
        <w:rPr>
          <w:rFonts w:ascii="Times New Roman" w:hAnsi="Times New Roman"/>
          <w:b/>
          <w:noProof/>
          <w:sz w:val="24"/>
          <w:lang w:val="de-DE"/>
        </w:rPr>
        <w:t>Mit Ausnahme der Ausschüsse für Produktivität in Portugal und Zypern haben die Ausschüsse ein unbefristetes Mandat</w:t>
      </w:r>
      <w:r>
        <w:rPr>
          <w:rFonts w:ascii="Times New Roman" w:hAnsi="Times New Roman"/>
          <w:noProof/>
          <w:sz w:val="24"/>
          <w:lang w:val="de-DE"/>
        </w:rPr>
        <w:t>. Die Ausschüsse für Produktivität in Portugal und Zypern wurden für einen Zwei- bzw. Drei-Jahres-Zeitraum eingesetzt; wenn die Mandate nicht verlängert werden, werden sie ihre Arbeit danach einstellen. Die Ausschüsse für Produktivität sollten der Ratsempfehlung zufolge dauerhaft tätig sein.</w:t>
      </w:r>
      <w:r>
        <w:rPr>
          <w:rFonts w:ascii="Times New Roman" w:hAnsi="Times New Roman"/>
          <w:b/>
          <w:noProof/>
          <w:sz w:val="24"/>
          <w:lang w:val="de-DE"/>
        </w:rPr>
        <w:t xml:space="preserve"> </w:t>
      </w:r>
    </w:p>
    <w:p>
      <w:pPr>
        <w:jc w:val="both"/>
        <w:rPr>
          <w:rFonts w:ascii="Times New Roman" w:hAnsi="Times New Roman"/>
          <w:b/>
          <w:noProof/>
          <w:sz w:val="24"/>
          <w:lang w:val="de-DE"/>
        </w:rPr>
      </w:pPr>
      <w:r>
        <w:rPr>
          <w:rFonts w:ascii="Times New Roman" w:hAnsi="Times New Roman"/>
          <w:b/>
          <w:noProof/>
          <w:sz w:val="24"/>
          <w:lang w:val="de-DE"/>
        </w:rPr>
        <w:t xml:space="preserve">Die Mitgliedstaaten haben sich hinsichtlich der Organisationsstruktur im Wesentlichen für zwei Modelle entschieden: </w:t>
      </w:r>
    </w:p>
    <w:p>
      <w:pPr>
        <w:numPr>
          <w:ilvl w:val="0"/>
          <w:numId w:val="4"/>
        </w:numPr>
        <w:contextualSpacing/>
        <w:jc w:val="both"/>
        <w:rPr>
          <w:rFonts w:ascii="Times New Roman" w:hAnsi="Times New Roman"/>
          <w:noProof/>
          <w:sz w:val="24"/>
          <w:lang w:val="de-DE"/>
        </w:rPr>
      </w:pPr>
      <w:r>
        <w:rPr>
          <w:rFonts w:ascii="Times New Roman" w:hAnsi="Times New Roman"/>
          <w:noProof/>
          <w:sz w:val="24"/>
          <w:lang w:val="de-DE"/>
        </w:rPr>
        <w:t>Beim ersten Modell gehören dem Ausschuss mehrere Mitglieder an, die aus der Wissenschaft, Wirtschaftsverbänden, Gewerkschaften, Ministerien und/oder anderen öffentlichen Einrichtungen ausgewählt wurden; der Ausschuss wird von einem Vorsitzenden oder Präsidenten geleitet (Belgien, Dänemark, Finnland, Frankreich, Irland, Luxemburg, Rumänien, Ungarn</w:t>
      </w:r>
      <w:r>
        <w:rPr>
          <w:rFonts w:ascii="Times New Roman" w:hAnsi="Times New Roman"/>
          <w:noProof/>
          <w:sz w:val="24"/>
          <w:vertAlign w:val="superscript"/>
          <w:lang w:val="de-DE"/>
        </w:rPr>
        <w:footnoteReference w:id="10"/>
      </w:r>
      <w:r>
        <w:rPr>
          <w:rFonts w:ascii="Times New Roman" w:hAnsi="Times New Roman"/>
          <w:noProof/>
          <w:sz w:val="24"/>
          <w:lang w:val="de-DE"/>
        </w:rPr>
        <w:t xml:space="preserve"> und Zypern). Die Ausschüsse haben zwischen vier (Dänemark und Finnland) und 16 (Irland) Mitglieder, die – außer in Dänemark – keine Vergütung erhalten; jedoch kann ihnen eine Entschädigung für die Teilnahme an Sitzungen gezahlt werden. Der Ausschuss wird in technischen oder Sekretariatsangelegenheiten von einem Ministerium (Finnland, Irland, Ungarn und Zypern), einer anderen öffentlichen Einrichtung als einem Ministerium (Frankreich, Luxemburg und Rumänien) oder einem zu diesem Zweck benannten Expertenteam (Belgien und Dänemark) unterstützt.</w:t>
      </w:r>
    </w:p>
    <w:p>
      <w:pPr>
        <w:numPr>
          <w:ilvl w:val="0"/>
          <w:numId w:val="4"/>
        </w:numPr>
        <w:contextualSpacing/>
        <w:jc w:val="both"/>
        <w:rPr>
          <w:rFonts w:ascii="Times New Roman" w:hAnsi="Times New Roman"/>
          <w:noProof/>
          <w:sz w:val="24"/>
          <w:lang w:val="de-DE"/>
        </w:rPr>
      </w:pPr>
      <w:r>
        <w:rPr>
          <w:rFonts w:ascii="Times New Roman" w:hAnsi="Times New Roman"/>
          <w:noProof/>
          <w:sz w:val="24"/>
          <w:lang w:val="de-DE"/>
        </w:rPr>
        <w:t>Alternativ zum ersten Modell übernimmt die Rolle des Ausschusses für Produktivität eine Einrichtung wie ein Forschungsinstitut (Niederlande und Slowenien) oder ein Ministerium (Portugal) unter Leitung eines in Vollzeit tätigen und bezahlten Direktors oder Vorsitzenden, der über eigenes Personal verfügt.</w:t>
      </w:r>
      <w:r>
        <w:rPr>
          <w:rFonts w:ascii="Times New Roman" w:hAnsi="Times New Roman"/>
          <w:noProof/>
          <w:sz w:val="24"/>
          <w:vertAlign w:val="superscript"/>
          <w:lang w:val="de-DE"/>
        </w:rPr>
        <w:t xml:space="preserve"> </w:t>
      </w:r>
      <w:r>
        <w:rPr>
          <w:rFonts w:ascii="Times New Roman" w:hAnsi="Times New Roman"/>
          <w:noProof/>
          <w:sz w:val="24"/>
          <w:vertAlign w:val="superscript"/>
          <w:lang w:val="de-DE"/>
        </w:rPr>
        <w:footnoteReference w:id="11"/>
      </w:r>
    </w:p>
    <w:p>
      <w:pPr>
        <w:pStyle w:val="Heading2"/>
        <w:rPr>
          <w:noProof/>
          <w:lang w:val="de-DE"/>
        </w:rPr>
      </w:pPr>
      <w:r>
        <w:rPr>
          <w:noProof/>
          <w:lang w:val="de-DE"/>
        </w:rPr>
        <w:t>Funktionelle Eigenständigkeit</w:t>
      </w:r>
    </w:p>
    <w:p>
      <w:pPr>
        <w:jc w:val="both"/>
        <w:rPr>
          <w:rFonts w:ascii="Times New Roman" w:hAnsi="Times New Roman"/>
          <w:noProof/>
          <w:sz w:val="24"/>
          <w:lang w:val="de-DE"/>
        </w:rPr>
      </w:pPr>
      <w:r>
        <w:rPr>
          <w:rFonts w:ascii="Times New Roman" w:hAnsi="Times New Roman"/>
          <w:b/>
          <w:noProof/>
          <w:sz w:val="24"/>
          <w:lang w:val="de-DE"/>
        </w:rPr>
        <w:t xml:space="preserve">Die funktionelle Eigenständigkeit ist für die Ausschüsse für Produktivität entscheidend, um glaubwürdig zu sein und die Debatte im Mitgliedstaat zu befruchten. </w:t>
      </w:r>
      <w:r>
        <w:rPr>
          <w:rFonts w:ascii="Times New Roman" w:hAnsi="Times New Roman"/>
          <w:noProof/>
          <w:sz w:val="24"/>
          <w:lang w:val="de-DE"/>
        </w:rPr>
        <w:t xml:space="preserve">Die unabhängige und hochwertige wirtschaftliche Analyse politischer Herausforderungen kann die Transparenz erhöhen und den politischen Dialog in den Mitgliedstaaten vertiefen. Der Ratsempfehlung zufolge ist es entscheidend, dass die Ausschüsse für Produktivität mit funktioneller Eigenständigkeit gegenüber allen Behörden ausgestattet sind, die in den Mitgliedstaaten für die Gestaltung und Umsetzung der Politik im Bereich der Produktivität und Wettbewerbsfähigkeit zuständig sind. Dieser Aspekt ist wichtig, da die Ausschüsse für Produktivität in der Regel auf Regierungsstrukturen und -ressourcen aufbauen und sich der Herausforderung gegenübersehen, sich als unparteiische Einrichtungen zu etablieren. </w:t>
      </w:r>
    </w:p>
    <w:p>
      <w:pPr>
        <w:jc w:val="both"/>
        <w:rPr>
          <w:rFonts w:ascii="Times New Roman" w:hAnsi="Times New Roman"/>
          <w:noProof/>
          <w:sz w:val="24"/>
          <w:lang w:val="de-DE"/>
        </w:rPr>
      </w:pPr>
      <w:r>
        <w:rPr>
          <w:rFonts w:ascii="Times New Roman" w:hAnsi="Times New Roman"/>
          <w:b/>
          <w:noProof/>
          <w:sz w:val="24"/>
          <w:lang w:val="de-DE"/>
        </w:rPr>
        <w:t>In einigen wenigen Fällen ist die funktionelle Eigenständigkeit gesetzlich garantiert.</w:t>
      </w:r>
      <w:r>
        <w:rPr>
          <w:rFonts w:ascii="Times New Roman" w:hAnsi="Times New Roman"/>
          <w:noProof/>
          <w:sz w:val="24"/>
          <w:lang w:val="de-DE"/>
        </w:rPr>
        <w:t xml:space="preserve"> In Belgien, Finnland, Luxemburg, den Niederlanden und Slowenien ist die funktionelle Eigenständigkeit in den Vorschriften zur Einrichtung der Ausschüsse für Produktivität ausdrücklich festgeschrieben. </w:t>
      </w:r>
    </w:p>
    <w:p>
      <w:pPr>
        <w:jc w:val="both"/>
        <w:rPr>
          <w:rFonts w:ascii="Times New Roman" w:hAnsi="Times New Roman"/>
          <w:noProof/>
          <w:sz w:val="24"/>
          <w:lang w:val="de-DE"/>
        </w:rPr>
      </w:pPr>
      <w:r>
        <w:rPr>
          <w:rFonts w:ascii="Times New Roman" w:hAnsi="Times New Roman"/>
          <w:b/>
          <w:noProof/>
          <w:sz w:val="24"/>
          <w:lang w:val="de-DE"/>
        </w:rPr>
        <w:t>Alle Ausschüsse für Produktivität haben angegeben, dass sie ihr Arbeitsprogramm selbstständig beschließen.</w:t>
      </w:r>
      <w:r>
        <w:rPr>
          <w:rFonts w:ascii="Times New Roman" w:hAnsi="Times New Roman"/>
          <w:noProof/>
          <w:sz w:val="24"/>
          <w:lang w:val="de-DE"/>
        </w:rPr>
        <w:t xml:space="preserve"> Zudem erfordert ihre Forschungsarbeit vor der Veröffentlichung offenbar nicht die Billigung durch die politische Ebene (und auch keine andere externe Clearance). Im Falle von Ausschüssen für Produktivität, die Teil eines Ministeriums sind und nicht durch Vorschriften in ihrer funktionellen Eigenständigkeit gestützt werden (Portugal und Litauen), dürfte die Annahme des Jahresberichts allerdings den Standardverfahren des Ministeriums entsprechen. In allen Fällen wird die tatsächliche Bilanz der Ausschüsse bei der Bereitstellung unabhängiger relevanter Analysen und einer transparenten und ausgewogenen Kommunikation ihrer Befunde zeigen, ob das in der Ratsempfehlung geforderte hohe Maß an funktioneller Eigenständigkeit erreicht wurde.  </w:t>
      </w:r>
    </w:p>
    <w:p>
      <w:pPr>
        <w:jc w:val="both"/>
        <w:rPr>
          <w:rFonts w:ascii="Times New Roman" w:hAnsi="Times New Roman"/>
          <w:noProof/>
          <w:sz w:val="24"/>
          <w:lang w:val="de-DE"/>
        </w:rPr>
      </w:pPr>
      <w:r>
        <w:rPr>
          <w:rFonts w:ascii="Times New Roman" w:hAnsi="Times New Roman"/>
          <w:b/>
          <w:noProof/>
          <w:sz w:val="24"/>
          <w:lang w:val="de-DE"/>
        </w:rPr>
        <w:t>Die Ausschüsse für Produktivität sollten Zugang zu den für die Erfüllung ihres Mandats notwendigen Informationen haben.</w:t>
      </w:r>
      <w:r>
        <w:rPr>
          <w:rFonts w:ascii="Times New Roman" w:hAnsi="Times New Roman"/>
          <w:noProof/>
          <w:sz w:val="24"/>
          <w:lang w:val="de-DE"/>
        </w:rPr>
        <w:t xml:space="preserve"> Drei Mitgliedstaaten (Belgien, Luxemburg und Rumänien) gewährleisten den Zugang der Ausschüsse zu Informationen durch gesetzliche Bestimmungen. Einige andere Ausschüsse für Produktivität beabsichtigen die Unterzeichnung eines Memorandums mit der Statistikbehörde des Mitgliedstaats, in dem sie ansässig sind, um den Zugang zu Informationen sicherzustellen (Finnland). Derartige rechtliche Bestimmungen existieren in den meisten Fällen nicht, doch sehen die Ausschüsse ihren Zugang zu Daten und Informationen als ausreichend an.</w:t>
      </w:r>
    </w:p>
    <w:p>
      <w:pPr>
        <w:jc w:val="both"/>
        <w:rPr>
          <w:rFonts w:ascii="Times New Roman" w:hAnsi="Times New Roman"/>
          <w:noProof/>
          <w:sz w:val="24"/>
          <w:lang w:val="de-DE"/>
        </w:rPr>
      </w:pPr>
      <w:r>
        <w:rPr>
          <w:rFonts w:ascii="Times New Roman" w:hAnsi="Times New Roman"/>
          <w:b/>
          <w:noProof/>
          <w:sz w:val="24"/>
          <w:lang w:val="de-DE"/>
        </w:rPr>
        <w:t xml:space="preserve">Auch angemessene Eignungskriterien, die von den Mitgliedern und/oder der Leitung des Ausschusses zu erfüllen sind, können die funktionelle Eigenständigkeit stärken. </w:t>
      </w:r>
      <w:r>
        <w:rPr>
          <w:rFonts w:ascii="Times New Roman" w:hAnsi="Times New Roman"/>
          <w:noProof/>
          <w:sz w:val="24"/>
          <w:lang w:val="de-DE"/>
        </w:rPr>
        <w:t>Dies soll dazu beitragen, die Qualität und Unabhängigkeit der Arbeitsergebnisse der Ausschüsse für Produktivität zu gewährleisten. Kriterien können akademische Qualifikationen (Niederlande und Slowenien), Fachkenntnisse in dem Bereich (Belgien, Dänemark, Finnland, Frankreich, Niederlande, Rumänien und Ungarn), Kriterien zur Vermeidung von Interessenskonflikten (Belgien und Dänemark) und zur Gewährleistung einer ausgewogenen Vertretung von Interessenträgern (Irland) sein.</w:t>
      </w:r>
    </w:p>
    <w:p>
      <w:pPr>
        <w:pStyle w:val="Heading2"/>
        <w:rPr>
          <w:noProof/>
          <w:lang w:val="de-DE"/>
        </w:rPr>
      </w:pPr>
      <w:r>
        <w:rPr>
          <w:noProof/>
          <w:lang w:val="de-DE"/>
        </w:rPr>
        <w:t>Aufgaben</w:t>
      </w:r>
    </w:p>
    <w:p>
      <w:pPr>
        <w:jc w:val="both"/>
        <w:rPr>
          <w:rFonts w:ascii="Times New Roman" w:hAnsi="Times New Roman"/>
          <w:noProof/>
          <w:sz w:val="24"/>
          <w:lang w:val="de-DE"/>
        </w:rPr>
      </w:pPr>
      <w:r>
        <w:rPr>
          <w:rFonts w:ascii="Times New Roman" w:hAnsi="Times New Roman"/>
          <w:b/>
          <w:noProof/>
          <w:sz w:val="24"/>
          <w:lang w:val="de-DE"/>
        </w:rPr>
        <w:t>Die den eingesetzten Ausschüssen für Produktivität zugewiesenen Aufgaben entsprechen im Wesentlichen der Empfehlung des Rates</w:t>
      </w:r>
      <w:r>
        <w:rPr>
          <w:rFonts w:ascii="Times New Roman" w:hAnsi="Times New Roman"/>
          <w:noProof/>
          <w:sz w:val="24"/>
          <w:lang w:val="de-DE"/>
        </w:rPr>
        <w:t xml:space="preserve">. Die Ausschüsse für Produktivität haben zwei zentrale Aufgaben: i) Diagnose und Analyse der Entwicklungen im Bereich der Produktivität und Wettbewerbsfähigkeit in dem betreffenden Mitgliedstaat und ii) unabhängige Analyse der politischen Herausforderungen im Bereich der Produktivität und Wettbewerbsfähigkeit. Das Mandat aller Ausschüsse für Produktivität – mit Ausnahme des ungarischen – umfasst im Einklang mit Punkt sechs der Empfehlung des Rates auch die Veröffentlichung eines Jahresberichts. Nach Veröffentlichung der Jahresberichte, die das zentrale Instrument der Ausschüsse sind, um die Produktivitätsdebatte in Schwung zu bringen, will die Mehrzahl der Ausschüsse öffentlichkeitswirksame Aktivitäten wie Veranstaltungen und Workshops organisieren. </w:t>
      </w:r>
    </w:p>
    <w:p>
      <w:pPr>
        <w:jc w:val="both"/>
        <w:rPr>
          <w:rFonts w:ascii="Times New Roman" w:hAnsi="Times New Roman"/>
          <w:noProof/>
          <w:sz w:val="24"/>
          <w:lang w:val="de-DE"/>
        </w:rPr>
      </w:pPr>
      <w:r>
        <w:rPr>
          <w:rFonts w:ascii="Times New Roman" w:hAnsi="Times New Roman"/>
          <w:b/>
          <w:noProof/>
          <w:sz w:val="24"/>
          <w:lang w:val="de-DE"/>
        </w:rPr>
        <w:t>Einige der Mandate der nationalen Ausschüsse für Produktivität weisen spezifische Merkmale auf</w:t>
      </w:r>
      <w:r>
        <w:rPr>
          <w:rFonts w:ascii="Times New Roman" w:hAnsi="Times New Roman"/>
          <w:noProof/>
          <w:sz w:val="24"/>
          <w:lang w:val="de-DE"/>
        </w:rPr>
        <w:t>. So umfasst beispielsweise das Mandat des belgischen Ausschusses die Erforschung der Auswirkungen und der Umsetzung der Empfehlungen der europäischen Organe in den Bereichen Produktivität und Wettbewerbsfähigkeit. In Frankreich und Litauen wollen die Ausschüsse für Produktivität Empfehlungen in ihre Jahresberichte aufnehmen, während der irische Ausschuss auch andere Berichte veröffentlichen könnte, die Empfehlungen für zur Steigerung der Wettbewerbsfähigkeit erforderliche Maßnahmen enthalten. Der Ausschuss in Zypern hat die Aufgabe, einen Dialog mit Interessenträgern über die wichtigsten Themen im Bereich Wettbewerbsfähigkeit und Produktivität zu führen.</w:t>
      </w:r>
    </w:p>
    <w:p>
      <w:pPr>
        <w:numPr>
          <w:ilvl w:val="1"/>
          <w:numId w:val="3"/>
        </w:numPr>
        <w:jc w:val="both"/>
        <w:rPr>
          <w:rFonts w:ascii="Times New Roman" w:hAnsi="Times New Roman"/>
          <w:b/>
          <w:noProof/>
          <w:sz w:val="24"/>
          <w:lang w:val="de-DE"/>
        </w:rPr>
      </w:pPr>
      <w:r>
        <w:rPr>
          <w:rFonts w:ascii="Times New Roman" w:hAnsi="Times New Roman"/>
          <w:b/>
          <w:noProof/>
          <w:sz w:val="24"/>
          <w:lang w:val="de-DE"/>
        </w:rPr>
        <w:t>Fähigkeit zur Erstellung hochwertiger, ausgewogener Analysen</w:t>
      </w:r>
    </w:p>
    <w:p>
      <w:pPr>
        <w:jc w:val="both"/>
        <w:rPr>
          <w:rFonts w:ascii="Times New Roman" w:hAnsi="Times New Roman"/>
          <w:noProof/>
          <w:sz w:val="24"/>
          <w:lang w:val="de-DE"/>
        </w:rPr>
      </w:pPr>
      <w:r>
        <w:rPr>
          <w:rFonts w:ascii="Times New Roman" w:hAnsi="Times New Roman"/>
          <w:b/>
          <w:noProof/>
          <w:sz w:val="24"/>
          <w:lang w:val="de-DE"/>
        </w:rPr>
        <w:t>Ein Tätigkeitsschwerpunkt der Ausschüsse für Produktivität sind wirtschaftliche und statistische Analysen, um einen fundierten Beitrag zur öffentlichen Diskussion über produktivitätssteigernde Strategien zu leisten.</w:t>
      </w:r>
      <w:r>
        <w:rPr>
          <w:rFonts w:ascii="Times New Roman" w:hAnsi="Times New Roman"/>
          <w:noProof/>
          <w:sz w:val="24"/>
          <w:lang w:val="de-DE"/>
        </w:rPr>
        <w:t xml:space="preserve"> Aus den Antworten auf die Befragung durch die Kommission geht hervor, dass die Ausschüsse in der Lage sind, selbstständig oder mithilfe der sie unterstützenden Einrichtungen wissenschaftlich zu forschen. </w:t>
      </w:r>
    </w:p>
    <w:p>
      <w:pPr>
        <w:jc w:val="both"/>
        <w:rPr>
          <w:rFonts w:ascii="Times New Roman" w:hAnsi="Times New Roman"/>
          <w:noProof/>
          <w:sz w:val="24"/>
          <w:lang w:val="de-DE"/>
        </w:rPr>
      </w:pPr>
      <w:r>
        <w:rPr>
          <w:rFonts w:ascii="Times New Roman" w:hAnsi="Times New Roman"/>
          <w:b/>
          <w:noProof/>
          <w:sz w:val="24"/>
          <w:lang w:val="de-DE"/>
        </w:rPr>
        <w:t>Auf bereits bestehende Einrichtungen gestützte Ausschüsse können im Allgemeinen auf eigene hochwertige Analysen aufbauen und haben in ihrer Funktion als Ausschüsse für Produktivität bereits Themen in Zusammenhang mit der Produktivität untersucht</w:t>
      </w:r>
      <w:r>
        <w:rPr>
          <w:rFonts w:ascii="Times New Roman" w:hAnsi="Times New Roman"/>
          <w:noProof/>
          <w:sz w:val="24"/>
          <w:lang w:val="de-DE"/>
        </w:rPr>
        <w:t xml:space="preserve"> (Dänemark, Irland, die Niederlande, Portugal und Slowenien). Die Ausschüsse in Dänemark und Irland haben ihre Jahresberichte bereits veröffentlicht, mehrere weitere Berichte stehen kurz vor der Veröffentlichung.</w:t>
      </w:r>
      <w:r>
        <w:rPr>
          <w:rFonts w:ascii="Times New Roman" w:hAnsi="Times New Roman"/>
          <w:b/>
          <w:noProof/>
          <w:sz w:val="24"/>
          <w:lang w:val="de-DE"/>
        </w:rPr>
        <w:t xml:space="preserve"> </w:t>
      </w:r>
      <w:r>
        <w:rPr>
          <w:rFonts w:ascii="Times New Roman" w:hAnsi="Times New Roman"/>
          <w:noProof/>
          <w:sz w:val="24"/>
          <w:lang w:val="de-DE"/>
        </w:rPr>
        <w:t>Als Beispiel für andere relevante Analysen kann das Wettbewerbsfähigkeits-Scoreboard dienen, das der irische Ausschuss 2018 veröffentlichte, um die Wettbewerbsleistung Irlands im Verhältnis zu einer Reihe ausgewählter Länder zu bewerten. Der niederländische Ausschuss für Produktivität hat Studien vorgelegt, die sich mit Themen wie Produktivitätsunterschieden zwischen Firmen und den Erträgen der Hochschulbildung auseinandersetzen. Mitglieder einiger Ausschüsse für Produktivität sind sehr renommierte Akademiker, was die Qualität und Relevanz ihrer Analysen gewährleisten und zur Glaubwürdigkeit ihrer Befunde beitragen dürfte. Darüber hinaus können die meisten Ausschüsse für Produktivität auch Studien bei Dritten in Auftrag geben.</w:t>
      </w:r>
    </w:p>
    <w:p>
      <w:pPr>
        <w:jc w:val="both"/>
        <w:rPr>
          <w:rFonts w:ascii="Times New Roman" w:hAnsi="Times New Roman"/>
          <w:noProof/>
          <w:sz w:val="24"/>
          <w:lang w:val="de-DE"/>
        </w:rPr>
      </w:pPr>
      <w:r>
        <w:rPr>
          <w:rFonts w:ascii="Times New Roman" w:hAnsi="Times New Roman"/>
          <w:b/>
          <w:noProof/>
          <w:sz w:val="24"/>
          <w:lang w:val="de-DE"/>
        </w:rPr>
        <w:t>Um eine ausgewogene Vertretung verschiedener Sichtweisen zu gewährleisten, können Ausschüsse für Produktivität einschlägige Interessenträger konsultieren, sollten aber unparteiisch bleiben.</w:t>
      </w:r>
      <w:r>
        <w:rPr>
          <w:rFonts w:ascii="Times New Roman" w:hAnsi="Times New Roman"/>
          <w:noProof/>
          <w:sz w:val="24"/>
          <w:lang w:val="de-DE"/>
        </w:rPr>
        <w:t xml:space="preserve"> Insbesondere sollten die Ausschüsse für Produktivität gemäß der Ratsempfehlung nicht ausschließlich oder überwiegend die Ansichten und Interessen einer bestimmten Gruppe von Interessenträgern vermitteln. Im Fall von Irland und Ungarn sind Gewerkschaften und Wirtschaftsverbände direkt in den Ausschüssen vertreten. Alle anderen Ausschüsse haben mitgeteilt, dass sie Interessenträger entweder formell (Belgien, Frankreich, Litauen, Luxemburg, Rumänien und Zypern) oder informell (Dänemark, Finnland, die Niederlande, Portugal und Slowenien) konsultieren.</w:t>
      </w:r>
    </w:p>
    <w:p>
      <w:pPr>
        <w:pStyle w:val="Heading1"/>
        <w:rPr>
          <w:noProof/>
          <w:sz w:val="28"/>
          <w:szCs w:val="28"/>
          <w:lang w:val="de-DE"/>
        </w:rPr>
      </w:pPr>
      <w:r>
        <w:rPr>
          <w:noProof/>
          <w:sz w:val="28"/>
          <w:lang w:val="de-DE"/>
        </w:rPr>
        <w:t xml:space="preserve">Zusammenarbeit der nationalen Ausschüsse für Produktivität und Rolle der Kommission </w:t>
      </w:r>
    </w:p>
    <w:p>
      <w:pPr>
        <w:jc w:val="both"/>
        <w:rPr>
          <w:rFonts w:ascii="Times New Roman" w:hAnsi="Times New Roman" w:cs="Times New Roman"/>
          <w:noProof/>
          <w:sz w:val="24"/>
          <w:szCs w:val="24"/>
          <w:lang w:val="de-DE"/>
        </w:rPr>
      </w:pPr>
      <w:r>
        <w:rPr>
          <w:rFonts w:ascii="Times New Roman" w:hAnsi="Times New Roman"/>
          <w:b/>
          <w:noProof/>
          <w:sz w:val="24"/>
          <w:lang w:val="de-DE"/>
        </w:rPr>
        <w:t xml:space="preserve">Da die Herausforderungen im Bereich der Produktivität ein grenzüberschreitendes Phänomen sind, ist eine Zusammenarbeit der Ausschüsse für Produktivität gefragt – insbesondere in der Euro-Währungszone. </w:t>
      </w:r>
      <w:r>
        <w:rPr>
          <w:rFonts w:ascii="Times New Roman" w:hAnsi="Times New Roman"/>
          <w:noProof/>
          <w:sz w:val="24"/>
          <w:lang w:val="de-DE"/>
        </w:rPr>
        <w:t xml:space="preserve">In diesem Sinne regte der Bericht der fünf Präsidenten ein System von Ausschüssen für Produktivität für den gesamten Euro-Raum an, das die nationalen Einrichtungen und die Kommission zusammenbringt. </w:t>
      </w:r>
    </w:p>
    <w:p>
      <w:pPr>
        <w:jc w:val="both"/>
        <w:rPr>
          <w:noProof/>
          <w:szCs w:val="24"/>
          <w:lang w:val="de-DE"/>
        </w:rPr>
      </w:pPr>
      <w:r>
        <w:rPr>
          <w:rFonts w:ascii="Times New Roman" w:hAnsi="Times New Roman"/>
          <w:b/>
          <w:noProof/>
          <w:sz w:val="24"/>
          <w:lang w:val="de-DE"/>
        </w:rPr>
        <w:t xml:space="preserve">Die bereits bestehenden Ausschüsse für Produktivität haben den Meinungsaustausch über Themen und Praktiken im Bereich Produktivität aufgenommen. </w:t>
      </w:r>
      <w:r>
        <w:rPr>
          <w:rFonts w:ascii="Times New Roman" w:hAnsi="Times New Roman"/>
          <w:noProof/>
          <w:sz w:val="24"/>
          <w:lang w:val="de-DE"/>
        </w:rPr>
        <w:t>Seit 2017 hat die Kommission mehrere Veranstaltungen (Workshops und Konferenzen) mit dem Ziel organisiert, ein Netzwerk von Ausschüssen für Produktivität zu schaffen. Das von der Kommission geförderte Netzwerk soll die Zusammenarbeit der nationalen Ausschüsse für Produktivität unterstützen; dies soll durch den Austausch von Meinungen und bewährten Praktiken sowie durch den Anstoß zu Diskussionen über Produktivität und Wettbewerbsfähigkeit in den Mitgliedstaaten – unter Berücksichtigung des umfassenderen Kontexts der Euro-Zone und der Union – geschehen. Vorgesehen sind regelmäßige halbjährliche Sitzungen sowie ein fortlaufender Meinungsaustausch über eine eigene virtuelle Networking-Anwendung. Die Kommission wird eine gute Zusammenarbeit und die wechselseitige Ergänzung mit dem globalen Produktivitätsforum der Organisation für wirtschaftliche Zusammenarbeit und Entwicklung (OECD) gewährleisten.</w:t>
      </w:r>
    </w:p>
    <w:p>
      <w:pPr>
        <w:jc w:val="both"/>
        <w:rPr>
          <w:rFonts w:ascii="Times New Roman" w:hAnsi="Times New Roman" w:cs="Times New Roman"/>
          <w:noProof/>
          <w:sz w:val="24"/>
          <w:szCs w:val="24"/>
          <w:lang w:val="de-DE"/>
        </w:rPr>
      </w:pPr>
      <w:r>
        <w:rPr>
          <w:rFonts w:ascii="Times New Roman" w:hAnsi="Times New Roman"/>
          <w:b/>
          <w:noProof/>
          <w:sz w:val="24"/>
          <w:lang w:val="de-DE"/>
        </w:rPr>
        <w:t xml:space="preserve">Das unabhängige Fachwissen der Ausschüsse kann in Zusammenhang mit dem Europäischen Semester und dem Verfahren bei einem makroökonomischen Ungleichgewicht genutzt werden. </w:t>
      </w:r>
      <w:r>
        <w:rPr>
          <w:rFonts w:ascii="Times New Roman" w:hAnsi="Times New Roman"/>
          <w:noProof/>
          <w:sz w:val="24"/>
          <w:lang w:val="de-DE"/>
        </w:rPr>
        <w:t xml:space="preserve">Studien und Analysen der bestehenden, anerkannten Einrichtungen, die als Ausschüsse für Produktivität eingesetzt wurden, wurden in Zusammenhang mit dem Europäischen Semester gründlich genutzt. Die Kommission wird – wie in der Empfehlung des Rates erwähnt – einen regelmäßigen Meinungsaustausch mit allen teilnehmenden Ausschüssen für Produktivität führen, unter anderem im Rahmen von Tatsachenfeststellungen. </w:t>
      </w:r>
    </w:p>
    <w:p>
      <w:pPr>
        <w:pStyle w:val="Heading1"/>
        <w:rPr>
          <w:noProof/>
          <w:sz w:val="28"/>
          <w:szCs w:val="28"/>
          <w:lang w:val="de-DE"/>
        </w:rPr>
      </w:pPr>
      <w:r>
        <w:rPr>
          <w:noProof/>
          <w:sz w:val="28"/>
          <w:lang w:val="de-DE"/>
        </w:rPr>
        <w:t>Schlussfolgerungen</w:t>
      </w:r>
      <w:r>
        <w:rPr>
          <w:i/>
          <w:noProof/>
          <w:sz w:val="28"/>
          <w:lang w:val="de-DE"/>
        </w:rPr>
        <w:t xml:space="preserve"> </w:t>
      </w:r>
    </w:p>
    <w:p>
      <w:pPr>
        <w:jc w:val="both"/>
        <w:rPr>
          <w:rFonts w:ascii="Times New Roman" w:hAnsi="Times New Roman" w:cs="Times New Roman"/>
          <w:noProof/>
          <w:sz w:val="24"/>
          <w:szCs w:val="24"/>
          <w:lang w:val="de-DE"/>
        </w:rPr>
      </w:pPr>
      <w:r>
        <w:rPr>
          <w:rFonts w:ascii="Times New Roman" w:hAnsi="Times New Roman"/>
          <w:b/>
          <w:noProof/>
          <w:sz w:val="24"/>
          <w:lang w:val="de-DE"/>
        </w:rPr>
        <w:t xml:space="preserve">Dieser Bericht stellt eine erste Bewertung der formellen Eigenschaften dar, die die eingesetzten Ausschüsse für Produktivität kennzeichnen. </w:t>
      </w:r>
      <w:r>
        <w:rPr>
          <w:rFonts w:ascii="Times New Roman" w:hAnsi="Times New Roman"/>
          <w:noProof/>
          <w:sz w:val="24"/>
          <w:lang w:val="de-DE"/>
        </w:rPr>
        <w:t>Damit erfüllt die Kommission das Ersuchen in der Ratsempfehlung, einen Fortschrittsbericht über die Umsetzung und Angemessenheit der Empfehlung auszuarbeiten. Auf der Grundlage der von den Mitgliedstaaten bereitgestellten Informationen erscheint eine Überarbeitung der Empfehlung des Rates derzeit nicht erforderlich.</w:t>
      </w:r>
    </w:p>
    <w:p>
      <w:pPr>
        <w:jc w:val="both"/>
        <w:rPr>
          <w:rFonts w:ascii="Times New Roman" w:hAnsi="Times New Roman" w:cs="Times New Roman"/>
          <w:noProof/>
          <w:sz w:val="24"/>
          <w:szCs w:val="24"/>
          <w:lang w:val="de-DE"/>
        </w:rPr>
      </w:pPr>
      <w:r>
        <w:rPr>
          <w:rFonts w:ascii="Times New Roman" w:hAnsi="Times New Roman"/>
          <w:b/>
          <w:noProof/>
          <w:sz w:val="24"/>
          <w:lang w:val="de-DE"/>
        </w:rPr>
        <w:t xml:space="preserve">Es ist ermutigend, dass die Mehrzahl der Euro-Mitgliedstaaten ihre nationalen Ausschüsse für Produktivität eingerichtet hat und die verbleibenden diesem Beispiel bald folgen wollen. </w:t>
      </w:r>
      <w:r>
        <w:rPr>
          <w:rFonts w:ascii="Times New Roman" w:hAnsi="Times New Roman"/>
          <w:noProof/>
          <w:sz w:val="24"/>
          <w:lang w:val="de-DE"/>
        </w:rPr>
        <w:t>Die Ausschüsse für Produktivität haben großes Potenzial, die Diskussionen über Strategien zur Steigerung von Produktivität und Wettbewerbsfähigkeit zu beeinflussen und deren Umsetzung dadurch zu erleichtern, dass die Länder Reformagenden verstärkt selbst in die Hand nehmen. Die Arbeit der Ausschüsse kann die für mehr Konvergenz und Resilienz erforderlichen Reformen im Euro-Raum ganz konkret unterstützen und so die Governance-Struktur des Euro-Raums ergänzen.</w:t>
      </w:r>
    </w:p>
    <w:p>
      <w:pPr>
        <w:jc w:val="both"/>
        <w:rPr>
          <w:rFonts w:ascii="Times New Roman" w:hAnsi="Times New Roman" w:cs="Times New Roman"/>
          <w:noProof/>
          <w:sz w:val="24"/>
          <w:szCs w:val="24"/>
          <w:lang w:val="de-DE"/>
        </w:rPr>
      </w:pPr>
      <w:r>
        <w:rPr>
          <w:rFonts w:ascii="Times New Roman" w:hAnsi="Times New Roman"/>
          <w:b/>
          <w:noProof/>
          <w:sz w:val="24"/>
          <w:lang w:val="de-DE"/>
        </w:rPr>
        <w:t>Mitgliedstaaten, die ihre nationalen Ausschüsse für Produktivität noch nicht eingesetzt haben, sollten den Ernennungsprozess so rasch wie möglich abschließen.</w:t>
      </w:r>
      <w:r>
        <w:rPr>
          <w:rFonts w:ascii="Times New Roman" w:hAnsi="Times New Roman"/>
          <w:noProof/>
          <w:sz w:val="24"/>
          <w:lang w:val="de-DE"/>
        </w:rPr>
        <w:t xml:space="preserve"> Der Nutzen derartiger Einrichtungen hat sich in vielen europäischen Ländern und auf der ganzen Welt gezeigt. In einigen Mitgliedstaaten genießen die eingesetzten Ausschüsse für Produktivität hohes Ansehen und beeinflussen die nationale Produktivitätsdebatte nachweislich. In anderen Mitgliedstaaten müssen die Ausschüsse noch Profil entwickeln. Angesichts der Herausforderungen in Europa im Bereich Produktivität wird von den Ausschüssen erwartet, dass sie auf nationaler Ebene, auf Ebene des Euro-Währungsgebiets und auf Unionsebene für Eigenverantwortlichkeit bei politischen Maßnahmen zur Unterstützung der Produktivität sorgen. Diese Eigenverantwortlichkeit ist auch in Anbetracht des von der Kommission</w:t>
      </w:r>
      <w:r>
        <w:rPr>
          <w:rFonts w:ascii="Times New Roman" w:hAnsi="Times New Roman"/>
          <w:noProof/>
          <w:sz w:val="24"/>
          <w:vertAlign w:val="superscript"/>
          <w:lang w:val="de-DE"/>
        </w:rPr>
        <w:footnoteReference w:id="12"/>
      </w:r>
      <w:r>
        <w:rPr>
          <w:rFonts w:ascii="Times New Roman" w:hAnsi="Times New Roman"/>
          <w:noProof/>
          <w:sz w:val="24"/>
          <w:lang w:val="de-DE"/>
        </w:rPr>
        <w:t xml:space="preserve"> in Zusammenhang mit dem</w:t>
      </w:r>
      <w:r>
        <w:rPr>
          <w:noProof/>
          <w:lang w:val="de-DE"/>
        </w:rPr>
        <w:t xml:space="preserve"> </w:t>
      </w:r>
      <w:r>
        <w:rPr>
          <w:rFonts w:ascii="Times New Roman" w:hAnsi="Times New Roman"/>
          <w:noProof/>
          <w:sz w:val="24"/>
          <w:lang w:val="de-DE"/>
        </w:rPr>
        <w:t>mehrjährigen Finanzrahmen vorgeschlagenen Reformhilfeprogramms relevant.</w:t>
      </w:r>
    </w:p>
    <w:p>
      <w:pPr>
        <w:jc w:val="both"/>
        <w:rPr>
          <w:rFonts w:ascii="Times New Roman" w:hAnsi="Times New Roman" w:cs="Times New Roman"/>
          <w:noProof/>
          <w:sz w:val="16"/>
          <w:szCs w:val="16"/>
          <w:lang w:val="de-DE"/>
        </w:rPr>
      </w:pPr>
      <w:r>
        <w:rPr>
          <w:rFonts w:ascii="Times New Roman" w:hAnsi="Times New Roman"/>
          <w:b/>
          <w:noProof/>
          <w:sz w:val="24"/>
          <w:lang w:val="de-DE"/>
        </w:rPr>
        <w:t>Noch kann die Effektivität der nationalen Ausschüsse für Produktivität nicht vollständig bewertet werden.</w:t>
      </w:r>
      <w:r>
        <w:rPr>
          <w:rFonts w:ascii="Times New Roman" w:hAnsi="Times New Roman"/>
          <w:noProof/>
          <w:sz w:val="24"/>
          <w:lang w:val="de-DE"/>
        </w:rPr>
        <w:t xml:space="preserve"> In einer ganzen Reihe von Fällen wurden die Einrichtungen erst kürzlich formell eingesetzt und muss sich ihre vollständige Wirkung noch entfalten. Daher steht im ersten Jahr nach Amtsantritt der neuen Kommission eine weitere Bewertung an, bei der die wichtigsten Entwicklungen dargestellt und die Merkmale und Tätigkeiten der Ausschüsse weitergehend beurteilt werden.</w:t>
      </w:r>
    </w:p>
    <w:p>
      <w:pPr>
        <w:rPr>
          <w:noProof/>
          <w:lang w:val="de-DE"/>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51">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30752"/>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Europäische Kommission, 2018: „Jahreswachstumsbericht 2019: Für ein starkes Europa in Zeiten globaler Ungewissheit“, COM (2018)770.</w:t>
      </w:r>
    </w:p>
  </w:footnote>
  <w:footnote w:id="2">
    <w:p>
      <w:pPr>
        <w:pStyle w:val="FootnoteText"/>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Europäische Kommission, 2015: Bericht der fünf Präsidenten: Vollendung der Wirtschafts- und Währungsunion Europas.</w:t>
      </w:r>
    </w:p>
  </w:footnote>
  <w:footnote w:id="3">
    <w:p>
      <w:pPr>
        <w:pStyle w:val="FootnoteText"/>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Empfehlung des Rates vom 20. September 2016 zur Einrichtung nationaler Ausschüsse für Produktivität, ABl. C 349 vom 24.9.2016, S. 1.</w:t>
      </w:r>
    </w:p>
  </w:footnote>
  <w:footnote w:id="4">
    <w:p>
      <w:pPr>
        <w:pStyle w:val="FootnoteText"/>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So bewegte sich das Produktivitätswachstum im Jahr 2018 zwischen -0,4 % in Luxemburg und 4,3 % in Polen.</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OECD, 2017: „The great divergence(s)“, OECD Science, Technology and Innovation Policy Papers, Nummer 39.</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Anzoategui, Comin, Gertler und Martinez, 2015: „Endogenous Technology Adoption and R&amp;D as Sources of Business Cycle Persistence“, NBER Working Paper Nummer 22005.</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Cette, Fernald, Mojona, 2016: „The pre-Great Recession slowdown in productivity“, Federal Reserve Bank of San Francisco, Working Paper 2016-08.</w:t>
      </w:r>
    </w:p>
  </w:footnote>
  <w:footnote w:id="8">
    <w:p>
      <w:pPr>
        <w:pStyle w:val="FootnoteText"/>
        <w:jc w:val="both"/>
        <w:rPr>
          <w:rFonts w:ascii="Times New Roman" w:hAnsi="Times New Roman" w:cs="Times New Roman"/>
          <w:lang w:val="de-DE"/>
        </w:rPr>
      </w:pPr>
      <w:r>
        <w:rPr>
          <w:rFonts w:ascii="Times New Roman" w:hAnsi="Times New Roman"/>
          <w:vertAlign w:val="superscript"/>
        </w:rPr>
        <w:footnoteRef/>
      </w:r>
      <w:r>
        <w:rPr>
          <w:rFonts w:ascii="Times New Roman" w:hAnsi="Times New Roman"/>
          <w:lang w:val="de-DE"/>
        </w:rPr>
        <w:t xml:space="preserve"> Die rechtliche Verankerung der Ausschüsse für Produktivität scheint in diesen Mitgliedstaaten abgeschlossen zu sein, obwohl in einigen Fällen zusätzliche Schritte erforderlich sind. So müssen in Finnland und Luxemburg noch die internen Vorschriften der Ausschüsse für Produktivität angenommen werden und steht in Belgien und Luxemburg noch die offizielle Ernennung der Ausschussmitglieder aus. </w:t>
      </w:r>
    </w:p>
  </w:footnote>
  <w:footnote w:id="9">
    <w:p>
      <w:pPr>
        <w:pStyle w:val="FootnoteText"/>
        <w:jc w:val="both"/>
        <w:rPr>
          <w:lang w:val="de-DE"/>
        </w:rPr>
      </w:pPr>
      <w:r>
        <w:rPr>
          <w:rFonts w:ascii="Times New Roman" w:hAnsi="Times New Roman"/>
          <w:vertAlign w:val="superscript"/>
        </w:rPr>
        <w:footnoteRef/>
      </w:r>
      <w:r>
        <w:rPr>
          <w:rFonts w:ascii="Times New Roman" w:hAnsi="Times New Roman"/>
          <w:lang w:val="de-DE"/>
        </w:rPr>
        <w:t xml:space="preserve"> Der Ministerbeschluss zur Ernennung des KEPE zum nationalen Ausschuss für Produktivität soll im ersten Halbjahr 2019 im Staatsanzeiger veröffentlicht werden. Die Slowakei hat das Institut für Strategie und Analyse als Sekretariat des Ausschusses für Produktivität benannt. Malta hat den Rat für wirtschaftliche und soziale Entwicklung aufgefordert, die Funktion eines Ausschusses für Produktivität zu übernehmen. In beiden Fällen sind jedoch die für die rechtliche Schaffung der Ausschüsse erforderlichen gesetzlichen Bestimmungen noch nicht angenommen worden.</w:t>
      </w:r>
    </w:p>
  </w:footnote>
  <w:footnote w:id="10">
    <w:p>
      <w:pPr>
        <w:pStyle w:val="FootnoteText"/>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In Ungarn hat der Finanzminister den Ausschussvorsitz inne.</w:t>
      </w:r>
    </w:p>
  </w:footnote>
  <w:footnote w:id="11">
    <w:p>
      <w:pPr>
        <w:pStyle w:val="FootnoteText"/>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Der litauische Ausschuss für Produktivität bildet hier eine Ausnahme; er besteht aus zwei vollzeitbeschäftigen Analysten der wirtschaftspolitischen Abteilung des Ministeriums für Wirtschaft und Innovation.</w:t>
      </w:r>
    </w:p>
  </w:footnote>
  <w:footnote w:id="12">
    <w:p>
      <w:pPr>
        <w:pStyle w:val="FootnoteText"/>
        <w:jc w:val="both"/>
        <w:rPr>
          <w:rFonts w:ascii="Times New Roman" w:hAnsi="Times New Roman" w:cs="Times New Roman"/>
          <w:lang w:val="de-DE"/>
        </w:rPr>
      </w:pPr>
      <w:r>
        <w:rPr>
          <w:rStyle w:val="FootnoteReference"/>
          <w:rFonts w:ascii="Times New Roman" w:hAnsi="Times New Roman"/>
        </w:rPr>
        <w:footnoteRef/>
      </w:r>
      <w:r>
        <w:rPr>
          <w:rFonts w:ascii="Times New Roman" w:hAnsi="Times New Roman"/>
          <w:lang w:val="de-DE"/>
        </w:rPr>
        <w:t xml:space="preserve"> Siehe Vorschlag für eine Verordnung des Europäischen Parlaments und des Rates zur Aufstellung des Reformhilfeprogramms (COM(2018) 391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33F"/>
    <w:multiLevelType w:val="hybridMultilevel"/>
    <w:tmpl w:val="56BE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996626"/>
    <w:multiLevelType w:val="hybridMultilevel"/>
    <w:tmpl w:val="DEF29344"/>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850A5C7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0F34BD"/>
    <w:multiLevelType w:val="hybridMultilevel"/>
    <w:tmpl w:val="D9E6F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DC10A7"/>
    <w:multiLevelType w:val="hybridMultilevel"/>
    <w:tmpl w:val="C142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8A356D"/>
    <w:multiLevelType w:val="hybridMultilevel"/>
    <w:tmpl w:val="9BDA8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190861"/>
    <w:multiLevelType w:val="hybridMultilevel"/>
    <w:tmpl w:val="6936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2FC32B2"/>
    <w:multiLevelType w:val="hybridMultilevel"/>
    <w:tmpl w:val="24BA3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CC30892"/>
    <w:multiLevelType w:val="hybridMultilevel"/>
    <w:tmpl w:val="222C5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CFE7B09"/>
    <w:multiLevelType w:val="multilevel"/>
    <w:tmpl w:val="10804830"/>
    <w:name w:val="AO1"/>
    <w:lvl w:ilvl="0">
      <w:start w:val="1"/>
      <w:numFmt w:val="decimal"/>
      <w:pStyle w:val="AO1"/>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lvlRestart w:val="1"/>
      <w:suff w:val="nothing"/>
      <w:lvlText w:val=""/>
      <w:lvlJc w:val="left"/>
      <w:pPr>
        <w:ind w:left="0" w:firstLine="0"/>
      </w:pPr>
      <w:rPr>
        <w:rFonts w:hint="default"/>
      </w:rPr>
    </w:lvl>
    <w:lvl w:ilvl="3">
      <w:start w:val="1"/>
      <w:numFmt w:val="none"/>
      <w:lvlRestart w:val="1"/>
      <w:suff w:val="nothing"/>
      <w:lvlText w:val=""/>
      <w:lvlJc w:val="left"/>
      <w:pPr>
        <w:ind w:left="0" w:firstLine="0"/>
      </w:pPr>
      <w:rPr>
        <w:rFonts w:hint="default"/>
      </w:rPr>
    </w:lvl>
    <w:lvl w:ilvl="4">
      <w:start w:val="1"/>
      <w:numFmt w:val="none"/>
      <w:lvlRestart w:val="1"/>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none"/>
      <w:lvlRestart w:val="1"/>
      <w:suff w:val="nothing"/>
      <w:lvlText w:val=""/>
      <w:lvlJc w:val="left"/>
      <w:pPr>
        <w:ind w:left="0" w:firstLine="0"/>
      </w:pPr>
      <w:rPr>
        <w:rFonts w:hint="default"/>
      </w:rPr>
    </w:lvl>
  </w:abstractNum>
  <w:abstractNum w:abstractNumId="9">
    <w:nsid w:val="4D7837E9"/>
    <w:multiLevelType w:val="hybridMultilevel"/>
    <w:tmpl w:val="62BAD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0C84327"/>
    <w:multiLevelType w:val="hybridMultilevel"/>
    <w:tmpl w:val="4E685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6595835"/>
    <w:multiLevelType w:val="hybridMultilevel"/>
    <w:tmpl w:val="35B23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5C1C69"/>
    <w:multiLevelType w:val="hybridMultilevel"/>
    <w:tmpl w:val="22D82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615E02"/>
    <w:multiLevelType w:val="hybridMultilevel"/>
    <w:tmpl w:val="EA56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45F589C"/>
    <w:multiLevelType w:val="hybridMultilevel"/>
    <w:tmpl w:val="C39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3F024B"/>
    <w:multiLevelType w:val="hybridMultilevel"/>
    <w:tmpl w:val="2AF0B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1D65FD2"/>
    <w:multiLevelType w:val="hybridMultilevel"/>
    <w:tmpl w:val="8EE08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334571F"/>
    <w:multiLevelType w:val="hybridMultilevel"/>
    <w:tmpl w:val="5518D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93F4028"/>
    <w:multiLevelType w:val="hybridMultilevel"/>
    <w:tmpl w:val="F9B4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
  </w:num>
  <w:num w:numId="3">
    <w:abstractNumId w:val="19"/>
  </w:num>
  <w:num w:numId="4">
    <w:abstractNumId w:val="18"/>
  </w:num>
  <w:num w:numId="5">
    <w:abstractNumId w:val="14"/>
  </w:num>
  <w:num w:numId="6">
    <w:abstractNumId w:val="15"/>
  </w:num>
  <w:num w:numId="7">
    <w:abstractNumId w:val="12"/>
  </w:num>
  <w:num w:numId="8">
    <w:abstractNumId w:val="5"/>
  </w:num>
  <w:num w:numId="9">
    <w:abstractNumId w:val="17"/>
  </w:num>
  <w:num w:numId="10">
    <w:abstractNumId w:val="6"/>
  </w:num>
  <w:num w:numId="11">
    <w:abstractNumId w:val="4"/>
  </w:num>
  <w:num w:numId="12">
    <w:abstractNumId w:val="3"/>
  </w:num>
  <w:num w:numId="13">
    <w:abstractNumId w:val="7"/>
  </w:num>
  <w:num w:numId="14">
    <w:abstractNumId w:val="13"/>
  </w:num>
  <w:num w:numId="15">
    <w:abstractNumId w:val="16"/>
  </w:num>
  <w:num w:numId="16">
    <w:abstractNumId w:val="0"/>
  </w:num>
  <w:num w:numId="17">
    <w:abstractNumId w:val="10"/>
  </w:num>
  <w:num w:numId="18">
    <w:abstractNumId w:val="2"/>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FDC4286-C8DA-4D89-A848-5CD2086CDB30"/>
    <w:docVar w:name="LW_COVERPAGE_TYPE" w:val="1"/>
    <w:docVar w:name="LW_CROSSREFERENCE" w:val="&lt;UNUSED&gt;"/>
    <w:docVar w:name="LW_DocType" w:val="NORMAL"/>
    <w:docVar w:name="LW_EMISSION" w:val="27.2.2019"/>
    <w:docVar w:name="LW_EMISSION_ISODATE" w:val="2019-02-27"/>
    <w:docVar w:name="LW_EMISSION_LOCATION" w:val="BRX"/>
    <w:docVar w:name="LW_EMISSION_PREFIX" w:val="Brüssel, den "/>
    <w:docVar w:name="LW_EMISSION_SUFFIX" w:val=" "/>
    <w:docVar w:name="LW_ID_DOCTYPE_NONLW" w:val="CP-004"/>
    <w:docVar w:name="LW_LANGUE" w:val="DE"/>
    <w:docVar w:name="LW_LEVEL_OF_SENSITIVITY" w:val="Standard treatment"/>
    <w:docVar w:name="LW_NOM.INST" w:val="EUROPÄISCHE KOMMISSION"/>
    <w:docVar w:name="LW_NOM.INST_JOINTDOC" w:val="&lt;EMPTY&gt;"/>
    <w:docVar w:name="LW_PART_NBR" w:val="1"/>
    <w:docVar w:name="LW_PART_NBR_TOTAL" w:val="1"/>
    <w:docVar w:name="LW_REF.INST.NEW" w:val="COM"/>
    <w:docVar w:name="LW_REF.INST.NEW_ADOPTED" w:val="final"/>
    <w:docVar w:name="LW_REF.INST.NEW_TEXT" w:val="(2019) 1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Bericht über die Fortschritte bei der Umsetzung der Empfehlung des Rates vom 20. September 2016 zur Einrichtung nationaler Ausschüsse für Produktivität"/>
    <w:docVar w:name="LW_TYPE.DOC.CP" w:val="BERICHT DER KOMMISSION AN DEN RA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numbering" w:customStyle="1" w:styleId="NoList1">
    <w:name w:val="No List1"/>
    <w:next w:val="NoList"/>
    <w:uiPriority w:val="99"/>
    <w:semiHidden/>
    <w:unhideWhenUsed/>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w:eastAsiaTheme="minorEastAsia" w:hAnsi="Times" w:cs="Times New Roman"/>
      <w:sz w:val="20"/>
      <w:szCs w:val="20"/>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NoSpacing">
    <w:name w:val="No Spacing"/>
    <w:uiPriority w:val="1"/>
    <w:qFormat/>
    <w:pPr>
      <w:spacing w:after="0" w:line="240" w:lineRule="auto"/>
    </w:pPr>
    <w:rPr>
      <w:rFonts w:ascii="Arial" w:hAnsi="Arial"/>
      <w:sz w:val="20"/>
    </w:rPr>
  </w:style>
  <w:style w:type="character" w:customStyle="1" w:styleId="FootnoteReference1">
    <w:name w:val="Footnote Reference1"/>
    <w:rPr>
      <w:vertAlign w:val="superscript"/>
    </w:rPr>
  </w:style>
  <w:style w:type="character" w:customStyle="1" w:styleId="FootnoteCharacters">
    <w:name w:val="Footnote Characters"/>
  </w:style>
  <w:style w:type="paragraph" w:customStyle="1" w:styleId="FootnoteText1">
    <w:name w:val="Footnote Text1"/>
    <w:basedOn w:val="Normal"/>
    <w:pPr>
      <w:suppressAutoHyphens/>
      <w:spacing w:after="0" w:line="100" w:lineRule="atLeast"/>
    </w:pPr>
    <w:rPr>
      <w:rFonts w:ascii="Calibri" w:eastAsia="SimSun" w:hAnsi="Calibri" w:cs="font251"/>
      <w:sz w:val="20"/>
      <w:szCs w:val="20"/>
      <w:lang w:eastAsia="ar-SA"/>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paragraph" w:customStyle="1" w:styleId="AO1">
    <w:name w:val="AO(1)"/>
    <w:basedOn w:val="Normal"/>
    <w:next w:val="Normal"/>
    <w:pPr>
      <w:numPr>
        <w:numId w:val="1"/>
      </w:numPr>
      <w:spacing w:before="240" w:after="0" w:line="260" w:lineRule="atLeast"/>
      <w:jc w:val="both"/>
    </w:pPr>
    <w:rPr>
      <w:rFonts w:ascii="Times New Roman" w:eastAsia="Calibri" w:hAnsi="Times New Roman" w:cs="Times New Roman"/>
    </w:rPr>
  </w:style>
  <w:style w:type="paragraph" w:customStyle="1" w:styleId="Briefinglist1">
    <w:name w:val="Briefing list 1"/>
    <w:basedOn w:val="Briefingtext"/>
    <w:link w:val="Briefinglist1Char"/>
    <w:qFormat/>
    <w:pPr>
      <w:keepLines/>
      <w:numPr>
        <w:numId w:val="2"/>
      </w:numPr>
      <w:spacing w:after="120"/>
    </w:pPr>
  </w:style>
  <w:style w:type="character" w:customStyle="1" w:styleId="Briefinglist1Char">
    <w:name w:val="Briefing list 1 Char"/>
    <w:link w:val="Briefinglist1"/>
    <w:locked/>
    <w:rPr>
      <w:rFonts w:ascii="Arial" w:eastAsia="Times New Roman" w:hAnsi="Arial" w:cs="Arial"/>
      <w:szCs w:val="24"/>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Normal"/>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numbering" w:customStyle="1" w:styleId="NoList1">
    <w:name w:val="No List1"/>
    <w:next w:val="NoList"/>
    <w:uiPriority w:val="99"/>
    <w:semiHidden/>
    <w:unhideWhenUsed/>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FootnoteReference">
    <w:name w:val="footnote reference"/>
    <w:aliases w:val="Footnote reference number,Times 10 Point,Exposant 3 Point,Footnote symbol,EN Footnote Reference,note TESI,Footnote Reference_LVL6,Footnote Reference_LVL61,Footnote Reference_LVL62,Footnote Reference_LVL63,E...,E FNZ, Exposant 3 Point"/>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w:eastAsiaTheme="minorEastAsia" w:hAnsi="Times" w:cs="Times New Roman"/>
      <w:sz w:val="20"/>
      <w:szCs w:val="20"/>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NoSpacing">
    <w:name w:val="No Spacing"/>
    <w:uiPriority w:val="1"/>
    <w:qFormat/>
    <w:pPr>
      <w:spacing w:after="0" w:line="240" w:lineRule="auto"/>
    </w:pPr>
    <w:rPr>
      <w:rFonts w:ascii="Arial" w:hAnsi="Arial"/>
      <w:sz w:val="20"/>
    </w:rPr>
  </w:style>
  <w:style w:type="character" w:customStyle="1" w:styleId="FootnoteReference1">
    <w:name w:val="Footnote Reference1"/>
    <w:rPr>
      <w:vertAlign w:val="superscript"/>
    </w:rPr>
  </w:style>
  <w:style w:type="character" w:customStyle="1" w:styleId="FootnoteCharacters">
    <w:name w:val="Footnote Characters"/>
  </w:style>
  <w:style w:type="paragraph" w:customStyle="1" w:styleId="FootnoteText1">
    <w:name w:val="Footnote Text1"/>
    <w:basedOn w:val="Normal"/>
    <w:pPr>
      <w:suppressAutoHyphens/>
      <w:spacing w:after="0" w:line="100" w:lineRule="atLeast"/>
    </w:pPr>
    <w:rPr>
      <w:rFonts w:ascii="Calibri" w:eastAsia="SimSun" w:hAnsi="Calibri" w:cs="font251"/>
      <w:sz w:val="20"/>
      <w:szCs w:val="20"/>
      <w:lang w:eastAsia="ar-SA"/>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paragraph" w:customStyle="1" w:styleId="AO1">
    <w:name w:val="AO(1)"/>
    <w:basedOn w:val="Normal"/>
    <w:next w:val="Normal"/>
    <w:pPr>
      <w:numPr>
        <w:numId w:val="1"/>
      </w:numPr>
      <w:spacing w:before="240" w:after="0" w:line="260" w:lineRule="atLeast"/>
      <w:jc w:val="both"/>
    </w:pPr>
    <w:rPr>
      <w:rFonts w:ascii="Times New Roman" w:eastAsia="Calibri" w:hAnsi="Times New Roman" w:cs="Times New Roman"/>
    </w:rPr>
  </w:style>
  <w:style w:type="paragraph" w:customStyle="1" w:styleId="Briefinglist1">
    <w:name w:val="Briefing list 1"/>
    <w:basedOn w:val="Briefingtext"/>
    <w:link w:val="Briefinglist1Char"/>
    <w:qFormat/>
    <w:pPr>
      <w:keepLines/>
      <w:numPr>
        <w:numId w:val="2"/>
      </w:numPr>
      <w:spacing w:after="120"/>
    </w:pPr>
  </w:style>
  <w:style w:type="character" w:customStyle="1" w:styleId="Briefinglist1Char">
    <w:name w:val="Briefing list 1 Char"/>
    <w:link w:val="Briefinglist1"/>
    <w:locked/>
    <w:rPr>
      <w:rFonts w:ascii="Arial" w:eastAsia="Times New Roman" w:hAnsi="Arial" w:cs="Arial"/>
      <w:szCs w:val="24"/>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3833</Words>
  <Characters>27292</Characters>
  <Application>Microsoft Office Word</Application>
  <DocSecurity>0</DocSecurity>
  <Lines>470</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2019-02-20T09:22:00Z</dcterms:created>
  <dcterms:modified xsi:type="dcterms:W3CDTF">2019-02-25T12:52:00Z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