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43CB0CB-2E8D-4CD3-8DF1-CA83EF904157" style="width:450.25pt;height:395.4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Toc351835"/>
      <w:bookmarkStart w:id="1" w:name="_GoBack"/>
      <w:bookmarkEnd w:id="1"/>
      <w:r>
        <w:rPr>
          <w:noProof/>
        </w:rPr>
        <w:lastRenderedPageBreak/>
        <w:t>EXPLANATORY MEMORANDUM</w:t>
      </w:r>
      <w:bookmarkEnd w:id="0"/>
    </w:p>
    <w:p>
      <w:pPr>
        <w:pStyle w:val="ManualHeading1"/>
        <w:rPr>
          <w:noProof/>
        </w:rPr>
      </w:pPr>
      <w:bookmarkStart w:id="2" w:name="_Toc351836"/>
      <w:r>
        <w:rPr>
          <w:noProof/>
        </w:rPr>
        <w:t>1.</w:t>
      </w:r>
      <w:r>
        <w:rPr>
          <w:noProof/>
        </w:rPr>
        <w:tab/>
        <w:t>CONTEXT OF THE PROPOSAL</w:t>
      </w:r>
      <w:bookmarkEnd w:id="2"/>
    </w:p>
    <w:p>
      <w:pPr>
        <w:pStyle w:val="ManualHeading2"/>
        <w:rPr>
          <w:rFonts w:eastAsia="Arial Unicode MS"/>
          <w:noProof/>
        </w:rPr>
      </w:pPr>
      <w:bookmarkStart w:id="3" w:name="_Toc351837"/>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bookmarkEnd w:id="3"/>
    </w:p>
    <w:p>
      <w:pPr>
        <w:pBdr>
          <w:top w:val="nil"/>
          <w:left w:val="nil"/>
          <w:bottom w:val="nil"/>
          <w:right w:val="nil"/>
          <w:between w:val="nil"/>
          <w:bar w:val="nil"/>
        </w:pBdr>
        <w:spacing w:before="0" w:after="240"/>
        <w:rPr>
          <w:noProof/>
        </w:rPr>
      </w:pPr>
      <w:r>
        <w:rPr>
          <w:noProof/>
        </w:rPr>
        <w:t>Article 19 of Decision No 1313/2013/EU on a Union Civil Protection Mechanism</w:t>
      </w:r>
      <w:r>
        <w:rPr>
          <w:rStyle w:val="FootnoteReference"/>
          <w:noProof/>
        </w:rPr>
        <w:footnoteReference w:id="2"/>
      </w:r>
      <w:r>
        <w:rPr>
          <w:noProof/>
        </w:rPr>
        <w:t xml:space="preserve"> (‘Union Mechanism’) as well as related provisions, refer to the financial envelope available in support of civil protection under the current multiannual financial framework (2014- 2020). Given that the current multiannual financial framework period is drawing to an end, these provisions need to be amended to ensure continued financing for the Union Mechanism. </w:t>
      </w:r>
    </w:p>
    <w:p>
      <w:pPr>
        <w:pBdr>
          <w:top w:val="nil"/>
          <w:left w:val="nil"/>
          <w:bottom w:val="nil"/>
          <w:right w:val="nil"/>
          <w:between w:val="nil"/>
          <w:bar w:val="nil"/>
        </w:pBdr>
        <w:spacing w:before="0" w:after="240"/>
        <w:rPr>
          <w:noProof/>
        </w:rPr>
      </w:pPr>
      <w:r>
        <w:rPr>
          <w:noProof/>
        </w:rPr>
        <w:t>The scope of this amendment is strictly limited to the budgetary provisions of Decision No 1313/2013/EU and should not modify the substance. The proposed amendment is in line with the Commission proposal for the 2021-2027 multiannual financial framework of 2 May 2018</w:t>
      </w:r>
      <w:r>
        <w:rPr>
          <w:rStyle w:val="FootnoteReference"/>
          <w:rFonts w:eastAsia="Arial Unicode MS"/>
          <w:noProof/>
        </w:rPr>
        <w:footnoteReference w:id="3"/>
      </w:r>
      <w:r>
        <w:rPr>
          <w:noProof/>
        </w:rPr>
        <w:t>. The amount indicated in this proposal also mirrors the level of ambition set by the Commission in its proposed revision of Decision No 1313/2013/EU of 23 November 2017 (rescEU proposal)</w:t>
      </w:r>
      <w:r>
        <w:rPr>
          <w:rStyle w:val="FootnoteReference"/>
          <w:rFonts w:eastAsia="Arial Unicode MS"/>
          <w:noProof/>
        </w:rPr>
        <w:footnoteReference w:id="4"/>
      </w:r>
      <w:r>
        <w:rPr>
          <w:noProof/>
        </w:rPr>
        <w:t>.</w:t>
      </w:r>
    </w:p>
    <w:p>
      <w:pPr>
        <w:pBdr>
          <w:top w:val="nil"/>
          <w:left w:val="nil"/>
          <w:bottom w:val="nil"/>
          <w:right w:val="nil"/>
          <w:between w:val="nil"/>
          <w:bar w:val="nil"/>
        </w:pBdr>
        <w:spacing w:before="0" w:after="240"/>
        <w:rPr>
          <w:noProof/>
        </w:rPr>
      </w:pPr>
      <w:r>
        <w:rPr>
          <w:noProof/>
        </w:rPr>
        <w:t>This proposal provides for a date of entry into force as of 1 January 2021 and is adapted to a Union of 27 Member States, in line with the UK’s intention to withdraw from the EU and Euratom.</w:t>
      </w:r>
    </w:p>
    <w:p>
      <w:pPr>
        <w:pStyle w:val="ManualHeading2"/>
        <w:rPr>
          <w:rFonts w:eastAsia="Arial Unicode MS"/>
          <w:noProof/>
          <w:color w:val="000000"/>
          <w:u w:color="000000"/>
          <w:bdr w:val="nil"/>
          <w:lang w:val="en-US" w:eastAsia="en-GB"/>
        </w:rPr>
      </w:pPr>
      <w:bookmarkStart w:id="4" w:name="_Toc351838"/>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bookmarkEnd w:id="4"/>
    </w:p>
    <w:p>
      <w:pPr>
        <w:pBdr>
          <w:top w:val="nil"/>
          <w:left w:val="nil"/>
          <w:bottom w:val="nil"/>
          <w:right w:val="nil"/>
          <w:between w:val="nil"/>
          <w:bar w:val="nil"/>
        </w:pBdr>
        <w:spacing w:before="0" w:after="240"/>
        <w:rPr>
          <w:noProof/>
        </w:rPr>
      </w:pPr>
      <w:r>
        <w:rPr>
          <w:noProof/>
        </w:rPr>
        <w:t>This proposal provides the necessary budgetary resources to support a strengthened Union Mechanism. The latter contributes to the overarching objective of working towards a ‘Europe that Protects’ set by the Commission in its Communication on the 2021-2027 multiannual financial framework</w:t>
      </w:r>
      <w:r>
        <w:rPr>
          <w:rStyle w:val="FootnoteReference"/>
          <w:rFonts w:eastAsia="Arial Unicode MS"/>
          <w:noProof/>
        </w:rPr>
        <w:footnoteReference w:id="5"/>
      </w:r>
      <w:r>
        <w:rPr>
          <w:noProof/>
        </w:rPr>
        <w:t>.</w:t>
      </w:r>
      <w:r>
        <w:rPr>
          <w:noProof/>
          <w:sz w:val="27"/>
          <w:szCs w:val="27"/>
          <w:lang w:val="en"/>
        </w:rPr>
        <w:t xml:space="preserve"> </w:t>
      </w:r>
    </w:p>
    <w:p>
      <w:pPr>
        <w:pBdr>
          <w:top w:val="nil"/>
          <w:left w:val="nil"/>
          <w:bottom w:val="nil"/>
          <w:right w:val="nil"/>
          <w:between w:val="nil"/>
          <w:bar w:val="nil"/>
        </w:pBdr>
        <w:spacing w:before="0" w:after="240"/>
        <w:rPr>
          <w:rFonts w:eastAsia="Arial Unicode MS"/>
          <w:noProof/>
        </w:rPr>
      </w:pPr>
      <w:r>
        <w:rPr>
          <w:noProof/>
        </w:rPr>
        <w:t xml:space="preserve">Under the new proposal, funding related to civil protection has been subsumed into one heading (Heading 5 ‘Security and Defence’), alongside other protection-related programmes. This heading will encompass both the internal and external dimensions of civil protection. </w:t>
      </w:r>
    </w:p>
    <w:p>
      <w:pPr>
        <w:pStyle w:val="ManualHeading2"/>
        <w:rPr>
          <w:rFonts w:eastAsia="Arial Unicode MS"/>
          <w:noProof/>
        </w:rPr>
      </w:pPr>
      <w:bookmarkStart w:id="5" w:name="_Toc351839"/>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bookmarkEnd w:id="5"/>
    </w:p>
    <w:p>
      <w:pPr>
        <w:pBdr>
          <w:top w:val="nil"/>
          <w:left w:val="nil"/>
          <w:bottom w:val="nil"/>
          <w:right w:val="nil"/>
          <w:between w:val="nil"/>
          <w:bar w:val="nil"/>
        </w:pBdr>
        <w:spacing w:before="0" w:after="240"/>
        <w:rPr>
          <w:noProof/>
        </w:rPr>
      </w:pPr>
      <w:r>
        <w:rPr>
          <w:noProof/>
        </w:rPr>
        <w:t xml:space="preserve">The proposed amendment will provide the necessary resources to foster synergies and to enhance existing relations between the Union Mechanism and other EU policies. </w:t>
      </w:r>
    </w:p>
    <w:p>
      <w:pPr>
        <w:pBdr>
          <w:top w:val="nil"/>
          <w:left w:val="nil"/>
          <w:bottom w:val="nil"/>
          <w:right w:val="nil"/>
          <w:between w:val="nil"/>
          <w:bar w:val="nil"/>
        </w:pBdr>
        <w:spacing w:before="0" w:after="240"/>
        <w:rPr>
          <w:rFonts w:eastAsia="Arial Unicode MS"/>
          <w:noProof/>
        </w:rPr>
      </w:pPr>
      <w:r>
        <w:rPr>
          <w:noProof/>
        </w:rPr>
        <w:t>This amendment will ensure that the Union Mechanism helps to strengthen the EU’s capacities in terms of disaster risk management (from disaster prevention, to disaster preparedness, response and recovery).</w:t>
      </w:r>
    </w:p>
    <w:p>
      <w:pPr>
        <w:pStyle w:val="ManualHeading1"/>
        <w:rPr>
          <w:noProof/>
        </w:rPr>
      </w:pPr>
      <w:bookmarkStart w:id="6" w:name="_Toc351840"/>
      <w:r>
        <w:rPr>
          <w:noProof/>
        </w:rPr>
        <w:lastRenderedPageBreak/>
        <w:t>2.</w:t>
      </w:r>
      <w:r>
        <w:rPr>
          <w:noProof/>
        </w:rPr>
        <w:tab/>
        <w:t>LEGAL BASIS, SUBSIDIARITY AND PROPORTIONALITY</w:t>
      </w:r>
      <w:bookmarkEnd w:id="6"/>
    </w:p>
    <w:p>
      <w:pPr>
        <w:pStyle w:val="ManualHeading2"/>
        <w:rPr>
          <w:rFonts w:eastAsia="Arial Unicode MS"/>
          <w:noProof/>
          <w:u w:color="000000"/>
          <w:bdr w:val="nil"/>
          <w:lang w:val="en-US" w:eastAsia="en-GB"/>
        </w:rPr>
      </w:pPr>
      <w:bookmarkStart w:id="7" w:name="_Toc351841"/>
      <w:r>
        <w:rPr>
          <w:rFonts w:eastAsia="Arial Unicode MS"/>
          <w:noProof/>
          <w:u w:color="000000"/>
          <w:bdr w:val="nil"/>
          <w:lang w:val="en-US" w:eastAsia="en-GB"/>
        </w:rPr>
        <w:t>•</w:t>
      </w:r>
      <w:r>
        <w:rPr>
          <w:rFonts w:eastAsia="Arial Unicode MS"/>
          <w:noProof/>
          <w:u w:color="000000"/>
          <w:bdr w:val="nil"/>
          <w:lang w:val="en-US" w:eastAsia="en-GB"/>
        </w:rPr>
        <w:tab/>
        <w:t>Legal basis</w:t>
      </w:r>
      <w:bookmarkEnd w:id="7"/>
    </w:p>
    <w:p>
      <w:pPr>
        <w:pBdr>
          <w:top w:val="nil"/>
          <w:left w:val="nil"/>
          <w:bottom w:val="nil"/>
          <w:right w:val="nil"/>
          <w:between w:val="nil"/>
          <w:bar w:val="nil"/>
        </w:pBdr>
        <w:spacing w:before="0" w:after="240"/>
        <w:rPr>
          <w:rFonts w:eastAsia="Arial Unicode MS"/>
          <w:noProof/>
        </w:rPr>
      </w:pPr>
      <w:r>
        <w:rPr>
          <w:noProof/>
        </w:rPr>
        <w:t>The legal basis for this proposal is Article 196 of the Treaty on the Functioning of the European Union.</w:t>
      </w:r>
    </w:p>
    <w:p>
      <w:pPr>
        <w:pStyle w:val="ManualHeading2"/>
        <w:rPr>
          <w:rFonts w:eastAsia="Arial Unicode MS"/>
          <w:noProof/>
          <w:u w:color="000000"/>
          <w:bdr w:val="nil"/>
          <w:lang w:val="en-US" w:eastAsia="en-GB"/>
        </w:rPr>
      </w:pPr>
      <w:bookmarkStart w:id="8" w:name="_Toc351842"/>
      <w:r>
        <w:rPr>
          <w:rFonts w:eastAsia="Arial Unicode MS"/>
          <w:noProof/>
          <w:u w:color="000000"/>
          <w:bdr w:val="nil"/>
          <w:lang w:val="en-US" w:eastAsia="en-GB"/>
        </w:rPr>
        <w:t>•</w:t>
      </w:r>
      <w:r>
        <w:rPr>
          <w:rFonts w:eastAsia="Arial Unicode MS"/>
          <w:noProof/>
          <w:u w:color="000000"/>
          <w:bdr w:val="nil"/>
          <w:lang w:val="en-US" w:eastAsia="en-GB"/>
        </w:rPr>
        <w:tab/>
        <w:t>Subsidiarity (for non-exclusive competence)</w:t>
      </w:r>
      <w:bookmarkEnd w:id="8"/>
      <w:r>
        <w:rPr>
          <w:rFonts w:eastAsia="Arial Unicode MS"/>
          <w:noProof/>
          <w:u w:color="000000"/>
          <w:bdr w:val="nil"/>
          <w:lang w:val="en-US" w:eastAsia="en-GB"/>
        </w:rPr>
        <w:t xml:space="preserve"> </w:t>
      </w:r>
    </w:p>
    <w:p>
      <w:pPr>
        <w:pBdr>
          <w:top w:val="nil"/>
          <w:left w:val="nil"/>
          <w:bottom w:val="nil"/>
          <w:right w:val="nil"/>
          <w:between w:val="nil"/>
          <w:bar w:val="nil"/>
        </w:pBdr>
        <w:spacing w:before="0" w:after="240"/>
        <w:rPr>
          <w:noProof/>
        </w:rPr>
      </w:pPr>
      <w:r>
        <w:rPr>
          <w:noProof/>
        </w:rPr>
        <w:t>The Commission has a supporting competence in the area of civil protection. Member States still bear the primary responsibility when it comes to preventing, preparing for and responding to disasters. The Union Mechanism was established because major disasters can overwhelm the response capacities of any Member State acting alone. The provision of well-coordinated and rapid mutual assistance amongst Member States is at its core.</w:t>
      </w:r>
    </w:p>
    <w:p>
      <w:pPr>
        <w:pBdr>
          <w:top w:val="nil"/>
          <w:left w:val="nil"/>
          <w:bottom w:val="nil"/>
          <w:right w:val="nil"/>
          <w:between w:val="nil"/>
          <w:bar w:val="nil"/>
        </w:pBdr>
        <w:spacing w:before="0" w:after="240"/>
        <w:rPr>
          <w:rFonts w:eastAsia="Arial Unicode MS"/>
          <w:noProof/>
        </w:rPr>
      </w:pPr>
      <w:r>
        <w:rPr>
          <w:noProof/>
        </w:rPr>
        <w:t>This amendment intends to align the budgetary provisions of the programme with the Commission proposal for the 2021-2027 multiannual financial framework. Given the technical/financial nature of this amendment, there are no implications for or changes to the principle of subsidiarity.</w:t>
      </w:r>
    </w:p>
    <w:p>
      <w:pPr>
        <w:pStyle w:val="ManualHeading2"/>
        <w:rPr>
          <w:rFonts w:eastAsia="Arial Unicode MS"/>
          <w:noProof/>
          <w:u w:color="000000"/>
          <w:bdr w:val="nil"/>
          <w:lang w:val="en-US" w:eastAsia="en-GB"/>
        </w:rPr>
      </w:pPr>
      <w:bookmarkStart w:id="9" w:name="_Toc351843"/>
      <w:r>
        <w:rPr>
          <w:rFonts w:eastAsia="Arial Unicode MS"/>
          <w:noProof/>
          <w:u w:color="000000"/>
          <w:bdr w:val="nil"/>
          <w:lang w:val="en-US" w:eastAsia="en-GB"/>
        </w:rPr>
        <w:t>•</w:t>
      </w:r>
      <w:r>
        <w:rPr>
          <w:rFonts w:eastAsia="Arial Unicode MS"/>
          <w:noProof/>
          <w:u w:color="000000"/>
          <w:bdr w:val="nil"/>
          <w:lang w:val="en-US" w:eastAsia="en-GB"/>
        </w:rPr>
        <w:tab/>
        <w:t>Proportionality</w:t>
      </w:r>
      <w:bookmarkEnd w:id="9"/>
    </w:p>
    <w:p>
      <w:pPr>
        <w:pBdr>
          <w:top w:val="nil"/>
          <w:left w:val="nil"/>
          <w:bottom w:val="nil"/>
          <w:right w:val="nil"/>
          <w:between w:val="nil"/>
          <w:bar w:val="nil"/>
        </w:pBdr>
        <w:spacing w:before="0" w:after="240"/>
        <w:rPr>
          <w:noProof/>
        </w:rPr>
      </w:pPr>
      <w:r>
        <w:rPr>
          <w:noProof/>
        </w:rPr>
        <w:t xml:space="preserve">This proposal does not go beyond what is necessary to achieve the stated objectives. It has been tabled to ensure that the stated objectives can be achieved.  </w:t>
      </w:r>
    </w:p>
    <w:p>
      <w:pPr>
        <w:pBdr>
          <w:top w:val="nil"/>
          <w:left w:val="nil"/>
          <w:bottom w:val="nil"/>
          <w:right w:val="nil"/>
          <w:between w:val="nil"/>
          <w:bar w:val="nil"/>
        </w:pBdr>
        <w:spacing w:before="0" w:after="240"/>
        <w:rPr>
          <w:rFonts w:eastAsia="Arial Unicode MS"/>
          <w:noProof/>
        </w:rPr>
      </w:pPr>
      <w:r>
        <w:rPr>
          <w:noProof/>
        </w:rPr>
        <w:t>The figures proposed in this amendment correspond to the figures announced by the Commission proposal for the 2021-2027 multiannual financial framework. These are in line with the principle of proportionality.</w:t>
      </w:r>
    </w:p>
    <w:p>
      <w:pPr>
        <w:pStyle w:val="ManualHeading2"/>
        <w:rPr>
          <w:rFonts w:eastAsia="Arial Unicode MS"/>
          <w:noProof/>
          <w:u w:color="000000"/>
          <w:bdr w:val="nil"/>
          <w:lang w:val="en-US" w:eastAsia="en-GB"/>
        </w:rPr>
      </w:pPr>
      <w:bookmarkStart w:id="10" w:name="_Toc351844"/>
      <w:r>
        <w:rPr>
          <w:rFonts w:eastAsia="Arial Unicode MS"/>
          <w:noProof/>
          <w:u w:color="000000"/>
          <w:bdr w:val="nil"/>
          <w:lang w:val="en-US" w:eastAsia="en-GB"/>
        </w:rPr>
        <w:t>•</w:t>
      </w:r>
      <w:r>
        <w:rPr>
          <w:rFonts w:eastAsia="Arial Unicode MS"/>
          <w:noProof/>
          <w:u w:color="000000"/>
          <w:bdr w:val="nil"/>
          <w:lang w:val="en-US" w:eastAsia="en-GB"/>
        </w:rPr>
        <w:tab/>
        <w:t>Choice of the instrument</w:t>
      </w:r>
      <w:bookmarkEnd w:id="10"/>
    </w:p>
    <w:p>
      <w:pPr>
        <w:pBdr>
          <w:top w:val="nil"/>
          <w:left w:val="nil"/>
          <w:bottom w:val="nil"/>
          <w:right w:val="nil"/>
          <w:between w:val="nil"/>
          <w:bar w:val="nil"/>
        </w:pBdr>
        <w:spacing w:before="0" w:after="240"/>
        <w:rPr>
          <w:rFonts w:eastAsia="Arial Unicode MS"/>
          <w:noProof/>
        </w:rPr>
      </w:pPr>
      <w:r>
        <w:rPr>
          <w:noProof/>
        </w:rPr>
        <w:t xml:space="preserve">This proposal aims to amend an existing Decision. The most relevant and simple instrument for this is a Proposal for a Decision. </w:t>
      </w:r>
    </w:p>
    <w:p>
      <w:pPr>
        <w:pStyle w:val="ManualHeading1"/>
        <w:rPr>
          <w:noProof/>
        </w:rPr>
      </w:pPr>
      <w:bookmarkStart w:id="11" w:name="_Toc351845"/>
      <w:r>
        <w:rPr>
          <w:noProof/>
        </w:rPr>
        <w:t>3.</w:t>
      </w:r>
      <w:r>
        <w:rPr>
          <w:noProof/>
        </w:rPr>
        <w:tab/>
        <w:t>RESULTS OF EX-POST EVALUATIONS, STAKEHOLDER CONSULTATIONS AND IMPACT ASSESSMENTS</w:t>
      </w:r>
      <w:bookmarkEnd w:id="11"/>
    </w:p>
    <w:p>
      <w:pPr>
        <w:rPr>
          <w:noProof/>
        </w:rPr>
      </w:pPr>
      <w:r>
        <w:rPr>
          <w:noProof/>
        </w:rPr>
        <w:t>This proposal is of a technical nature as it seeks to align the budgetary provisions of the Decision with the Commission proposal for the 2021-2027 multiannual financial framework adopted on 2 May 2018. Its substance is based on the proposed revision of Decision No 1313/2013/EU of 23 November 2017 (rescEU proposal). No impact assessment has therefore been carried out.</w:t>
      </w:r>
    </w:p>
    <w:p>
      <w:pPr>
        <w:pBdr>
          <w:top w:val="nil"/>
          <w:left w:val="nil"/>
          <w:bottom w:val="nil"/>
          <w:right w:val="nil"/>
          <w:between w:val="nil"/>
          <w:bar w:val="nil"/>
        </w:pBdr>
        <w:spacing w:before="0" w:after="240"/>
        <w:rPr>
          <w:noProof/>
        </w:rPr>
      </w:pPr>
      <w:r>
        <w:rPr>
          <w:noProof/>
        </w:rPr>
        <w:t>However, the Better Regulation principles were applied to both the original Commission proposal that outlines the overall 2021-2027 multiannual financial framework and to the proposed revision of Decision No 1313/2013/EU of 23 November 2017 (rescEU proposal).</w:t>
      </w:r>
    </w:p>
    <w:p>
      <w:pPr>
        <w:pStyle w:val="ManualHeading2"/>
        <w:rPr>
          <w:rFonts w:eastAsia="Arial Unicode MS"/>
          <w:noProof/>
          <w:u w:color="000000"/>
          <w:bdr w:val="nil"/>
          <w:lang w:val="en-US" w:eastAsia="en-GB"/>
        </w:rPr>
      </w:pPr>
      <w:bookmarkStart w:id="12" w:name="_Toc351846"/>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bookmarkEnd w:id="12"/>
    </w:p>
    <w:p>
      <w:pPr>
        <w:pBdr>
          <w:top w:val="nil"/>
          <w:left w:val="nil"/>
          <w:bottom w:val="nil"/>
          <w:right w:val="nil"/>
          <w:between w:val="nil"/>
          <w:bar w:val="nil"/>
        </w:pBdr>
        <w:spacing w:before="0" w:after="240"/>
        <w:rPr>
          <w:rFonts w:eastAsia="Arial Unicode MS"/>
          <w:noProof/>
        </w:rPr>
      </w:pPr>
      <w:r>
        <w:rPr>
          <w:noProof/>
        </w:rPr>
        <w:t>N/A (see above)</w:t>
      </w:r>
    </w:p>
    <w:p>
      <w:pPr>
        <w:pStyle w:val="ManualHeading2"/>
        <w:rPr>
          <w:rFonts w:eastAsia="Arial Unicode MS"/>
          <w:noProof/>
          <w:u w:color="000000"/>
          <w:bdr w:val="nil"/>
          <w:lang w:val="en-US" w:eastAsia="en-GB"/>
        </w:rPr>
      </w:pPr>
      <w:bookmarkStart w:id="13" w:name="_Toc351847"/>
      <w:r>
        <w:rPr>
          <w:rFonts w:eastAsia="Arial Unicode MS"/>
          <w:noProof/>
          <w:u w:color="000000"/>
          <w:bdr w:val="nil"/>
          <w:lang w:val="en-US" w:eastAsia="en-GB"/>
        </w:rPr>
        <w:t>•</w:t>
      </w:r>
      <w:r>
        <w:rPr>
          <w:rFonts w:eastAsia="Arial Unicode MS"/>
          <w:noProof/>
          <w:u w:color="000000"/>
          <w:bdr w:val="nil"/>
          <w:lang w:val="en-US" w:eastAsia="en-GB"/>
        </w:rPr>
        <w:tab/>
        <w:t>Stakeholder consultations</w:t>
      </w:r>
      <w:bookmarkEnd w:id="13"/>
    </w:p>
    <w:p>
      <w:pPr>
        <w:pBdr>
          <w:top w:val="nil"/>
          <w:left w:val="nil"/>
          <w:bottom w:val="nil"/>
          <w:right w:val="nil"/>
          <w:between w:val="nil"/>
          <w:bar w:val="nil"/>
        </w:pBdr>
        <w:spacing w:before="0" w:after="240"/>
        <w:rPr>
          <w:rFonts w:eastAsia="Arial Unicode MS"/>
          <w:noProof/>
        </w:rPr>
      </w:pPr>
      <w:r>
        <w:rPr>
          <w:noProof/>
        </w:rPr>
        <w:t>N/A (see above)</w:t>
      </w:r>
    </w:p>
    <w:p>
      <w:pPr>
        <w:pStyle w:val="ManualHeading2"/>
        <w:rPr>
          <w:rFonts w:eastAsia="Arial Unicode MS"/>
          <w:noProof/>
          <w:u w:color="000000"/>
          <w:bdr w:val="nil"/>
          <w:lang w:val="en-US" w:eastAsia="en-GB"/>
        </w:rPr>
      </w:pPr>
      <w:bookmarkStart w:id="14" w:name="_Toc351848"/>
      <w:r>
        <w:rPr>
          <w:rFonts w:eastAsia="Arial Unicode MS"/>
          <w:noProof/>
          <w:u w:color="000000"/>
          <w:bdr w:val="nil"/>
          <w:lang w:val="en-US" w:eastAsia="en-GB"/>
        </w:rPr>
        <w:lastRenderedPageBreak/>
        <w:t>•</w:t>
      </w:r>
      <w:r>
        <w:rPr>
          <w:rFonts w:eastAsia="Arial Unicode MS"/>
          <w:noProof/>
          <w:u w:color="000000"/>
          <w:bdr w:val="nil"/>
          <w:lang w:val="en-US" w:eastAsia="en-GB"/>
        </w:rPr>
        <w:tab/>
        <w:t>Collection and use of expertise</w:t>
      </w:r>
      <w:bookmarkEnd w:id="14"/>
    </w:p>
    <w:p>
      <w:pPr>
        <w:pBdr>
          <w:top w:val="nil"/>
          <w:left w:val="nil"/>
          <w:bottom w:val="nil"/>
          <w:right w:val="nil"/>
          <w:between w:val="nil"/>
          <w:bar w:val="nil"/>
        </w:pBdr>
        <w:spacing w:before="0" w:after="240"/>
        <w:rPr>
          <w:rFonts w:eastAsia="Arial Unicode MS"/>
          <w:noProof/>
        </w:rPr>
      </w:pPr>
      <w:r>
        <w:rPr>
          <w:noProof/>
        </w:rPr>
        <w:t>N/A (see above)</w:t>
      </w:r>
    </w:p>
    <w:p>
      <w:pPr>
        <w:pStyle w:val="ManualHeading2"/>
        <w:rPr>
          <w:rFonts w:eastAsia="Arial Unicode MS"/>
          <w:noProof/>
          <w:u w:color="000000"/>
          <w:bdr w:val="nil"/>
          <w:lang w:val="en-US" w:eastAsia="en-GB"/>
        </w:rPr>
      </w:pPr>
      <w:bookmarkStart w:id="15" w:name="_Toc351849"/>
      <w:r>
        <w:rPr>
          <w:rFonts w:eastAsia="Arial Unicode MS"/>
          <w:noProof/>
          <w:u w:color="000000"/>
          <w:bdr w:val="nil"/>
          <w:lang w:val="en-US" w:eastAsia="en-GB"/>
        </w:rPr>
        <w:t>•</w:t>
      </w:r>
      <w:r>
        <w:rPr>
          <w:rFonts w:eastAsia="Arial Unicode MS"/>
          <w:noProof/>
          <w:u w:color="000000"/>
          <w:bdr w:val="nil"/>
          <w:lang w:val="en-US" w:eastAsia="en-GB"/>
        </w:rPr>
        <w:tab/>
        <w:t>Impact assessment</w:t>
      </w:r>
      <w:bookmarkEnd w:id="15"/>
    </w:p>
    <w:p>
      <w:pPr>
        <w:pBdr>
          <w:top w:val="nil"/>
          <w:left w:val="nil"/>
          <w:bottom w:val="nil"/>
          <w:right w:val="nil"/>
          <w:between w:val="nil"/>
          <w:bar w:val="nil"/>
        </w:pBdr>
        <w:spacing w:before="0" w:after="240"/>
        <w:rPr>
          <w:rFonts w:eastAsia="Arial Unicode MS"/>
          <w:noProof/>
        </w:rPr>
      </w:pPr>
      <w:r>
        <w:rPr>
          <w:noProof/>
        </w:rPr>
        <w:t>N/A (see above)</w:t>
      </w:r>
    </w:p>
    <w:p>
      <w:pPr>
        <w:pStyle w:val="ManualHeading2"/>
        <w:rPr>
          <w:rFonts w:eastAsia="Arial Unicode MS"/>
          <w:noProof/>
          <w:u w:color="000000"/>
          <w:bdr w:val="nil"/>
          <w:lang w:val="en-US" w:eastAsia="en-GB"/>
        </w:rPr>
      </w:pPr>
      <w:bookmarkStart w:id="16" w:name="_Toc351850"/>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bookmarkEnd w:id="16"/>
    </w:p>
    <w:p>
      <w:pPr>
        <w:pBdr>
          <w:top w:val="nil"/>
          <w:left w:val="nil"/>
          <w:bottom w:val="nil"/>
          <w:right w:val="nil"/>
          <w:between w:val="nil"/>
          <w:bar w:val="nil"/>
        </w:pBdr>
        <w:spacing w:before="0" w:after="240"/>
        <w:rPr>
          <w:rFonts w:eastAsia="Arial Unicode MS"/>
          <w:noProof/>
        </w:rPr>
      </w:pPr>
      <w:r>
        <w:rPr>
          <w:noProof/>
        </w:rPr>
        <w:t>N/A (see above)</w:t>
      </w:r>
    </w:p>
    <w:p>
      <w:pPr>
        <w:pStyle w:val="ManualHeading2"/>
        <w:rPr>
          <w:rFonts w:eastAsia="Arial Unicode MS"/>
          <w:noProof/>
          <w:u w:color="000000"/>
          <w:bdr w:val="nil"/>
          <w:lang w:val="en-US" w:eastAsia="en-GB"/>
        </w:rPr>
      </w:pPr>
      <w:bookmarkStart w:id="17" w:name="_Toc351851"/>
      <w:r>
        <w:rPr>
          <w:rFonts w:eastAsia="Arial Unicode MS"/>
          <w:noProof/>
          <w:u w:color="000000"/>
          <w:bdr w:val="nil"/>
          <w:lang w:val="en-US" w:eastAsia="en-GB"/>
        </w:rPr>
        <w:t>•</w:t>
      </w:r>
      <w:r>
        <w:rPr>
          <w:rFonts w:eastAsia="Arial Unicode MS"/>
          <w:noProof/>
          <w:u w:color="000000"/>
          <w:bdr w:val="nil"/>
          <w:lang w:val="en-US" w:eastAsia="en-GB"/>
        </w:rPr>
        <w:tab/>
        <w:t>Fundamental rights</w:t>
      </w:r>
      <w:bookmarkEnd w:id="17"/>
    </w:p>
    <w:p>
      <w:pPr>
        <w:pBdr>
          <w:top w:val="nil"/>
          <w:left w:val="nil"/>
          <w:bottom w:val="nil"/>
          <w:right w:val="nil"/>
          <w:between w:val="nil"/>
          <w:bar w:val="nil"/>
        </w:pBdr>
        <w:spacing w:before="0" w:after="240"/>
        <w:rPr>
          <w:rFonts w:eastAsia="Arial Unicode MS"/>
          <w:noProof/>
        </w:rPr>
      </w:pPr>
      <w:r>
        <w:rPr>
          <w:noProof/>
        </w:rPr>
        <w:t>N/A (see above)</w:t>
      </w:r>
    </w:p>
    <w:p>
      <w:pPr>
        <w:pStyle w:val="ManualHeading1"/>
        <w:rPr>
          <w:noProof/>
        </w:rPr>
      </w:pPr>
      <w:bookmarkStart w:id="18" w:name="_Toc351852"/>
      <w:r>
        <w:rPr>
          <w:noProof/>
        </w:rPr>
        <w:t>4.</w:t>
      </w:r>
      <w:r>
        <w:rPr>
          <w:noProof/>
        </w:rPr>
        <w:tab/>
        <w:t>BUDGETARY IMPLICATIONS</w:t>
      </w:r>
      <w:bookmarkEnd w:id="18"/>
    </w:p>
    <w:p>
      <w:pPr>
        <w:pBdr>
          <w:top w:val="nil"/>
          <w:left w:val="nil"/>
          <w:bottom w:val="nil"/>
          <w:right w:val="nil"/>
          <w:between w:val="nil"/>
          <w:bar w:val="nil"/>
        </w:pBdr>
        <w:spacing w:before="0" w:after="240"/>
        <w:rPr>
          <w:noProof/>
        </w:rPr>
      </w:pPr>
      <w:r>
        <w:rPr>
          <w:rFonts w:eastAsia="Arial Unicode MS"/>
          <w:noProof/>
        </w:rPr>
        <w:t xml:space="preserve">In line with the Commission’s proposal for the 2021-2027 multiannual financial framework, </w:t>
      </w:r>
      <w:r>
        <w:rPr>
          <w:noProof/>
        </w:rPr>
        <w:t>EUR 1 400 000 000</w:t>
      </w:r>
      <w:r>
        <w:rPr>
          <w:rStyle w:val="FootnoteReference"/>
          <w:noProof/>
        </w:rPr>
        <w:footnoteReference w:id="6"/>
      </w:r>
      <w:r>
        <w:rPr>
          <w:noProof/>
        </w:rPr>
        <w:t xml:space="preserve"> (in current prices) has been allocated for implementing the Union Mechanism for that period. The proposed budgetary allocation mirrors the level of ambition set by the proposed revision of Decision No 1313/2013/EU of 23 November 2017 (rescEU proposal). The additional budget will allow the following actions to be carried out:</w:t>
      </w:r>
    </w:p>
    <w:p>
      <w:pPr>
        <w:pStyle w:val="Bullet0"/>
        <w:numPr>
          <w:ilvl w:val="0"/>
          <w:numId w:val="15"/>
        </w:numPr>
        <w:rPr>
          <w:noProof/>
        </w:rPr>
      </w:pPr>
      <w:r>
        <w:rPr>
          <w:noProof/>
        </w:rPr>
        <w:t>reinforce the collective capacity of the Member States and the EU to respond to disasters by creating a dedicated reserve of response capacities (rescEU);</w:t>
      </w:r>
    </w:p>
    <w:p>
      <w:pPr>
        <w:pStyle w:val="Bullet0"/>
        <w:rPr>
          <w:noProof/>
        </w:rPr>
      </w:pPr>
      <w:r>
        <w:rPr>
          <w:noProof/>
        </w:rPr>
        <w:t>higher (or new) EU co-financing to adapt, repair, transport and/or operate capacities that are committed to the European Civil Protection Pool;</w:t>
      </w:r>
    </w:p>
    <w:p>
      <w:pPr>
        <w:pStyle w:val="Bullet0"/>
        <w:rPr>
          <w:noProof/>
        </w:rPr>
      </w:pPr>
      <w:r>
        <w:rPr>
          <w:noProof/>
        </w:rPr>
        <w:t>greater focus on prevention and on improving coherence with other key EU policies;</w:t>
      </w:r>
    </w:p>
    <w:p>
      <w:pPr>
        <w:pStyle w:val="Bullet0"/>
        <w:rPr>
          <w:noProof/>
        </w:rPr>
      </w:pPr>
      <w:r>
        <w:rPr>
          <w:noProof/>
        </w:rPr>
        <w:t>set up a civil protection knowledge network; and</w:t>
      </w:r>
    </w:p>
    <w:p>
      <w:pPr>
        <w:pStyle w:val="Bullet0"/>
        <w:rPr>
          <w:rFonts w:eastAsia="Arial Unicode MS"/>
          <w:noProof/>
        </w:rPr>
      </w:pPr>
      <w:r>
        <w:rPr>
          <w:noProof/>
        </w:rPr>
        <w:t>strengthen cooperation with neighbourhood countries.</w:t>
      </w:r>
    </w:p>
    <w:p>
      <w:pPr>
        <w:rPr>
          <w:noProof/>
        </w:rPr>
      </w:pPr>
      <w:r>
        <w:rPr>
          <w:noProof/>
        </w:rPr>
        <w:t>The legislative and financial statement that accompanies this proposal provides further details on the budgetary implications and the human and administrative resources required.</w:t>
      </w:r>
    </w:p>
    <w:p>
      <w:pPr>
        <w:rPr>
          <w:noProof/>
        </w:rPr>
      </w:pPr>
      <w:r>
        <w:rPr>
          <w:noProof/>
        </w:rPr>
        <w:t>5.</w:t>
      </w:r>
      <w:r>
        <w:rPr>
          <w:noProof/>
        </w:rPr>
        <w:tab/>
        <w:t>OTHER ELEMENTS</w:t>
      </w:r>
    </w:p>
    <w:p>
      <w:pPr>
        <w:pStyle w:val="ManualHeading2"/>
        <w:rPr>
          <w:rFonts w:eastAsia="Arial Unicode MS"/>
          <w:noProof/>
          <w:u w:color="000000"/>
          <w:bdr w:val="nil"/>
          <w:lang w:val="en-US" w:eastAsia="en-GB"/>
        </w:rPr>
      </w:pPr>
      <w:bookmarkStart w:id="19" w:name="_Toc351853"/>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bookmarkEnd w:id="19"/>
    </w:p>
    <w:p>
      <w:pPr>
        <w:pBdr>
          <w:top w:val="nil"/>
          <w:left w:val="nil"/>
          <w:bottom w:val="nil"/>
          <w:right w:val="nil"/>
          <w:between w:val="nil"/>
          <w:bar w:val="nil"/>
        </w:pBdr>
        <w:spacing w:before="0" w:after="240"/>
        <w:rPr>
          <w:rFonts w:eastAsia="Arial Unicode MS"/>
          <w:noProof/>
        </w:rPr>
      </w:pPr>
      <w:r>
        <w:rPr>
          <w:rFonts w:eastAsia="Arial Unicode MS"/>
          <w:noProof/>
        </w:rPr>
        <w:t>Article 34(2) of Decision No 1313/2013/EU on a Union Civil Protection Mechanism applies. It states that ‘actions receiving financial assistance shall be monitored regularly in order to follow their implementation’. It also contains more general requirements for the Commission to submit a report every two years to the European Parliament and to the Council on the ‘progress towards the capacity goals and remaining gaps’ regarding the European Civil Protection Pool, taking into account the establishment of rescEU capacities. Moreover, the Commission should also evaluate the application of the Decision by submitting a communication every five years to the European Parliament and Council on the effectiveness, cost efficiency and continued implementation of the Decision Such evaluation should be based on the indicators provided for in Article 3 of the Decision No 1313/2013/EU.</w:t>
      </w:r>
    </w:p>
    <w:p>
      <w:pPr>
        <w:pStyle w:val="ManualHeading2"/>
        <w:rPr>
          <w:rFonts w:eastAsia="Arial Unicode MS"/>
          <w:noProof/>
          <w:u w:color="000000"/>
          <w:bdr w:val="nil"/>
          <w:lang w:val="en-US" w:eastAsia="en-GB"/>
        </w:rPr>
      </w:pPr>
      <w:bookmarkStart w:id="20" w:name="_Toc351854"/>
      <w:r>
        <w:rPr>
          <w:rFonts w:eastAsia="Arial Unicode MS"/>
          <w:noProof/>
          <w:u w:color="000000"/>
          <w:bdr w:val="nil"/>
          <w:lang w:val="en-US" w:eastAsia="en-GB"/>
        </w:rPr>
        <w:lastRenderedPageBreak/>
        <w:t>•</w:t>
      </w:r>
      <w:r>
        <w:rPr>
          <w:rFonts w:eastAsia="Arial Unicode MS"/>
          <w:noProof/>
          <w:u w:color="000000"/>
          <w:bdr w:val="nil"/>
          <w:lang w:val="en-US" w:eastAsia="en-GB"/>
        </w:rPr>
        <w:tab/>
        <w:t>Explanatory documents (for directives)</w:t>
      </w:r>
      <w:bookmarkEnd w:id="20"/>
    </w:p>
    <w:p>
      <w:pPr>
        <w:pBdr>
          <w:top w:val="nil"/>
          <w:left w:val="nil"/>
          <w:bottom w:val="nil"/>
          <w:right w:val="nil"/>
          <w:between w:val="nil"/>
          <w:bar w:val="nil"/>
        </w:pBdr>
        <w:spacing w:before="0" w:after="240"/>
        <w:rPr>
          <w:rFonts w:eastAsia="Arial Unicode MS"/>
          <w:noProof/>
        </w:rPr>
      </w:pPr>
      <w:r>
        <w:rPr>
          <w:rFonts w:eastAsia="Arial Unicode MS"/>
          <w:noProof/>
        </w:rPr>
        <w:t>N/A</w:t>
      </w:r>
    </w:p>
    <w:p>
      <w:pPr>
        <w:pStyle w:val="ManualHeading2"/>
        <w:rPr>
          <w:rFonts w:eastAsia="Arial Unicode MS"/>
          <w:noProof/>
          <w:u w:color="000000"/>
          <w:bdr w:val="nil"/>
          <w:lang w:val="en-US" w:eastAsia="en-GB"/>
        </w:rPr>
      </w:pPr>
      <w:bookmarkStart w:id="21" w:name="_Toc351855"/>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bookmarkEnd w:id="21"/>
    </w:p>
    <w:p>
      <w:pPr>
        <w:pBdr>
          <w:top w:val="nil"/>
          <w:left w:val="nil"/>
          <w:bottom w:val="nil"/>
          <w:right w:val="nil"/>
          <w:between w:val="nil"/>
          <w:bar w:val="nil"/>
        </w:pBdr>
        <w:spacing w:before="0" w:after="240"/>
        <w:rPr>
          <w:noProof/>
        </w:rPr>
      </w:pPr>
      <w:r>
        <w:rPr>
          <w:noProof/>
        </w:rPr>
        <w:t>This proposal only amends the budgetary provisions of Decision No 1313/2012/EU.</w:t>
      </w:r>
    </w:p>
    <w:p>
      <w:pPr>
        <w:pBdr>
          <w:top w:val="nil"/>
          <w:left w:val="nil"/>
          <w:bottom w:val="nil"/>
          <w:right w:val="nil"/>
          <w:between w:val="nil"/>
          <w:bar w:val="nil"/>
        </w:pBdr>
        <w:spacing w:before="0" w:after="240"/>
        <w:rPr>
          <w:rFonts w:eastAsia="Arial Unicode MS"/>
          <w:noProof/>
        </w:rPr>
      </w:pPr>
      <w:r>
        <w:rPr>
          <w:rFonts w:eastAsia="Arial Unicode MS"/>
          <w:noProof/>
        </w:rPr>
        <w:t>The financial envelope mentioned in Article 19 of Decision No 1313/2013/EU needs to be updated and replaced by the new figures provided for in the Commission’s proposal for the 2021-2027 multiannual financial framework. In addition, given that the Union Mechanism/rescEU will be placed under a single heading (Heading 5: ‘Security and Defence’), as opposed to the current split between headings 3 and 4, the text should be amended accordingly.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This proposal also envisages the deletion of Annex I, which currently establishes the relative percentages that each pillar of the Union Mechanism (prevention, preparedness and response) should receive in terms of funding from the overall financial envelope. Given the changes put forward in the </w:t>
      </w:r>
      <w:r>
        <w:rPr>
          <w:noProof/>
        </w:rPr>
        <w:t>proposed revision of Decision No 1313/2013/EU of 23 November 2017 (rescEU proposal)</w:t>
      </w:r>
      <w:r>
        <w:rPr>
          <w:rFonts w:eastAsia="Arial Unicode MS"/>
          <w:noProof/>
        </w:rPr>
        <w:t>, the percentages outlined in Annex I do not appear to ensure sufficient flexibility so that the EU can achieve the objectives it has set. During an emergency, the percentages in Annex I lead to undue administrative burden and may limit the flexibility needed to adapt to the disaster needs in any given year. The need to invest in all phases of the disaster risk management cycle, prevention, preparedness and response is, in any case, embedded in the Union Mechanism.</w:t>
      </w:r>
    </w:p>
    <w:p>
      <w:pPr>
        <w:pBdr>
          <w:top w:val="nil"/>
          <w:left w:val="nil"/>
          <w:bottom w:val="nil"/>
          <w:right w:val="nil"/>
          <w:between w:val="nil"/>
          <w:bar w:val="nil"/>
        </w:pBdr>
        <w:spacing w:before="0" w:after="240"/>
        <w:rPr>
          <w:rFonts w:eastAsia="Arial Unicode MS"/>
          <w:noProof/>
        </w:rPr>
      </w:pPr>
      <w:r>
        <w:rPr>
          <w:rFonts w:eastAsia="Arial Unicode MS"/>
          <w:noProof/>
        </w:rPr>
        <w:t>As a result of the deletion of Annex I, paragraphs 4, 5 and 6 of Article 19 should also be deleted since they refer directly to the percentages mentioned in Annex I.</w:t>
      </w:r>
    </w:p>
    <w:p>
      <w:pPr>
        <w:pBdr>
          <w:top w:val="nil"/>
          <w:left w:val="nil"/>
          <w:bottom w:val="nil"/>
          <w:right w:val="nil"/>
          <w:between w:val="nil"/>
          <w:bar w:val="nil"/>
        </w:pBdr>
        <w:spacing w:before="0" w:after="240"/>
        <w:rPr>
          <w:noProof/>
        </w:rPr>
      </w:pPr>
      <w:r>
        <w:rPr>
          <w:rFonts w:eastAsia="Arial Unicode MS"/>
          <w:noProof/>
        </w:rPr>
        <w:t xml:space="preserve">As a result, the proposal also amends Article 30 on the exercise of the delegation of powers conferred on the Commission. While the substance of the Article remains unchanged, the cross-references to Article 19 are removed. Article 30 has not been deleted in order to cater for the possibility to adopt delegated acts, as provided for in </w:t>
      </w:r>
      <w:r>
        <w:rPr>
          <w:noProof/>
        </w:rPr>
        <w:t>the proposed revision of Decision No 1313/2013/EU of 23 November 2017 (rescEU proposal)</w:t>
      </w:r>
      <w:r>
        <w:rPr>
          <w:rStyle w:val="FootnoteReference"/>
          <w:rFonts w:eastAsia="Arial Unicode MS"/>
          <w:noProof/>
        </w:rPr>
        <w:footnoteReference w:id="7"/>
      </w:r>
      <w:r>
        <w:rPr>
          <w:rFonts w:eastAsia="Arial Unicode MS"/>
          <w:noProof/>
        </w:rPr>
        <w:t>.</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2019/0070 (COD)</w:t>
      </w:r>
    </w:p>
    <w:p>
      <w:pPr>
        <w:pStyle w:val="Statut"/>
        <w:rPr>
          <w:noProof/>
        </w:rPr>
      </w:pPr>
      <w:r>
        <w:rPr>
          <w:noProof/>
        </w:rPr>
        <w:t>Proposal for a</w:t>
      </w:r>
    </w:p>
    <w:p>
      <w:pPr>
        <w:pStyle w:val="Typedudocument"/>
        <w:rPr>
          <w:noProof/>
        </w:rPr>
      </w:pPr>
      <w:bookmarkStart w:id="22" w:name="_Toc351856"/>
      <w:r>
        <w:rPr>
          <w:noProof/>
        </w:rPr>
        <w:t>DECISION OF THE EUROPEAN PARLIAMENT AND OF THE COUNCIL</w:t>
      </w:r>
      <w:bookmarkEnd w:id="22"/>
    </w:p>
    <w:p>
      <w:pPr>
        <w:pStyle w:val="Titreobjet"/>
        <w:rPr>
          <w:noProof/>
        </w:rPr>
      </w:pPr>
      <w:bookmarkStart w:id="23" w:name="_Toc351857"/>
      <w:r>
        <w:rPr>
          <w:noProof/>
        </w:rPr>
        <w:t>amending Decision No 1313/2013/EU of the European Parliament and of the Council on a Union Civil Protection Mechanism</w:t>
      </w:r>
      <w:bookmarkEnd w:id="23"/>
    </w:p>
    <w:p>
      <w:pPr>
        <w:pStyle w:val="IntrtEEE"/>
        <w:rPr>
          <w:noProof/>
        </w:rPr>
      </w:pPr>
      <w:r>
        <w:rPr>
          <w:noProof/>
        </w:rPr>
        <w:t>(Text with EEA relevance)</w:t>
      </w:r>
    </w:p>
    <w:p>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pPr>
        <w:rPr>
          <w:noProof/>
        </w:rPr>
      </w:pPr>
      <w:r>
        <w:rPr>
          <w:noProof/>
        </w:rPr>
        <w:t>Having regard to the Treaty on the Functioning of the European Union, and in particular Article 196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8"/>
      </w:r>
      <w:r>
        <w:rPr>
          <w:noProof/>
        </w:rPr>
        <w:t xml:space="preserve">, </w:t>
      </w:r>
    </w:p>
    <w:p>
      <w:pPr>
        <w:rPr>
          <w:noProof/>
        </w:rPr>
      </w:pPr>
      <w:r>
        <w:rPr>
          <w:noProof/>
        </w:rPr>
        <w:t>Having regard to the opinion of the Committee of the Regions</w:t>
      </w:r>
      <w:r>
        <w:rPr>
          <w:rStyle w:val="FootnoteReference"/>
          <w:noProof/>
        </w:rPr>
        <w:footnoteReference w:id="9"/>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Commission adopted a proposal</w:t>
      </w:r>
      <w:r>
        <w:rPr>
          <w:rStyle w:val="FootnoteReference"/>
          <w:noProof/>
        </w:rPr>
        <w:footnoteReference w:id="10"/>
      </w:r>
      <w:r>
        <w:rPr>
          <w:noProof/>
        </w:rPr>
        <w:t xml:space="preserve"> for a Decision of the European Parliament and of the Council amending Decision No 1313/2013/EU on a Union Civil Protection Mechanism on 23 November 2017</w:t>
      </w:r>
      <w:r>
        <w:rPr>
          <w:rStyle w:val="FootnoteReference"/>
          <w:noProof/>
        </w:rPr>
        <w:footnoteReference w:id="11"/>
      </w:r>
      <w:r>
        <w:rPr>
          <w:noProof/>
        </w:rPr>
        <w:t>.</w:t>
      </w:r>
    </w:p>
    <w:p>
      <w:pPr>
        <w:pStyle w:val="ManualConsidrant"/>
        <w:rPr>
          <w:noProof/>
        </w:rPr>
      </w:pPr>
      <w:r>
        <w:t>(2)</w:t>
      </w:r>
      <w:r>
        <w:tab/>
      </w:r>
      <w:r>
        <w:rPr>
          <w:noProof/>
        </w:rPr>
        <w:t>The Commission proposal for a Decision of the European Parliament and of the Council amending Decision No 1313/2013/EU seeks to enhance the collective ability to prepare and respond to disasters by bolstering the possibilities offered by the European Civil Protection Pool. This involves establishing a reserve of civil protection capacities for use in Union operations (‘rescEU’) and strengthening the measures applicable in the field of prevention.</w:t>
      </w:r>
    </w:p>
    <w:p>
      <w:pPr>
        <w:pStyle w:val="ManualConsidrant"/>
        <w:rPr>
          <w:noProof/>
        </w:rPr>
      </w:pPr>
      <w:r>
        <w:t>(3)</w:t>
      </w:r>
      <w:r>
        <w:tab/>
      </w:r>
      <w:r>
        <w:rPr>
          <w:noProof/>
        </w:rPr>
        <w:t>Enhanced Union financing is necessary to be able to further develop the European Civil Protection Pool and cover additional costs stemming from adaptation grants and the operation of capacities committed to the European Civil Protection Pool.</w:t>
      </w:r>
    </w:p>
    <w:p>
      <w:pPr>
        <w:pStyle w:val="ManualConsidrant"/>
        <w:rPr>
          <w:noProof/>
        </w:rPr>
      </w:pPr>
      <w:r>
        <w:t>(4)</w:t>
      </w:r>
      <w:r>
        <w:tab/>
      </w:r>
      <w:r>
        <w:rPr>
          <w:noProof/>
        </w:rPr>
        <w:t>Adequate financial appropriations are required in order to establish, deploy and operate rescEU capacities.</w:t>
      </w:r>
    </w:p>
    <w:p>
      <w:pPr>
        <w:pStyle w:val="ManualConsidrant"/>
        <w:rPr>
          <w:noProof/>
        </w:rPr>
      </w:pPr>
      <w:r>
        <w:lastRenderedPageBreak/>
        <w:t>(5)</w:t>
      </w:r>
      <w:r>
        <w:tab/>
      </w:r>
      <w:r>
        <w:rPr>
          <w:noProof/>
        </w:rPr>
        <w:t>Decision No 1313/2013/EU sets out a financial envelope for the Union Mechanism that constitutes the prime reference amount intended to cover programme expenditure until the end of the 2014-2020 budgetary period.</w:t>
      </w:r>
    </w:p>
    <w:p>
      <w:pPr>
        <w:pStyle w:val="ManualConsidrant"/>
        <w:rPr>
          <w:noProof/>
        </w:rPr>
      </w:pPr>
      <w:r>
        <w:t>(6)</w:t>
      </w:r>
      <w:r>
        <w:tab/>
      </w:r>
      <w:r>
        <w:rPr>
          <w:noProof/>
        </w:rPr>
        <w:t>The financial envelope set out in Article 19 of Decision No 1313/2013/EU needs to be updated and replaced by the new figures provided for in the Commission’s proposal for the 2021-2027 multiannual financial framework</w:t>
      </w:r>
      <w:r>
        <w:rPr>
          <w:rStyle w:val="FootnoteReference"/>
          <w:noProof/>
        </w:rPr>
        <w:footnoteReference w:id="12"/>
      </w:r>
      <w:r>
        <w:rPr>
          <w:noProof/>
        </w:rPr>
        <w:t>.</w:t>
      </w:r>
    </w:p>
    <w:p>
      <w:pPr>
        <w:pStyle w:val="ManualConsidrant"/>
        <w:rPr>
          <w:noProof/>
        </w:rPr>
      </w:pPr>
      <w:r>
        <w:t>(7)</w:t>
      </w:r>
      <w:r>
        <w:tab/>
      </w:r>
      <w:r>
        <w:rPr>
          <w:noProof/>
        </w:rPr>
        <w:t>Pursuant to the 2021-2027 multiannual financial framework, financial appropriations for the Union Civil Protection Mechanism are under a new Heading 5 ‘Security and Defence’.</w:t>
      </w:r>
    </w:p>
    <w:p>
      <w:pPr>
        <w:pStyle w:val="ManualConsidrant"/>
        <w:rPr>
          <w:noProof/>
        </w:rPr>
      </w:pPr>
      <w:r>
        <w:t>(8)</w:t>
      </w:r>
      <w:r>
        <w:tab/>
      </w:r>
      <w:r>
        <w:rPr>
          <w:noProof/>
        </w:rPr>
        <w:t xml:space="preserve">Annex I to Decision No 1313/2013/EU is not flexible enough to allow the Union to properly adjust investments in prevention, preparedness and response. Investment levels to be allocated to the different phases of the disaster risk management cycle need to be determined in advance. This prevents the Union from being able to react to the unpredictable nature of disaster management. </w:t>
      </w:r>
    </w:p>
    <w:p>
      <w:pPr>
        <w:pStyle w:val="ManualConsidrant"/>
        <w:rPr>
          <w:noProof/>
        </w:rPr>
      </w:pPr>
      <w:r>
        <w:t>(9)</w:t>
      </w:r>
      <w:r>
        <w:tab/>
      </w:r>
      <w:r>
        <w:rPr>
          <w:noProof/>
        </w:rPr>
        <w:t>A new financial provision should replace the financial provisions of Decision No 1313/2013/EU which refer to the financial envelope of the Union Civil Protection Mechanism in accordance with the current multiannual financial framework (2014-2020). To align the financial envelope of the Union Civil Protection Mechanism with the figures proposed for the 2021-2027 multiannual financial framework ,  point (a) of Article 1(1) should apply from 1 January 2021.</w:t>
      </w:r>
    </w:p>
    <w:p>
      <w:pPr>
        <w:pStyle w:val="ManualConsidrant"/>
        <w:rPr>
          <w:noProof/>
        </w:rPr>
      </w:pPr>
      <w:r>
        <w:t>(10)</w:t>
      </w:r>
      <w:r>
        <w:tab/>
      </w:r>
      <w:r>
        <w:rPr>
          <w:noProof/>
        </w:rPr>
        <w:t>Decision No 1313/2013/EU should therefore be amended accordingly,</w:t>
      </w:r>
    </w:p>
    <w:p>
      <w:pPr>
        <w:pStyle w:val="Formuledadoption"/>
        <w:rPr>
          <w:noProof/>
        </w:rPr>
      </w:pPr>
      <w:r>
        <w:rPr>
          <w:noProof/>
        </w:rPr>
        <w:t>HAVE ADOPTED THIS DECISION:</w:t>
      </w:r>
    </w:p>
    <w:p>
      <w:pPr>
        <w:pStyle w:val="Titrearticle"/>
        <w:rPr>
          <w:noProof/>
        </w:rPr>
      </w:pPr>
      <w:r>
        <w:rPr>
          <w:noProof/>
        </w:rPr>
        <w:t>Article 1</w:t>
      </w:r>
    </w:p>
    <w:p>
      <w:pPr>
        <w:rPr>
          <w:noProof/>
          <w:sz w:val="23"/>
          <w:szCs w:val="23"/>
        </w:rPr>
      </w:pPr>
      <w:r>
        <w:rPr>
          <w:noProof/>
          <w:sz w:val="23"/>
          <w:szCs w:val="23"/>
        </w:rPr>
        <w:t>Decision No 1313/2013/EU is amended as follows:</w:t>
      </w:r>
    </w:p>
    <w:p>
      <w:pPr>
        <w:pStyle w:val="Point0number"/>
        <w:numPr>
          <w:ilvl w:val="0"/>
          <w:numId w:val="7"/>
        </w:numPr>
        <w:rPr>
          <w:noProof/>
        </w:rPr>
      </w:pPr>
      <w:r>
        <w:rPr>
          <w:noProof/>
        </w:rPr>
        <w:t>Article 19 is amended as follows:</w:t>
      </w:r>
    </w:p>
    <w:p>
      <w:pPr>
        <w:pStyle w:val="Point0"/>
        <w:ind w:hanging="130"/>
        <w:rPr>
          <w:noProof/>
        </w:rPr>
      </w:pPr>
      <w:r>
        <w:rPr>
          <w:noProof/>
        </w:rPr>
        <w:t>(a) paragraph 1 is replaced by the following:</w:t>
      </w:r>
    </w:p>
    <w:p>
      <w:pPr>
        <w:pStyle w:val="Point1"/>
        <w:rPr>
          <w:noProof/>
        </w:rPr>
      </w:pPr>
      <w:r>
        <w:rPr>
          <w:noProof/>
        </w:rPr>
        <w:t>“1. The financial envelope for the implementation of the Union Mechanism for the period 2021 to 2027 shall be EUR 1 400 000 000 in current prices”.</w:t>
      </w:r>
    </w:p>
    <w:p>
      <w:pPr>
        <w:pStyle w:val="Point0"/>
        <w:ind w:hanging="130"/>
        <w:rPr>
          <w:noProof/>
        </w:rPr>
      </w:pPr>
      <w:r>
        <w:rPr>
          <w:noProof/>
        </w:rPr>
        <w:t>(b) paragraphs 4, 5 and 6 are deleted.</w:t>
      </w:r>
    </w:p>
    <w:p>
      <w:pPr>
        <w:pStyle w:val="Point0number"/>
        <w:rPr>
          <w:noProof/>
        </w:rPr>
      </w:pPr>
      <w:r>
        <w:rPr>
          <w:noProof/>
        </w:rPr>
        <w:t>Article 20a</w:t>
      </w:r>
      <w:r>
        <w:rPr>
          <w:rStyle w:val="FootnoteReference"/>
          <w:noProof/>
        </w:rPr>
        <w:footnoteReference w:id="13"/>
      </w:r>
      <w:r>
        <w:rPr>
          <w:noProof/>
        </w:rPr>
        <w:t xml:space="preserve"> is amended as follows:</w:t>
      </w:r>
    </w:p>
    <w:p>
      <w:pPr>
        <w:pStyle w:val="Point1letter"/>
        <w:rPr>
          <w:noProof/>
        </w:rPr>
      </w:pPr>
      <w:r>
        <w:rPr>
          <w:noProof/>
        </w:rPr>
        <w:t>paragraph 1 is replaced by the following:</w:t>
      </w:r>
    </w:p>
    <w:p>
      <w:pPr>
        <w:pStyle w:val="Point1"/>
        <w:rPr>
          <w:noProof/>
        </w:rPr>
      </w:pPr>
      <w:r>
        <w:rPr>
          <w:noProof/>
        </w:rPr>
        <w:t xml:space="preserve">“1. </w:t>
      </w:r>
      <w:r>
        <w:rPr>
          <w:noProof/>
        </w:rPr>
        <w:tab/>
        <w:t xml:space="preserve">The recipients of Union funding shall acknowledge the origin and ensure the visibility of the Union funding (in particular when promoting the actions and their results) by providing coherent, effective and proportionate targeted information to multiple audiences, including the media and the public. Any </w:t>
      </w:r>
      <w:r>
        <w:rPr>
          <w:noProof/>
        </w:rPr>
        <w:lastRenderedPageBreak/>
        <w:t>assistance or funding provided under this Decision shall also give appropriate visibility to the Union, including prominence to the Union emblem for those capacities referred to under Article 11, 12 and point (c) of Article 21(2).</w:t>
      </w:r>
    </w:p>
    <w:p>
      <w:pPr>
        <w:pStyle w:val="Point1"/>
        <w:rPr>
          <w:noProof/>
        </w:rPr>
      </w:pPr>
      <w:r>
        <w:rPr>
          <w:noProof/>
        </w:rPr>
        <w:t xml:space="preserve">2. </w:t>
      </w:r>
      <w:r>
        <w:rPr>
          <w:noProof/>
        </w:rPr>
        <w:tab/>
        <w:t xml:space="preserve">The Commission shall implement information and communication actions relating to this Decision, and its actions and results. Financial resources allocated to this Decision shall also contribute to the corporate communication of the political priorities of the Union, as far as they are related to the objectives referred to in Article 3(1). </w:t>
      </w:r>
    </w:p>
    <w:p>
      <w:pPr>
        <w:pStyle w:val="Point1"/>
        <w:ind w:firstLine="0"/>
        <w:rPr>
          <w:noProof/>
        </w:rPr>
      </w:pPr>
      <w:r>
        <w:rPr>
          <w:noProof/>
        </w:rPr>
        <w:t>A communication strategy shall be developed by the Commission in order to make the tangible results of the actions taken under the Union Mechanism visible to citizens.</w:t>
      </w:r>
    </w:p>
    <w:p>
      <w:pPr>
        <w:pStyle w:val="Point1"/>
        <w:rPr>
          <w:noProof/>
        </w:rPr>
      </w:pPr>
      <w:r>
        <w:rPr>
          <w:noProof/>
        </w:rPr>
        <w:t xml:space="preserve">3. </w:t>
      </w:r>
      <w:r>
        <w:rPr>
          <w:noProof/>
        </w:rPr>
        <w:tab/>
        <w:t>The Commission shall award medals in order to recognise and honour long-standing commitments and extraordinary contributions to Union Civil Protection.”</w:t>
      </w:r>
    </w:p>
    <w:p>
      <w:pPr>
        <w:pStyle w:val="Point0number"/>
        <w:rPr>
          <w:noProof/>
        </w:rPr>
      </w:pPr>
      <w:r>
        <w:rPr>
          <w:noProof/>
        </w:rPr>
        <w:t>Article 30</w:t>
      </w:r>
      <w:r>
        <w:rPr>
          <w:rStyle w:val="FootnoteReference"/>
          <w:noProof/>
        </w:rPr>
        <w:footnoteReference w:id="14"/>
      </w:r>
      <w:r>
        <w:rPr>
          <w:noProof/>
        </w:rPr>
        <w:t xml:space="preserve"> is amended as follows:</w:t>
      </w:r>
    </w:p>
    <w:p>
      <w:pPr>
        <w:pStyle w:val="Point1letter"/>
        <w:rPr>
          <w:noProof/>
        </w:rPr>
      </w:pPr>
      <w:r>
        <w:rPr>
          <w:noProof/>
        </w:rPr>
        <w:t>paragraph 2 is deleted;</w:t>
      </w:r>
    </w:p>
    <w:p>
      <w:pPr>
        <w:pStyle w:val="Point1letter"/>
        <w:rPr>
          <w:noProof/>
        </w:rPr>
      </w:pPr>
      <w:r>
        <w:rPr>
          <w:noProof/>
        </w:rPr>
        <w:t>paragraph 4 is replaced by the following:</w:t>
      </w:r>
    </w:p>
    <w:p>
      <w:pPr>
        <w:pStyle w:val="Text1"/>
        <w:rPr>
          <w:noProof/>
        </w:rPr>
      </w:pPr>
      <w:r>
        <w:rPr>
          <w:noProof/>
        </w:rPr>
        <w:t xml:space="preserve">“4. The delegation of power referred to in Article 21(3) may be revoked at any time by the European Parliament or by the Council. A decision to revoke shall put an end to the delegation of the power specified in that decision. It shall take effect the day following the publication of the Decision in the </w:t>
      </w:r>
      <w:r>
        <w:rPr>
          <w:i/>
          <w:noProof/>
        </w:rPr>
        <w:t>Official Journal of the European Union</w:t>
      </w:r>
      <w:r>
        <w:rPr>
          <w:noProof/>
        </w:rPr>
        <w:t xml:space="preserve"> or at a later date specified therein. It shall not affect the validity of any delegated acts already in force”.</w:t>
      </w:r>
    </w:p>
    <w:p>
      <w:pPr>
        <w:pStyle w:val="Point1letter"/>
        <w:rPr>
          <w:noProof/>
        </w:rPr>
      </w:pPr>
      <w:r>
        <w:rPr>
          <w:noProof/>
        </w:rPr>
        <w:t>paragraph 7 is replaced by the following:</w:t>
      </w:r>
    </w:p>
    <w:p>
      <w:pPr>
        <w:pStyle w:val="Text1"/>
        <w:rPr>
          <w:noProof/>
        </w:rPr>
      </w:pPr>
      <w:r>
        <w:rPr>
          <w:noProof/>
        </w:rPr>
        <w:t>“A delegated act adopted pursuant to Article 21(3)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Point0number"/>
        <w:rPr>
          <w:noProof/>
        </w:rPr>
      </w:pPr>
      <w:r>
        <w:rPr>
          <w:noProof/>
        </w:rPr>
        <w:t>Annex I is deleted.</w:t>
      </w:r>
    </w:p>
    <w:p>
      <w:pPr>
        <w:pStyle w:val="Titrearticle"/>
        <w:rPr>
          <w:noProof/>
        </w:rPr>
      </w:pPr>
      <w:r>
        <w:rPr>
          <w:noProof/>
        </w:rPr>
        <w:t>Article 2</w:t>
      </w:r>
    </w:p>
    <w:p>
      <w:pPr>
        <w:rPr>
          <w:noProof/>
        </w:rPr>
      </w:pPr>
      <w:r>
        <w:rPr>
          <w:noProof/>
        </w:rPr>
        <w:t xml:space="preserve">This Decision shall enter into force on the twentieth day following that of its publication in the </w:t>
      </w:r>
      <w:r>
        <w:rPr>
          <w:i/>
          <w:iCs/>
          <w:noProof/>
        </w:rPr>
        <w:t>Official Journal of the European Union</w:t>
      </w:r>
      <w:r>
        <w:rPr>
          <w:noProof/>
        </w:rPr>
        <w:t xml:space="preserve">. </w:t>
      </w:r>
    </w:p>
    <w:p>
      <w:pPr>
        <w:rPr>
          <w:noProof/>
        </w:rPr>
      </w:pPr>
      <w:r>
        <w:rPr>
          <w:noProof/>
        </w:rPr>
        <w:t>However, point (a) of Article 1(1) of this Decision shall apply from 1 January 2021.</w:t>
      </w:r>
    </w:p>
    <w:p>
      <w:pPr>
        <w:pStyle w:val="Titrearticle"/>
        <w:rPr>
          <w:noProof/>
        </w:rPr>
      </w:pPr>
      <w:r>
        <w:rPr>
          <w:noProof/>
        </w:rPr>
        <w:lastRenderedPageBreak/>
        <w:t>Article 3</w:t>
      </w:r>
    </w:p>
    <w:p>
      <w:pPr>
        <w:rPr>
          <w:noProof/>
        </w:rPr>
      </w:pPr>
      <w:r>
        <w:rPr>
          <w:noProof/>
        </w:rPr>
        <w:t>This Decision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p>
      <w:pPr>
        <w:rPr>
          <w:noProof/>
        </w:rPr>
        <w:sectPr>
          <w:pgSz w:w="11907" w:h="16839"/>
          <w:pgMar w:top="1134" w:right="1417" w:bottom="1134" w:left="1417" w:header="709" w:footer="709" w:gutter="0"/>
          <w:cols w:space="708"/>
          <w:docGrid w:linePitch="360"/>
        </w:sectPr>
      </w:pPr>
    </w:p>
    <w:p>
      <w:pPr>
        <w:pStyle w:val="Fichefinanciretitre"/>
        <w:rPr>
          <w:noProof/>
        </w:rPr>
      </w:pPr>
      <w:bookmarkStart w:id="24" w:name="_Toc351858"/>
      <w:r>
        <w:rPr>
          <w:noProof/>
        </w:rPr>
        <w:lastRenderedPageBreak/>
        <w:t>LEGISLATIVE FINANCIAL STATEMENT</w:t>
      </w:r>
      <w:bookmarkEnd w:id="24"/>
    </w:p>
    <w:p>
      <w:pPr>
        <w:pStyle w:val="ManualHeading1"/>
        <w:rPr>
          <w:noProof/>
        </w:rPr>
      </w:pPr>
      <w:r>
        <w:rPr>
          <w:noProof/>
        </w:rPr>
        <w:t>1.</w:t>
      </w:r>
      <w:r>
        <w:rPr>
          <w:noProof/>
        </w:rPr>
        <w:tab/>
        <w:t xml:space="preserve">FRAMEWORK OF THE PROPOSAL/INITIATIVE </w:t>
      </w:r>
    </w:p>
    <w:p>
      <w:pPr>
        <w:pStyle w:val="ManualHeading2"/>
        <w:rPr>
          <w:b w:val="0"/>
          <w:noProof/>
        </w:rPr>
      </w:pPr>
      <w:r>
        <w:rPr>
          <w:noProof/>
        </w:rPr>
        <w:tab/>
      </w:r>
      <w:r>
        <w:rPr>
          <w:b w:val="0"/>
          <w:noProof/>
        </w:rPr>
        <w:t>1.1.</w:t>
      </w:r>
      <w:r>
        <w:rPr>
          <w:b w:val="0"/>
          <w:noProof/>
        </w:rPr>
        <w:tab/>
        <w:t xml:space="preserve">Title of the proposal/initiative </w:t>
      </w:r>
    </w:p>
    <w:p>
      <w:pPr>
        <w:pStyle w:val="ManualHeading2"/>
        <w:rPr>
          <w:b w:val="0"/>
          <w:noProof/>
        </w:rPr>
      </w:pPr>
      <w:r>
        <w:rPr>
          <w:b w:val="0"/>
          <w:noProof/>
        </w:rPr>
        <w:tab/>
        <w:t>1.2.</w:t>
      </w:r>
      <w:r>
        <w:rPr>
          <w:b w:val="0"/>
          <w:noProof/>
        </w:rPr>
        <w:tab/>
        <w:t>Policy area(s) concerned</w:t>
      </w:r>
    </w:p>
    <w:p>
      <w:pPr>
        <w:pStyle w:val="ManualHeading2"/>
        <w:rPr>
          <w:b w:val="0"/>
          <w:noProof/>
        </w:rPr>
      </w:pPr>
      <w:r>
        <w:rPr>
          <w:b w:val="0"/>
          <w:noProof/>
        </w:rPr>
        <w:tab/>
        <w:t>1.3.</w:t>
      </w:r>
      <w:r>
        <w:rPr>
          <w:b w:val="0"/>
          <w:noProof/>
        </w:rPr>
        <w:tab/>
        <w:t xml:space="preserve">The proposal/initiative relates to </w:t>
      </w:r>
    </w:p>
    <w:p>
      <w:pPr>
        <w:pStyle w:val="ManualHeading2"/>
        <w:rPr>
          <w:b w:val="0"/>
          <w:noProof/>
        </w:rPr>
      </w:pPr>
      <w:r>
        <w:rPr>
          <w:b w:val="0"/>
          <w:noProof/>
        </w:rPr>
        <w:tab/>
        <w:t>1.4.</w:t>
      </w:r>
      <w:r>
        <w:rPr>
          <w:b w:val="0"/>
          <w:noProof/>
        </w:rPr>
        <w:tab/>
        <w:t xml:space="preserve">Objective(s) </w:t>
      </w:r>
    </w:p>
    <w:p>
      <w:pPr>
        <w:pStyle w:val="ManualHeading3"/>
        <w:rPr>
          <w:noProof/>
        </w:rPr>
      </w:pPr>
      <w:r>
        <w:rPr>
          <w:noProof/>
        </w:rPr>
        <w:tab/>
        <w:t>1.4.1.</w:t>
      </w:r>
      <w:r>
        <w:rPr>
          <w:noProof/>
        </w:rPr>
        <w:tab/>
        <w:t>Requirement(s) to be met in the short or long term including a detailed timeline for roll-out of the implementation of the initiative</w:t>
      </w:r>
    </w:p>
    <w:p>
      <w:pPr>
        <w:pStyle w:val="ManualHeading3"/>
        <w:rPr>
          <w:noProof/>
        </w:rPr>
      </w:pPr>
      <w:r>
        <w:rPr>
          <w:noProof/>
        </w:rPr>
        <w:tab/>
        <w:t>1.4.2.</w:t>
      </w:r>
      <w:r>
        <w:rPr>
          <w:noProof/>
        </w:rPr>
        <w:tab/>
      </w:r>
      <w:bookmarkStart w:id="25" w:name="_Toc514941977"/>
      <w:bookmarkStart w:id="26" w:name="_Toc520485204"/>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25"/>
      <w:bookmarkEnd w:id="26"/>
    </w:p>
    <w:p>
      <w:pPr>
        <w:pStyle w:val="ManualHeading3"/>
        <w:rPr>
          <w:noProof/>
        </w:rPr>
      </w:pPr>
      <w:r>
        <w:rPr>
          <w:noProof/>
        </w:rPr>
        <w:tab/>
        <w:t>1.4.3.</w:t>
      </w:r>
      <w:r>
        <w:rPr>
          <w:noProof/>
        </w:rPr>
        <w:tab/>
      </w:r>
      <w:bookmarkStart w:id="27" w:name="_Toc514941978"/>
      <w:bookmarkStart w:id="28" w:name="_Toc520485205"/>
      <w:r>
        <w:rPr>
          <w:noProof/>
        </w:rPr>
        <w:t>Lessons learned from similar experiences in the past</w:t>
      </w:r>
      <w:bookmarkEnd w:id="27"/>
      <w:bookmarkEnd w:id="28"/>
    </w:p>
    <w:p>
      <w:pPr>
        <w:pStyle w:val="ManualHeading3"/>
        <w:rPr>
          <w:noProof/>
        </w:rPr>
      </w:pPr>
      <w:r>
        <w:rPr>
          <w:noProof/>
        </w:rPr>
        <w:tab/>
        <w:t>1.4.4.</w:t>
      </w:r>
      <w:r>
        <w:rPr>
          <w:noProof/>
        </w:rPr>
        <w:tab/>
      </w:r>
      <w:bookmarkStart w:id="29" w:name="_Toc514941979"/>
      <w:bookmarkStart w:id="30" w:name="_Toc520485206"/>
      <w:r>
        <w:rPr>
          <w:noProof/>
        </w:rPr>
        <w:t>Compatibility and possible synergy with other appropriate instruments</w:t>
      </w:r>
      <w:bookmarkEnd w:id="29"/>
      <w:bookmarkEnd w:id="30"/>
    </w:p>
    <w:p>
      <w:pPr>
        <w:pStyle w:val="ManualHeading2"/>
        <w:rPr>
          <w:b w:val="0"/>
          <w:noProof/>
        </w:rPr>
      </w:pPr>
      <w:r>
        <w:rPr>
          <w:b w:val="0"/>
          <w:noProof/>
        </w:rPr>
        <w:tab/>
        <w:t>1.5.</w:t>
      </w:r>
      <w:r>
        <w:rPr>
          <w:b w:val="0"/>
          <w:noProof/>
        </w:rPr>
        <w:tab/>
      </w:r>
      <w:bookmarkStart w:id="31" w:name="_Toc514941980"/>
      <w:bookmarkStart w:id="32" w:name="_Toc520485207"/>
      <w:r>
        <w:rPr>
          <w:b w:val="0"/>
          <w:noProof/>
        </w:rPr>
        <w:t>Duration and financial impact</w:t>
      </w:r>
      <w:bookmarkEnd w:id="31"/>
      <w:bookmarkEnd w:id="32"/>
      <w:r>
        <w:rPr>
          <w:b w:val="0"/>
          <w:noProof/>
        </w:rPr>
        <w:t xml:space="preserve"> </w:t>
      </w:r>
    </w:p>
    <w:p>
      <w:pPr>
        <w:pStyle w:val="ManualHeading2"/>
        <w:rPr>
          <w:b w:val="0"/>
          <w:noProof/>
        </w:rPr>
        <w:sectPr>
          <w:pgSz w:w="11907" w:h="16840" w:code="9"/>
          <w:pgMar w:top="1134" w:right="1418" w:bottom="1134" w:left="1418" w:header="709" w:footer="709" w:gutter="0"/>
          <w:cols w:space="708"/>
          <w:docGrid w:linePitch="360"/>
        </w:sectPr>
      </w:pPr>
      <w:r>
        <w:rPr>
          <w:b w:val="0"/>
          <w:noProof/>
        </w:rPr>
        <w:tab/>
        <w:t>1.6.</w:t>
      </w:r>
      <w:r>
        <w:rPr>
          <w:b w:val="0"/>
          <w:noProof/>
        </w:rPr>
        <w:tab/>
        <w:t>Management mode(s) planned</w:t>
      </w:r>
      <w:r>
        <w:rPr>
          <w:b w:val="0"/>
          <w:noProof/>
        </w:rPr>
        <w:tab/>
      </w:r>
    </w:p>
    <w:p>
      <w:pPr>
        <w:pStyle w:val="ManualHeading1"/>
        <w:rPr>
          <w:noProof/>
        </w:rPr>
      </w:pPr>
      <w:r>
        <w:rPr>
          <w:noProof/>
        </w:rPr>
        <w:t>2.</w:t>
      </w:r>
      <w:r>
        <w:rPr>
          <w:noProof/>
        </w:rPr>
        <w:tab/>
        <w:t xml:space="preserve">MANAGEMENT MEASURES </w:t>
      </w:r>
    </w:p>
    <w:p>
      <w:pPr>
        <w:pStyle w:val="ManualHeading2"/>
        <w:rPr>
          <w:b w:val="0"/>
          <w:noProof/>
        </w:rPr>
      </w:pPr>
      <w:r>
        <w:rPr>
          <w:b w:val="0"/>
          <w:noProof/>
        </w:rPr>
        <w:tab/>
        <w:t>2.1.</w:t>
      </w:r>
      <w:r>
        <w:rPr>
          <w:b w:val="0"/>
          <w:noProof/>
        </w:rPr>
        <w:tab/>
        <w:t xml:space="preserve">Monitoring and reporting rules </w:t>
      </w:r>
    </w:p>
    <w:p>
      <w:pPr>
        <w:pStyle w:val="ManualHeading2"/>
        <w:rPr>
          <w:b w:val="0"/>
          <w:noProof/>
        </w:rPr>
      </w:pPr>
      <w:r>
        <w:rPr>
          <w:b w:val="0"/>
          <w:noProof/>
        </w:rPr>
        <w:tab/>
        <w:t>2.2.</w:t>
      </w:r>
      <w:r>
        <w:rPr>
          <w:b w:val="0"/>
          <w:noProof/>
        </w:rPr>
        <w:tab/>
        <w:t>Management and control system(s)</w:t>
      </w:r>
    </w:p>
    <w:p>
      <w:pPr>
        <w:pStyle w:val="ManualHeading3"/>
        <w:rPr>
          <w:noProof/>
        </w:rPr>
      </w:pPr>
      <w:r>
        <w:rPr>
          <w:noProof/>
        </w:rPr>
        <w:tab/>
        <w:t>2.2.1.</w:t>
      </w:r>
      <w:r>
        <w:rPr>
          <w:noProof/>
        </w:rPr>
        <w:tab/>
        <w:t>Justification of the management mode(s), the funding implementation mechanism(s), the payment modalities and the control strategy proposed</w:t>
      </w:r>
    </w:p>
    <w:p>
      <w:pPr>
        <w:pStyle w:val="ManualHeading3"/>
        <w:rPr>
          <w:noProof/>
        </w:rPr>
      </w:pPr>
      <w:r>
        <w:rPr>
          <w:noProof/>
        </w:rPr>
        <w:tab/>
        <w:t>2.2.2.</w:t>
      </w:r>
      <w:r>
        <w:rPr>
          <w:noProof/>
        </w:rPr>
        <w:tab/>
        <w:t>Information concerning the risks identified and the internal control system(s) set up to mitigate them</w:t>
      </w:r>
    </w:p>
    <w:p>
      <w:pPr>
        <w:pStyle w:val="ManualHeading3"/>
        <w:rPr>
          <w:noProof/>
        </w:rPr>
      </w:pPr>
      <w:r>
        <w:rPr>
          <w:noProof/>
        </w:rPr>
        <w:tab/>
        <w:t>2.2.3.</w:t>
      </w:r>
      <w:r>
        <w:rPr>
          <w:noProof/>
        </w:rPr>
        <w:tab/>
        <w:t>Estimation and justification of the cost-effectiveness of the controls (ratio of "control costs ÷ value of the related funds managed"), and assessment of the expected levels of risk of error (at payment &amp; at closure)</w:t>
      </w:r>
    </w:p>
    <w:p>
      <w:pPr>
        <w:pStyle w:val="ManualHeading2"/>
        <w:rPr>
          <w:b w:val="0"/>
          <w:noProof/>
        </w:rPr>
      </w:pPr>
      <w:r>
        <w:rPr>
          <w:b w:val="0"/>
          <w:noProof/>
        </w:rPr>
        <w:tab/>
        <w:t>2.3.</w:t>
      </w:r>
      <w:r>
        <w:rPr>
          <w:b w:val="0"/>
          <w:noProof/>
        </w:rPr>
        <w:tab/>
        <w:t xml:space="preserve">Measures to prevent fraud and irregularities </w:t>
      </w:r>
    </w:p>
    <w:p>
      <w:pPr>
        <w:pStyle w:val="ManualHeading1"/>
        <w:rPr>
          <w:noProof/>
        </w:rPr>
      </w:pPr>
      <w:r>
        <w:rPr>
          <w:noProof/>
        </w:rPr>
        <w:t>3.</w:t>
      </w:r>
      <w:r>
        <w:rPr>
          <w:noProof/>
        </w:rPr>
        <w:tab/>
        <w:t xml:space="preserve">ESTIMATED FINANCIAL IMPACT OF THE PROPOSAL/INITIATIVE </w:t>
      </w:r>
    </w:p>
    <w:p>
      <w:pPr>
        <w:pStyle w:val="ManualHeading2"/>
        <w:rPr>
          <w:b w:val="0"/>
          <w:noProof/>
        </w:rPr>
      </w:pPr>
      <w:r>
        <w:rPr>
          <w:b w:val="0"/>
          <w:noProof/>
        </w:rPr>
        <w:tab/>
        <w:t>3.1.</w:t>
      </w:r>
      <w:r>
        <w:rPr>
          <w:b w:val="0"/>
          <w:noProof/>
        </w:rPr>
        <w:tab/>
        <w:t xml:space="preserve">Heading(s) of the multiannual financial framework and expenditure budget line(s) affected </w:t>
      </w:r>
    </w:p>
    <w:p>
      <w:pPr>
        <w:pStyle w:val="ManualHeading2"/>
        <w:rPr>
          <w:noProof/>
        </w:rPr>
      </w:pPr>
      <w:r>
        <w:rPr>
          <w:b w:val="0"/>
          <w:noProof/>
        </w:rPr>
        <w:tab/>
        <w:t>3.2.</w:t>
      </w:r>
      <w:r>
        <w:rPr>
          <w:b w:val="0"/>
          <w:noProof/>
        </w:rPr>
        <w:tab/>
        <w:t>Estimated financial impact of the proposal on appropriations</w:t>
      </w:r>
    </w:p>
    <w:p>
      <w:pPr>
        <w:pStyle w:val="ManualHeading3"/>
        <w:rPr>
          <w:noProof/>
        </w:rPr>
      </w:pPr>
      <w:r>
        <w:rPr>
          <w:noProof/>
        </w:rPr>
        <w:tab/>
        <w:t>3.2.1.</w:t>
      </w:r>
      <w:r>
        <w:rPr>
          <w:noProof/>
        </w:rPr>
        <w:tab/>
        <w:t xml:space="preserve">Summary of estimated impact on operational appropriations </w:t>
      </w:r>
    </w:p>
    <w:p>
      <w:pPr>
        <w:pStyle w:val="ManualHeading3"/>
        <w:rPr>
          <w:noProof/>
        </w:rPr>
      </w:pPr>
      <w:r>
        <w:rPr>
          <w:noProof/>
        </w:rPr>
        <w:tab/>
        <w:t>3.2.2.</w:t>
      </w:r>
      <w:r>
        <w:rPr>
          <w:noProof/>
        </w:rPr>
        <w:tab/>
      </w:r>
      <w:bookmarkStart w:id="33" w:name="_Toc514941993"/>
      <w:bookmarkStart w:id="34" w:name="_Toc520485220"/>
      <w:r>
        <w:rPr>
          <w:noProof/>
        </w:rPr>
        <w:t>Summary of estimated impact on appropriations of an administrative nature</w:t>
      </w:r>
      <w:bookmarkEnd w:id="33"/>
      <w:bookmarkEnd w:id="34"/>
    </w:p>
    <w:p>
      <w:pPr>
        <w:pStyle w:val="ManualHeading3"/>
        <w:rPr>
          <w:noProof/>
        </w:rPr>
      </w:pPr>
      <w:r>
        <w:rPr>
          <w:noProof/>
        </w:rPr>
        <w:tab/>
        <w:t>3.2.3.</w:t>
      </w:r>
      <w:r>
        <w:rPr>
          <w:noProof/>
        </w:rPr>
        <w:tab/>
      </w:r>
      <w:bookmarkStart w:id="35" w:name="_Toc514941994"/>
      <w:bookmarkStart w:id="36" w:name="_Toc520485221"/>
      <w:r>
        <w:rPr>
          <w:noProof/>
        </w:rPr>
        <w:t>Third-party contributions</w:t>
      </w:r>
      <w:bookmarkEnd w:id="35"/>
      <w:bookmarkEnd w:id="36"/>
    </w:p>
    <w:p>
      <w:pPr>
        <w:pStyle w:val="ManualHeading2"/>
        <w:jc w:val="left"/>
        <w:rPr>
          <w:b w:val="0"/>
          <w:noProof/>
        </w:rPr>
      </w:pPr>
      <w:r>
        <w:rPr>
          <w:b w:val="0"/>
          <w:noProof/>
        </w:rPr>
        <w:tab/>
        <w:t>3.3.</w:t>
      </w:r>
      <w:r>
        <w:rPr>
          <w:b w:val="0"/>
          <w:noProof/>
        </w:rPr>
        <w:tab/>
        <w:t>Estimated impact on revenue</w:t>
      </w:r>
    </w:p>
    <w:p>
      <w:pPr>
        <w:rPr>
          <w:noProof/>
        </w:rPr>
      </w:pPr>
    </w:p>
    <w:p>
      <w:pPr>
        <w:rPr>
          <w:noProof/>
        </w:rPr>
      </w:pPr>
    </w:p>
    <w:p>
      <w:pPr>
        <w:rPr>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cols w:space="720"/>
          <w:docGrid w:linePitch="360"/>
        </w:sectPr>
      </w:pPr>
    </w:p>
    <w:p>
      <w:pPr>
        <w:jc w:val="center"/>
        <w:rPr>
          <w:noProof/>
        </w:rPr>
      </w:pPr>
      <w:r>
        <w:rPr>
          <w:b/>
          <w:noProof/>
        </w:rPr>
        <w:t>LEGISLATIVE FINANCIAL STATEMENT</w:t>
      </w:r>
    </w:p>
    <w:p>
      <w:pPr>
        <w:pStyle w:val="ManualHeading1"/>
        <w:rPr>
          <w:noProof/>
        </w:rPr>
      </w:pPr>
      <w:bookmarkStart w:id="37" w:name="_Toc351859"/>
      <w:r>
        <w:t>1.</w:t>
      </w:r>
      <w:r>
        <w:tab/>
      </w:r>
      <w:r>
        <w:rPr>
          <w:noProof/>
        </w:rPr>
        <w:t>FRAMEWORK OF THE PROPOSAL/INITIATIVE</w:t>
      </w:r>
      <w:bookmarkEnd w:id="37"/>
      <w:r>
        <w:rPr>
          <w:noProof/>
        </w:rPr>
        <w:t xml:space="preserve"> </w:t>
      </w:r>
    </w:p>
    <w:p>
      <w:pPr>
        <w:pStyle w:val="ManualHeading2"/>
        <w:rPr>
          <w:noProof/>
        </w:rPr>
      </w:pPr>
      <w:bookmarkStart w:id="38" w:name="_Toc351860"/>
      <w:r>
        <w:t>1.1.</w:t>
      </w:r>
      <w:r>
        <w:tab/>
      </w:r>
      <w:r>
        <w:rPr>
          <w:noProof/>
        </w:rPr>
        <w:t>Title of the proposal/initiative</w:t>
      </w:r>
      <w:bookmarkEnd w:id="38"/>
      <w:r>
        <w:rPr>
          <w:noProof/>
        </w:rPr>
        <w:t xml:space="preserve"> </w:t>
      </w:r>
    </w:p>
    <w:p>
      <w:pPr>
        <w:pStyle w:val="Text1"/>
        <w:rPr>
          <w:noProof/>
        </w:rPr>
      </w:pPr>
      <w:r>
        <w:rPr>
          <w:noProof/>
        </w:rPr>
        <w:t>Proposal for a Decision of the European Parliament and the Council amending Decision No 1313/2013/EU on a Union Civil Protection Mechanism.</w:t>
      </w:r>
    </w:p>
    <w:p>
      <w:pPr>
        <w:pStyle w:val="ManualHeading2"/>
        <w:rPr>
          <w:noProof/>
          <w:szCs w:val="24"/>
        </w:rPr>
      </w:pPr>
      <w:bookmarkStart w:id="39" w:name="_Toc351861"/>
      <w:r>
        <w:t>1.2.</w:t>
      </w:r>
      <w:r>
        <w:tab/>
      </w:r>
      <w:r>
        <w:rPr>
          <w:noProof/>
        </w:rPr>
        <w:t>Policy area(s) concerned</w:t>
      </w:r>
      <w:r>
        <w:rPr>
          <w:i/>
          <w:noProof/>
        </w:rPr>
        <w:t xml:space="preserve"> (Programme cluster)</w:t>
      </w:r>
      <w:bookmarkEnd w:id="39"/>
    </w:p>
    <w:p>
      <w:pPr>
        <w:pStyle w:val="Text1"/>
        <w:rPr>
          <w:noProof/>
        </w:rPr>
      </w:pPr>
      <w:r>
        <w:rPr>
          <w:noProof/>
        </w:rPr>
        <w:t>This proposal provides the necessary budgetary resources to support EU actions in the field of civil protection, notably via a strengthened Union Mechanism. The latter contributes to the overarching objective of a ‘Europe that Protects’ as referred to in the Communication from the Commission to the European Parliament, the European Council and the Council on ‘a new, modern multiannual financial framework for a European Union that delivers efficiently on its priorities post-2020’</w:t>
      </w:r>
      <w:r>
        <w:rPr>
          <w:rStyle w:val="FootnoteReference"/>
          <w:noProof/>
        </w:rPr>
        <w:footnoteReference w:id="15"/>
      </w:r>
      <w:r>
        <w:rPr>
          <w:noProof/>
        </w:rPr>
        <w:t>.</w:t>
      </w:r>
    </w:p>
    <w:p>
      <w:pPr>
        <w:pStyle w:val="Text1"/>
        <w:rPr>
          <w:noProof/>
        </w:rPr>
      </w:pPr>
      <w:r>
        <w:rPr>
          <w:noProof/>
        </w:rPr>
        <w:t xml:space="preserve">Under the new multiannual financial framework proposal, funding related to civil protection has been subsumed into one single heading: Heading 5 ‘Security and Defence’. The specific cluster is ‘Crisis Response’, Title 14, Chapter 02. This cluster will encompass both the internal and external dimensions of civil protection. </w:t>
      </w:r>
    </w:p>
    <w:p>
      <w:pPr>
        <w:pStyle w:val="ManualHeading2"/>
        <w:rPr>
          <w:bCs/>
          <w:noProof/>
        </w:rPr>
      </w:pPr>
      <w:bookmarkStart w:id="40" w:name="_Toc351862"/>
      <w:r>
        <w:t>1.3.</w:t>
      </w:r>
      <w:r>
        <w:tab/>
      </w:r>
      <w:r>
        <w:rPr>
          <w:noProof/>
        </w:rPr>
        <w:t>The proposal/initiative relates to:</w:t>
      </w:r>
      <w:bookmarkEnd w:id="40"/>
      <w:r>
        <w:rPr>
          <w:noProof/>
        </w:rPr>
        <w:t xml:space="preserve"> </w:t>
      </w:r>
    </w:p>
    <w:p>
      <w:pPr>
        <w:pStyle w:val="Text1"/>
        <w:rPr>
          <w:b/>
          <w:noProof/>
          <w:sz w:val="22"/>
        </w:rPr>
      </w:pPr>
      <w:r>
        <w:rPr>
          <w:noProof/>
          <w:sz w:val="22"/>
        </w:rPr>
        <w:sym w:font="Wingdings" w:char="F0A8"/>
      </w:r>
      <w:r>
        <w:rPr>
          <w:b/>
          <w:i/>
          <w:noProof/>
          <w:sz w:val="22"/>
        </w:rPr>
        <w:t xml:space="preserve"> </w:t>
      </w:r>
      <w:r>
        <w:rPr>
          <w:b/>
          <w:noProof/>
        </w:rPr>
        <w:t>a new action</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16"/>
      </w:r>
      <w:r>
        <w:rPr>
          <w:noProof/>
          <w:sz w:val="22"/>
        </w:rPr>
        <w:t xml:space="preserve"> </w:t>
      </w:r>
    </w:p>
    <w:p>
      <w:pPr>
        <w:pStyle w:val="Text1"/>
        <w:rPr>
          <w:noProof/>
          <w:sz w:val="22"/>
        </w:rPr>
      </w:pPr>
      <w:r>
        <w:rPr>
          <w:b/>
          <w:noProof/>
          <w:sz w:val="22"/>
        </w:rPr>
        <w:t>X</w:t>
      </w:r>
      <w:r>
        <w:rPr>
          <w:i/>
          <w:noProof/>
          <w:sz w:val="22"/>
        </w:rPr>
        <w:t xml:space="preserve"> </w:t>
      </w:r>
      <w:r>
        <w:rPr>
          <w:b/>
          <w:noProof/>
        </w:rPr>
        <w:t>the extension of an existing action</w:t>
      </w:r>
      <w:r>
        <w:rPr>
          <w:noProof/>
          <w:sz w:val="22"/>
        </w:rPr>
        <w:t xml:space="preserve"> </w:t>
      </w:r>
    </w:p>
    <w:p>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pPr>
        <w:pStyle w:val="ManualHeading2"/>
        <w:rPr>
          <w:bCs/>
          <w:noProof/>
          <w:szCs w:val="24"/>
        </w:rPr>
      </w:pPr>
      <w:bookmarkStart w:id="41" w:name="_Toc351863"/>
      <w:r>
        <w:t>1.4.</w:t>
      </w:r>
      <w:r>
        <w:tab/>
      </w:r>
      <w:r>
        <w:rPr>
          <w:noProof/>
        </w:rPr>
        <w:t>Grounds for the proposal/initiative</w:t>
      </w:r>
      <w:bookmarkEnd w:id="41"/>
      <w:r>
        <w:rPr>
          <w:noProof/>
        </w:rPr>
        <w:t xml:space="preserve"> </w:t>
      </w:r>
    </w:p>
    <w:p>
      <w:pPr>
        <w:pStyle w:val="ManualHeading3"/>
        <w:rPr>
          <w:noProof/>
        </w:rPr>
      </w:pPr>
      <w:bookmarkStart w:id="42" w:name="_Toc351864"/>
      <w:r>
        <w:t>1.4.1.</w:t>
      </w:r>
      <w:r>
        <w:tab/>
      </w:r>
      <w:r>
        <w:rPr>
          <w:noProof/>
        </w:rPr>
        <w:t>Requirement(s) to be met in the short or long term including a detailed timeline for roll-out of the implementation of the initiative</w:t>
      </w:r>
      <w:bookmarkEnd w:id="42"/>
    </w:p>
    <w:p>
      <w:pPr>
        <w:pStyle w:val="Text1"/>
        <w:rPr>
          <w:noProof/>
        </w:rPr>
      </w:pPr>
      <w:r>
        <w:rPr>
          <w:noProof/>
        </w:rPr>
        <w:t>This Decision amends the financial envelope of an existing action to allow the continuation of this action in the next multiannual financial framework period. The overall objective of existing legislation is to continue strengthening cooperation between the EU and the Member States and facilitate coordination in the field of civil protection when preventing, preparing for and responding to natural and man-made disasters.</w:t>
      </w:r>
    </w:p>
    <w:p>
      <w:pPr>
        <w:pStyle w:val="Text1"/>
        <w:rPr>
          <w:noProof/>
        </w:rPr>
      </w:pPr>
      <w:r>
        <w:rPr>
          <w:noProof/>
        </w:rPr>
        <w:t>Financial assistance on prevention and preparedness under the Union Mechanism is spent in accordance with an annual work programme adopted by the Civil Protection Committee. This committee sets out the requirements and criteria for spending the funds earmarked.</w:t>
      </w:r>
    </w:p>
    <w:p>
      <w:pPr>
        <w:pStyle w:val="Text1"/>
        <w:rPr>
          <w:noProof/>
        </w:rPr>
      </w:pPr>
      <w:r>
        <w:rPr>
          <w:noProof/>
        </w:rPr>
        <w:t>This initiative refers to the financial envelope available to the Union Mechanism in the 2021-2027 multiannual financial framework. As such, it will be implemented annually as from 2021.</w:t>
      </w:r>
    </w:p>
    <w:p>
      <w:pPr>
        <w:pStyle w:val="Text1"/>
        <w:rPr>
          <w:noProof/>
        </w:rPr>
      </w:pPr>
      <w:r>
        <w:rPr>
          <w:noProof/>
        </w:rPr>
        <w:t>A separate financial decision on response to disasters is also adopted. Given the unpredictable nature of disasters, there is no specific timeline for implementation. All aspects of the Decision will be implemented swiftly and/or whenever needs arise.</w:t>
      </w:r>
    </w:p>
    <w:p>
      <w:pPr>
        <w:pStyle w:val="ManualHeading3"/>
        <w:rPr>
          <w:bCs/>
          <w:noProof/>
          <w:szCs w:val="24"/>
        </w:rPr>
      </w:pPr>
      <w:bookmarkStart w:id="43" w:name="_Toc351865"/>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43"/>
    </w:p>
    <w:p>
      <w:pPr>
        <w:pStyle w:val="Text1"/>
        <w:rPr>
          <w:noProof/>
        </w:rPr>
      </w:pPr>
      <w:r>
        <w:rPr>
          <w:noProof/>
          <w:u w:val="single"/>
        </w:rPr>
        <w:t>Reasons for action at EU level (ex-ante)</w:t>
      </w:r>
      <w:r>
        <w:rPr>
          <w:noProof/>
        </w:rPr>
        <w:t>:</w:t>
      </w:r>
    </w:p>
    <w:p>
      <w:pPr>
        <w:pStyle w:val="Text1"/>
        <w:rPr>
          <w:noProof/>
        </w:rPr>
      </w:pPr>
      <w:r>
        <w:rPr>
          <w:noProof/>
        </w:rPr>
        <w:t>Recent emergencies and experiences have highlighted the existence of certain gaps in civil protection across Europe. Such gaps are becoming ever more apparent as a result of climate change and the increase in frequency and intensity of disasters. This was particularly evident during the 2017 forest fire season. The proposed revision of Decision No 1313/2013/EU of 23 November 2017 (rescEU proposal)</w:t>
      </w:r>
      <w:r>
        <w:rPr>
          <w:rStyle w:val="FootnoteReference"/>
          <w:noProof/>
        </w:rPr>
        <w:footnoteReference w:id="17"/>
      </w:r>
      <w:r>
        <w:rPr>
          <w:noProof/>
          <w:vertAlign w:val="superscript"/>
        </w:rPr>
        <w:t xml:space="preserve"> </w:t>
      </w:r>
      <w:r>
        <w:rPr>
          <w:noProof/>
        </w:rPr>
        <w:t xml:space="preserve">was therefore deemed necessary in order to strengthen the Union Mechanism.  </w:t>
      </w:r>
    </w:p>
    <w:p>
      <w:pPr>
        <w:pStyle w:val="Text1"/>
        <w:rPr>
          <w:noProof/>
        </w:rPr>
      </w:pPr>
      <w:r>
        <w:rPr>
          <w:noProof/>
        </w:rPr>
        <w:t>The proposed budgetary allocation mirrors the level of ambition set by the Commission’s proposal to amend the Union Civil Protection Mechanism. The additional budget will allow the following actions to be carried out:</w:t>
      </w:r>
    </w:p>
    <w:p>
      <w:pPr>
        <w:pStyle w:val="Bullet1"/>
        <w:numPr>
          <w:ilvl w:val="0"/>
          <w:numId w:val="16"/>
        </w:numPr>
        <w:rPr>
          <w:noProof/>
        </w:rPr>
      </w:pPr>
      <w:r>
        <w:rPr>
          <w:noProof/>
        </w:rPr>
        <w:t>reinforce the collective capacity of the Member States and the Union to respond to disasters by creating  a dedicated reserve of response capacities (rescEU);</w:t>
      </w:r>
    </w:p>
    <w:p>
      <w:pPr>
        <w:pStyle w:val="Bullet1"/>
        <w:rPr>
          <w:noProof/>
        </w:rPr>
      </w:pPr>
      <w:r>
        <w:rPr>
          <w:noProof/>
        </w:rPr>
        <w:t>higher (or new) EU co-financing to adapt, repair, transport and/or operate capacities that are committed to the European Civil Protection Pool;</w:t>
      </w:r>
    </w:p>
    <w:p>
      <w:pPr>
        <w:pStyle w:val="Bullet1"/>
        <w:rPr>
          <w:noProof/>
        </w:rPr>
      </w:pPr>
      <w:r>
        <w:rPr>
          <w:noProof/>
        </w:rPr>
        <w:t>focus more on prevention and on improving coherence with other key EU policies,</w:t>
      </w:r>
    </w:p>
    <w:p>
      <w:pPr>
        <w:pStyle w:val="Bullet1"/>
        <w:rPr>
          <w:noProof/>
        </w:rPr>
      </w:pPr>
      <w:r>
        <w:rPr>
          <w:noProof/>
        </w:rPr>
        <w:t>set up a civil protection knowledge network, and;</w:t>
      </w:r>
    </w:p>
    <w:p>
      <w:pPr>
        <w:pStyle w:val="Bullet1"/>
        <w:rPr>
          <w:noProof/>
        </w:rPr>
      </w:pPr>
      <w:r>
        <w:rPr>
          <w:noProof/>
        </w:rPr>
        <w:t xml:space="preserve">strengthen cooperation with neighbourhood countries. </w:t>
      </w:r>
    </w:p>
    <w:p>
      <w:pPr>
        <w:pStyle w:val="Text1"/>
        <w:rPr>
          <w:noProof/>
          <w:u w:val="single"/>
        </w:rPr>
      </w:pPr>
      <w:r>
        <w:rPr>
          <w:noProof/>
          <w:u w:val="single"/>
        </w:rPr>
        <w:t xml:space="preserve">Expected generated EU added value (ex-post) </w:t>
      </w:r>
    </w:p>
    <w:p>
      <w:pPr>
        <w:pStyle w:val="Text1"/>
        <w:rPr>
          <w:noProof/>
        </w:rPr>
      </w:pPr>
      <w:r>
        <w:rPr>
          <w:noProof/>
        </w:rPr>
        <w:t>The financing provided for in this proposal should result in:</w:t>
      </w:r>
    </w:p>
    <w:p>
      <w:pPr>
        <w:pStyle w:val="Text1"/>
        <w:rPr>
          <w:noProof/>
        </w:rPr>
      </w:pPr>
      <w:r>
        <w:rPr>
          <w:noProof/>
        </w:rPr>
        <w:t>1)</w:t>
      </w:r>
      <w:r>
        <w:rPr>
          <w:noProof/>
        </w:rPr>
        <w:tab/>
        <w:t>less of a gap between the needs of disaster-stricken populations and available assistance thanks to the (probable) inclusion of more capacities in the European Civil Protection Pool and a reserve of capacities at EU level;</w:t>
      </w:r>
    </w:p>
    <w:p>
      <w:pPr>
        <w:pStyle w:val="Text1"/>
        <w:rPr>
          <w:noProof/>
        </w:rPr>
      </w:pPr>
      <w:r>
        <w:rPr>
          <w:noProof/>
        </w:rPr>
        <w:t>2)</w:t>
      </w:r>
      <w:r>
        <w:rPr>
          <w:noProof/>
        </w:rPr>
        <w:tab/>
        <w:t>economies of scale stemming from a ‘minimum’ reserve of capacities at EU level rather than investing in extreme preparedness levels in all Member States;</w:t>
      </w:r>
    </w:p>
    <w:p>
      <w:pPr>
        <w:pStyle w:val="Text1"/>
        <w:rPr>
          <w:noProof/>
        </w:rPr>
      </w:pPr>
      <w:r>
        <w:rPr>
          <w:noProof/>
        </w:rPr>
        <w:t>3)</w:t>
      </w:r>
      <w:r>
        <w:rPr>
          <w:noProof/>
        </w:rPr>
        <w:tab/>
        <w:t>greater coherence and stronger links between different policy areas, making best use of existing EU instruments;</w:t>
      </w:r>
    </w:p>
    <w:p>
      <w:pPr>
        <w:pStyle w:val="Text1"/>
        <w:rPr>
          <w:noProof/>
        </w:rPr>
      </w:pPr>
      <w:r>
        <w:rPr>
          <w:noProof/>
        </w:rPr>
        <w:t>4)</w:t>
      </w:r>
      <w:r>
        <w:rPr>
          <w:noProof/>
        </w:rPr>
        <w:tab/>
        <w:t>increased efficiency, particularly on the swiftness of  the Union Mechanism support in response to disasters, also due to the simplification of administrative procedures.</w:t>
      </w:r>
    </w:p>
    <w:p>
      <w:pPr>
        <w:pStyle w:val="Text1"/>
        <w:rPr>
          <w:noProof/>
        </w:rPr>
      </w:pPr>
    </w:p>
    <w:p>
      <w:pPr>
        <w:pStyle w:val="ManualHeading3"/>
        <w:rPr>
          <w:bCs/>
          <w:noProof/>
          <w:szCs w:val="24"/>
        </w:rPr>
      </w:pPr>
      <w:bookmarkStart w:id="44" w:name="_Toc351866"/>
      <w:r>
        <w:t>1.4.3.</w:t>
      </w:r>
      <w:r>
        <w:tab/>
      </w:r>
      <w:r>
        <w:rPr>
          <w:noProof/>
        </w:rPr>
        <w:t>Lessons learned from similar experiences in the past</w:t>
      </w:r>
      <w:bookmarkEnd w:id="44"/>
    </w:p>
    <w:p>
      <w:pPr>
        <w:pStyle w:val="Text1"/>
        <w:rPr>
          <w:noProof/>
        </w:rPr>
      </w:pPr>
      <w:r>
        <w:rPr>
          <w:noProof/>
        </w:rPr>
        <w:t>The Union Mechanism has showed encouraging results in terms of performance in each of the three pillars (prevention/preparedness/response) so far. It is viewed positively in general by the Participating States and by the main stakeholders. This was the overall conclusion from the interim evaluation of the Union Mechanism (2014-2016), which was conducted by an external consultant and published in August 2017.</w:t>
      </w:r>
    </w:p>
    <w:p>
      <w:pPr>
        <w:pStyle w:val="Text1"/>
        <w:rPr>
          <w:noProof/>
        </w:rPr>
      </w:pPr>
      <w:r>
        <w:rPr>
          <w:noProof/>
        </w:rPr>
        <w:t>Another lesson from the interim evaluation, as well as from the report of the European Court of Auditors</w:t>
      </w:r>
      <w:r>
        <w:rPr>
          <w:rStyle w:val="FootnoteReference"/>
          <w:noProof/>
        </w:rPr>
        <w:footnoteReference w:id="18"/>
      </w:r>
      <w:r>
        <w:rPr>
          <w:noProof/>
        </w:rPr>
        <w:t>, was the need to improve the Union Mechanism’s results monitoring framework. This includes better measurability in the form of possible quantitative indicators and baselines to help focus more on the impact over time. The Commission has introduced measurable output indicators for all actions. This is the first step in a longer-term process of ensuring financial assistance under the Mechanism is framed by a more results-focused approach.</w:t>
      </w:r>
    </w:p>
    <w:p>
      <w:pPr>
        <w:pStyle w:val="Text1"/>
        <w:rPr>
          <w:noProof/>
        </w:rPr>
      </w:pPr>
      <w:r>
        <w:rPr>
          <w:noProof/>
        </w:rPr>
        <w:t>Another relevant source on which the Commission has based its proposal to improve the current functioning of the Union Mechanism is the EU overview of risks</w:t>
      </w:r>
      <w:r>
        <w:rPr>
          <w:rStyle w:val="FootnoteReference"/>
          <w:noProof/>
        </w:rPr>
        <w:footnoteReference w:id="19"/>
      </w:r>
      <w:r>
        <w:rPr>
          <w:noProof/>
        </w:rPr>
        <w:t>. National risk assessments submitted by Member States were used to produce this overview based on the existing legislation.</w:t>
      </w:r>
    </w:p>
    <w:p>
      <w:pPr>
        <w:pStyle w:val="Text1"/>
        <w:rPr>
          <w:noProof/>
        </w:rPr>
      </w:pPr>
      <w:r>
        <w:rPr>
          <w:noProof/>
        </w:rPr>
        <w:t>The Commission also builds upon the experience gained:</w:t>
      </w:r>
    </w:p>
    <w:p>
      <w:pPr>
        <w:pStyle w:val="ListBullet1"/>
        <w:rPr>
          <w:noProof/>
        </w:rPr>
      </w:pPr>
      <w:r>
        <w:rPr>
          <w:noProof/>
        </w:rPr>
        <w:t>in emergencies handled by the Union Mechanism since its creation in 2001;</w:t>
      </w:r>
    </w:p>
    <w:p>
      <w:pPr>
        <w:pStyle w:val="ListBullet1"/>
        <w:rPr>
          <w:noProof/>
        </w:rPr>
      </w:pPr>
      <w:r>
        <w:rPr>
          <w:noProof/>
        </w:rPr>
        <w:t>as a result of the projects financed within the framework of the calls launched since 2013 on preparedness and prevention; and</w:t>
      </w:r>
    </w:p>
    <w:p>
      <w:pPr>
        <w:pStyle w:val="ListBullet1"/>
        <w:rPr>
          <w:noProof/>
        </w:rPr>
      </w:pPr>
      <w:r>
        <w:rPr>
          <w:noProof/>
        </w:rPr>
        <w:t>as a result of the pilot project financed within the framework of the call launched in 2008 to step up cooperation between Member States on combating forest fires.</w:t>
      </w:r>
    </w:p>
    <w:p>
      <w:pPr>
        <w:pStyle w:val="Text1"/>
        <w:rPr>
          <w:noProof/>
        </w:rPr>
      </w:pPr>
    </w:p>
    <w:p>
      <w:pPr>
        <w:pStyle w:val="ManualHeading3"/>
        <w:rPr>
          <w:bCs/>
          <w:noProof/>
          <w:szCs w:val="24"/>
        </w:rPr>
      </w:pPr>
      <w:bookmarkStart w:id="45" w:name="_Toc351867"/>
      <w:r>
        <w:t>1.4.4.</w:t>
      </w:r>
      <w:r>
        <w:tab/>
      </w:r>
      <w:r>
        <w:rPr>
          <w:noProof/>
        </w:rPr>
        <w:t>Compatibility and possible synergy with other appropriate instruments</w:t>
      </w:r>
      <w:bookmarkEnd w:id="45"/>
    </w:p>
    <w:p>
      <w:pPr>
        <w:pStyle w:val="Text1"/>
        <w:rPr>
          <w:noProof/>
        </w:rPr>
      </w:pPr>
      <w:r>
        <w:rPr>
          <w:noProof/>
        </w:rPr>
        <w:t>Consistency with:</w:t>
      </w:r>
    </w:p>
    <w:p>
      <w:pPr>
        <w:pStyle w:val="ListDash1"/>
        <w:rPr>
          <w:noProof/>
        </w:rPr>
      </w:pPr>
      <w:r>
        <w:rPr>
          <w:noProof/>
        </w:rPr>
        <w:t>Council Regulation (EC) No 1257/96 of 20 June 1996 concerning humanitarian aid;</w:t>
      </w:r>
    </w:p>
    <w:p>
      <w:pPr>
        <w:pStyle w:val="ListDash1"/>
        <w:rPr>
          <w:noProof/>
        </w:rPr>
      </w:pPr>
      <w:r>
        <w:rPr>
          <w:noProof/>
        </w:rPr>
        <w:t>Regulation (EC) No 1406/2002 of the European Parliament and of the Council of 27 June 2002 establishing a European Maritime Safety Agency;</w:t>
      </w:r>
    </w:p>
    <w:p>
      <w:pPr>
        <w:pStyle w:val="ListDash1"/>
        <w:rPr>
          <w:noProof/>
        </w:rPr>
      </w:pPr>
      <w:r>
        <w:rPr>
          <w:noProof/>
        </w:rPr>
        <w:t>Council Regulation (EC) No 2012/2002 of 11 November 2002 establishing the European Union Solidarity Fund;</w:t>
      </w:r>
    </w:p>
    <w:p>
      <w:pPr>
        <w:pStyle w:val="ListDash1"/>
        <w:rPr>
          <w:noProof/>
        </w:rPr>
      </w:pPr>
      <w:r>
        <w:rPr>
          <w:noProof/>
        </w:rPr>
        <w:t>Regulation (EC) No 1717/2006 of the European Parliament and of the Council of 15 November 2006 establishing an Instrument for Stability;</w:t>
      </w:r>
    </w:p>
    <w:p>
      <w:pPr>
        <w:pStyle w:val="ListDash1"/>
        <w:rPr>
          <w:noProof/>
        </w:rPr>
      </w:pPr>
      <w:r>
        <w:rPr>
          <w:noProof/>
        </w:rPr>
        <w:t>Decision No 1313/2013/EU of the European Parliament and of the Council of 17 December 2013 on a Union Civil Protection Mechanism;</w:t>
      </w:r>
    </w:p>
    <w:p>
      <w:pPr>
        <w:pStyle w:val="ListDash1"/>
        <w:rPr>
          <w:noProof/>
        </w:rPr>
      </w:pPr>
      <w:r>
        <w:rPr>
          <w:noProof/>
        </w:rPr>
        <w:t>Regulation (EU) No 375/2014 of the European Parliament and of the Council of 3 April 2014 establishing the European Voluntary Humanitarian Aid Corps (‘EU Aid Volunteers initiative’);</w:t>
      </w:r>
    </w:p>
    <w:p>
      <w:pPr>
        <w:pStyle w:val="ListDash1"/>
        <w:rPr>
          <w:noProof/>
        </w:rPr>
      </w:pPr>
      <w:r>
        <w:rPr>
          <w:noProof/>
        </w:rPr>
        <w:t>Council Regulation (EU) 2016/369 of 15 March 2016 on the provision of emergency support within the Union</w:t>
      </w:r>
    </w:p>
    <w:p>
      <w:pPr>
        <w:pStyle w:val="ListDash1"/>
        <w:rPr>
          <w:noProof/>
        </w:rPr>
      </w:pPr>
      <w:r>
        <w:rPr>
          <w:noProof/>
        </w:rPr>
        <w:t xml:space="preserve">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 </w:t>
      </w:r>
    </w:p>
    <w:p>
      <w:pPr>
        <w:pStyle w:val="ManualHeading2"/>
        <w:rPr>
          <w:bCs/>
          <w:noProof/>
          <w:szCs w:val="24"/>
        </w:rPr>
      </w:pPr>
      <w:r>
        <w:rPr>
          <w:noProof/>
        </w:rPr>
        <w:br w:type="page"/>
      </w:r>
      <w:bookmarkStart w:id="46" w:name="_Toc351868"/>
      <w:r>
        <w:t>1.5.</w:t>
      </w:r>
      <w:r>
        <w:tab/>
      </w:r>
      <w:r>
        <w:rPr>
          <w:noProof/>
        </w:rPr>
        <w:t>Duration and financial impact</w:t>
      </w:r>
      <w:bookmarkEnd w:id="46"/>
      <w:r>
        <w:rPr>
          <w:noProof/>
        </w:rPr>
        <w:t xml:space="preserve"> </w:t>
      </w:r>
    </w:p>
    <w:p>
      <w:pPr>
        <w:pStyle w:val="Text1"/>
        <w:rPr>
          <w:noProof/>
        </w:rPr>
      </w:pPr>
      <w:r>
        <w:rPr>
          <w:noProof/>
        </w:rPr>
        <w:t>X</w:t>
      </w:r>
      <w:r>
        <w:rPr>
          <w:b/>
          <w:i/>
          <w:noProof/>
        </w:rPr>
        <w:t xml:space="preserve"> </w:t>
      </w:r>
      <w:r>
        <w:rPr>
          <w:b/>
          <w:noProof/>
        </w:rPr>
        <w:t xml:space="preserve">limited duration </w:t>
      </w:r>
    </w:p>
    <w:p>
      <w:pPr>
        <w:pStyle w:val="ListDash2"/>
        <w:rPr>
          <w:noProof/>
        </w:rPr>
      </w:pPr>
      <w:r>
        <w:rPr>
          <w:noProof/>
        </w:rPr>
        <w:t>X</w:t>
      </w:r>
      <w:r>
        <w:rPr>
          <w:noProof/>
        </w:rPr>
        <w:tab/>
        <w:t xml:space="preserve">in effect from 01/01/2021 to 31/12/2027 </w:t>
      </w:r>
    </w:p>
    <w:p>
      <w:pPr>
        <w:pStyle w:val="ListDash2"/>
        <w:rPr>
          <w:noProof/>
        </w:rPr>
      </w:pPr>
      <w:r>
        <w:rPr>
          <w:noProof/>
        </w:rPr>
        <w:t>X</w:t>
      </w:r>
      <w:r>
        <w:rPr>
          <w:noProof/>
        </w:rPr>
        <w:tab/>
        <w:t xml:space="preserve">Financial impact from 2021 to 2027 for commitment appropriations and from 2020 to 2032 for payment appropriations. </w:t>
      </w:r>
    </w:p>
    <w:p>
      <w:pPr>
        <w:pStyle w:val="Text1"/>
        <w:rPr>
          <w:noProof/>
        </w:rPr>
      </w:pPr>
      <w:r>
        <w:rPr>
          <w:noProof/>
        </w:rPr>
        <w:sym w:font="Wingdings" w:char="F0A8"/>
      </w:r>
      <w:r>
        <w:rPr>
          <w:b/>
          <w:i/>
          <w:noProof/>
        </w:rPr>
        <w:t xml:space="preserve"> </w:t>
      </w:r>
      <w:r>
        <w:rPr>
          <w:b/>
          <w:noProof/>
        </w:rPr>
        <w:t>unlimited duration</w:t>
      </w:r>
    </w:p>
    <w:p>
      <w:pPr>
        <w:pStyle w:val="ListDash1"/>
        <w:rPr>
          <w:noProof/>
        </w:rPr>
      </w:pPr>
      <w:r>
        <w:rPr>
          <w:noProof/>
        </w:rPr>
        <w:t>Implementation with a start-up period from YYYY to YYYY,</w:t>
      </w:r>
    </w:p>
    <w:p>
      <w:pPr>
        <w:pStyle w:val="ListDash1"/>
        <w:rPr>
          <w:noProof/>
        </w:rPr>
      </w:pPr>
      <w:r>
        <w:rPr>
          <w:noProof/>
        </w:rPr>
        <w:t>followed by full-scale operation.</w:t>
      </w:r>
    </w:p>
    <w:p>
      <w:pPr>
        <w:pStyle w:val="ManualHeading2"/>
        <w:rPr>
          <w:bCs/>
          <w:noProof/>
          <w:szCs w:val="24"/>
        </w:rPr>
      </w:pPr>
      <w:bookmarkStart w:id="47" w:name="_Toc351869"/>
      <w:r>
        <w:t>1.6.</w:t>
      </w:r>
      <w:r>
        <w:tab/>
      </w:r>
      <w:r>
        <w:rPr>
          <w:noProof/>
        </w:rPr>
        <w:t>Management mode(s) planned</w:t>
      </w:r>
      <w:r>
        <w:rPr>
          <w:rStyle w:val="FootnoteReference"/>
          <w:noProof/>
        </w:rPr>
        <w:footnoteReference w:id="20"/>
      </w:r>
      <w:bookmarkEnd w:id="47"/>
      <w:r>
        <w:rPr>
          <w:rStyle w:val="FootnoteReference"/>
          <w:noProof/>
        </w:rPr>
        <w:t xml:space="preserve"> </w:t>
      </w:r>
    </w:p>
    <w:p>
      <w:pPr>
        <w:pStyle w:val="Text1"/>
        <w:rPr>
          <w:noProof/>
        </w:rPr>
      </w:pPr>
      <w:r>
        <w:rPr>
          <w:noProof/>
        </w:rPr>
        <w:t>X</w:t>
      </w:r>
      <w:r>
        <w:rPr>
          <w:i/>
          <w:noProof/>
        </w:rPr>
        <w:t xml:space="preserve"> </w:t>
      </w:r>
      <w:r>
        <w:rPr>
          <w:b/>
          <w:noProof/>
        </w:rPr>
        <w:t>Direct management</w:t>
      </w:r>
      <w:r>
        <w:rPr>
          <w:noProof/>
        </w:rPr>
        <w:t xml:space="preserve"> by the Commission</w:t>
      </w:r>
    </w:p>
    <w:p>
      <w:pPr>
        <w:pStyle w:val="ListDash2"/>
        <w:rPr>
          <w:rFonts w:cs="EUAlbertina"/>
          <w:noProof/>
        </w:rPr>
      </w:pPr>
      <w:r>
        <w:rPr>
          <w:noProof/>
        </w:rPr>
        <w:t xml:space="preserve">X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noProof/>
        </w:rPr>
        <w:sym w:font="Wingdings" w:char="F0A8"/>
      </w:r>
      <w:r>
        <w:rPr>
          <w:b/>
          <w:i/>
          <w:noProof/>
        </w:rPr>
        <w:t xml:space="preserve"> </w:t>
      </w:r>
      <w:r>
        <w:rPr>
          <w:b/>
          <w:noProof/>
        </w:rPr>
        <w:t>Shared management</w:t>
      </w:r>
      <w:r>
        <w:rPr>
          <w:noProof/>
        </w:rPr>
        <w:t xml:space="preserve"> with the Member States </w:t>
      </w:r>
    </w:p>
    <w:p>
      <w:pPr>
        <w:pStyle w:val="Text1"/>
        <w:rPr>
          <w:noProof/>
        </w:rPr>
      </w:pPr>
      <w:r>
        <w:rPr>
          <w:noProof/>
        </w:rPr>
        <w:t>X</w:t>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t>X international organisations and their agencies (to be specified);</w:t>
      </w:r>
    </w:p>
    <w:p>
      <w:pPr>
        <w:pStyle w:val="ListDash2"/>
        <w:rPr>
          <w:noProof/>
        </w:rPr>
      </w:pPr>
      <w:r>
        <w:rPr>
          <w:noProof/>
        </w:rPr>
        <w:sym w:font="Wingdings" w:char="F0A8"/>
      </w:r>
      <w:r>
        <w:rPr>
          <w:noProof/>
        </w:rPr>
        <w:t>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rPr>
      </w:pPr>
      <w:bookmarkStart w:id="48" w:name="_Toc351870"/>
      <w:r>
        <w:t>2.</w:t>
      </w:r>
      <w:r>
        <w:tab/>
      </w:r>
      <w:r>
        <w:rPr>
          <w:noProof/>
        </w:rPr>
        <w:t>MANAGEMENT MEASURES</w:t>
      </w:r>
      <w:bookmarkEnd w:id="48"/>
      <w:r>
        <w:rPr>
          <w:noProof/>
        </w:rPr>
        <w:t xml:space="preserve"> </w:t>
      </w:r>
    </w:p>
    <w:p>
      <w:pPr>
        <w:pStyle w:val="ManualHeading2"/>
        <w:rPr>
          <w:noProof/>
        </w:rPr>
      </w:pPr>
      <w:bookmarkStart w:id="49" w:name="_Toc351871"/>
      <w:r>
        <w:t>2.1.</w:t>
      </w:r>
      <w:r>
        <w:tab/>
      </w:r>
      <w:r>
        <w:rPr>
          <w:noProof/>
        </w:rPr>
        <w:t>Monitoring and reporting rules</w:t>
      </w:r>
      <w:bookmarkEnd w:id="49"/>
      <w:r>
        <w:rPr>
          <w:noProof/>
        </w:rPr>
        <w:t xml:space="preserve"> </w:t>
      </w:r>
    </w:p>
    <w:p>
      <w:pPr>
        <w:pStyle w:val="Text1"/>
        <w:rPr>
          <w:noProof/>
        </w:rPr>
      </w:pPr>
      <w:r>
        <w:rPr>
          <w:noProof/>
        </w:rPr>
        <w:t xml:space="preserve">Actions and measures receiving financial assistance under these Decisions shall be monitored regularly. </w:t>
      </w:r>
    </w:p>
    <w:p>
      <w:pPr>
        <w:pStyle w:val="Text1"/>
        <w:rPr>
          <w:noProof/>
        </w:rPr>
      </w:pPr>
      <w:r>
        <w:rPr>
          <w:noProof/>
        </w:rPr>
        <w:t xml:space="preserve">The Commission is required to evaluate the Union Mechanism in accordance with Article 34 of Decision No 1313/2013/EU. </w:t>
      </w:r>
    </w:p>
    <w:p>
      <w:pPr>
        <w:pStyle w:val="ManualHeading2"/>
        <w:rPr>
          <w:bCs/>
          <w:noProof/>
          <w:szCs w:val="24"/>
        </w:rPr>
      </w:pPr>
      <w:bookmarkStart w:id="50" w:name="_Toc351872"/>
      <w:r>
        <w:t>2.2.</w:t>
      </w:r>
      <w:r>
        <w:tab/>
      </w:r>
      <w:r>
        <w:rPr>
          <w:noProof/>
        </w:rPr>
        <w:t>Management and control system(s)</w:t>
      </w:r>
      <w:bookmarkEnd w:id="50"/>
      <w:r>
        <w:rPr>
          <w:noProof/>
        </w:rPr>
        <w:t xml:space="preserve"> </w:t>
      </w:r>
    </w:p>
    <w:p>
      <w:pPr>
        <w:pStyle w:val="ManualHeading3"/>
        <w:rPr>
          <w:noProof/>
        </w:rPr>
      </w:pPr>
      <w:bookmarkStart w:id="51" w:name="_Toc351873"/>
      <w:r>
        <w:t>2.2.1.</w:t>
      </w:r>
      <w:r>
        <w:tab/>
      </w:r>
      <w:r>
        <w:rPr>
          <w:noProof/>
        </w:rPr>
        <w:t>Justification of the management mode(s), the funding implementation mechanism(s), the payment modalities and the control strategy proposed</w:t>
      </w:r>
      <w:bookmarkEnd w:id="51"/>
    </w:p>
    <w:p>
      <w:pPr>
        <w:pStyle w:val="Text1"/>
        <w:rPr>
          <w:noProof/>
        </w:rPr>
      </w:pPr>
      <w:r>
        <w:rPr>
          <w:noProof/>
        </w:rPr>
        <w:t>Financial assistance on prevention and preparedness under the Union Mechanism is spent in accordance with an annual work programme adopted by the Civil Protection Committee. The Commission regularly informs the Committee on the implementation of the work programme. A separate financial decision on response is also adopted.</w:t>
      </w:r>
    </w:p>
    <w:p>
      <w:pPr>
        <w:pStyle w:val="Text1"/>
        <w:rPr>
          <w:noProof/>
        </w:rPr>
      </w:pPr>
      <w:r>
        <w:rPr>
          <w:noProof/>
        </w:rPr>
        <w:t xml:space="preserve">Based on the lessons learned from the implementation of the Union Mechanism in the past, the Commission does not envisage substantive changes to the management measures currently in place. </w:t>
      </w:r>
    </w:p>
    <w:p>
      <w:pPr>
        <w:pStyle w:val="ManualHeading3"/>
        <w:rPr>
          <w:bCs/>
          <w:noProof/>
          <w:szCs w:val="24"/>
        </w:rPr>
      </w:pPr>
      <w:bookmarkStart w:id="52" w:name="_Toc351874"/>
      <w:r>
        <w:t>2.2.2.</w:t>
      </w:r>
      <w:r>
        <w:tab/>
      </w:r>
      <w:r>
        <w:rPr>
          <w:noProof/>
        </w:rPr>
        <w:t>Information concerning the risks identified and the internal control system(s) set up to mitigate them</w:t>
      </w:r>
      <w:bookmarkEnd w:id="52"/>
    </w:p>
    <w:p>
      <w:pPr>
        <w:pStyle w:val="Text1"/>
        <w:rPr>
          <w:noProof/>
        </w:rPr>
      </w:pPr>
      <w:r>
        <w:rPr>
          <w:noProof/>
        </w:rPr>
        <w:t>The European Commission's existing internal control system applies to ensure that funds available under the Union Mechanism are used properly and in line with appropriate legislation.</w:t>
      </w:r>
    </w:p>
    <w:p>
      <w:pPr>
        <w:pStyle w:val="Text1"/>
        <w:rPr>
          <w:noProof/>
        </w:rPr>
      </w:pPr>
      <w:r>
        <w:rPr>
          <w:noProof/>
        </w:rPr>
        <w:t>The current system is setup as follows:</w:t>
      </w:r>
    </w:p>
    <w:p>
      <w:pPr>
        <w:pStyle w:val="Text1"/>
        <w:rPr>
          <w:noProof/>
        </w:rPr>
      </w:pPr>
      <w:r>
        <w:rPr>
          <w:noProof/>
        </w:rPr>
        <w:t>1. The internal control team within the lead service (Directorate-General for European Civil Protection and Humanitarian Aid Operations /DG ECHO) focuses on compliance with administrative procedures and legislation in force in the area of civil protection. The Internal Control Framework of the Commission is used for this purpose.</w:t>
      </w:r>
    </w:p>
    <w:p>
      <w:pPr>
        <w:pStyle w:val="Text1"/>
        <w:rPr>
          <w:noProof/>
        </w:rPr>
      </w:pPr>
      <w:r>
        <w:rPr>
          <w:noProof/>
        </w:rPr>
        <w:t>2. Regular audit of grants and contracts by external auditors, which are awarded under the civil protection budget are fully incorporated in DG ECHO annual audit plan.</w:t>
      </w:r>
    </w:p>
    <w:p>
      <w:pPr>
        <w:pStyle w:val="Text1"/>
        <w:rPr>
          <w:noProof/>
        </w:rPr>
      </w:pPr>
      <w:r>
        <w:rPr>
          <w:noProof/>
        </w:rPr>
        <w:t>3. Evaluation of overall activities by external evaluators.</w:t>
      </w:r>
    </w:p>
    <w:p>
      <w:pPr>
        <w:pStyle w:val="Text1"/>
        <w:rPr>
          <w:noProof/>
        </w:rPr>
      </w:pPr>
      <w:r>
        <w:rPr>
          <w:noProof/>
        </w:rPr>
        <w:t xml:space="preserve">Actions performed may be audited by the European fraud office OLAF and the Court of Auditors. </w:t>
      </w:r>
    </w:p>
    <w:p>
      <w:pPr>
        <w:pStyle w:val="Text1"/>
        <w:rPr>
          <w:noProof/>
        </w:rPr>
      </w:pPr>
      <w:r>
        <w:rPr>
          <w:noProof/>
        </w:rPr>
        <w:t>On supervision and monitoring, the extensive experience acquired by implementing the humanitarian aid instrument will be applied, with the necessary changes</w:t>
      </w:r>
      <w:r>
        <w:rPr>
          <w:i/>
          <w:noProof/>
        </w:rPr>
        <w:t xml:space="preserve">, </w:t>
      </w:r>
      <w:r>
        <w:rPr>
          <w:noProof/>
        </w:rPr>
        <w:t>to implementing the Union Mechanism under indirect management.</w:t>
      </w:r>
    </w:p>
    <w:p>
      <w:pPr>
        <w:pStyle w:val="ManualHeading3"/>
        <w:rPr>
          <w:noProof/>
        </w:rPr>
      </w:pPr>
      <w:bookmarkStart w:id="53" w:name="_Toc351875"/>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53"/>
      <w:r>
        <w:rPr>
          <w:noProof/>
        </w:rPr>
        <w:t xml:space="preserve"> </w:t>
      </w:r>
    </w:p>
    <w:p>
      <w:pPr>
        <w:pStyle w:val="Text1"/>
        <w:rPr>
          <w:noProof/>
        </w:rPr>
      </w:pPr>
      <w:r>
        <w:rPr>
          <w:noProof/>
        </w:rPr>
        <w:t xml:space="preserve">The estimated cost of DG ECHO’s control strategy represents 1.1% of indirect management of the 2017 budget and 0.6 % of direct management of the 2017 budget. The main components of this indicator are: </w:t>
      </w:r>
    </w:p>
    <w:p>
      <w:pPr>
        <w:pStyle w:val="ListDash1"/>
        <w:rPr>
          <w:noProof/>
        </w:rPr>
      </w:pPr>
      <w:r>
        <w:rPr>
          <w:noProof/>
        </w:rPr>
        <w:t xml:space="preserve">the total staff costs of DG ECHO experts in the field, plus those of the financial and operational units multiplied by the estimated portion of time (50%) dedicated to quality assurance, control and monitoring activities; </w:t>
      </w:r>
    </w:p>
    <w:p>
      <w:pPr>
        <w:pStyle w:val="ListDash1"/>
        <w:rPr>
          <w:noProof/>
        </w:rPr>
      </w:pPr>
      <w:r>
        <w:rPr>
          <w:noProof/>
        </w:rPr>
        <w:t>the total resources in DG ECHO's external audit sector devoted to audits and verifications.</w:t>
      </w:r>
    </w:p>
    <w:p>
      <w:pPr>
        <w:pStyle w:val="Text1"/>
        <w:rPr>
          <w:noProof/>
        </w:rPr>
      </w:pPr>
      <w:r>
        <w:rPr>
          <w:noProof/>
        </w:rPr>
        <w:t xml:space="preserve">Taking into account the low cost of such controls together with the quantifiable (corrections and recoveries) and unquantifiable (deterrent effect and quality insurance effect of controls) benefits linked to these, the Commission is able to conclude that the quantifiable and unquantifiable benefits from controls largely outweigh the limited cost of these. </w:t>
      </w:r>
    </w:p>
    <w:p>
      <w:pPr>
        <w:pStyle w:val="Text1"/>
        <w:rPr>
          <w:noProof/>
        </w:rPr>
      </w:pPr>
      <w:r>
        <w:rPr>
          <w:noProof/>
        </w:rPr>
        <w:t xml:space="preserve">With regard to the entrusted entities implementing EU funding under indirect management mode, the Commission contributes up to 7% of their direct eligible costs to ensure supervision and management of the EU funding. </w:t>
      </w:r>
    </w:p>
    <w:p>
      <w:pPr>
        <w:pStyle w:val="Text1"/>
        <w:rPr>
          <w:noProof/>
        </w:rPr>
      </w:pPr>
      <w:r>
        <w:rPr>
          <w:noProof/>
        </w:rPr>
        <w:t>This is confirmed by the 1.08% multi-annual residual error rate reported by the Commission in 2017 for its humanitarian aid and civil protection department.</w:t>
      </w:r>
    </w:p>
    <w:p>
      <w:pPr>
        <w:pStyle w:val="ManualHeading2"/>
        <w:rPr>
          <w:bCs/>
          <w:noProof/>
          <w:szCs w:val="24"/>
        </w:rPr>
      </w:pPr>
      <w:bookmarkStart w:id="54" w:name="_Toc351876"/>
      <w:r>
        <w:t>2.3.</w:t>
      </w:r>
      <w:r>
        <w:tab/>
      </w:r>
      <w:r>
        <w:rPr>
          <w:noProof/>
        </w:rPr>
        <w:t>Measures to prevent fraud and irregularities</w:t>
      </w:r>
      <w:bookmarkEnd w:id="54"/>
      <w:r>
        <w:rPr>
          <w:noProof/>
        </w:rPr>
        <w:t xml:space="preserve"> </w:t>
      </w:r>
    </w:p>
    <w:p>
      <w:pPr>
        <w:pStyle w:val="Text1"/>
        <w:rPr>
          <w:noProof/>
        </w:rPr>
      </w:pPr>
      <w:r>
        <w:rPr>
          <w:noProof/>
        </w:rPr>
        <w:t xml:space="preserve">DG ECHO’s anti-fraud strategy, in line with the Commission's anti-fraud strategy, is used in order to ensure that: </w:t>
      </w:r>
    </w:p>
    <w:p>
      <w:pPr>
        <w:pStyle w:val="ListDash1"/>
        <w:rPr>
          <w:noProof/>
        </w:rPr>
      </w:pPr>
      <w:r>
        <w:rPr>
          <w:noProof/>
        </w:rPr>
        <w:t xml:space="preserve">DG ECHO’s internal anti-fraud related controls are fully aligned with the Commission’s anti-fraud strategy;AFS; </w:t>
      </w:r>
    </w:p>
    <w:p>
      <w:pPr>
        <w:pStyle w:val="ListDash1"/>
        <w:rPr>
          <w:noProof/>
        </w:rPr>
      </w:pPr>
      <w:r>
        <w:rPr>
          <w:noProof/>
        </w:rPr>
        <w:t xml:space="preserve">DG ECHO’s fraud risk management approach is geared to identify fraud risk areas and adequate responses. </w:t>
      </w:r>
    </w:p>
    <w:p>
      <w:pPr>
        <w:pStyle w:val="Text1"/>
        <w:rPr>
          <w:noProof/>
        </w:rPr>
      </w:pPr>
      <w:r>
        <w:rPr>
          <w:noProof/>
        </w:rPr>
        <w:t xml:space="preserve">The systems used for spending EU funds in third countries enable relevant data to be retrieved so that this data can be fed into fraud risk management (e.g. to detect double funding). </w:t>
      </w:r>
    </w:p>
    <w:p>
      <w:pPr>
        <w:pStyle w:val="Text1"/>
        <w:rPr>
          <w:noProof/>
        </w:rPr>
      </w:pPr>
      <w:r>
        <w:rPr>
          <w:noProof/>
        </w:rPr>
        <w:t>Where necessary, networking groups and adequate IT tools dedicated to analysing fraud cases related to the sector may be set up.</w:t>
      </w:r>
    </w:p>
    <w:p>
      <w:pPr>
        <w:ind w:left="720"/>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55" w:name="_Toc351877"/>
      <w:r>
        <w:t>3.</w:t>
      </w:r>
      <w:r>
        <w:tab/>
      </w:r>
      <w:r>
        <w:rPr>
          <w:noProof/>
        </w:rPr>
        <w:t>ESTIMATED FINANCIAL IMPACT OF THE PROPOSAL/INITIATIVE</w:t>
      </w:r>
      <w:bookmarkEnd w:id="55"/>
      <w:r>
        <w:rPr>
          <w:noProof/>
        </w:rPr>
        <w:t xml:space="preserve"> </w:t>
      </w:r>
    </w:p>
    <w:p>
      <w:pPr>
        <w:pStyle w:val="ManualHeading2"/>
        <w:rPr>
          <w:noProof/>
        </w:rPr>
      </w:pPr>
      <w:bookmarkStart w:id="56" w:name="_Toc351878"/>
      <w:r>
        <w:t>3.1.</w:t>
      </w:r>
      <w:r>
        <w:tab/>
      </w:r>
      <w:r>
        <w:rPr>
          <w:noProof/>
        </w:rPr>
        <w:t>Heading of the multiannual financial framework and new expenditure budget line(s) proposed</w:t>
      </w:r>
      <w:bookmarkEnd w:id="56"/>
      <w:r>
        <w:rPr>
          <w:noProof/>
        </w:rPr>
        <w:t xml:space="preserve"> </w:t>
      </w:r>
    </w:p>
    <w:tbl>
      <w:tblPr>
        <w:tblW w:w="95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541"/>
        <w:gridCol w:w="1559"/>
        <w:gridCol w:w="1063"/>
        <w:gridCol w:w="1063"/>
        <w:gridCol w:w="1063"/>
        <w:gridCol w:w="1205"/>
      </w:tblGrid>
      <w:tr>
        <w:tc>
          <w:tcPr>
            <w:tcW w:w="1080" w:type="dxa"/>
            <w:vMerge w:val="restart"/>
            <w:vAlign w:val="center"/>
          </w:tcPr>
          <w:p>
            <w:pPr>
              <w:spacing w:before="60" w:after="60"/>
              <w:jc w:val="center"/>
              <w:rPr>
                <w:noProof/>
              </w:rPr>
            </w:pPr>
            <w:r>
              <w:rPr>
                <w:noProof/>
                <w:sz w:val="18"/>
              </w:rPr>
              <w:t>Heading of multiannual financial framework</w:t>
            </w:r>
          </w:p>
        </w:tc>
        <w:tc>
          <w:tcPr>
            <w:tcW w:w="2541" w:type="dxa"/>
            <w:vAlign w:val="center"/>
          </w:tcPr>
          <w:p>
            <w:pPr>
              <w:spacing w:before="60" w:after="60"/>
              <w:jc w:val="center"/>
              <w:rPr>
                <w:noProof/>
              </w:rPr>
            </w:pPr>
            <w:r>
              <w:rPr>
                <w:noProof/>
                <w:sz w:val="20"/>
              </w:rPr>
              <w:t>Budget line</w:t>
            </w:r>
          </w:p>
        </w:tc>
        <w:tc>
          <w:tcPr>
            <w:tcW w:w="1559"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394"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2541" w:type="dxa"/>
            <w:vAlign w:val="center"/>
          </w:tcPr>
          <w:p>
            <w:pPr>
              <w:jc w:val="left"/>
              <w:rPr>
                <w:noProof/>
              </w:rPr>
            </w:pPr>
            <w:r>
              <w:rPr>
                <w:noProof/>
                <w:sz w:val="20"/>
              </w:rPr>
              <w:t>Number and Heading</w:t>
            </w:r>
          </w:p>
        </w:tc>
        <w:tc>
          <w:tcPr>
            <w:tcW w:w="1559" w:type="dxa"/>
            <w:vAlign w:val="center"/>
          </w:tcPr>
          <w:p>
            <w:pPr>
              <w:jc w:val="center"/>
              <w:rPr>
                <w:noProof/>
              </w:rPr>
            </w:pPr>
            <w:r>
              <w:rPr>
                <w:noProof/>
                <w:sz w:val="18"/>
              </w:rPr>
              <w:t>Diff./Non-diff.</w:t>
            </w:r>
            <w:r>
              <w:rPr>
                <w:rStyle w:val="FootnoteReference"/>
                <w:noProof/>
                <w:sz w:val="18"/>
              </w:rPr>
              <w:footnoteReference w:id="21"/>
            </w:r>
          </w:p>
        </w:tc>
        <w:tc>
          <w:tcPr>
            <w:tcW w:w="1063" w:type="dxa"/>
            <w:vAlign w:val="center"/>
          </w:tcPr>
          <w:p>
            <w:pPr>
              <w:jc w:val="center"/>
              <w:rPr>
                <w:noProof/>
              </w:rPr>
            </w:pPr>
            <w:r>
              <w:rPr>
                <w:noProof/>
                <w:sz w:val="18"/>
              </w:rPr>
              <w:t>from EFTA countries</w:t>
            </w:r>
            <w:r>
              <w:rPr>
                <w:rStyle w:val="FootnoteReference"/>
                <w:noProof/>
                <w:sz w:val="18"/>
              </w:rPr>
              <w:footnoteReference w:id="22"/>
            </w:r>
          </w:p>
          <w:p>
            <w:pPr>
              <w:spacing w:before="0" w:after="0"/>
              <w:jc w:val="center"/>
              <w:rPr>
                <w:b/>
                <w:noProof/>
                <w:sz w:val="18"/>
              </w:rPr>
            </w:pPr>
          </w:p>
        </w:tc>
        <w:tc>
          <w:tcPr>
            <w:tcW w:w="1063" w:type="dxa"/>
            <w:vAlign w:val="center"/>
          </w:tcPr>
          <w:p>
            <w:pPr>
              <w:jc w:val="center"/>
              <w:rPr>
                <w:noProof/>
              </w:rPr>
            </w:pPr>
            <w:r>
              <w:rPr>
                <w:noProof/>
                <w:sz w:val="18"/>
              </w:rPr>
              <w:t>from candidate countries</w:t>
            </w:r>
            <w:r>
              <w:rPr>
                <w:rStyle w:val="FootnoteReference"/>
                <w:noProof/>
                <w:sz w:val="18"/>
              </w:rPr>
              <w:footnoteReference w:id="23"/>
            </w:r>
          </w:p>
          <w:p>
            <w:pPr>
              <w:spacing w:before="0" w:after="0"/>
              <w:jc w:val="center"/>
              <w:rPr>
                <w:noProof/>
                <w:sz w:val="18"/>
              </w:rPr>
            </w:pPr>
          </w:p>
        </w:tc>
        <w:tc>
          <w:tcPr>
            <w:tcW w:w="1063" w:type="dxa"/>
            <w:vAlign w:val="center"/>
          </w:tcPr>
          <w:p>
            <w:pPr>
              <w:jc w:val="center"/>
              <w:rPr>
                <w:noProof/>
                <w:sz w:val="18"/>
              </w:rPr>
            </w:pPr>
            <w:r>
              <w:rPr>
                <w:noProof/>
                <w:sz w:val="18"/>
              </w:rPr>
              <w:t>from third countries</w:t>
            </w:r>
            <w:r>
              <w:rPr>
                <w:rStyle w:val="FootnoteReference"/>
                <w:noProof/>
                <w:sz w:val="18"/>
              </w:rPr>
              <w:footnoteReference w:id="24"/>
            </w:r>
          </w:p>
        </w:tc>
        <w:tc>
          <w:tcPr>
            <w:tcW w:w="1205" w:type="dxa"/>
            <w:vAlign w:val="center"/>
          </w:tcPr>
          <w:p>
            <w:pPr>
              <w:jc w:val="center"/>
              <w:rPr>
                <w:noProof/>
              </w:rPr>
            </w:pPr>
            <w:r>
              <w:rPr>
                <w:noProof/>
                <w:sz w:val="16"/>
              </w:rPr>
              <w:t xml:space="preserve">within the meaning of Article [21(2) (e)] of the Financial Regulation </w:t>
            </w:r>
          </w:p>
        </w:tc>
      </w:tr>
      <w:tr>
        <w:tc>
          <w:tcPr>
            <w:tcW w:w="1080" w:type="dxa"/>
            <w:vAlign w:val="center"/>
          </w:tcPr>
          <w:p>
            <w:pPr>
              <w:jc w:val="center"/>
              <w:rPr>
                <w:noProof/>
              </w:rPr>
            </w:pPr>
            <w:r>
              <w:rPr>
                <w:noProof/>
              </w:rPr>
              <w:t>5</w:t>
            </w:r>
          </w:p>
        </w:tc>
        <w:tc>
          <w:tcPr>
            <w:tcW w:w="2541" w:type="dxa"/>
            <w:vAlign w:val="center"/>
          </w:tcPr>
          <w:p>
            <w:pPr>
              <w:spacing w:before="60"/>
              <w:jc w:val="left"/>
              <w:rPr>
                <w:noProof/>
              </w:rPr>
            </w:pPr>
            <w:r>
              <w:rPr>
                <w:noProof/>
              </w:rPr>
              <w:t>14 02 01 – Union civil protection mechanism: Prevention and Preparedness</w:t>
            </w:r>
          </w:p>
        </w:tc>
        <w:tc>
          <w:tcPr>
            <w:tcW w:w="1559" w:type="dxa"/>
            <w:vAlign w:val="center"/>
          </w:tcPr>
          <w:p>
            <w:pPr>
              <w:spacing w:before="60"/>
              <w:jc w:val="center"/>
              <w:rPr>
                <w:noProof/>
              </w:rPr>
            </w:pPr>
            <w:r>
              <w:rPr>
                <w:noProof/>
              </w:rPr>
              <w:t>Diff</w:t>
            </w:r>
          </w:p>
        </w:tc>
        <w:tc>
          <w:tcPr>
            <w:tcW w:w="1063" w:type="dxa"/>
            <w:vAlign w:val="center"/>
          </w:tcPr>
          <w:p>
            <w:pPr>
              <w:spacing w:before="60"/>
              <w:jc w:val="center"/>
              <w:rPr>
                <w:noProof/>
              </w:rPr>
            </w:pPr>
            <w:r>
              <w:rPr>
                <w:noProof/>
              </w:rPr>
              <w:t>YES</w:t>
            </w:r>
          </w:p>
        </w:tc>
        <w:tc>
          <w:tcPr>
            <w:tcW w:w="1063" w:type="dxa"/>
            <w:vAlign w:val="center"/>
          </w:tcPr>
          <w:p>
            <w:pPr>
              <w:spacing w:before="60"/>
              <w:jc w:val="center"/>
              <w:rPr>
                <w:noProof/>
              </w:rPr>
            </w:pPr>
            <w:r>
              <w:rPr>
                <w:noProof/>
              </w:rPr>
              <w:t>YES</w:t>
            </w:r>
          </w:p>
        </w:tc>
        <w:tc>
          <w:tcPr>
            <w:tcW w:w="1063" w:type="dxa"/>
            <w:vAlign w:val="center"/>
          </w:tcPr>
          <w:p>
            <w:pPr>
              <w:spacing w:before="60"/>
              <w:jc w:val="center"/>
              <w:rPr>
                <w:noProof/>
              </w:rPr>
            </w:pPr>
            <w:r>
              <w:rPr>
                <w:noProof/>
              </w:rPr>
              <w:t>YES</w:t>
            </w:r>
          </w:p>
        </w:tc>
        <w:tc>
          <w:tcPr>
            <w:tcW w:w="1205" w:type="dxa"/>
            <w:vAlign w:val="center"/>
          </w:tcPr>
          <w:p>
            <w:pPr>
              <w:spacing w:before="60"/>
              <w:jc w:val="center"/>
              <w:rPr>
                <w:noProof/>
              </w:rPr>
            </w:pPr>
            <w:r>
              <w:rPr>
                <w:noProof/>
              </w:rPr>
              <w:t>NO</w:t>
            </w:r>
          </w:p>
        </w:tc>
      </w:tr>
      <w:tr>
        <w:trPr>
          <w:trHeight w:val="707"/>
        </w:trPr>
        <w:tc>
          <w:tcPr>
            <w:tcW w:w="1080" w:type="dxa"/>
            <w:vAlign w:val="center"/>
          </w:tcPr>
          <w:p>
            <w:pPr>
              <w:jc w:val="center"/>
              <w:rPr>
                <w:noProof/>
              </w:rPr>
            </w:pPr>
            <w:r>
              <w:rPr>
                <w:noProof/>
              </w:rPr>
              <w:t>5</w:t>
            </w:r>
          </w:p>
        </w:tc>
        <w:tc>
          <w:tcPr>
            <w:tcW w:w="2541" w:type="dxa"/>
            <w:vAlign w:val="center"/>
          </w:tcPr>
          <w:p>
            <w:pPr>
              <w:spacing w:before="0" w:after="0"/>
              <w:jc w:val="left"/>
              <w:rPr>
                <w:noProof/>
                <w:sz w:val="22"/>
              </w:rPr>
            </w:pPr>
            <w:r>
              <w:rPr>
                <w:noProof/>
              </w:rPr>
              <w:t>14 02 02 – Union civil protection mechanism Response</w:t>
            </w:r>
          </w:p>
        </w:tc>
        <w:tc>
          <w:tcPr>
            <w:tcW w:w="1559" w:type="dxa"/>
            <w:vAlign w:val="center"/>
          </w:tcPr>
          <w:p>
            <w:pPr>
              <w:spacing w:before="60"/>
              <w:jc w:val="center"/>
              <w:rPr>
                <w:noProof/>
              </w:rPr>
            </w:pPr>
            <w:r>
              <w:rPr>
                <w:noProof/>
              </w:rPr>
              <w:t xml:space="preserve">   Diff.</w:t>
            </w:r>
          </w:p>
        </w:tc>
        <w:tc>
          <w:tcPr>
            <w:tcW w:w="1063" w:type="dxa"/>
            <w:vAlign w:val="center"/>
          </w:tcPr>
          <w:p>
            <w:pPr>
              <w:spacing w:before="60"/>
              <w:jc w:val="center"/>
              <w:rPr>
                <w:noProof/>
              </w:rPr>
            </w:pPr>
            <w:r>
              <w:rPr>
                <w:noProof/>
              </w:rPr>
              <w:t>YES</w:t>
            </w:r>
          </w:p>
        </w:tc>
        <w:tc>
          <w:tcPr>
            <w:tcW w:w="1063" w:type="dxa"/>
            <w:vAlign w:val="center"/>
          </w:tcPr>
          <w:p>
            <w:pPr>
              <w:spacing w:before="60"/>
              <w:jc w:val="center"/>
              <w:rPr>
                <w:noProof/>
              </w:rPr>
            </w:pPr>
            <w:r>
              <w:rPr>
                <w:noProof/>
              </w:rPr>
              <w:t>YES</w:t>
            </w:r>
          </w:p>
        </w:tc>
        <w:tc>
          <w:tcPr>
            <w:tcW w:w="1063" w:type="dxa"/>
            <w:vAlign w:val="center"/>
          </w:tcPr>
          <w:p>
            <w:pPr>
              <w:spacing w:before="60"/>
              <w:jc w:val="center"/>
              <w:rPr>
                <w:noProof/>
              </w:rPr>
            </w:pPr>
            <w:r>
              <w:rPr>
                <w:noProof/>
              </w:rPr>
              <w:t>YES</w:t>
            </w:r>
          </w:p>
        </w:tc>
        <w:tc>
          <w:tcPr>
            <w:tcW w:w="1205" w:type="dxa"/>
            <w:vAlign w:val="center"/>
          </w:tcPr>
          <w:p>
            <w:pPr>
              <w:spacing w:before="60"/>
              <w:jc w:val="center"/>
              <w:rPr>
                <w:noProof/>
              </w:rPr>
            </w:pPr>
            <w:r>
              <w:rPr>
                <w:noProof/>
              </w:rPr>
              <w:t>NO</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7" w:name="_Toc351879"/>
      <w:r>
        <w:t>3.2.</w:t>
      </w:r>
      <w:r>
        <w:tab/>
      </w:r>
      <w:r>
        <w:rPr>
          <w:noProof/>
        </w:rPr>
        <w:t>Estimated impact on expenditure</w:t>
      </w:r>
      <w:bookmarkEnd w:id="57"/>
      <w:r>
        <w:rPr>
          <w:noProof/>
        </w:rPr>
        <w:t xml:space="preserve"> </w:t>
      </w:r>
    </w:p>
    <w:p>
      <w:pPr>
        <w:pStyle w:val="ManualHeading3"/>
        <w:rPr>
          <w:noProof/>
          <w:u w:val="single"/>
        </w:rPr>
      </w:pPr>
      <w:bookmarkStart w:id="58" w:name="_Toc351880"/>
      <w:r>
        <w:t>3.2.1.</w:t>
      </w:r>
      <w:r>
        <w:tab/>
      </w:r>
      <w:r>
        <w:rPr>
          <w:noProof/>
        </w:rPr>
        <w:t>Summary of estimated impact on expenditure</w:t>
      </w:r>
      <w:r>
        <w:rPr>
          <w:rStyle w:val="FootnoteReference"/>
          <w:noProof/>
        </w:rPr>
        <w:footnoteReference w:id="25"/>
      </w:r>
      <w:bookmarkEnd w:id="58"/>
      <w:r>
        <w:rPr>
          <w:noProof/>
        </w:rPr>
        <w:t xml:space="preserve"> </w:t>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3"/>
        <w:gridCol w:w="1701"/>
        <w:gridCol w:w="9214"/>
      </w:tblGrid>
      <w:tr>
        <w:trPr>
          <w:jc w:val="center"/>
        </w:trPr>
        <w:tc>
          <w:tcPr>
            <w:tcW w:w="2973" w:type="dxa"/>
            <w:shd w:val="thinDiagStripe" w:color="C0C0C0" w:fill="auto"/>
            <w:vAlign w:val="center"/>
          </w:tcPr>
          <w:p>
            <w:pPr>
              <w:spacing w:before="60" w:after="60"/>
              <w:jc w:val="center"/>
              <w:rPr>
                <w:b/>
                <w:noProof/>
                <w:sz w:val="20"/>
                <w:szCs w:val="20"/>
              </w:rPr>
            </w:pPr>
            <w:r>
              <w:rPr>
                <w:b/>
                <w:noProof/>
                <w:sz w:val="20"/>
                <w:szCs w:val="20"/>
              </w:rPr>
              <w:t xml:space="preserve">Heading of multiannual financial </w:t>
            </w:r>
            <w:r>
              <w:rPr>
                <w:noProof/>
                <w:sz w:val="20"/>
                <w:szCs w:val="20"/>
              </w:rPr>
              <w:br/>
            </w:r>
            <w:r>
              <w:rPr>
                <w:b/>
                <w:noProof/>
                <w:sz w:val="20"/>
                <w:szCs w:val="20"/>
              </w:rPr>
              <w:t xml:space="preserve">framework </w:t>
            </w:r>
          </w:p>
        </w:tc>
        <w:tc>
          <w:tcPr>
            <w:tcW w:w="1701" w:type="dxa"/>
            <w:vAlign w:val="center"/>
          </w:tcPr>
          <w:p>
            <w:pPr>
              <w:spacing w:before="60" w:after="60"/>
              <w:jc w:val="center"/>
              <w:rPr>
                <w:noProof/>
                <w:sz w:val="20"/>
                <w:szCs w:val="20"/>
              </w:rPr>
            </w:pPr>
            <w:r>
              <w:rPr>
                <w:b/>
                <w:noProof/>
                <w:sz w:val="20"/>
                <w:szCs w:val="20"/>
              </w:rPr>
              <w:t>5</w:t>
            </w:r>
          </w:p>
        </w:tc>
        <w:tc>
          <w:tcPr>
            <w:tcW w:w="9214" w:type="dxa"/>
            <w:vAlign w:val="center"/>
          </w:tcPr>
          <w:p>
            <w:pPr>
              <w:spacing w:before="60" w:after="60"/>
              <w:rPr>
                <w:noProof/>
                <w:sz w:val="20"/>
                <w:szCs w:val="20"/>
              </w:rPr>
            </w:pPr>
            <w:r>
              <w:rPr>
                <w:noProof/>
                <w:sz w:val="20"/>
                <w:szCs w:val="20"/>
              </w:rPr>
              <w:t>Security &amp; Defence</w:t>
            </w:r>
          </w:p>
        </w:tc>
      </w:tr>
    </w:tbl>
    <w:p>
      <w:pPr>
        <w:rPr>
          <w:noProof/>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1701"/>
        <w:gridCol w:w="709"/>
        <w:gridCol w:w="931"/>
        <w:gridCol w:w="931"/>
        <w:gridCol w:w="931"/>
        <w:gridCol w:w="931"/>
        <w:gridCol w:w="931"/>
        <w:gridCol w:w="931"/>
        <w:gridCol w:w="931"/>
        <w:gridCol w:w="931"/>
        <w:gridCol w:w="1057"/>
      </w:tblGrid>
      <w:tr>
        <w:trPr>
          <w:jc w:val="center"/>
        </w:trPr>
        <w:tc>
          <w:tcPr>
            <w:tcW w:w="5433" w:type="dxa"/>
            <w:gridSpan w:val="3"/>
            <w:tcBorders>
              <w:top w:val="nil"/>
              <w:left w:val="nil"/>
              <w:bottom w:val="nil"/>
              <w:right w:val="single" w:sz="4" w:space="0" w:color="auto"/>
            </w:tcBorders>
            <w:vAlign w:val="center"/>
          </w:tcPr>
          <w:p>
            <w:pPr>
              <w:jc w:val="center"/>
              <w:rPr>
                <w:b/>
                <w:noProof/>
                <w:sz w:val="18"/>
                <w:szCs w:val="18"/>
              </w:rPr>
            </w:pPr>
          </w:p>
        </w:tc>
        <w:tc>
          <w:tcPr>
            <w:tcW w:w="931" w:type="dxa"/>
            <w:tcBorders>
              <w:left w:val="single" w:sz="4" w:space="0" w:color="auto"/>
            </w:tcBorders>
            <w:vAlign w:val="center"/>
          </w:tcPr>
          <w:p>
            <w:pPr>
              <w:jc w:val="center"/>
              <w:rPr>
                <w:b/>
                <w:noProof/>
                <w:sz w:val="18"/>
                <w:szCs w:val="18"/>
              </w:rPr>
            </w:pPr>
            <w:r>
              <w:rPr>
                <w:b/>
                <w:noProof/>
                <w:sz w:val="18"/>
                <w:szCs w:val="18"/>
              </w:rPr>
              <w:t>2021</w:t>
            </w:r>
          </w:p>
        </w:tc>
        <w:tc>
          <w:tcPr>
            <w:tcW w:w="931" w:type="dxa"/>
            <w:vAlign w:val="center"/>
          </w:tcPr>
          <w:p>
            <w:pPr>
              <w:jc w:val="center"/>
              <w:rPr>
                <w:b/>
                <w:noProof/>
                <w:sz w:val="18"/>
                <w:szCs w:val="18"/>
              </w:rPr>
            </w:pPr>
            <w:r>
              <w:rPr>
                <w:b/>
                <w:noProof/>
                <w:sz w:val="18"/>
                <w:szCs w:val="18"/>
              </w:rPr>
              <w:t>2022</w:t>
            </w:r>
          </w:p>
        </w:tc>
        <w:tc>
          <w:tcPr>
            <w:tcW w:w="931" w:type="dxa"/>
            <w:vAlign w:val="center"/>
          </w:tcPr>
          <w:p>
            <w:pPr>
              <w:jc w:val="center"/>
              <w:rPr>
                <w:b/>
                <w:noProof/>
                <w:sz w:val="18"/>
                <w:szCs w:val="18"/>
              </w:rPr>
            </w:pPr>
            <w:r>
              <w:rPr>
                <w:b/>
                <w:noProof/>
                <w:sz w:val="18"/>
                <w:szCs w:val="18"/>
              </w:rPr>
              <w:t>2023</w:t>
            </w:r>
          </w:p>
        </w:tc>
        <w:tc>
          <w:tcPr>
            <w:tcW w:w="931" w:type="dxa"/>
            <w:vAlign w:val="center"/>
          </w:tcPr>
          <w:p>
            <w:pPr>
              <w:jc w:val="center"/>
              <w:rPr>
                <w:b/>
                <w:noProof/>
                <w:sz w:val="18"/>
                <w:szCs w:val="18"/>
              </w:rPr>
            </w:pPr>
            <w:r>
              <w:rPr>
                <w:b/>
                <w:noProof/>
                <w:sz w:val="18"/>
                <w:szCs w:val="18"/>
              </w:rPr>
              <w:t>2024</w:t>
            </w:r>
          </w:p>
        </w:tc>
        <w:tc>
          <w:tcPr>
            <w:tcW w:w="931" w:type="dxa"/>
            <w:vAlign w:val="center"/>
          </w:tcPr>
          <w:p>
            <w:pPr>
              <w:jc w:val="center"/>
              <w:rPr>
                <w:b/>
                <w:noProof/>
                <w:sz w:val="18"/>
                <w:szCs w:val="18"/>
              </w:rPr>
            </w:pPr>
            <w:r>
              <w:rPr>
                <w:b/>
                <w:noProof/>
                <w:sz w:val="18"/>
                <w:szCs w:val="18"/>
              </w:rPr>
              <w:t>2025</w:t>
            </w:r>
          </w:p>
        </w:tc>
        <w:tc>
          <w:tcPr>
            <w:tcW w:w="931" w:type="dxa"/>
            <w:vAlign w:val="center"/>
          </w:tcPr>
          <w:p>
            <w:pPr>
              <w:jc w:val="center"/>
              <w:rPr>
                <w:b/>
                <w:noProof/>
                <w:sz w:val="18"/>
                <w:szCs w:val="18"/>
              </w:rPr>
            </w:pPr>
            <w:r>
              <w:rPr>
                <w:b/>
                <w:noProof/>
                <w:sz w:val="18"/>
                <w:szCs w:val="18"/>
              </w:rPr>
              <w:t>2026</w:t>
            </w:r>
          </w:p>
        </w:tc>
        <w:tc>
          <w:tcPr>
            <w:tcW w:w="931" w:type="dxa"/>
            <w:vAlign w:val="center"/>
          </w:tcPr>
          <w:p>
            <w:pPr>
              <w:jc w:val="center"/>
              <w:rPr>
                <w:b/>
                <w:noProof/>
                <w:sz w:val="18"/>
                <w:szCs w:val="18"/>
              </w:rPr>
            </w:pPr>
            <w:r>
              <w:rPr>
                <w:b/>
                <w:noProof/>
                <w:sz w:val="18"/>
                <w:szCs w:val="18"/>
              </w:rPr>
              <w:t>2027</w:t>
            </w:r>
          </w:p>
        </w:tc>
        <w:tc>
          <w:tcPr>
            <w:tcW w:w="931" w:type="dxa"/>
            <w:vAlign w:val="center"/>
          </w:tcPr>
          <w:p>
            <w:pPr>
              <w:jc w:val="center"/>
              <w:rPr>
                <w:b/>
                <w:i/>
                <w:noProof/>
                <w:sz w:val="18"/>
                <w:szCs w:val="18"/>
              </w:rPr>
            </w:pPr>
            <w:r>
              <w:rPr>
                <w:b/>
                <w:i/>
                <w:noProof/>
                <w:sz w:val="18"/>
                <w:szCs w:val="18"/>
              </w:rPr>
              <w:t>Post 2027</w:t>
            </w:r>
          </w:p>
        </w:tc>
        <w:tc>
          <w:tcPr>
            <w:tcW w:w="1057" w:type="dxa"/>
            <w:vAlign w:val="center"/>
          </w:tcPr>
          <w:p>
            <w:pPr>
              <w:jc w:val="center"/>
              <w:rPr>
                <w:b/>
                <w:noProof/>
                <w:sz w:val="18"/>
                <w:szCs w:val="18"/>
              </w:rPr>
            </w:pPr>
            <w:r>
              <w:rPr>
                <w:b/>
                <w:noProof/>
                <w:sz w:val="18"/>
                <w:szCs w:val="18"/>
              </w:rPr>
              <w:t>TOTAL</w:t>
            </w:r>
          </w:p>
        </w:tc>
      </w:tr>
      <w:tr>
        <w:trPr>
          <w:trHeight w:val="319"/>
          <w:jc w:val="center"/>
        </w:trPr>
        <w:tc>
          <w:tcPr>
            <w:tcW w:w="3023" w:type="dxa"/>
            <w:vAlign w:val="center"/>
          </w:tcPr>
          <w:p>
            <w:pPr>
              <w:spacing w:before="20" w:after="20"/>
              <w:jc w:val="left"/>
              <w:rPr>
                <w:b/>
                <w:noProof/>
                <w:sz w:val="18"/>
                <w:szCs w:val="18"/>
              </w:rPr>
            </w:pPr>
            <w:r>
              <w:rPr>
                <w:b/>
                <w:noProof/>
                <w:sz w:val="18"/>
                <w:szCs w:val="18"/>
              </w:rPr>
              <w:t>14 02 01 Union Civil Protection Mechanism Prevention and Preparedness</w:t>
            </w:r>
          </w:p>
        </w:tc>
        <w:tc>
          <w:tcPr>
            <w:tcW w:w="1701" w:type="dxa"/>
            <w:vAlign w:val="center"/>
          </w:tcPr>
          <w:p>
            <w:pPr>
              <w:spacing w:before="40" w:after="40"/>
              <w:jc w:val="left"/>
              <w:rPr>
                <w:noProof/>
                <w:sz w:val="18"/>
                <w:szCs w:val="18"/>
              </w:rPr>
            </w:pPr>
            <w:r>
              <w:rPr>
                <w:noProof/>
                <w:sz w:val="18"/>
                <w:szCs w:val="18"/>
              </w:rPr>
              <w:t>Commitments</w:t>
            </w:r>
          </w:p>
        </w:tc>
        <w:tc>
          <w:tcPr>
            <w:tcW w:w="709" w:type="dxa"/>
            <w:vAlign w:val="center"/>
          </w:tcPr>
          <w:p>
            <w:pPr>
              <w:spacing w:before="40" w:after="40"/>
              <w:jc w:val="center"/>
              <w:rPr>
                <w:noProof/>
                <w:sz w:val="18"/>
                <w:szCs w:val="18"/>
              </w:rPr>
            </w:pPr>
            <w:r>
              <w:rPr>
                <w:noProof/>
                <w:sz w:val="18"/>
                <w:szCs w:val="18"/>
              </w:rPr>
              <w:t>1</w:t>
            </w:r>
          </w:p>
        </w:tc>
        <w:tc>
          <w:tcPr>
            <w:tcW w:w="931" w:type="dxa"/>
            <w:vAlign w:val="center"/>
          </w:tcPr>
          <w:p>
            <w:pPr>
              <w:jc w:val="center"/>
              <w:rPr>
                <w:noProof/>
                <w:color w:val="000000" w:themeColor="text1"/>
                <w:sz w:val="20"/>
                <w:szCs w:val="20"/>
              </w:rPr>
            </w:pPr>
            <w:r>
              <w:rPr>
                <w:noProof/>
                <w:color w:val="000000" w:themeColor="text1"/>
                <w:sz w:val="20"/>
                <w:szCs w:val="20"/>
              </w:rPr>
              <w:t>165.464</w:t>
            </w:r>
          </w:p>
        </w:tc>
        <w:tc>
          <w:tcPr>
            <w:tcW w:w="931" w:type="dxa"/>
            <w:vAlign w:val="center"/>
          </w:tcPr>
          <w:p>
            <w:pPr>
              <w:jc w:val="center"/>
              <w:rPr>
                <w:noProof/>
                <w:color w:val="000000" w:themeColor="text1"/>
                <w:sz w:val="20"/>
                <w:szCs w:val="20"/>
              </w:rPr>
            </w:pPr>
            <w:r>
              <w:rPr>
                <w:noProof/>
                <w:color w:val="000000" w:themeColor="text1"/>
                <w:sz w:val="20"/>
                <w:szCs w:val="20"/>
              </w:rPr>
              <w:t>169.794</w:t>
            </w:r>
          </w:p>
        </w:tc>
        <w:tc>
          <w:tcPr>
            <w:tcW w:w="931" w:type="dxa"/>
            <w:vAlign w:val="center"/>
          </w:tcPr>
          <w:p>
            <w:pPr>
              <w:jc w:val="center"/>
              <w:rPr>
                <w:noProof/>
                <w:color w:val="000000" w:themeColor="text1"/>
                <w:sz w:val="20"/>
                <w:szCs w:val="20"/>
              </w:rPr>
            </w:pPr>
            <w:r>
              <w:rPr>
                <w:noProof/>
                <w:color w:val="000000" w:themeColor="text1"/>
                <w:sz w:val="20"/>
                <w:szCs w:val="20"/>
              </w:rPr>
              <w:t>173.189</w:t>
            </w:r>
          </w:p>
        </w:tc>
        <w:tc>
          <w:tcPr>
            <w:tcW w:w="931" w:type="dxa"/>
            <w:vAlign w:val="center"/>
          </w:tcPr>
          <w:p>
            <w:pPr>
              <w:jc w:val="center"/>
              <w:rPr>
                <w:noProof/>
                <w:color w:val="000000" w:themeColor="text1"/>
                <w:sz w:val="20"/>
                <w:szCs w:val="20"/>
              </w:rPr>
            </w:pPr>
            <w:r>
              <w:rPr>
                <w:noProof/>
                <w:color w:val="000000" w:themeColor="text1"/>
                <w:sz w:val="20"/>
                <w:szCs w:val="20"/>
              </w:rPr>
              <w:t>176.653</w:t>
            </w:r>
          </w:p>
        </w:tc>
        <w:tc>
          <w:tcPr>
            <w:tcW w:w="931" w:type="dxa"/>
            <w:vAlign w:val="center"/>
          </w:tcPr>
          <w:p>
            <w:pPr>
              <w:jc w:val="center"/>
              <w:rPr>
                <w:noProof/>
                <w:color w:val="000000" w:themeColor="text1"/>
                <w:sz w:val="20"/>
                <w:szCs w:val="20"/>
              </w:rPr>
            </w:pPr>
            <w:r>
              <w:rPr>
                <w:noProof/>
                <w:color w:val="000000" w:themeColor="text1"/>
                <w:sz w:val="20"/>
                <w:szCs w:val="20"/>
              </w:rPr>
              <w:t>180.186</w:t>
            </w:r>
          </w:p>
        </w:tc>
        <w:tc>
          <w:tcPr>
            <w:tcW w:w="931" w:type="dxa"/>
            <w:vAlign w:val="center"/>
          </w:tcPr>
          <w:p>
            <w:pPr>
              <w:jc w:val="center"/>
              <w:rPr>
                <w:noProof/>
                <w:color w:val="000000" w:themeColor="text1"/>
                <w:sz w:val="20"/>
                <w:szCs w:val="20"/>
              </w:rPr>
            </w:pPr>
            <w:r>
              <w:rPr>
                <w:noProof/>
                <w:color w:val="000000" w:themeColor="text1"/>
                <w:sz w:val="20"/>
                <w:szCs w:val="20"/>
              </w:rPr>
              <w:t>183.790</w:t>
            </w:r>
          </w:p>
        </w:tc>
        <w:tc>
          <w:tcPr>
            <w:tcW w:w="931" w:type="dxa"/>
            <w:vAlign w:val="center"/>
          </w:tcPr>
          <w:p>
            <w:pPr>
              <w:jc w:val="center"/>
              <w:rPr>
                <w:noProof/>
                <w:color w:val="000000" w:themeColor="text1"/>
                <w:sz w:val="20"/>
                <w:szCs w:val="20"/>
              </w:rPr>
            </w:pPr>
            <w:r>
              <w:rPr>
                <w:noProof/>
                <w:color w:val="000000" w:themeColor="text1"/>
                <w:sz w:val="20"/>
                <w:szCs w:val="20"/>
              </w:rPr>
              <w:t>187.368</w:t>
            </w:r>
          </w:p>
        </w:tc>
        <w:tc>
          <w:tcPr>
            <w:tcW w:w="931" w:type="dxa"/>
            <w:shd w:val="clear" w:color="auto" w:fill="A6A6A6"/>
            <w:vAlign w:val="center"/>
          </w:tcPr>
          <w:p>
            <w:pPr>
              <w:jc w:val="center"/>
              <w:rPr>
                <w:noProof/>
                <w:color w:val="000000" w:themeColor="text1"/>
                <w:sz w:val="20"/>
                <w:szCs w:val="20"/>
              </w:rPr>
            </w:pPr>
          </w:p>
        </w:tc>
        <w:tc>
          <w:tcPr>
            <w:tcW w:w="1057" w:type="dxa"/>
            <w:vAlign w:val="center"/>
          </w:tcPr>
          <w:p>
            <w:pPr>
              <w:spacing w:before="40" w:after="40"/>
              <w:jc w:val="center"/>
              <w:rPr>
                <w:b/>
                <w:noProof/>
                <w:color w:val="000000" w:themeColor="text1"/>
                <w:sz w:val="20"/>
                <w:szCs w:val="20"/>
              </w:rPr>
            </w:pPr>
            <w:r>
              <w:rPr>
                <w:b/>
                <w:noProof/>
                <w:color w:val="000000" w:themeColor="text1"/>
                <w:sz w:val="20"/>
                <w:szCs w:val="20"/>
              </w:rPr>
              <w:t>1 236.446</w:t>
            </w:r>
          </w:p>
        </w:tc>
      </w:tr>
      <w:tr>
        <w:trPr>
          <w:trHeight w:val="319"/>
          <w:jc w:val="center"/>
        </w:trPr>
        <w:tc>
          <w:tcPr>
            <w:tcW w:w="3023" w:type="dxa"/>
            <w:vAlign w:val="center"/>
          </w:tcPr>
          <w:p>
            <w:pPr>
              <w:spacing w:before="20" w:after="20"/>
              <w:jc w:val="left"/>
              <w:rPr>
                <w:noProof/>
                <w:sz w:val="18"/>
                <w:szCs w:val="18"/>
              </w:rPr>
            </w:pPr>
          </w:p>
        </w:tc>
        <w:tc>
          <w:tcPr>
            <w:tcW w:w="1701" w:type="dxa"/>
            <w:vAlign w:val="center"/>
          </w:tcPr>
          <w:p>
            <w:pPr>
              <w:spacing w:before="40" w:after="40"/>
              <w:jc w:val="left"/>
              <w:rPr>
                <w:noProof/>
                <w:sz w:val="18"/>
                <w:szCs w:val="18"/>
              </w:rPr>
            </w:pPr>
            <w:r>
              <w:rPr>
                <w:noProof/>
                <w:sz w:val="18"/>
                <w:szCs w:val="18"/>
              </w:rPr>
              <w:t>Payments</w:t>
            </w:r>
          </w:p>
        </w:tc>
        <w:tc>
          <w:tcPr>
            <w:tcW w:w="709" w:type="dxa"/>
            <w:vAlign w:val="center"/>
          </w:tcPr>
          <w:p>
            <w:pPr>
              <w:spacing w:before="40" w:after="40"/>
              <w:jc w:val="center"/>
              <w:rPr>
                <w:noProof/>
                <w:sz w:val="18"/>
                <w:szCs w:val="18"/>
              </w:rPr>
            </w:pPr>
            <w:r>
              <w:rPr>
                <w:noProof/>
                <w:sz w:val="18"/>
                <w:szCs w:val="18"/>
              </w:rPr>
              <w:t>2</w:t>
            </w:r>
          </w:p>
        </w:tc>
        <w:tc>
          <w:tcPr>
            <w:tcW w:w="931" w:type="dxa"/>
            <w:vAlign w:val="center"/>
          </w:tcPr>
          <w:p>
            <w:pPr>
              <w:jc w:val="center"/>
              <w:rPr>
                <w:noProof/>
                <w:color w:val="000000" w:themeColor="text1"/>
                <w:sz w:val="20"/>
                <w:szCs w:val="20"/>
              </w:rPr>
            </w:pPr>
            <w:r>
              <w:rPr>
                <w:noProof/>
                <w:color w:val="000000" w:themeColor="text1"/>
                <w:sz w:val="20"/>
                <w:szCs w:val="20"/>
              </w:rPr>
              <w:t>50.000</w:t>
            </w:r>
          </w:p>
        </w:tc>
        <w:tc>
          <w:tcPr>
            <w:tcW w:w="931" w:type="dxa"/>
            <w:vAlign w:val="center"/>
          </w:tcPr>
          <w:p>
            <w:pPr>
              <w:jc w:val="center"/>
              <w:rPr>
                <w:noProof/>
                <w:color w:val="000000" w:themeColor="text1"/>
                <w:sz w:val="20"/>
                <w:szCs w:val="20"/>
              </w:rPr>
            </w:pPr>
            <w:r>
              <w:rPr>
                <w:noProof/>
                <w:color w:val="000000" w:themeColor="text1"/>
                <w:sz w:val="20"/>
                <w:szCs w:val="20"/>
              </w:rPr>
              <w:t>92.272</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138.419</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164.867</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169.103</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172.994</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176.793</w:t>
            </w:r>
          </w:p>
        </w:tc>
        <w:tc>
          <w:tcPr>
            <w:tcW w:w="931" w:type="dxa"/>
            <w:shd w:val="clear" w:color="auto" w:fill="A6A6A6"/>
            <w:vAlign w:val="center"/>
          </w:tcPr>
          <w:p>
            <w:pPr>
              <w:spacing w:before="40" w:after="40"/>
              <w:jc w:val="center"/>
              <w:rPr>
                <w:b/>
                <w:noProof/>
                <w:color w:val="000000" w:themeColor="text1"/>
                <w:sz w:val="20"/>
                <w:szCs w:val="20"/>
                <w:highlight w:val="yellow"/>
              </w:rPr>
            </w:pPr>
            <w:r>
              <w:rPr>
                <w:noProof/>
                <w:color w:val="000000" w:themeColor="text1"/>
                <w:sz w:val="20"/>
                <w:szCs w:val="20"/>
              </w:rPr>
              <w:t>271.998</w:t>
            </w:r>
          </w:p>
        </w:tc>
        <w:tc>
          <w:tcPr>
            <w:tcW w:w="1057" w:type="dxa"/>
            <w:vAlign w:val="center"/>
          </w:tcPr>
          <w:p>
            <w:pPr>
              <w:spacing w:before="40" w:after="40"/>
              <w:jc w:val="center"/>
              <w:rPr>
                <w:b/>
                <w:noProof/>
                <w:color w:val="000000" w:themeColor="text1"/>
                <w:sz w:val="20"/>
                <w:szCs w:val="20"/>
              </w:rPr>
            </w:pPr>
            <w:r>
              <w:rPr>
                <w:noProof/>
                <w:color w:val="000000" w:themeColor="text1"/>
                <w:sz w:val="20"/>
                <w:szCs w:val="20"/>
              </w:rPr>
              <w:t>1 236.446</w:t>
            </w:r>
          </w:p>
        </w:tc>
      </w:tr>
      <w:tr>
        <w:trPr>
          <w:trHeight w:val="319"/>
          <w:jc w:val="center"/>
        </w:trPr>
        <w:tc>
          <w:tcPr>
            <w:tcW w:w="3023" w:type="dxa"/>
            <w:vAlign w:val="center"/>
          </w:tcPr>
          <w:p>
            <w:pPr>
              <w:spacing w:before="20" w:after="20"/>
              <w:jc w:val="left"/>
              <w:rPr>
                <w:noProof/>
                <w:sz w:val="18"/>
                <w:szCs w:val="18"/>
              </w:rPr>
            </w:pPr>
            <w:r>
              <w:rPr>
                <w:b/>
                <w:noProof/>
                <w:sz w:val="18"/>
                <w:szCs w:val="18"/>
              </w:rPr>
              <w:t>14 02 02 Union Civil Protection Mechanism Response</w:t>
            </w:r>
          </w:p>
        </w:tc>
        <w:tc>
          <w:tcPr>
            <w:tcW w:w="1701" w:type="dxa"/>
            <w:vAlign w:val="center"/>
          </w:tcPr>
          <w:p>
            <w:pPr>
              <w:spacing w:before="40" w:after="40"/>
              <w:jc w:val="left"/>
              <w:rPr>
                <w:noProof/>
                <w:sz w:val="18"/>
                <w:szCs w:val="18"/>
              </w:rPr>
            </w:pPr>
            <w:r>
              <w:rPr>
                <w:noProof/>
                <w:sz w:val="18"/>
                <w:szCs w:val="18"/>
              </w:rPr>
              <w:t>Commitments</w:t>
            </w:r>
          </w:p>
        </w:tc>
        <w:tc>
          <w:tcPr>
            <w:tcW w:w="709" w:type="dxa"/>
            <w:vAlign w:val="center"/>
          </w:tcPr>
          <w:p>
            <w:pPr>
              <w:spacing w:before="40" w:after="40"/>
              <w:jc w:val="center"/>
              <w:rPr>
                <w:noProof/>
                <w:sz w:val="18"/>
                <w:szCs w:val="18"/>
              </w:rPr>
            </w:pPr>
            <w:r>
              <w:rPr>
                <w:noProof/>
                <w:sz w:val="18"/>
                <w:szCs w:val="18"/>
              </w:rPr>
              <w:t>3</w:t>
            </w:r>
          </w:p>
        </w:tc>
        <w:tc>
          <w:tcPr>
            <w:tcW w:w="931" w:type="dxa"/>
            <w:vAlign w:val="center"/>
          </w:tcPr>
          <w:p>
            <w:pPr>
              <w:jc w:val="center"/>
              <w:rPr>
                <w:noProof/>
                <w:color w:val="000000" w:themeColor="text1"/>
                <w:sz w:val="20"/>
                <w:szCs w:val="20"/>
              </w:rPr>
            </w:pPr>
            <w:r>
              <w:rPr>
                <w:noProof/>
                <w:color w:val="000000" w:themeColor="text1"/>
                <w:sz w:val="20"/>
                <w:szCs w:val="20"/>
              </w:rPr>
              <w:t>22.000</w:t>
            </w:r>
          </w:p>
        </w:tc>
        <w:tc>
          <w:tcPr>
            <w:tcW w:w="931" w:type="dxa"/>
            <w:vAlign w:val="center"/>
          </w:tcPr>
          <w:p>
            <w:pPr>
              <w:jc w:val="center"/>
              <w:rPr>
                <w:noProof/>
                <w:color w:val="000000" w:themeColor="text1"/>
                <w:sz w:val="20"/>
                <w:szCs w:val="20"/>
              </w:rPr>
            </w:pPr>
            <w:r>
              <w:rPr>
                <w:noProof/>
                <w:color w:val="000000" w:themeColor="text1"/>
                <w:sz w:val="20"/>
                <w:szCs w:val="20"/>
              </w:rPr>
              <w:t>22.440</w:t>
            </w:r>
          </w:p>
        </w:tc>
        <w:tc>
          <w:tcPr>
            <w:tcW w:w="931" w:type="dxa"/>
            <w:vAlign w:val="center"/>
          </w:tcPr>
          <w:p>
            <w:pPr>
              <w:jc w:val="center"/>
              <w:rPr>
                <w:noProof/>
                <w:color w:val="000000" w:themeColor="text1"/>
                <w:sz w:val="20"/>
                <w:szCs w:val="20"/>
              </w:rPr>
            </w:pPr>
            <w:r>
              <w:rPr>
                <w:noProof/>
                <w:color w:val="000000" w:themeColor="text1"/>
                <w:sz w:val="20"/>
                <w:szCs w:val="20"/>
              </w:rPr>
              <w:t>22.889</w:t>
            </w:r>
          </w:p>
        </w:tc>
        <w:tc>
          <w:tcPr>
            <w:tcW w:w="931" w:type="dxa"/>
            <w:vAlign w:val="center"/>
          </w:tcPr>
          <w:p>
            <w:pPr>
              <w:jc w:val="center"/>
              <w:rPr>
                <w:noProof/>
                <w:color w:val="000000" w:themeColor="text1"/>
                <w:sz w:val="20"/>
                <w:szCs w:val="20"/>
              </w:rPr>
            </w:pPr>
            <w:r>
              <w:rPr>
                <w:noProof/>
                <w:color w:val="000000" w:themeColor="text1"/>
                <w:sz w:val="20"/>
                <w:szCs w:val="20"/>
              </w:rPr>
              <w:t>23.347</w:t>
            </w:r>
          </w:p>
        </w:tc>
        <w:tc>
          <w:tcPr>
            <w:tcW w:w="931" w:type="dxa"/>
            <w:vAlign w:val="center"/>
          </w:tcPr>
          <w:p>
            <w:pPr>
              <w:jc w:val="center"/>
              <w:rPr>
                <w:noProof/>
                <w:color w:val="000000" w:themeColor="text1"/>
                <w:sz w:val="20"/>
                <w:szCs w:val="20"/>
              </w:rPr>
            </w:pPr>
            <w:r>
              <w:rPr>
                <w:noProof/>
                <w:color w:val="000000" w:themeColor="text1"/>
                <w:sz w:val="20"/>
                <w:szCs w:val="20"/>
              </w:rPr>
              <w:t>23.814</w:t>
            </w:r>
          </w:p>
        </w:tc>
        <w:tc>
          <w:tcPr>
            <w:tcW w:w="931" w:type="dxa"/>
            <w:vAlign w:val="center"/>
          </w:tcPr>
          <w:p>
            <w:pPr>
              <w:jc w:val="center"/>
              <w:rPr>
                <w:noProof/>
                <w:color w:val="000000" w:themeColor="text1"/>
                <w:sz w:val="20"/>
                <w:szCs w:val="20"/>
              </w:rPr>
            </w:pPr>
            <w:r>
              <w:rPr>
                <w:noProof/>
                <w:color w:val="000000" w:themeColor="text1"/>
                <w:sz w:val="20"/>
                <w:szCs w:val="20"/>
              </w:rPr>
              <w:t>24.290</w:t>
            </w:r>
          </w:p>
        </w:tc>
        <w:tc>
          <w:tcPr>
            <w:tcW w:w="931" w:type="dxa"/>
            <w:vAlign w:val="center"/>
          </w:tcPr>
          <w:p>
            <w:pPr>
              <w:jc w:val="center"/>
              <w:rPr>
                <w:noProof/>
                <w:color w:val="000000" w:themeColor="text1"/>
                <w:sz w:val="20"/>
                <w:szCs w:val="20"/>
              </w:rPr>
            </w:pPr>
            <w:r>
              <w:rPr>
                <w:noProof/>
                <w:color w:val="000000" w:themeColor="text1"/>
                <w:sz w:val="20"/>
                <w:szCs w:val="20"/>
              </w:rPr>
              <w:t>24.776</w:t>
            </w:r>
          </w:p>
        </w:tc>
        <w:tc>
          <w:tcPr>
            <w:tcW w:w="931" w:type="dxa"/>
            <w:shd w:val="clear" w:color="auto" w:fill="A6A6A6"/>
            <w:vAlign w:val="center"/>
          </w:tcPr>
          <w:p>
            <w:pPr>
              <w:jc w:val="center"/>
              <w:rPr>
                <w:noProof/>
                <w:color w:val="000000" w:themeColor="text1"/>
                <w:sz w:val="20"/>
                <w:szCs w:val="20"/>
              </w:rPr>
            </w:pPr>
          </w:p>
        </w:tc>
        <w:tc>
          <w:tcPr>
            <w:tcW w:w="1057" w:type="dxa"/>
            <w:vAlign w:val="center"/>
          </w:tcPr>
          <w:p>
            <w:pPr>
              <w:spacing w:before="40" w:after="40"/>
              <w:jc w:val="center"/>
              <w:rPr>
                <w:b/>
                <w:noProof/>
                <w:color w:val="000000" w:themeColor="text1"/>
                <w:sz w:val="20"/>
                <w:szCs w:val="20"/>
              </w:rPr>
            </w:pPr>
            <w:r>
              <w:rPr>
                <w:b/>
                <w:noProof/>
                <w:color w:val="000000" w:themeColor="text1"/>
                <w:sz w:val="20"/>
                <w:szCs w:val="20"/>
              </w:rPr>
              <w:t>163.554</w:t>
            </w:r>
          </w:p>
        </w:tc>
      </w:tr>
      <w:tr>
        <w:trPr>
          <w:trHeight w:val="319"/>
          <w:jc w:val="center"/>
        </w:trPr>
        <w:tc>
          <w:tcPr>
            <w:tcW w:w="3023" w:type="dxa"/>
            <w:vAlign w:val="center"/>
          </w:tcPr>
          <w:p>
            <w:pPr>
              <w:spacing w:before="20" w:after="20"/>
              <w:jc w:val="left"/>
              <w:rPr>
                <w:noProof/>
                <w:sz w:val="18"/>
                <w:szCs w:val="18"/>
              </w:rPr>
            </w:pPr>
          </w:p>
        </w:tc>
        <w:tc>
          <w:tcPr>
            <w:tcW w:w="1701" w:type="dxa"/>
            <w:vAlign w:val="center"/>
          </w:tcPr>
          <w:p>
            <w:pPr>
              <w:spacing w:before="40" w:after="40"/>
              <w:jc w:val="left"/>
              <w:rPr>
                <w:noProof/>
                <w:sz w:val="18"/>
                <w:szCs w:val="18"/>
              </w:rPr>
            </w:pPr>
            <w:r>
              <w:rPr>
                <w:noProof/>
                <w:sz w:val="18"/>
                <w:szCs w:val="18"/>
              </w:rPr>
              <w:t>Payments</w:t>
            </w:r>
          </w:p>
        </w:tc>
        <w:tc>
          <w:tcPr>
            <w:tcW w:w="709" w:type="dxa"/>
            <w:vAlign w:val="center"/>
          </w:tcPr>
          <w:p>
            <w:pPr>
              <w:spacing w:before="40" w:after="40"/>
              <w:jc w:val="center"/>
              <w:rPr>
                <w:noProof/>
                <w:sz w:val="18"/>
                <w:szCs w:val="18"/>
              </w:rPr>
            </w:pPr>
            <w:r>
              <w:rPr>
                <w:noProof/>
                <w:sz w:val="18"/>
                <w:szCs w:val="18"/>
              </w:rPr>
              <w:t>4</w:t>
            </w:r>
          </w:p>
        </w:tc>
        <w:tc>
          <w:tcPr>
            <w:tcW w:w="931" w:type="dxa"/>
            <w:vAlign w:val="center"/>
          </w:tcPr>
          <w:p>
            <w:pPr>
              <w:spacing w:before="40" w:after="40"/>
              <w:jc w:val="center"/>
              <w:rPr>
                <w:noProof/>
                <w:color w:val="000000" w:themeColor="text1"/>
                <w:sz w:val="20"/>
                <w:szCs w:val="20"/>
              </w:rPr>
            </w:pPr>
            <w:r>
              <w:rPr>
                <w:noProof/>
                <w:color w:val="000000" w:themeColor="text1"/>
                <w:sz w:val="20"/>
                <w:szCs w:val="20"/>
              </w:rPr>
              <w:t>8.965</w:t>
            </w:r>
          </w:p>
        </w:tc>
        <w:tc>
          <w:tcPr>
            <w:tcW w:w="931" w:type="dxa"/>
            <w:vAlign w:val="center"/>
          </w:tcPr>
          <w:p>
            <w:pPr>
              <w:spacing w:before="40" w:after="40"/>
              <w:jc w:val="center"/>
              <w:rPr>
                <w:noProof/>
                <w:color w:val="000000" w:themeColor="text1"/>
                <w:sz w:val="20"/>
                <w:szCs w:val="20"/>
              </w:rPr>
            </w:pPr>
            <w:r>
              <w:rPr>
                <w:noProof/>
                <w:color w:val="000000" w:themeColor="text1"/>
                <w:sz w:val="20"/>
                <w:szCs w:val="20"/>
              </w:rPr>
              <w:t>17.000</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19.455</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19.845</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21.432</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21.861</w:t>
            </w:r>
          </w:p>
        </w:tc>
        <w:tc>
          <w:tcPr>
            <w:tcW w:w="931" w:type="dxa"/>
            <w:vAlign w:val="center"/>
          </w:tcPr>
          <w:p>
            <w:pPr>
              <w:spacing w:before="40" w:after="40"/>
              <w:jc w:val="center"/>
              <w:rPr>
                <w:b/>
                <w:noProof/>
                <w:color w:val="000000" w:themeColor="text1"/>
                <w:sz w:val="20"/>
                <w:szCs w:val="20"/>
              </w:rPr>
            </w:pPr>
            <w:r>
              <w:rPr>
                <w:noProof/>
                <w:color w:val="000000" w:themeColor="text1"/>
                <w:sz w:val="20"/>
                <w:szCs w:val="20"/>
              </w:rPr>
              <w:t>22.298</w:t>
            </w:r>
          </w:p>
        </w:tc>
        <w:tc>
          <w:tcPr>
            <w:tcW w:w="931" w:type="dxa"/>
            <w:shd w:val="clear" w:color="auto" w:fill="A6A6A6"/>
            <w:vAlign w:val="center"/>
          </w:tcPr>
          <w:p>
            <w:pPr>
              <w:spacing w:before="40" w:after="40"/>
              <w:jc w:val="center"/>
              <w:rPr>
                <w:b/>
                <w:noProof/>
                <w:color w:val="000000" w:themeColor="text1"/>
                <w:sz w:val="20"/>
                <w:szCs w:val="20"/>
                <w:highlight w:val="yellow"/>
              </w:rPr>
            </w:pPr>
            <w:r>
              <w:rPr>
                <w:noProof/>
                <w:color w:val="000000" w:themeColor="text1"/>
                <w:sz w:val="20"/>
                <w:szCs w:val="20"/>
              </w:rPr>
              <w:t>32.698</w:t>
            </w:r>
          </w:p>
        </w:tc>
        <w:tc>
          <w:tcPr>
            <w:tcW w:w="1057" w:type="dxa"/>
            <w:vAlign w:val="center"/>
          </w:tcPr>
          <w:p>
            <w:pPr>
              <w:spacing w:before="40" w:after="40"/>
              <w:jc w:val="center"/>
              <w:rPr>
                <w:b/>
                <w:noProof/>
                <w:color w:val="000000" w:themeColor="text1"/>
                <w:sz w:val="20"/>
                <w:szCs w:val="20"/>
              </w:rPr>
            </w:pPr>
            <w:r>
              <w:rPr>
                <w:noProof/>
                <w:color w:val="000000" w:themeColor="text1"/>
                <w:sz w:val="20"/>
                <w:szCs w:val="20"/>
              </w:rPr>
              <w:t>163.554</w:t>
            </w:r>
          </w:p>
        </w:tc>
      </w:tr>
      <w:tr>
        <w:trPr>
          <w:jc w:val="center"/>
        </w:trPr>
        <w:tc>
          <w:tcPr>
            <w:tcW w:w="3023" w:type="dxa"/>
            <w:vMerge w:val="restart"/>
            <w:vAlign w:val="center"/>
          </w:tcPr>
          <w:p>
            <w:pPr>
              <w:jc w:val="left"/>
              <w:rPr>
                <w:b/>
                <w:noProof/>
                <w:sz w:val="18"/>
                <w:szCs w:val="18"/>
              </w:rPr>
            </w:pPr>
            <w:r>
              <w:rPr>
                <w:b/>
                <w:noProof/>
                <w:sz w:val="18"/>
                <w:szCs w:val="18"/>
              </w:rPr>
              <w:t>TOTAL appropriations for the envelope of the programme</w:t>
            </w:r>
          </w:p>
        </w:tc>
        <w:tc>
          <w:tcPr>
            <w:tcW w:w="1701" w:type="dxa"/>
            <w:vAlign w:val="center"/>
          </w:tcPr>
          <w:p>
            <w:pPr>
              <w:jc w:val="left"/>
              <w:rPr>
                <w:noProof/>
                <w:sz w:val="18"/>
                <w:szCs w:val="18"/>
              </w:rPr>
            </w:pPr>
            <w:r>
              <w:rPr>
                <w:noProof/>
                <w:sz w:val="18"/>
                <w:szCs w:val="18"/>
              </w:rPr>
              <w:t>Commitments</w:t>
            </w:r>
          </w:p>
        </w:tc>
        <w:tc>
          <w:tcPr>
            <w:tcW w:w="709" w:type="dxa"/>
            <w:vAlign w:val="center"/>
          </w:tcPr>
          <w:p>
            <w:pPr>
              <w:jc w:val="center"/>
              <w:rPr>
                <w:noProof/>
                <w:sz w:val="18"/>
                <w:szCs w:val="18"/>
              </w:rPr>
            </w:pPr>
            <w:r>
              <w:rPr>
                <w:noProof/>
                <w:sz w:val="18"/>
                <w:szCs w:val="18"/>
              </w:rPr>
              <w:t>=1+3</w:t>
            </w:r>
          </w:p>
        </w:tc>
        <w:tc>
          <w:tcPr>
            <w:tcW w:w="931" w:type="dxa"/>
            <w:vAlign w:val="center"/>
          </w:tcPr>
          <w:p>
            <w:pPr>
              <w:spacing w:before="20" w:after="20"/>
              <w:jc w:val="center"/>
              <w:rPr>
                <w:noProof/>
                <w:color w:val="000000" w:themeColor="text1"/>
                <w:sz w:val="20"/>
                <w:szCs w:val="20"/>
              </w:rPr>
            </w:pPr>
            <w:r>
              <w:rPr>
                <w:b/>
                <w:noProof/>
                <w:color w:val="000000" w:themeColor="text1"/>
                <w:sz w:val="20"/>
                <w:szCs w:val="20"/>
              </w:rPr>
              <w:t>187.464</w:t>
            </w:r>
          </w:p>
        </w:tc>
        <w:tc>
          <w:tcPr>
            <w:tcW w:w="931" w:type="dxa"/>
            <w:vAlign w:val="center"/>
          </w:tcPr>
          <w:p>
            <w:pPr>
              <w:spacing w:before="20" w:after="20"/>
              <w:jc w:val="center"/>
              <w:rPr>
                <w:noProof/>
                <w:color w:val="000000" w:themeColor="text1"/>
                <w:sz w:val="20"/>
                <w:szCs w:val="20"/>
              </w:rPr>
            </w:pPr>
            <w:r>
              <w:rPr>
                <w:b/>
                <w:noProof/>
                <w:color w:val="000000" w:themeColor="text1"/>
                <w:sz w:val="20"/>
                <w:szCs w:val="20"/>
              </w:rPr>
              <w:t>192.234</w:t>
            </w:r>
          </w:p>
        </w:tc>
        <w:tc>
          <w:tcPr>
            <w:tcW w:w="931" w:type="dxa"/>
            <w:vAlign w:val="center"/>
          </w:tcPr>
          <w:p>
            <w:pPr>
              <w:spacing w:before="20" w:after="20"/>
              <w:jc w:val="center"/>
              <w:rPr>
                <w:noProof/>
                <w:color w:val="000000" w:themeColor="text1"/>
                <w:sz w:val="20"/>
                <w:szCs w:val="20"/>
              </w:rPr>
            </w:pPr>
            <w:r>
              <w:rPr>
                <w:b/>
                <w:noProof/>
                <w:color w:val="000000" w:themeColor="text1"/>
                <w:sz w:val="20"/>
                <w:szCs w:val="20"/>
              </w:rPr>
              <w:t>196.078</w:t>
            </w:r>
          </w:p>
        </w:tc>
        <w:tc>
          <w:tcPr>
            <w:tcW w:w="931" w:type="dxa"/>
            <w:vAlign w:val="center"/>
          </w:tcPr>
          <w:p>
            <w:pPr>
              <w:spacing w:before="20" w:after="20"/>
              <w:jc w:val="center"/>
              <w:rPr>
                <w:noProof/>
                <w:color w:val="000000" w:themeColor="text1"/>
                <w:sz w:val="20"/>
                <w:szCs w:val="20"/>
              </w:rPr>
            </w:pPr>
            <w:r>
              <w:rPr>
                <w:b/>
                <w:noProof/>
                <w:color w:val="000000" w:themeColor="text1"/>
                <w:sz w:val="20"/>
                <w:szCs w:val="20"/>
              </w:rPr>
              <w:t>200.000</w:t>
            </w:r>
          </w:p>
        </w:tc>
        <w:tc>
          <w:tcPr>
            <w:tcW w:w="931" w:type="dxa"/>
            <w:vAlign w:val="center"/>
          </w:tcPr>
          <w:p>
            <w:pPr>
              <w:spacing w:before="20" w:after="20"/>
              <w:jc w:val="center"/>
              <w:rPr>
                <w:noProof/>
                <w:color w:val="000000" w:themeColor="text1"/>
                <w:sz w:val="20"/>
                <w:szCs w:val="20"/>
              </w:rPr>
            </w:pPr>
            <w:r>
              <w:rPr>
                <w:b/>
                <w:noProof/>
                <w:color w:val="000000" w:themeColor="text1"/>
                <w:sz w:val="20"/>
                <w:szCs w:val="20"/>
              </w:rPr>
              <w:t>204.000</w:t>
            </w:r>
          </w:p>
        </w:tc>
        <w:tc>
          <w:tcPr>
            <w:tcW w:w="931" w:type="dxa"/>
            <w:vAlign w:val="center"/>
          </w:tcPr>
          <w:p>
            <w:pPr>
              <w:spacing w:before="20" w:after="20"/>
              <w:jc w:val="center"/>
              <w:rPr>
                <w:noProof/>
                <w:color w:val="000000" w:themeColor="text1"/>
                <w:sz w:val="20"/>
                <w:szCs w:val="20"/>
              </w:rPr>
            </w:pPr>
            <w:r>
              <w:rPr>
                <w:b/>
                <w:noProof/>
                <w:color w:val="000000" w:themeColor="text1"/>
                <w:sz w:val="20"/>
                <w:szCs w:val="20"/>
              </w:rPr>
              <w:t>208.080</w:t>
            </w:r>
          </w:p>
        </w:tc>
        <w:tc>
          <w:tcPr>
            <w:tcW w:w="931" w:type="dxa"/>
            <w:vAlign w:val="center"/>
          </w:tcPr>
          <w:p>
            <w:pPr>
              <w:spacing w:before="20" w:after="20"/>
              <w:jc w:val="center"/>
              <w:rPr>
                <w:b/>
                <w:noProof/>
                <w:color w:val="000000" w:themeColor="text1"/>
                <w:sz w:val="20"/>
                <w:szCs w:val="20"/>
              </w:rPr>
            </w:pPr>
            <w:r>
              <w:rPr>
                <w:b/>
                <w:noProof/>
                <w:color w:val="000000" w:themeColor="text1"/>
                <w:sz w:val="20"/>
                <w:szCs w:val="20"/>
              </w:rPr>
              <w:t>212.144</w:t>
            </w:r>
          </w:p>
        </w:tc>
        <w:tc>
          <w:tcPr>
            <w:tcW w:w="931" w:type="dxa"/>
            <w:shd w:val="clear" w:color="auto" w:fill="A6A6A6"/>
            <w:vAlign w:val="center"/>
          </w:tcPr>
          <w:p>
            <w:pPr>
              <w:spacing w:before="20" w:after="20"/>
              <w:jc w:val="center"/>
              <w:rPr>
                <w:b/>
                <w:noProof/>
                <w:color w:val="000000" w:themeColor="text1"/>
                <w:sz w:val="20"/>
                <w:szCs w:val="20"/>
              </w:rPr>
            </w:pPr>
          </w:p>
        </w:tc>
        <w:tc>
          <w:tcPr>
            <w:tcW w:w="1057" w:type="dxa"/>
            <w:vAlign w:val="center"/>
          </w:tcPr>
          <w:p>
            <w:pPr>
              <w:spacing w:before="20" w:after="20"/>
              <w:jc w:val="center"/>
              <w:rPr>
                <w:b/>
                <w:noProof/>
                <w:color w:val="000000" w:themeColor="text1"/>
                <w:sz w:val="20"/>
                <w:szCs w:val="20"/>
              </w:rPr>
            </w:pPr>
            <w:r>
              <w:rPr>
                <w:b/>
                <w:noProof/>
                <w:color w:val="000000" w:themeColor="text1"/>
                <w:sz w:val="20"/>
                <w:szCs w:val="20"/>
              </w:rPr>
              <w:t>1 400.000</w:t>
            </w:r>
          </w:p>
        </w:tc>
      </w:tr>
      <w:tr>
        <w:trPr>
          <w:jc w:val="center"/>
        </w:trPr>
        <w:tc>
          <w:tcPr>
            <w:tcW w:w="3023" w:type="dxa"/>
            <w:vMerge/>
            <w:vAlign w:val="center"/>
          </w:tcPr>
          <w:p>
            <w:pPr>
              <w:jc w:val="center"/>
              <w:rPr>
                <w:noProof/>
                <w:sz w:val="18"/>
                <w:szCs w:val="18"/>
              </w:rPr>
            </w:pPr>
          </w:p>
        </w:tc>
        <w:tc>
          <w:tcPr>
            <w:tcW w:w="1701" w:type="dxa"/>
            <w:vAlign w:val="center"/>
          </w:tcPr>
          <w:p>
            <w:pPr>
              <w:jc w:val="left"/>
              <w:rPr>
                <w:noProof/>
                <w:sz w:val="18"/>
                <w:szCs w:val="18"/>
              </w:rPr>
            </w:pPr>
            <w:r>
              <w:rPr>
                <w:noProof/>
                <w:sz w:val="18"/>
                <w:szCs w:val="18"/>
              </w:rPr>
              <w:t>Payments</w:t>
            </w:r>
          </w:p>
        </w:tc>
        <w:tc>
          <w:tcPr>
            <w:tcW w:w="709" w:type="dxa"/>
            <w:vAlign w:val="center"/>
          </w:tcPr>
          <w:p>
            <w:pPr>
              <w:jc w:val="center"/>
              <w:rPr>
                <w:noProof/>
                <w:sz w:val="18"/>
                <w:szCs w:val="18"/>
              </w:rPr>
            </w:pPr>
            <w:r>
              <w:rPr>
                <w:noProof/>
                <w:sz w:val="18"/>
                <w:szCs w:val="18"/>
              </w:rPr>
              <w:t>=2+4</w:t>
            </w:r>
          </w:p>
        </w:tc>
        <w:tc>
          <w:tcPr>
            <w:tcW w:w="931" w:type="dxa"/>
            <w:vAlign w:val="center"/>
          </w:tcPr>
          <w:p>
            <w:pPr>
              <w:spacing w:before="20" w:after="20"/>
              <w:jc w:val="center"/>
              <w:rPr>
                <w:noProof/>
                <w:color w:val="000000" w:themeColor="text1"/>
                <w:sz w:val="20"/>
                <w:szCs w:val="20"/>
              </w:rPr>
            </w:pPr>
            <w:r>
              <w:rPr>
                <w:bCs/>
                <w:noProof/>
                <w:color w:val="000000" w:themeColor="text1"/>
                <w:sz w:val="20"/>
                <w:szCs w:val="20"/>
              </w:rPr>
              <w:t>58.965</w:t>
            </w:r>
          </w:p>
        </w:tc>
        <w:tc>
          <w:tcPr>
            <w:tcW w:w="931" w:type="dxa"/>
            <w:vAlign w:val="center"/>
          </w:tcPr>
          <w:p>
            <w:pPr>
              <w:spacing w:before="20" w:after="20"/>
              <w:jc w:val="center"/>
              <w:rPr>
                <w:noProof/>
                <w:color w:val="000000" w:themeColor="text1"/>
                <w:sz w:val="20"/>
                <w:szCs w:val="20"/>
              </w:rPr>
            </w:pPr>
            <w:r>
              <w:rPr>
                <w:bCs/>
                <w:noProof/>
                <w:color w:val="000000" w:themeColor="text1"/>
                <w:sz w:val="20"/>
                <w:szCs w:val="20"/>
              </w:rPr>
              <w:t>109.272</w:t>
            </w:r>
          </w:p>
        </w:tc>
        <w:tc>
          <w:tcPr>
            <w:tcW w:w="931" w:type="dxa"/>
            <w:vAlign w:val="center"/>
          </w:tcPr>
          <w:p>
            <w:pPr>
              <w:spacing w:before="20" w:after="20"/>
              <w:jc w:val="center"/>
              <w:rPr>
                <w:noProof/>
                <w:color w:val="000000" w:themeColor="text1"/>
                <w:sz w:val="20"/>
                <w:szCs w:val="20"/>
              </w:rPr>
            </w:pPr>
            <w:r>
              <w:rPr>
                <w:noProof/>
                <w:color w:val="000000" w:themeColor="text1"/>
                <w:sz w:val="20"/>
                <w:szCs w:val="20"/>
              </w:rPr>
              <w:t>157.874</w:t>
            </w:r>
          </w:p>
        </w:tc>
        <w:tc>
          <w:tcPr>
            <w:tcW w:w="931" w:type="dxa"/>
            <w:vAlign w:val="center"/>
          </w:tcPr>
          <w:p>
            <w:pPr>
              <w:spacing w:before="20" w:after="20"/>
              <w:jc w:val="center"/>
              <w:rPr>
                <w:noProof/>
                <w:color w:val="000000" w:themeColor="text1"/>
                <w:sz w:val="20"/>
                <w:szCs w:val="20"/>
              </w:rPr>
            </w:pPr>
            <w:r>
              <w:rPr>
                <w:noProof/>
                <w:color w:val="000000" w:themeColor="text1"/>
                <w:sz w:val="20"/>
                <w:szCs w:val="20"/>
              </w:rPr>
              <w:t>184.712</w:t>
            </w:r>
          </w:p>
        </w:tc>
        <w:tc>
          <w:tcPr>
            <w:tcW w:w="931" w:type="dxa"/>
            <w:vAlign w:val="center"/>
          </w:tcPr>
          <w:p>
            <w:pPr>
              <w:spacing w:before="20" w:after="20"/>
              <w:jc w:val="center"/>
              <w:rPr>
                <w:noProof/>
                <w:color w:val="000000" w:themeColor="text1"/>
                <w:sz w:val="20"/>
                <w:szCs w:val="20"/>
              </w:rPr>
            </w:pPr>
            <w:r>
              <w:rPr>
                <w:noProof/>
                <w:color w:val="000000" w:themeColor="text1"/>
                <w:sz w:val="20"/>
                <w:szCs w:val="20"/>
              </w:rPr>
              <w:t>190.535</w:t>
            </w:r>
          </w:p>
        </w:tc>
        <w:tc>
          <w:tcPr>
            <w:tcW w:w="931" w:type="dxa"/>
            <w:vAlign w:val="center"/>
          </w:tcPr>
          <w:p>
            <w:pPr>
              <w:spacing w:before="20" w:after="20"/>
              <w:jc w:val="center"/>
              <w:rPr>
                <w:noProof/>
                <w:color w:val="000000" w:themeColor="text1"/>
                <w:sz w:val="20"/>
                <w:szCs w:val="20"/>
              </w:rPr>
            </w:pPr>
            <w:r>
              <w:rPr>
                <w:noProof/>
                <w:color w:val="000000" w:themeColor="text1"/>
                <w:sz w:val="20"/>
                <w:szCs w:val="20"/>
              </w:rPr>
              <w:t>194.855</w:t>
            </w:r>
          </w:p>
        </w:tc>
        <w:tc>
          <w:tcPr>
            <w:tcW w:w="931" w:type="dxa"/>
            <w:vAlign w:val="center"/>
          </w:tcPr>
          <w:p>
            <w:pPr>
              <w:spacing w:before="20" w:after="20"/>
              <w:jc w:val="center"/>
              <w:rPr>
                <w:noProof/>
                <w:color w:val="000000" w:themeColor="text1"/>
                <w:sz w:val="20"/>
                <w:szCs w:val="20"/>
              </w:rPr>
            </w:pPr>
            <w:r>
              <w:rPr>
                <w:noProof/>
                <w:color w:val="000000" w:themeColor="text1"/>
                <w:sz w:val="20"/>
                <w:szCs w:val="20"/>
              </w:rPr>
              <w:t>199.091</w:t>
            </w:r>
          </w:p>
        </w:tc>
        <w:tc>
          <w:tcPr>
            <w:tcW w:w="931" w:type="dxa"/>
            <w:vAlign w:val="center"/>
          </w:tcPr>
          <w:p>
            <w:pPr>
              <w:spacing w:before="20" w:after="20"/>
              <w:jc w:val="center"/>
              <w:rPr>
                <w:noProof/>
                <w:color w:val="000000" w:themeColor="text1"/>
                <w:sz w:val="20"/>
                <w:szCs w:val="20"/>
              </w:rPr>
            </w:pPr>
            <w:r>
              <w:rPr>
                <w:b/>
                <w:bCs/>
                <w:noProof/>
                <w:color w:val="000000" w:themeColor="text1"/>
                <w:sz w:val="20"/>
                <w:szCs w:val="20"/>
              </w:rPr>
              <w:t>304.696</w:t>
            </w:r>
          </w:p>
        </w:tc>
        <w:tc>
          <w:tcPr>
            <w:tcW w:w="1057" w:type="dxa"/>
            <w:vAlign w:val="center"/>
          </w:tcPr>
          <w:p>
            <w:pPr>
              <w:spacing w:before="20" w:after="20"/>
              <w:jc w:val="center"/>
              <w:rPr>
                <w:noProof/>
                <w:color w:val="000000" w:themeColor="text1"/>
                <w:sz w:val="20"/>
                <w:szCs w:val="20"/>
              </w:rPr>
            </w:pPr>
            <w:r>
              <w:rPr>
                <w:b/>
                <w:bCs/>
                <w:noProof/>
                <w:color w:val="000000" w:themeColor="text1"/>
                <w:sz w:val="20"/>
                <w:szCs w:val="20"/>
              </w:rPr>
              <w:t>1 400.000</w:t>
            </w:r>
          </w:p>
        </w:tc>
      </w:tr>
    </w:tbl>
    <w:p>
      <w:pPr>
        <w:rPr>
          <w:noProof/>
        </w:rPr>
      </w:pPr>
    </w:p>
    <w:p>
      <w:pPr>
        <w:spacing w:before="0" w:after="200" w:line="276" w:lineRule="auto"/>
        <w:jc w:val="left"/>
        <w:rPr>
          <w:noProof/>
        </w:rPr>
      </w:pPr>
      <w:r>
        <w:rPr>
          <w:noProof/>
        </w:rPr>
        <w:br w:type="page"/>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312"/>
        <w:gridCol w:w="7956"/>
      </w:tblGrid>
      <w:tr>
        <w:trPr>
          <w:jc w:val="center"/>
        </w:trPr>
        <w:tc>
          <w:tcPr>
            <w:tcW w:w="4744" w:type="dxa"/>
            <w:shd w:val="thinDiagStripe" w:color="C0C0C0" w:fill="auto"/>
            <w:vAlign w:val="center"/>
          </w:tcPr>
          <w:p>
            <w:pPr>
              <w:spacing w:before="60" w:after="60"/>
              <w:jc w:val="center"/>
              <w:rPr>
                <w:b/>
                <w:noProof/>
                <w:sz w:val="20"/>
                <w:szCs w:val="20"/>
              </w:rPr>
            </w:pPr>
            <w:r>
              <w:rPr>
                <w:noProof/>
                <w:sz w:val="20"/>
                <w:szCs w:val="20"/>
              </w:rPr>
              <w:br w:type="page"/>
            </w:r>
            <w:r>
              <w:rPr>
                <w:b/>
                <w:noProof/>
                <w:sz w:val="20"/>
                <w:szCs w:val="20"/>
              </w:rPr>
              <w:t xml:space="preserve">Heading of multiannual financial </w:t>
            </w:r>
            <w:r>
              <w:rPr>
                <w:noProof/>
                <w:sz w:val="20"/>
                <w:szCs w:val="20"/>
              </w:rPr>
              <w:br/>
            </w:r>
            <w:r>
              <w:rPr>
                <w:b/>
                <w:noProof/>
                <w:sz w:val="20"/>
                <w:szCs w:val="20"/>
              </w:rPr>
              <w:t xml:space="preserve">framework </w:t>
            </w:r>
          </w:p>
        </w:tc>
        <w:tc>
          <w:tcPr>
            <w:tcW w:w="1312" w:type="dxa"/>
            <w:shd w:val="thinDiagStripe" w:color="C0C0C0" w:fill="auto"/>
            <w:vAlign w:val="center"/>
          </w:tcPr>
          <w:p>
            <w:pPr>
              <w:spacing w:before="60" w:after="60"/>
              <w:jc w:val="center"/>
              <w:rPr>
                <w:noProof/>
                <w:sz w:val="20"/>
                <w:szCs w:val="20"/>
              </w:rPr>
            </w:pPr>
            <w:r>
              <w:rPr>
                <w:noProof/>
                <w:sz w:val="20"/>
                <w:szCs w:val="20"/>
              </w:rPr>
              <w:t>7</w:t>
            </w:r>
          </w:p>
        </w:tc>
        <w:tc>
          <w:tcPr>
            <w:tcW w:w="7956" w:type="dxa"/>
            <w:vAlign w:val="center"/>
          </w:tcPr>
          <w:p>
            <w:pPr>
              <w:spacing w:before="60" w:after="60"/>
              <w:rPr>
                <w:noProof/>
                <w:sz w:val="20"/>
                <w:szCs w:val="20"/>
              </w:rPr>
            </w:pPr>
            <w:r>
              <w:rPr>
                <w:noProof/>
                <w:sz w:val="20"/>
                <w:szCs w:val="20"/>
              </w:rPr>
              <w:t>‘Administrative expenditure’</w:t>
            </w:r>
          </w:p>
        </w:tc>
      </w:tr>
    </w:tbl>
    <w:p>
      <w:pPr>
        <w:jc w:val="right"/>
        <w:rPr>
          <w:noProof/>
          <w:sz w:val="20"/>
          <w:szCs w:val="20"/>
        </w:rPr>
      </w:pPr>
    </w:p>
    <w:p>
      <w:pPr>
        <w:jc w:val="right"/>
        <w:rPr>
          <w:noProof/>
          <w:sz w:val="20"/>
          <w:szCs w:val="20"/>
        </w:rPr>
      </w:pPr>
      <w:r>
        <w:rPr>
          <w:noProof/>
          <w:sz w:val="20"/>
          <w:szCs w:val="20"/>
        </w:rPr>
        <w:t>EUR million (to three decimal places)</w:t>
      </w:r>
    </w:p>
    <w:tbl>
      <w:tblPr>
        <w:tblW w:w="14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964"/>
      </w:tblGrid>
      <w:tr>
        <w:trPr>
          <w:jc w:val="center"/>
        </w:trPr>
        <w:tc>
          <w:tcPr>
            <w:tcW w:w="6245" w:type="dxa"/>
            <w:gridSpan w:val="2"/>
            <w:tcBorders>
              <w:top w:val="nil"/>
              <w:left w:val="nil"/>
            </w:tcBorders>
            <w:vAlign w:val="center"/>
          </w:tcPr>
          <w:p>
            <w:pPr>
              <w:jc w:val="center"/>
              <w:rPr>
                <w:noProof/>
                <w:sz w:val="20"/>
                <w:szCs w:val="20"/>
              </w:rPr>
            </w:pPr>
          </w:p>
        </w:tc>
        <w:tc>
          <w:tcPr>
            <w:tcW w:w="868" w:type="dxa"/>
            <w:vAlign w:val="center"/>
          </w:tcPr>
          <w:p>
            <w:pPr>
              <w:jc w:val="center"/>
              <w:rPr>
                <w:b/>
                <w:noProof/>
                <w:sz w:val="20"/>
                <w:szCs w:val="20"/>
              </w:rPr>
            </w:pPr>
            <w:r>
              <w:rPr>
                <w:b/>
                <w:noProof/>
                <w:sz w:val="20"/>
                <w:szCs w:val="20"/>
              </w:rPr>
              <w:t>2021</w:t>
            </w:r>
          </w:p>
        </w:tc>
        <w:tc>
          <w:tcPr>
            <w:tcW w:w="868" w:type="dxa"/>
            <w:vAlign w:val="center"/>
          </w:tcPr>
          <w:p>
            <w:pPr>
              <w:jc w:val="center"/>
              <w:rPr>
                <w:b/>
                <w:noProof/>
                <w:sz w:val="20"/>
                <w:szCs w:val="20"/>
              </w:rPr>
            </w:pPr>
            <w:r>
              <w:rPr>
                <w:b/>
                <w:noProof/>
                <w:sz w:val="20"/>
                <w:szCs w:val="20"/>
              </w:rPr>
              <w:t>2022</w:t>
            </w:r>
          </w:p>
        </w:tc>
        <w:tc>
          <w:tcPr>
            <w:tcW w:w="868" w:type="dxa"/>
            <w:vAlign w:val="center"/>
          </w:tcPr>
          <w:p>
            <w:pPr>
              <w:jc w:val="center"/>
              <w:rPr>
                <w:b/>
                <w:noProof/>
                <w:sz w:val="20"/>
                <w:szCs w:val="20"/>
              </w:rPr>
            </w:pPr>
            <w:r>
              <w:rPr>
                <w:b/>
                <w:noProof/>
                <w:sz w:val="20"/>
                <w:szCs w:val="20"/>
              </w:rPr>
              <w:t>2023</w:t>
            </w:r>
          </w:p>
        </w:tc>
        <w:tc>
          <w:tcPr>
            <w:tcW w:w="868" w:type="dxa"/>
            <w:vAlign w:val="center"/>
          </w:tcPr>
          <w:p>
            <w:pPr>
              <w:jc w:val="center"/>
              <w:rPr>
                <w:b/>
                <w:noProof/>
                <w:sz w:val="20"/>
                <w:szCs w:val="20"/>
              </w:rPr>
            </w:pPr>
            <w:r>
              <w:rPr>
                <w:b/>
                <w:noProof/>
                <w:sz w:val="20"/>
                <w:szCs w:val="20"/>
              </w:rPr>
              <w:t>2024</w:t>
            </w:r>
          </w:p>
        </w:tc>
        <w:tc>
          <w:tcPr>
            <w:tcW w:w="868" w:type="dxa"/>
            <w:vAlign w:val="center"/>
          </w:tcPr>
          <w:p>
            <w:pPr>
              <w:jc w:val="center"/>
              <w:rPr>
                <w:b/>
                <w:noProof/>
                <w:sz w:val="20"/>
                <w:szCs w:val="20"/>
              </w:rPr>
            </w:pPr>
            <w:r>
              <w:rPr>
                <w:b/>
                <w:noProof/>
                <w:sz w:val="20"/>
                <w:szCs w:val="20"/>
              </w:rPr>
              <w:t>2025</w:t>
            </w:r>
          </w:p>
        </w:tc>
        <w:tc>
          <w:tcPr>
            <w:tcW w:w="868" w:type="dxa"/>
            <w:vAlign w:val="center"/>
          </w:tcPr>
          <w:p>
            <w:pPr>
              <w:jc w:val="center"/>
              <w:rPr>
                <w:b/>
                <w:noProof/>
                <w:sz w:val="20"/>
                <w:szCs w:val="20"/>
              </w:rPr>
            </w:pPr>
            <w:r>
              <w:rPr>
                <w:b/>
                <w:noProof/>
                <w:sz w:val="20"/>
                <w:szCs w:val="20"/>
              </w:rPr>
              <w:t>2026</w:t>
            </w:r>
          </w:p>
        </w:tc>
        <w:tc>
          <w:tcPr>
            <w:tcW w:w="868" w:type="dxa"/>
            <w:vAlign w:val="center"/>
          </w:tcPr>
          <w:p>
            <w:pPr>
              <w:jc w:val="center"/>
              <w:rPr>
                <w:b/>
                <w:noProof/>
                <w:sz w:val="20"/>
                <w:szCs w:val="20"/>
              </w:rPr>
            </w:pPr>
            <w:r>
              <w:rPr>
                <w:b/>
                <w:noProof/>
                <w:sz w:val="20"/>
                <w:szCs w:val="20"/>
              </w:rPr>
              <w:t>2027</w:t>
            </w:r>
          </w:p>
        </w:tc>
        <w:tc>
          <w:tcPr>
            <w:tcW w:w="887" w:type="dxa"/>
          </w:tcPr>
          <w:p>
            <w:pPr>
              <w:jc w:val="center"/>
              <w:rPr>
                <w:b/>
                <w:noProof/>
                <w:sz w:val="20"/>
                <w:szCs w:val="20"/>
              </w:rPr>
            </w:pPr>
            <w:r>
              <w:rPr>
                <w:b/>
                <w:i/>
                <w:noProof/>
                <w:sz w:val="20"/>
                <w:szCs w:val="20"/>
              </w:rPr>
              <w:t>Post 2027</w:t>
            </w:r>
          </w:p>
        </w:tc>
        <w:tc>
          <w:tcPr>
            <w:tcW w:w="964" w:type="dxa"/>
            <w:vAlign w:val="center"/>
          </w:tcPr>
          <w:p>
            <w:pPr>
              <w:jc w:val="center"/>
              <w:rPr>
                <w:b/>
                <w:noProof/>
                <w:sz w:val="20"/>
                <w:szCs w:val="20"/>
              </w:rPr>
            </w:pPr>
            <w:r>
              <w:rPr>
                <w:b/>
                <w:noProof/>
                <w:sz w:val="20"/>
                <w:szCs w:val="20"/>
              </w:rPr>
              <w:t>TOTAL</w:t>
            </w:r>
          </w:p>
        </w:tc>
      </w:tr>
      <w:tr>
        <w:trPr>
          <w:trHeight w:val="313"/>
          <w:jc w:val="center"/>
        </w:trPr>
        <w:tc>
          <w:tcPr>
            <w:tcW w:w="6245" w:type="dxa"/>
            <w:gridSpan w:val="2"/>
            <w:vAlign w:val="center"/>
          </w:tcPr>
          <w:p>
            <w:pPr>
              <w:spacing w:before="20" w:after="20"/>
              <w:rPr>
                <w:noProof/>
                <w:sz w:val="20"/>
                <w:szCs w:val="20"/>
              </w:rPr>
            </w:pPr>
            <w:r>
              <w:rPr>
                <w:noProof/>
                <w:sz w:val="20"/>
                <w:szCs w:val="20"/>
              </w:rPr>
              <w:t xml:space="preserve">Human resources </w:t>
            </w:r>
          </w:p>
        </w:tc>
        <w:tc>
          <w:tcPr>
            <w:tcW w:w="868" w:type="dxa"/>
          </w:tcPr>
          <w:p>
            <w:pPr>
              <w:jc w:val="center"/>
              <w:rPr>
                <w:noProof/>
                <w:sz w:val="20"/>
                <w:szCs w:val="20"/>
              </w:rPr>
            </w:pPr>
            <w:r>
              <w:rPr>
                <w:noProof/>
                <w:sz w:val="20"/>
                <w:szCs w:val="20"/>
              </w:rPr>
              <w:t>21.448</w:t>
            </w:r>
          </w:p>
        </w:tc>
        <w:tc>
          <w:tcPr>
            <w:tcW w:w="868" w:type="dxa"/>
          </w:tcPr>
          <w:p>
            <w:pPr>
              <w:jc w:val="center"/>
              <w:rPr>
                <w:noProof/>
                <w:sz w:val="20"/>
                <w:szCs w:val="20"/>
              </w:rPr>
            </w:pPr>
            <w:r>
              <w:rPr>
                <w:noProof/>
                <w:sz w:val="20"/>
                <w:szCs w:val="20"/>
              </w:rPr>
              <w:t>21.665</w:t>
            </w:r>
          </w:p>
        </w:tc>
        <w:tc>
          <w:tcPr>
            <w:tcW w:w="868" w:type="dxa"/>
          </w:tcPr>
          <w:p>
            <w:pPr>
              <w:jc w:val="center"/>
              <w:rPr>
                <w:noProof/>
                <w:sz w:val="20"/>
                <w:szCs w:val="20"/>
              </w:rPr>
            </w:pPr>
            <w:r>
              <w:rPr>
                <w:noProof/>
                <w:sz w:val="20"/>
                <w:szCs w:val="20"/>
              </w:rPr>
              <w:t>21.882</w:t>
            </w:r>
          </w:p>
        </w:tc>
        <w:tc>
          <w:tcPr>
            <w:tcW w:w="868" w:type="dxa"/>
          </w:tcPr>
          <w:p>
            <w:pPr>
              <w:jc w:val="center"/>
              <w:rPr>
                <w:noProof/>
                <w:sz w:val="20"/>
                <w:szCs w:val="20"/>
              </w:rPr>
            </w:pPr>
            <w:r>
              <w:rPr>
                <w:noProof/>
                <w:sz w:val="20"/>
                <w:szCs w:val="20"/>
              </w:rPr>
              <w:t>22.099</w:t>
            </w:r>
          </w:p>
        </w:tc>
        <w:tc>
          <w:tcPr>
            <w:tcW w:w="868" w:type="dxa"/>
          </w:tcPr>
          <w:p>
            <w:pPr>
              <w:jc w:val="center"/>
              <w:rPr>
                <w:noProof/>
                <w:sz w:val="20"/>
                <w:szCs w:val="20"/>
              </w:rPr>
            </w:pPr>
            <w:r>
              <w:rPr>
                <w:noProof/>
                <w:sz w:val="20"/>
                <w:szCs w:val="20"/>
              </w:rPr>
              <w:t>22.099</w:t>
            </w:r>
          </w:p>
        </w:tc>
        <w:tc>
          <w:tcPr>
            <w:tcW w:w="868" w:type="dxa"/>
          </w:tcPr>
          <w:p>
            <w:pPr>
              <w:jc w:val="center"/>
              <w:rPr>
                <w:noProof/>
                <w:sz w:val="20"/>
                <w:szCs w:val="20"/>
              </w:rPr>
            </w:pPr>
            <w:r>
              <w:rPr>
                <w:noProof/>
                <w:sz w:val="20"/>
                <w:szCs w:val="20"/>
              </w:rPr>
              <w:t>22.099</w:t>
            </w:r>
          </w:p>
        </w:tc>
        <w:tc>
          <w:tcPr>
            <w:tcW w:w="868" w:type="dxa"/>
          </w:tcPr>
          <w:p>
            <w:pPr>
              <w:jc w:val="center"/>
              <w:rPr>
                <w:noProof/>
                <w:sz w:val="20"/>
                <w:szCs w:val="20"/>
              </w:rPr>
            </w:pPr>
            <w:r>
              <w:rPr>
                <w:noProof/>
                <w:sz w:val="20"/>
                <w:szCs w:val="20"/>
              </w:rPr>
              <w:t>22.099</w:t>
            </w:r>
          </w:p>
        </w:tc>
        <w:tc>
          <w:tcPr>
            <w:tcW w:w="887" w:type="dxa"/>
            <w:shd w:val="clear" w:color="auto" w:fill="A6A6A6"/>
          </w:tcPr>
          <w:p>
            <w:pPr>
              <w:jc w:val="center"/>
              <w:rPr>
                <w:noProof/>
                <w:sz w:val="20"/>
                <w:szCs w:val="20"/>
              </w:rPr>
            </w:pPr>
          </w:p>
        </w:tc>
        <w:tc>
          <w:tcPr>
            <w:tcW w:w="964" w:type="dxa"/>
          </w:tcPr>
          <w:p>
            <w:pPr>
              <w:jc w:val="center"/>
              <w:rPr>
                <w:noProof/>
                <w:sz w:val="20"/>
                <w:szCs w:val="20"/>
              </w:rPr>
            </w:pPr>
            <w:r>
              <w:rPr>
                <w:b/>
                <w:noProof/>
                <w:sz w:val="20"/>
                <w:szCs w:val="20"/>
              </w:rPr>
              <w:t>153.391</w:t>
            </w:r>
          </w:p>
        </w:tc>
      </w:tr>
      <w:tr>
        <w:trPr>
          <w:trHeight w:val="351"/>
          <w:jc w:val="center"/>
        </w:trPr>
        <w:tc>
          <w:tcPr>
            <w:tcW w:w="6245" w:type="dxa"/>
            <w:gridSpan w:val="2"/>
            <w:vAlign w:val="center"/>
          </w:tcPr>
          <w:p>
            <w:pPr>
              <w:spacing w:before="20" w:after="20"/>
              <w:rPr>
                <w:noProof/>
                <w:sz w:val="20"/>
                <w:szCs w:val="20"/>
              </w:rPr>
            </w:pPr>
            <w:r>
              <w:rPr>
                <w:noProof/>
                <w:sz w:val="20"/>
                <w:szCs w:val="20"/>
              </w:rPr>
              <w:t xml:space="preserve">Other administrative expenditure </w:t>
            </w:r>
          </w:p>
        </w:tc>
        <w:tc>
          <w:tcPr>
            <w:tcW w:w="868" w:type="dxa"/>
            <w:tcBorders>
              <w:top w:val="single" w:sz="8" w:space="0" w:color="auto"/>
              <w:left w:val="single" w:sz="4" w:space="0" w:color="auto"/>
              <w:bottom w:val="single" w:sz="8" w:space="0" w:color="auto"/>
              <w:right w:val="single" w:sz="4" w:space="0" w:color="auto"/>
            </w:tcBorders>
            <w:shd w:val="clear" w:color="auto" w:fill="auto"/>
            <w:vAlign w:val="bottom"/>
          </w:tcPr>
          <w:p>
            <w:pPr>
              <w:jc w:val="center"/>
              <w:rPr>
                <w:noProof/>
                <w:sz w:val="20"/>
                <w:szCs w:val="20"/>
              </w:rPr>
            </w:pPr>
            <w:r>
              <w:rPr>
                <w:noProof/>
                <w:sz w:val="20"/>
                <w:szCs w:val="20"/>
              </w:rPr>
              <w:t>1.098</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noProof/>
                <w:sz w:val="20"/>
                <w:szCs w:val="20"/>
              </w:rPr>
              <w:t>1.107</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noProof/>
                <w:sz w:val="20"/>
                <w:szCs w:val="20"/>
              </w:rPr>
              <w:t>1.115</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noProof/>
                <w:sz w:val="20"/>
                <w:szCs w:val="20"/>
              </w:rPr>
              <w:t>1.124</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noProof/>
                <w:sz w:val="20"/>
                <w:szCs w:val="20"/>
              </w:rPr>
              <w:t>1.124</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noProof/>
                <w:sz w:val="20"/>
                <w:szCs w:val="20"/>
              </w:rPr>
              <w:t>1.124</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noProof/>
                <w:sz w:val="20"/>
                <w:szCs w:val="20"/>
              </w:rPr>
              <w:t>1.124</w:t>
            </w:r>
          </w:p>
        </w:tc>
        <w:tc>
          <w:tcPr>
            <w:tcW w:w="887" w:type="dxa"/>
            <w:tcBorders>
              <w:top w:val="single" w:sz="2" w:space="0" w:color="auto"/>
              <w:left w:val="nil"/>
              <w:bottom w:val="single" w:sz="4" w:space="0" w:color="auto"/>
              <w:right w:val="single" w:sz="4" w:space="0" w:color="auto"/>
            </w:tcBorders>
            <w:shd w:val="clear" w:color="auto" w:fill="A6A6A6" w:themeFill="background1" w:themeFillShade="A6"/>
            <w:vAlign w:val="bottom"/>
          </w:tcPr>
          <w:p>
            <w:pPr>
              <w:jc w:val="center"/>
              <w:rPr>
                <w:noProof/>
                <w:sz w:val="20"/>
                <w:szCs w:val="20"/>
              </w:rPr>
            </w:pPr>
          </w:p>
        </w:tc>
        <w:tc>
          <w:tcPr>
            <w:tcW w:w="964" w:type="dxa"/>
            <w:vAlign w:val="bottom"/>
          </w:tcPr>
          <w:p>
            <w:pPr>
              <w:jc w:val="center"/>
              <w:rPr>
                <w:noProof/>
                <w:sz w:val="20"/>
                <w:szCs w:val="20"/>
              </w:rPr>
            </w:pPr>
            <w:r>
              <w:rPr>
                <w:b/>
                <w:noProof/>
                <w:sz w:val="20"/>
                <w:szCs w:val="20"/>
              </w:rPr>
              <w:t>7.817</w:t>
            </w:r>
          </w:p>
        </w:tc>
      </w:tr>
      <w:tr>
        <w:trPr>
          <w:trHeight w:val="351"/>
          <w:jc w:val="center"/>
        </w:trPr>
        <w:tc>
          <w:tcPr>
            <w:tcW w:w="4199" w:type="dxa"/>
            <w:vAlign w:val="center"/>
          </w:tcPr>
          <w:p>
            <w:pPr>
              <w:spacing w:before="20" w:after="20"/>
              <w:jc w:val="left"/>
              <w:rPr>
                <w:b/>
                <w:noProof/>
                <w:sz w:val="20"/>
                <w:szCs w:val="20"/>
              </w:rPr>
            </w:pPr>
            <w:r>
              <w:rPr>
                <w:b/>
                <w:noProof/>
                <w:sz w:val="20"/>
                <w:szCs w:val="20"/>
              </w:rPr>
              <w:t>TOTAL appropriations under HEADING 7 of the multiannual financial framework</w:t>
            </w:r>
          </w:p>
        </w:tc>
        <w:tc>
          <w:tcPr>
            <w:tcW w:w="2046" w:type="dxa"/>
          </w:tcPr>
          <w:p>
            <w:pPr>
              <w:rPr>
                <w:noProof/>
              </w:rPr>
            </w:pPr>
          </w:p>
        </w:tc>
        <w:tc>
          <w:tcPr>
            <w:tcW w:w="868" w:type="dxa"/>
            <w:tcBorders>
              <w:top w:val="single" w:sz="8" w:space="0" w:color="auto"/>
              <w:left w:val="single" w:sz="4" w:space="0" w:color="auto"/>
              <w:bottom w:val="single" w:sz="8" w:space="0" w:color="auto"/>
              <w:right w:val="single" w:sz="4" w:space="0" w:color="auto"/>
            </w:tcBorders>
            <w:shd w:val="clear" w:color="auto" w:fill="auto"/>
            <w:vAlign w:val="bottom"/>
          </w:tcPr>
          <w:p>
            <w:pPr>
              <w:jc w:val="center"/>
              <w:rPr>
                <w:noProof/>
                <w:sz w:val="20"/>
                <w:szCs w:val="20"/>
              </w:rPr>
            </w:pPr>
            <w:r>
              <w:rPr>
                <w:b/>
                <w:bCs/>
                <w:noProof/>
                <w:color w:val="000000"/>
                <w:sz w:val="20"/>
                <w:szCs w:val="20"/>
              </w:rPr>
              <w:t>22.546</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b/>
                <w:bCs/>
                <w:noProof/>
                <w:color w:val="000000"/>
                <w:sz w:val="20"/>
                <w:szCs w:val="20"/>
              </w:rPr>
              <w:t>22.772</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b/>
                <w:bCs/>
                <w:noProof/>
                <w:color w:val="000000"/>
                <w:sz w:val="20"/>
                <w:szCs w:val="20"/>
              </w:rPr>
              <w:t>22.997</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b/>
                <w:bCs/>
                <w:noProof/>
                <w:color w:val="000000"/>
                <w:sz w:val="20"/>
                <w:szCs w:val="20"/>
              </w:rPr>
              <w:t>23.223</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b/>
                <w:bCs/>
                <w:noProof/>
                <w:color w:val="000000"/>
                <w:sz w:val="20"/>
                <w:szCs w:val="20"/>
              </w:rPr>
              <w:t>23.223</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b/>
                <w:bCs/>
                <w:noProof/>
                <w:color w:val="000000"/>
                <w:sz w:val="20"/>
                <w:szCs w:val="20"/>
              </w:rPr>
              <w:t>23.223</w:t>
            </w:r>
          </w:p>
        </w:tc>
        <w:tc>
          <w:tcPr>
            <w:tcW w:w="868" w:type="dxa"/>
            <w:tcBorders>
              <w:top w:val="single" w:sz="8" w:space="0" w:color="auto"/>
              <w:left w:val="nil"/>
              <w:bottom w:val="single" w:sz="8" w:space="0" w:color="auto"/>
              <w:right w:val="single" w:sz="4" w:space="0" w:color="auto"/>
            </w:tcBorders>
            <w:shd w:val="clear" w:color="auto" w:fill="auto"/>
            <w:vAlign w:val="bottom"/>
          </w:tcPr>
          <w:p>
            <w:pPr>
              <w:jc w:val="center"/>
              <w:rPr>
                <w:noProof/>
                <w:sz w:val="20"/>
                <w:szCs w:val="20"/>
              </w:rPr>
            </w:pPr>
            <w:r>
              <w:rPr>
                <w:b/>
                <w:bCs/>
                <w:noProof/>
                <w:color w:val="000000"/>
                <w:sz w:val="20"/>
                <w:szCs w:val="20"/>
              </w:rPr>
              <w:t>23.223</w:t>
            </w:r>
          </w:p>
        </w:tc>
        <w:tc>
          <w:tcPr>
            <w:tcW w:w="887" w:type="dxa"/>
            <w:tcBorders>
              <w:top w:val="single" w:sz="4" w:space="0" w:color="auto"/>
              <w:left w:val="nil"/>
              <w:bottom w:val="single" w:sz="4" w:space="0" w:color="auto"/>
              <w:right w:val="nil"/>
            </w:tcBorders>
            <w:shd w:val="clear" w:color="auto" w:fill="A6A6A6" w:themeFill="background1" w:themeFillShade="A6"/>
            <w:vAlign w:val="bottom"/>
          </w:tcPr>
          <w:p>
            <w:pPr>
              <w:jc w:val="center"/>
              <w:rPr>
                <w:noProof/>
                <w:sz w:val="20"/>
                <w:szCs w:val="20"/>
              </w:rPr>
            </w:pPr>
          </w:p>
        </w:tc>
        <w:tc>
          <w:tcPr>
            <w:tcW w:w="964" w:type="dxa"/>
            <w:shd w:val="clear" w:color="auto" w:fill="auto"/>
            <w:vAlign w:val="center"/>
          </w:tcPr>
          <w:p>
            <w:pPr>
              <w:spacing w:before="20" w:after="20"/>
              <w:jc w:val="center"/>
              <w:rPr>
                <w:b/>
                <w:noProof/>
                <w:sz w:val="20"/>
                <w:szCs w:val="20"/>
              </w:rPr>
            </w:pPr>
            <w:r>
              <w:rPr>
                <w:b/>
                <w:noProof/>
                <w:color w:val="000000"/>
                <w:sz w:val="20"/>
                <w:szCs w:val="20"/>
              </w:rPr>
              <w:t>161.208</w:t>
            </w:r>
          </w:p>
        </w:tc>
      </w:tr>
    </w:tbl>
    <w:p>
      <w:pPr>
        <w:jc w:val="right"/>
        <w:rPr>
          <w:noProof/>
          <w:sz w:val="20"/>
          <w:szCs w:val="20"/>
        </w:rPr>
      </w:pPr>
      <w:r>
        <w:rPr>
          <w:noProof/>
          <w:sz w:val="20"/>
          <w:szCs w:val="20"/>
        </w:rPr>
        <w:t>EUR million (to three decimal places)</w:t>
      </w:r>
    </w:p>
    <w:tbl>
      <w:tblPr>
        <w:tblW w:w="14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068"/>
      </w:tblGrid>
      <w:tr>
        <w:trPr>
          <w:jc w:val="center"/>
        </w:trPr>
        <w:tc>
          <w:tcPr>
            <w:tcW w:w="4173" w:type="dxa"/>
            <w:tcBorders>
              <w:top w:val="nil"/>
              <w:left w:val="nil"/>
              <w:right w:val="nil"/>
            </w:tcBorders>
            <w:vAlign w:val="center"/>
          </w:tcPr>
          <w:p>
            <w:pPr>
              <w:jc w:val="center"/>
              <w:rPr>
                <w:noProof/>
                <w:sz w:val="20"/>
                <w:szCs w:val="20"/>
              </w:rPr>
            </w:pPr>
          </w:p>
        </w:tc>
        <w:tc>
          <w:tcPr>
            <w:tcW w:w="1560" w:type="dxa"/>
            <w:tcBorders>
              <w:top w:val="nil"/>
              <w:left w:val="nil"/>
              <w:right w:val="nil"/>
            </w:tcBorders>
          </w:tcPr>
          <w:p>
            <w:pPr>
              <w:rPr>
                <w:noProof/>
                <w:sz w:val="20"/>
                <w:szCs w:val="20"/>
              </w:rPr>
            </w:pPr>
          </w:p>
        </w:tc>
        <w:tc>
          <w:tcPr>
            <w:tcW w:w="534" w:type="dxa"/>
            <w:tcBorders>
              <w:top w:val="nil"/>
              <w:left w:val="nil"/>
            </w:tcBorders>
          </w:tcPr>
          <w:p>
            <w:pPr>
              <w:jc w:val="center"/>
              <w:rPr>
                <w:noProof/>
                <w:sz w:val="20"/>
                <w:szCs w:val="20"/>
              </w:rPr>
            </w:pPr>
          </w:p>
        </w:tc>
        <w:tc>
          <w:tcPr>
            <w:tcW w:w="868" w:type="dxa"/>
            <w:vAlign w:val="center"/>
          </w:tcPr>
          <w:p>
            <w:pPr>
              <w:jc w:val="center"/>
              <w:rPr>
                <w:noProof/>
                <w:sz w:val="20"/>
                <w:szCs w:val="20"/>
              </w:rPr>
            </w:pPr>
            <w:r>
              <w:rPr>
                <w:b/>
                <w:noProof/>
                <w:sz w:val="20"/>
                <w:szCs w:val="20"/>
              </w:rPr>
              <w:t>2021</w:t>
            </w:r>
          </w:p>
        </w:tc>
        <w:tc>
          <w:tcPr>
            <w:tcW w:w="868" w:type="dxa"/>
            <w:vAlign w:val="center"/>
          </w:tcPr>
          <w:p>
            <w:pPr>
              <w:jc w:val="center"/>
              <w:rPr>
                <w:noProof/>
                <w:sz w:val="20"/>
                <w:szCs w:val="20"/>
              </w:rPr>
            </w:pPr>
            <w:r>
              <w:rPr>
                <w:b/>
                <w:noProof/>
                <w:sz w:val="20"/>
                <w:szCs w:val="20"/>
              </w:rPr>
              <w:t>2022</w:t>
            </w:r>
          </w:p>
        </w:tc>
        <w:tc>
          <w:tcPr>
            <w:tcW w:w="868" w:type="dxa"/>
            <w:vAlign w:val="center"/>
          </w:tcPr>
          <w:p>
            <w:pPr>
              <w:jc w:val="center"/>
              <w:rPr>
                <w:noProof/>
                <w:sz w:val="20"/>
                <w:szCs w:val="20"/>
              </w:rPr>
            </w:pPr>
            <w:r>
              <w:rPr>
                <w:b/>
                <w:noProof/>
                <w:sz w:val="20"/>
                <w:szCs w:val="20"/>
              </w:rPr>
              <w:t>2023</w:t>
            </w:r>
          </w:p>
        </w:tc>
        <w:tc>
          <w:tcPr>
            <w:tcW w:w="868" w:type="dxa"/>
            <w:vAlign w:val="center"/>
          </w:tcPr>
          <w:p>
            <w:pPr>
              <w:jc w:val="center"/>
              <w:rPr>
                <w:noProof/>
                <w:sz w:val="20"/>
                <w:szCs w:val="20"/>
              </w:rPr>
            </w:pPr>
            <w:r>
              <w:rPr>
                <w:b/>
                <w:noProof/>
                <w:sz w:val="20"/>
                <w:szCs w:val="20"/>
              </w:rPr>
              <w:t>2024</w:t>
            </w:r>
          </w:p>
        </w:tc>
        <w:tc>
          <w:tcPr>
            <w:tcW w:w="868" w:type="dxa"/>
            <w:vAlign w:val="center"/>
          </w:tcPr>
          <w:p>
            <w:pPr>
              <w:jc w:val="center"/>
              <w:rPr>
                <w:b/>
                <w:noProof/>
                <w:sz w:val="20"/>
                <w:szCs w:val="20"/>
              </w:rPr>
            </w:pPr>
            <w:r>
              <w:rPr>
                <w:b/>
                <w:noProof/>
                <w:sz w:val="20"/>
                <w:szCs w:val="20"/>
              </w:rPr>
              <w:t>2025</w:t>
            </w:r>
          </w:p>
        </w:tc>
        <w:tc>
          <w:tcPr>
            <w:tcW w:w="868" w:type="dxa"/>
            <w:vAlign w:val="center"/>
          </w:tcPr>
          <w:p>
            <w:pPr>
              <w:jc w:val="center"/>
              <w:rPr>
                <w:b/>
                <w:noProof/>
                <w:sz w:val="20"/>
                <w:szCs w:val="20"/>
              </w:rPr>
            </w:pPr>
            <w:r>
              <w:rPr>
                <w:b/>
                <w:noProof/>
                <w:sz w:val="20"/>
                <w:szCs w:val="20"/>
              </w:rPr>
              <w:t>2026</w:t>
            </w:r>
          </w:p>
        </w:tc>
        <w:tc>
          <w:tcPr>
            <w:tcW w:w="868" w:type="dxa"/>
            <w:vAlign w:val="center"/>
          </w:tcPr>
          <w:p>
            <w:pPr>
              <w:jc w:val="center"/>
              <w:rPr>
                <w:b/>
                <w:noProof/>
                <w:sz w:val="20"/>
                <w:szCs w:val="20"/>
              </w:rPr>
            </w:pPr>
            <w:r>
              <w:rPr>
                <w:b/>
                <w:noProof/>
                <w:sz w:val="20"/>
                <w:szCs w:val="20"/>
              </w:rPr>
              <w:t>2027</w:t>
            </w:r>
          </w:p>
        </w:tc>
        <w:tc>
          <w:tcPr>
            <w:tcW w:w="877" w:type="dxa"/>
          </w:tcPr>
          <w:p>
            <w:pPr>
              <w:jc w:val="center"/>
              <w:rPr>
                <w:b/>
                <w:noProof/>
                <w:sz w:val="20"/>
                <w:szCs w:val="20"/>
              </w:rPr>
            </w:pPr>
            <w:r>
              <w:rPr>
                <w:b/>
                <w:i/>
                <w:noProof/>
                <w:sz w:val="20"/>
                <w:szCs w:val="20"/>
              </w:rPr>
              <w:t>Post 2027</w:t>
            </w:r>
          </w:p>
        </w:tc>
        <w:tc>
          <w:tcPr>
            <w:tcW w:w="1068" w:type="dxa"/>
            <w:vAlign w:val="center"/>
          </w:tcPr>
          <w:p>
            <w:pPr>
              <w:jc w:val="center"/>
              <w:rPr>
                <w:b/>
                <w:noProof/>
                <w:sz w:val="20"/>
                <w:szCs w:val="20"/>
              </w:rPr>
            </w:pPr>
            <w:r>
              <w:rPr>
                <w:b/>
                <w:noProof/>
                <w:sz w:val="20"/>
                <w:szCs w:val="20"/>
              </w:rPr>
              <w:t>TOTAL</w:t>
            </w:r>
          </w:p>
        </w:tc>
      </w:tr>
      <w:tr>
        <w:trPr>
          <w:jc w:val="center"/>
        </w:trPr>
        <w:tc>
          <w:tcPr>
            <w:tcW w:w="4173" w:type="dxa"/>
            <w:vMerge w:val="restart"/>
            <w:shd w:val="clear" w:color="auto" w:fill="C0C0C0"/>
            <w:vAlign w:val="center"/>
          </w:tcPr>
          <w:p>
            <w:pPr>
              <w:jc w:val="center"/>
              <w:rPr>
                <w:b/>
                <w:noProof/>
                <w:sz w:val="20"/>
                <w:szCs w:val="20"/>
              </w:rPr>
            </w:pPr>
            <w:r>
              <w:rPr>
                <w:b/>
                <w:noProof/>
                <w:sz w:val="20"/>
                <w:szCs w:val="20"/>
              </w:rPr>
              <w:t xml:space="preserve">TOTAL appropriations </w:t>
            </w:r>
            <w:r>
              <w:rPr>
                <w:noProof/>
                <w:sz w:val="20"/>
                <w:szCs w:val="20"/>
              </w:rPr>
              <w:br/>
            </w:r>
            <w:r>
              <w:rPr>
                <w:b/>
                <w:noProof/>
                <w:sz w:val="20"/>
                <w:szCs w:val="20"/>
              </w:rPr>
              <w:t xml:space="preserve">across HEADINGS </w:t>
            </w:r>
            <w:r>
              <w:rPr>
                <w:noProof/>
                <w:sz w:val="20"/>
                <w:szCs w:val="20"/>
              </w:rPr>
              <w:br/>
              <w:t>of the multiannual financial framework</w:t>
            </w:r>
            <w:r>
              <w:rPr>
                <w:b/>
                <w:noProof/>
                <w:sz w:val="20"/>
                <w:szCs w:val="20"/>
              </w:rPr>
              <w:t xml:space="preserve"> </w:t>
            </w:r>
          </w:p>
        </w:tc>
        <w:tc>
          <w:tcPr>
            <w:tcW w:w="2094" w:type="dxa"/>
            <w:gridSpan w:val="2"/>
            <w:vAlign w:val="center"/>
          </w:tcPr>
          <w:p>
            <w:pPr>
              <w:rPr>
                <w:noProof/>
                <w:sz w:val="20"/>
                <w:szCs w:val="20"/>
              </w:rPr>
            </w:pPr>
            <w:r>
              <w:rPr>
                <w:noProof/>
                <w:sz w:val="20"/>
                <w:szCs w:val="20"/>
              </w:rPr>
              <w:t>Commitments</w:t>
            </w:r>
          </w:p>
        </w:tc>
        <w:tc>
          <w:tcPr>
            <w:tcW w:w="868" w:type="dxa"/>
          </w:tcPr>
          <w:p>
            <w:pPr>
              <w:jc w:val="right"/>
              <w:rPr>
                <w:noProof/>
                <w:color w:val="000000"/>
                <w:sz w:val="20"/>
                <w:szCs w:val="20"/>
              </w:rPr>
            </w:pPr>
            <w:r>
              <w:rPr>
                <w:noProof/>
                <w:color w:val="000000"/>
                <w:sz w:val="20"/>
                <w:szCs w:val="20"/>
              </w:rPr>
              <w:t>210.010</w:t>
            </w:r>
          </w:p>
        </w:tc>
        <w:tc>
          <w:tcPr>
            <w:tcW w:w="868" w:type="dxa"/>
          </w:tcPr>
          <w:p>
            <w:pPr>
              <w:jc w:val="right"/>
              <w:rPr>
                <w:noProof/>
                <w:color w:val="000000"/>
                <w:sz w:val="20"/>
                <w:szCs w:val="20"/>
              </w:rPr>
            </w:pPr>
            <w:r>
              <w:rPr>
                <w:noProof/>
                <w:color w:val="000000"/>
                <w:sz w:val="20"/>
                <w:szCs w:val="20"/>
              </w:rPr>
              <w:t>215.006</w:t>
            </w:r>
          </w:p>
        </w:tc>
        <w:tc>
          <w:tcPr>
            <w:tcW w:w="868" w:type="dxa"/>
          </w:tcPr>
          <w:p>
            <w:pPr>
              <w:jc w:val="right"/>
              <w:rPr>
                <w:noProof/>
                <w:color w:val="000000"/>
                <w:sz w:val="20"/>
                <w:szCs w:val="20"/>
              </w:rPr>
            </w:pPr>
            <w:r>
              <w:rPr>
                <w:noProof/>
                <w:color w:val="000000"/>
                <w:sz w:val="20"/>
                <w:szCs w:val="20"/>
              </w:rPr>
              <w:t>219.075</w:t>
            </w:r>
          </w:p>
        </w:tc>
        <w:tc>
          <w:tcPr>
            <w:tcW w:w="868" w:type="dxa"/>
          </w:tcPr>
          <w:p>
            <w:pPr>
              <w:jc w:val="right"/>
              <w:rPr>
                <w:noProof/>
                <w:color w:val="000000"/>
                <w:sz w:val="20"/>
                <w:szCs w:val="20"/>
              </w:rPr>
            </w:pPr>
            <w:r>
              <w:rPr>
                <w:noProof/>
                <w:color w:val="000000"/>
                <w:sz w:val="20"/>
                <w:szCs w:val="20"/>
              </w:rPr>
              <w:t>223.223</w:t>
            </w:r>
          </w:p>
        </w:tc>
        <w:tc>
          <w:tcPr>
            <w:tcW w:w="868" w:type="dxa"/>
          </w:tcPr>
          <w:p>
            <w:pPr>
              <w:jc w:val="right"/>
              <w:rPr>
                <w:noProof/>
                <w:color w:val="000000"/>
                <w:sz w:val="20"/>
                <w:szCs w:val="20"/>
              </w:rPr>
            </w:pPr>
            <w:r>
              <w:rPr>
                <w:noProof/>
                <w:color w:val="000000"/>
                <w:sz w:val="20"/>
                <w:szCs w:val="20"/>
              </w:rPr>
              <w:t>227.223</w:t>
            </w:r>
          </w:p>
        </w:tc>
        <w:tc>
          <w:tcPr>
            <w:tcW w:w="868" w:type="dxa"/>
          </w:tcPr>
          <w:p>
            <w:pPr>
              <w:jc w:val="right"/>
              <w:rPr>
                <w:noProof/>
                <w:color w:val="000000"/>
                <w:sz w:val="20"/>
                <w:szCs w:val="20"/>
              </w:rPr>
            </w:pPr>
            <w:r>
              <w:rPr>
                <w:noProof/>
                <w:color w:val="000000"/>
                <w:sz w:val="20"/>
                <w:szCs w:val="20"/>
              </w:rPr>
              <w:t>231.303</w:t>
            </w:r>
          </w:p>
        </w:tc>
        <w:tc>
          <w:tcPr>
            <w:tcW w:w="868" w:type="dxa"/>
          </w:tcPr>
          <w:p>
            <w:pPr>
              <w:jc w:val="right"/>
              <w:rPr>
                <w:noProof/>
                <w:color w:val="000000"/>
                <w:sz w:val="20"/>
                <w:szCs w:val="20"/>
              </w:rPr>
            </w:pPr>
            <w:r>
              <w:rPr>
                <w:noProof/>
                <w:color w:val="000000"/>
                <w:sz w:val="20"/>
                <w:szCs w:val="20"/>
              </w:rPr>
              <w:t>235.367</w:t>
            </w:r>
          </w:p>
        </w:tc>
        <w:tc>
          <w:tcPr>
            <w:tcW w:w="877" w:type="dxa"/>
            <w:shd w:val="clear" w:color="auto" w:fill="A6A6A6"/>
            <w:vAlign w:val="bottom"/>
          </w:tcPr>
          <w:p>
            <w:pPr>
              <w:jc w:val="right"/>
              <w:rPr>
                <w:noProof/>
                <w:color w:val="000000"/>
                <w:sz w:val="20"/>
                <w:szCs w:val="20"/>
              </w:rPr>
            </w:pPr>
          </w:p>
        </w:tc>
        <w:tc>
          <w:tcPr>
            <w:tcW w:w="1068" w:type="dxa"/>
            <w:vAlign w:val="bottom"/>
          </w:tcPr>
          <w:p>
            <w:pPr>
              <w:jc w:val="right"/>
              <w:rPr>
                <w:noProof/>
                <w:color w:val="000000"/>
                <w:sz w:val="20"/>
                <w:szCs w:val="20"/>
              </w:rPr>
            </w:pPr>
            <w:r>
              <w:rPr>
                <w:noProof/>
                <w:color w:val="000000"/>
                <w:sz w:val="20"/>
                <w:szCs w:val="20"/>
              </w:rPr>
              <w:t>1 561.208</w:t>
            </w:r>
          </w:p>
        </w:tc>
      </w:tr>
      <w:tr>
        <w:trPr>
          <w:jc w:val="center"/>
        </w:trPr>
        <w:tc>
          <w:tcPr>
            <w:tcW w:w="4173" w:type="dxa"/>
            <w:vMerge/>
            <w:shd w:val="clear" w:color="auto" w:fill="C0C0C0"/>
          </w:tcPr>
          <w:p>
            <w:pPr>
              <w:rPr>
                <w:noProof/>
                <w:sz w:val="20"/>
                <w:szCs w:val="20"/>
              </w:rPr>
            </w:pPr>
          </w:p>
        </w:tc>
        <w:tc>
          <w:tcPr>
            <w:tcW w:w="2094" w:type="dxa"/>
            <w:gridSpan w:val="2"/>
            <w:vAlign w:val="center"/>
          </w:tcPr>
          <w:p>
            <w:pPr>
              <w:rPr>
                <w:noProof/>
                <w:sz w:val="20"/>
                <w:szCs w:val="20"/>
              </w:rPr>
            </w:pPr>
            <w:r>
              <w:rPr>
                <w:noProof/>
                <w:sz w:val="20"/>
                <w:szCs w:val="20"/>
              </w:rPr>
              <w:t>Payments</w:t>
            </w:r>
          </w:p>
        </w:tc>
        <w:tc>
          <w:tcPr>
            <w:tcW w:w="868" w:type="dxa"/>
            <w:vAlign w:val="bottom"/>
          </w:tcPr>
          <w:p>
            <w:pPr>
              <w:jc w:val="right"/>
              <w:rPr>
                <w:b/>
                <w:noProof/>
                <w:color w:val="000000"/>
                <w:sz w:val="20"/>
                <w:szCs w:val="20"/>
              </w:rPr>
            </w:pPr>
            <w:r>
              <w:rPr>
                <w:noProof/>
                <w:sz w:val="20"/>
              </w:rPr>
              <w:t>81.511</w:t>
            </w:r>
          </w:p>
        </w:tc>
        <w:tc>
          <w:tcPr>
            <w:tcW w:w="868" w:type="dxa"/>
            <w:vAlign w:val="bottom"/>
          </w:tcPr>
          <w:p>
            <w:pPr>
              <w:jc w:val="right"/>
              <w:rPr>
                <w:noProof/>
                <w:sz w:val="20"/>
              </w:rPr>
            </w:pPr>
            <w:r>
              <w:rPr>
                <w:noProof/>
                <w:sz w:val="20"/>
              </w:rPr>
              <w:t>132.044</w:t>
            </w:r>
          </w:p>
        </w:tc>
        <w:tc>
          <w:tcPr>
            <w:tcW w:w="868" w:type="dxa"/>
            <w:vAlign w:val="bottom"/>
          </w:tcPr>
          <w:p>
            <w:pPr>
              <w:jc w:val="right"/>
              <w:rPr>
                <w:noProof/>
                <w:sz w:val="20"/>
              </w:rPr>
            </w:pPr>
            <w:r>
              <w:rPr>
                <w:noProof/>
                <w:sz w:val="20"/>
              </w:rPr>
              <w:t>180.871</w:t>
            </w:r>
          </w:p>
        </w:tc>
        <w:tc>
          <w:tcPr>
            <w:tcW w:w="868" w:type="dxa"/>
            <w:vAlign w:val="bottom"/>
          </w:tcPr>
          <w:p>
            <w:pPr>
              <w:jc w:val="right"/>
              <w:rPr>
                <w:noProof/>
                <w:sz w:val="20"/>
              </w:rPr>
            </w:pPr>
            <w:r>
              <w:rPr>
                <w:noProof/>
                <w:sz w:val="20"/>
              </w:rPr>
              <w:t>207.935</w:t>
            </w:r>
          </w:p>
        </w:tc>
        <w:tc>
          <w:tcPr>
            <w:tcW w:w="868" w:type="dxa"/>
            <w:vAlign w:val="bottom"/>
          </w:tcPr>
          <w:p>
            <w:pPr>
              <w:jc w:val="right"/>
              <w:rPr>
                <w:noProof/>
                <w:sz w:val="20"/>
              </w:rPr>
            </w:pPr>
            <w:r>
              <w:rPr>
                <w:noProof/>
                <w:sz w:val="20"/>
              </w:rPr>
              <w:t>213.758</w:t>
            </w:r>
          </w:p>
        </w:tc>
        <w:tc>
          <w:tcPr>
            <w:tcW w:w="868" w:type="dxa"/>
            <w:vAlign w:val="bottom"/>
          </w:tcPr>
          <w:p>
            <w:pPr>
              <w:jc w:val="right"/>
              <w:rPr>
                <w:noProof/>
                <w:sz w:val="20"/>
              </w:rPr>
            </w:pPr>
            <w:r>
              <w:rPr>
                <w:noProof/>
                <w:sz w:val="20"/>
              </w:rPr>
              <w:t>218.078</w:t>
            </w:r>
          </w:p>
        </w:tc>
        <w:tc>
          <w:tcPr>
            <w:tcW w:w="868" w:type="dxa"/>
            <w:vAlign w:val="bottom"/>
          </w:tcPr>
          <w:p>
            <w:pPr>
              <w:jc w:val="right"/>
              <w:rPr>
                <w:noProof/>
                <w:sz w:val="20"/>
              </w:rPr>
            </w:pPr>
            <w:r>
              <w:rPr>
                <w:noProof/>
                <w:sz w:val="20"/>
              </w:rPr>
              <w:t>222.314</w:t>
            </w:r>
          </w:p>
        </w:tc>
        <w:tc>
          <w:tcPr>
            <w:tcW w:w="877" w:type="dxa"/>
            <w:vAlign w:val="bottom"/>
          </w:tcPr>
          <w:p>
            <w:pPr>
              <w:jc w:val="right"/>
              <w:rPr>
                <w:noProof/>
                <w:sz w:val="20"/>
              </w:rPr>
            </w:pPr>
            <w:r>
              <w:rPr>
                <w:noProof/>
                <w:sz w:val="20"/>
              </w:rPr>
              <w:t>304.696</w:t>
            </w:r>
          </w:p>
        </w:tc>
        <w:tc>
          <w:tcPr>
            <w:tcW w:w="1068" w:type="dxa"/>
            <w:vAlign w:val="bottom"/>
          </w:tcPr>
          <w:p>
            <w:pPr>
              <w:jc w:val="right"/>
              <w:rPr>
                <w:noProof/>
                <w:sz w:val="20"/>
              </w:rPr>
            </w:pPr>
            <w:r>
              <w:rPr>
                <w:noProof/>
                <w:color w:val="000000"/>
                <w:sz w:val="20"/>
                <w:szCs w:val="20"/>
              </w:rPr>
              <w:t>1 561.208</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rPr>
      </w:pPr>
      <w:bookmarkStart w:id="59" w:name="_Toc351881"/>
      <w:r>
        <w:t>3.2.2.</w:t>
      </w:r>
      <w:r>
        <w:tab/>
      </w:r>
      <w:r>
        <w:rPr>
          <w:noProof/>
        </w:rPr>
        <w:t>Summary of estimated impact on appropriations of an administrative nature</w:t>
      </w:r>
      <w:bookmarkEnd w:id="59"/>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t xml:space="preserve">X </w:t>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993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94"/>
        <w:gridCol w:w="994"/>
        <w:gridCol w:w="994"/>
        <w:gridCol w:w="995"/>
        <w:gridCol w:w="994"/>
        <w:gridCol w:w="994"/>
        <w:gridCol w:w="994"/>
        <w:gridCol w:w="995"/>
      </w:tblGrid>
      <w:tr>
        <w:trPr>
          <w:trHeight w:val="585"/>
        </w:trPr>
        <w:tc>
          <w:tcPr>
            <w:tcW w:w="1980" w:type="dxa"/>
            <w:vAlign w:val="center"/>
          </w:tcPr>
          <w:p>
            <w:pPr>
              <w:spacing w:before="60" w:after="60" w:line="200" w:lineRule="exact"/>
              <w:jc w:val="center"/>
              <w:rPr>
                <w:b/>
                <w:noProof/>
                <w:sz w:val="20"/>
                <w:szCs w:val="20"/>
              </w:rPr>
            </w:pPr>
            <w:r>
              <w:rPr>
                <w:b/>
                <w:noProof/>
                <w:sz w:val="20"/>
                <w:szCs w:val="20"/>
              </w:rPr>
              <w:t>Years</w:t>
            </w:r>
          </w:p>
        </w:tc>
        <w:tc>
          <w:tcPr>
            <w:tcW w:w="994" w:type="dxa"/>
            <w:vAlign w:val="center"/>
          </w:tcPr>
          <w:p>
            <w:pPr>
              <w:spacing w:before="60" w:after="60" w:line="200" w:lineRule="exact"/>
              <w:jc w:val="center"/>
              <w:rPr>
                <w:noProof/>
                <w:sz w:val="20"/>
                <w:szCs w:val="20"/>
              </w:rPr>
            </w:pPr>
            <w:r>
              <w:rPr>
                <w:b/>
                <w:noProof/>
                <w:sz w:val="20"/>
                <w:szCs w:val="20"/>
              </w:rPr>
              <w:t>2021</w:t>
            </w:r>
          </w:p>
        </w:tc>
        <w:tc>
          <w:tcPr>
            <w:tcW w:w="994" w:type="dxa"/>
            <w:vAlign w:val="center"/>
          </w:tcPr>
          <w:p>
            <w:pPr>
              <w:spacing w:before="60" w:after="60" w:line="200" w:lineRule="exact"/>
              <w:jc w:val="center"/>
              <w:rPr>
                <w:noProof/>
                <w:sz w:val="20"/>
                <w:szCs w:val="20"/>
              </w:rPr>
            </w:pPr>
            <w:r>
              <w:rPr>
                <w:b/>
                <w:noProof/>
                <w:sz w:val="20"/>
                <w:szCs w:val="20"/>
              </w:rPr>
              <w:t>2022</w:t>
            </w:r>
          </w:p>
        </w:tc>
        <w:tc>
          <w:tcPr>
            <w:tcW w:w="994" w:type="dxa"/>
            <w:vAlign w:val="center"/>
          </w:tcPr>
          <w:p>
            <w:pPr>
              <w:spacing w:before="60" w:after="60" w:line="200" w:lineRule="exact"/>
              <w:jc w:val="center"/>
              <w:rPr>
                <w:noProof/>
                <w:sz w:val="20"/>
                <w:szCs w:val="20"/>
              </w:rPr>
            </w:pPr>
            <w:r>
              <w:rPr>
                <w:b/>
                <w:noProof/>
                <w:sz w:val="20"/>
                <w:szCs w:val="20"/>
              </w:rPr>
              <w:t>2023</w:t>
            </w:r>
          </w:p>
        </w:tc>
        <w:tc>
          <w:tcPr>
            <w:tcW w:w="995" w:type="dxa"/>
            <w:vAlign w:val="center"/>
          </w:tcPr>
          <w:p>
            <w:pPr>
              <w:spacing w:before="60" w:after="60" w:line="200" w:lineRule="exact"/>
              <w:jc w:val="center"/>
              <w:rPr>
                <w:noProof/>
                <w:sz w:val="20"/>
                <w:szCs w:val="20"/>
              </w:rPr>
            </w:pPr>
            <w:r>
              <w:rPr>
                <w:b/>
                <w:noProof/>
                <w:sz w:val="20"/>
                <w:szCs w:val="20"/>
              </w:rPr>
              <w:t>2024</w:t>
            </w:r>
          </w:p>
        </w:tc>
        <w:tc>
          <w:tcPr>
            <w:tcW w:w="994" w:type="dxa"/>
            <w:vAlign w:val="center"/>
          </w:tcPr>
          <w:p>
            <w:pPr>
              <w:spacing w:line="200" w:lineRule="exact"/>
              <w:jc w:val="center"/>
              <w:rPr>
                <w:b/>
                <w:noProof/>
                <w:sz w:val="20"/>
                <w:szCs w:val="20"/>
              </w:rPr>
            </w:pPr>
            <w:r>
              <w:rPr>
                <w:b/>
                <w:noProof/>
                <w:sz w:val="20"/>
                <w:szCs w:val="20"/>
              </w:rPr>
              <w:t>2025</w:t>
            </w:r>
          </w:p>
        </w:tc>
        <w:tc>
          <w:tcPr>
            <w:tcW w:w="994" w:type="dxa"/>
            <w:vAlign w:val="center"/>
          </w:tcPr>
          <w:p>
            <w:pPr>
              <w:spacing w:line="200" w:lineRule="exact"/>
              <w:jc w:val="center"/>
              <w:rPr>
                <w:b/>
                <w:noProof/>
                <w:sz w:val="20"/>
                <w:szCs w:val="20"/>
              </w:rPr>
            </w:pPr>
            <w:r>
              <w:rPr>
                <w:b/>
                <w:noProof/>
                <w:sz w:val="20"/>
                <w:szCs w:val="20"/>
              </w:rPr>
              <w:t>2026</w:t>
            </w:r>
          </w:p>
        </w:tc>
        <w:tc>
          <w:tcPr>
            <w:tcW w:w="994" w:type="dxa"/>
            <w:vAlign w:val="center"/>
          </w:tcPr>
          <w:p>
            <w:pPr>
              <w:spacing w:line="200" w:lineRule="exact"/>
              <w:jc w:val="center"/>
              <w:rPr>
                <w:b/>
                <w:noProof/>
                <w:sz w:val="20"/>
                <w:szCs w:val="20"/>
              </w:rPr>
            </w:pPr>
            <w:r>
              <w:rPr>
                <w:b/>
                <w:noProof/>
                <w:sz w:val="20"/>
                <w:szCs w:val="20"/>
              </w:rPr>
              <w:t>2027</w:t>
            </w:r>
          </w:p>
        </w:tc>
        <w:tc>
          <w:tcPr>
            <w:tcW w:w="995" w:type="dxa"/>
            <w:vAlign w:val="center"/>
          </w:tcPr>
          <w:p>
            <w:pPr>
              <w:spacing w:before="60" w:after="60" w:line="200" w:lineRule="exact"/>
              <w:jc w:val="center"/>
              <w:rPr>
                <w:b/>
                <w:noProof/>
                <w:sz w:val="20"/>
                <w:szCs w:val="20"/>
              </w:rPr>
            </w:pPr>
            <w:r>
              <w:rPr>
                <w:b/>
                <w:noProof/>
                <w:sz w:val="20"/>
                <w:szCs w:val="20"/>
              </w:rPr>
              <w:t>TOTAL</w:t>
            </w:r>
          </w:p>
        </w:tc>
      </w:tr>
    </w:tbl>
    <w:p>
      <w:pPr>
        <w:spacing w:line="200" w:lineRule="exact"/>
        <w:rPr>
          <w:noProof/>
          <w:sz w:val="20"/>
          <w:szCs w:val="20"/>
        </w:rPr>
      </w:pPr>
    </w:p>
    <w:tbl>
      <w:tblPr>
        <w:tblW w:w="993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94"/>
        <w:gridCol w:w="994"/>
        <w:gridCol w:w="994"/>
        <w:gridCol w:w="995"/>
        <w:gridCol w:w="994"/>
        <w:gridCol w:w="994"/>
        <w:gridCol w:w="994"/>
        <w:gridCol w:w="995"/>
      </w:tblGrid>
      <w:tr>
        <w:trPr>
          <w:trHeight w:val="585"/>
        </w:trPr>
        <w:tc>
          <w:tcPr>
            <w:tcW w:w="1980" w:type="dxa"/>
            <w:shd w:val="clear" w:color="auto" w:fill="CCCCCC"/>
            <w:vAlign w:val="center"/>
          </w:tcPr>
          <w:p>
            <w:pPr>
              <w:spacing w:before="60" w:after="60" w:line="200" w:lineRule="exact"/>
              <w:jc w:val="center"/>
              <w:rPr>
                <w:b/>
                <w:noProof/>
                <w:sz w:val="20"/>
                <w:szCs w:val="20"/>
              </w:rPr>
            </w:pPr>
            <w:r>
              <w:rPr>
                <w:b/>
                <w:noProof/>
                <w:sz w:val="20"/>
                <w:szCs w:val="20"/>
              </w:rPr>
              <w:t>HEADING 7</w:t>
            </w:r>
            <w:r>
              <w:rPr>
                <w:noProof/>
                <w:sz w:val="20"/>
                <w:szCs w:val="20"/>
              </w:rPr>
              <w:br/>
            </w:r>
            <w:r>
              <w:rPr>
                <w:b/>
                <w:noProof/>
                <w:sz w:val="20"/>
                <w:szCs w:val="20"/>
              </w:rPr>
              <w:t>of the multiannual financial framework</w:t>
            </w: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5"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b/>
                <w:noProof/>
                <w:sz w:val="20"/>
                <w:szCs w:val="20"/>
              </w:rPr>
            </w:pPr>
          </w:p>
        </w:tc>
        <w:tc>
          <w:tcPr>
            <w:tcW w:w="995" w:type="dxa"/>
            <w:vAlign w:val="center"/>
          </w:tcPr>
          <w:p>
            <w:pPr>
              <w:spacing w:before="60" w:after="60" w:line="200" w:lineRule="exact"/>
              <w:jc w:val="right"/>
              <w:rPr>
                <w:b/>
                <w:noProof/>
                <w:sz w:val="20"/>
                <w:szCs w:val="20"/>
              </w:rPr>
            </w:pPr>
          </w:p>
        </w:tc>
      </w:tr>
      <w:tr>
        <w:trPr>
          <w:trHeight w:val="585"/>
        </w:trPr>
        <w:tc>
          <w:tcPr>
            <w:tcW w:w="1980" w:type="dxa"/>
            <w:vAlign w:val="center"/>
          </w:tcPr>
          <w:p>
            <w:pPr>
              <w:spacing w:before="60" w:after="60" w:line="200" w:lineRule="exact"/>
              <w:ind w:left="72"/>
              <w:jc w:val="left"/>
              <w:rPr>
                <w:noProof/>
                <w:sz w:val="20"/>
                <w:szCs w:val="20"/>
              </w:rPr>
            </w:pPr>
            <w:r>
              <w:rPr>
                <w:noProof/>
                <w:sz w:val="20"/>
                <w:szCs w:val="20"/>
              </w:rPr>
              <w:t xml:space="preserve">Human resources </w:t>
            </w:r>
          </w:p>
        </w:tc>
        <w:tc>
          <w:tcPr>
            <w:tcW w:w="994" w:type="dxa"/>
            <w:vAlign w:val="center"/>
          </w:tcPr>
          <w:p>
            <w:pPr>
              <w:jc w:val="center"/>
              <w:rPr>
                <w:noProof/>
                <w:sz w:val="20"/>
                <w:szCs w:val="20"/>
              </w:rPr>
            </w:pPr>
            <w:r>
              <w:rPr>
                <w:noProof/>
                <w:sz w:val="20"/>
                <w:szCs w:val="20"/>
              </w:rPr>
              <w:t>21.448</w:t>
            </w:r>
          </w:p>
        </w:tc>
        <w:tc>
          <w:tcPr>
            <w:tcW w:w="994" w:type="dxa"/>
            <w:vAlign w:val="center"/>
          </w:tcPr>
          <w:p>
            <w:pPr>
              <w:jc w:val="center"/>
              <w:rPr>
                <w:noProof/>
                <w:sz w:val="20"/>
                <w:szCs w:val="20"/>
              </w:rPr>
            </w:pPr>
            <w:r>
              <w:rPr>
                <w:noProof/>
                <w:sz w:val="20"/>
                <w:szCs w:val="20"/>
              </w:rPr>
              <w:t>21.665</w:t>
            </w:r>
          </w:p>
        </w:tc>
        <w:tc>
          <w:tcPr>
            <w:tcW w:w="994" w:type="dxa"/>
            <w:vAlign w:val="center"/>
          </w:tcPr>
          <w:p>
            <w:pPr>
              <w:jc w:val="center"/>
              <w:rPr>
                <w:noProof/>
                <w:sz w:val="20"/>
                <w:szCs w:val="20"/>
              </w:rPr>
            </w:pPr>
            <w:r>
              <w:rPr>
                <w:noProof/>
                <w:sz w:val="20"/>
                <w:szCs w:val="20"/>
              </w:rPr>
              <w:t>21.882</w:t>
            </w:r>
          </w:p>
        </w:tc>
        <w:tc>
          <w:tcPr>
            <w:tcW w:w="995" w:type="dxa"/>
            <w:vAlign w:val="center"/>
          </w:tcPr>
          <w:p>
            <w:pPr>
              <w:jc w:val="center"/>
              <w:rPr>
                <w:noProof/>
                <w:sz w:val="20"/>
                <w:szCs w:val="20"/>
              </w:rPr>
            </w:pPr>
            <w:r>
              <w:rPr>
                <w:noProof/>
                <w:sz w:val="20"/>
                <w:szCs w:val="20"/>
              </w:rPr>
              <w:t>22.099</w:t>
            </w:r>
          </w:p>
        </w:tc>
        <w:tc>
          <w:tcPr>
            <w:tcW w:w="994" w:type="dxa"/>
            <w:vAlign w:val="center"/>
          </w:tcPr>
          <w:p>
            <w:pPr>
              <w:jc w:val="center"/>
              <w:rPr>
                <w:noProof/>
                <w:sz w:val="20"/>
                <w:szCs w:val="20"/>
              </w:rPr>
            </w:pPr>
            <w:r>
              <w:rPr>
                <w:noProof/>
                <w:sz w:val="20"/>
                <w:szCs w:val="20"/>
              </w:rPr>
              <w:t>22.099</w:t>
            </w:r>
          </w:p>
        </w:tc>
        <w:tc>
          <w:tcPr>
            <w:tcW w:w="994" w:type="dxa"/>
            <w:vAlign w:val="center"/>
          </w:tcPr>
          <w:p>
            <w:pPr>
              <w:jc w:val="center"/>
              <w:rPr>
                <w:noProof/>
                <w:sz w:val="20"/>
                <w:szCs w:val="20"/>
              </w:rPr>
            </w:pPr>
            <w:r>
              <w:rPr>
                <w:noProof/>
                <w:sz w:val="20"/>
                <w:szCs w:val="20"/>
              </w:rPr>
              <w:t>22.099</w:t>
            </w:r>
          </w:p>
        </w:tc>
        <w:tc>
          <w:tcPr>
            <w:tcW w:w="994" w:type="dxa"/>
            <w:vAlign w:val="center"/>
          </w:tcPr>
          <w:p>
            <w:pPr>
              <w:jc w:val="center"/>
              <w:rPr>
                <w:noProof/>
                <w:sz w:val="20"/>
                <w:szCs w:val="20"/>
              </w:rPr>
            </w:pPr>
            <w:r>
              <w:rPr>
                <w:noProof/>
                <w:sz w:val="20"/>
                <w:szCs w:val="20"/>
              </w:rPr>
              <w:t>22.099</w:t>
            </w:r>
          </w:p>
        </w:tc>
        <w:tc>
          <w:tcPr>
            <w:tcW w:w="995" w:type="dxa"/>
            <w:tcBorders>
              <w:bottom w:val="single" w:sz="2" w:space="0" w:color="auto"/>
            </w:tcBorders>
            <w:vAlign w:val="center"/>
          </w:tcPr>
          <w:p>
            <w:pPr>
              <w:jc w:val="center"/>
              <w:rPr>
                <w:b/>
                <w:noProof/>
                <w:sz w:val="20"/>
                <w:szCs w:val="20"/>
              </w:rPr>
            </w:pPr>
            <w:r>
              <w:rPr>
                <w:b/>
                <w:noProof/>
                <w:sz w:val="20"/>
                <w:szCs w:val="20"/>
              </w:rPr>
              <w:t>153.391</w:t>
            </w:r>
          </w:p>
        </w:tc>
      </w:tr>
      <w:tr>
        <w:trPr>
          <w:trHeight w:val="585"/>
        </w:trPr>
        <w:tc>
          <w:tcPr>
            <w:tcW w:w="1980" w:type="dxa"/>
            <w:vAlign w:val="center"/>
          </w:tcPr>
          <w:p>
            <w:pPr>
              <w:spacing w:before="60" w:after="60" w:line="200" w:lineRule="exact"/>
              <w:ind w:left="72"/>
              <w:jc w:val="left"/>
              <w:rPr>
                <w:noProof/>
                <w:sz w:val="20"/>
                <w:szCs w:val="20"/>
              </w:rPr>
            </w:pPr>
            <w:r>
              <w:rPr>
                <w:noProof/>
                <w:sz w:val="20"/>
                <w:szCs w:val="20"/>
              </w:rPr>
              <w:t xml:space="preserve">Other administrative expenditure </w:t>
            </w:r>
          </w:p>
        </w:tc>
        <w:tc>
          <w:tcPr>
            <w:tcW w:w="994" w:type="dxa"/>
            <w:tcBorders>
              <w:top w:val="single" w:sz="8" w:space="0" w:color="auto"/>
              <w:left w:val="single" w:sz="4" w:space="0" w:color="auto"/>
              <w:bottom w:val="single" w:sz="8" w:space="0" w:color="auto"/>
              <w:right w:val="single" w:sz="4" w:space="0" w:color="auto"/>
            </w:tcBorders>
            <w:shd w:val="clear" w:color="auto" w:fill="auto"/>
            <w:vAlign w:val="center"/>
          </w:tcPr>
          <w:p>
            <w:pPr>
              <w:jc w:val="center"/>
              <w:rPr>
                <w:noProof/>
                <w:sz w:val="20"/>
                <w:szCs w:val="20"/>
              </w:rPr>
            </w:pPr>
            <w:r>
              <w:rPr>
                <w:noProof/>
                <w:sz w:val="20"/>
                <w:szCs w:val="20"/>
              </w:rPr>
              <w:t>1.098</w:t>
            </w:r>
          </w:p>
        </w:tc>
        <w:tc>
          <w:tcPr>
            <w:tcW w:w="994" w:type="dxa"/>
            <w:tcBorders>
              <w:top w:val="single" w:sz="8" w:space="0" w:color="auto"/>
              <w:left w:val="nil"/>
              <w:bottom w:val="single" w:sz="8" w:space="0" w:color="auto"/>
              <w:right w:val="single" w:sz="4" w:space="0" w:color="auto"/>
            </w:tcBorders>
            <w:shd w:val="clear" w:color="auto" w:fill="auto"/>
            <w:vAlign w:val="center"/>
          </w:tcPr>
          <w:p>
            <w:pPr>
              <w:jc w:val="center"/>
              <w:rPr>
                <w:noProof/>
                <w:sz w:val="20"/>
                <w:szCs w:val="20"/>
              </w:rPr>
            </w:pPr>
            <w:r>
              <w:rPr>
                <w:noProof/>
                <w:sz w:val="20"/>
                <w:szCs w:val="20"/>
              </w:rPr>
              <w:t>1.107</w:t>
            </w:r>
          </w:p>
        </w:tc>
        <w:tc>
          <w:tcPr>
            <w:tcW w:w="994" w:type="dxa"/>
            <w:tcBorders>
              <w:top w:val="single" w:sz="8" w:space="0" w:color="auto"/>
              <w:left w:val="nil"/>
              <w:bottom w:val="single" w:sz="8" w:space="0" w:color="auto"/>
              <w:right w:val="single" w:sz="4" w:space="0" w:color="auto"/>
            </w:tcBorders>
            <w:shd w:val="clear" w:color="auto" w:fill="auto"/>
            <w:vAlign w:val="center"/>
          </w:tcPr>
          <w:p>
            <w:pPr>
              <w:jc w:val="center"/>
              <w:rPr>
                <w:noProof/>
                <w:sz w:val="20"/>
                <w:szCs w:val="20"/>
              </w:rPr>
            </w:pPr>
            <w:r>
              <w:rPr>
                <w:noProof/>
                <w:sz w:val="20"/>
                <w:szCs w:val="20"/>
              </w:rPr>
              <w:t>1.115</w:t>
            </w:r>
          </w:p>
        </w:tc>
        <w:tc>
          <w:tcPr>
            <w:tcW w:w="995" w:type="dxa"/>
            <w:tcBorders>
              <w:top w:val="single" w:sz="8" w:space="0" w:color="auto"/>
              <w:left w:val="nil"/>
              <w:bottom w:val="single" w:sz="8" w:space="0" w:color="auto"/>
              <w:right w:val="single" w:sz="4" w:space="0" w:color="auto"/>
            </w:tcBorders>
            <w:shd w:val="clear" w:color="auto" w:fill="auto"/>
            <w:vAlign w:val="center"/>
          </w:tcPr>
          <w:p>
            <w:pPr>
              <w:jc w:val="center"/>
              <w:rPr>
                <w:noProof/>
                <w:sz w:val="20"/>
                <w:szCs w:val="20"/>
              </w:rPr>
            </w:pPr>
            <w:r>
              <w:rPr>
                <w:noProof/>
                <w:sz w:val="20"/>
                <w:szCs w:val="20"/>
              </w:rPr>
              <w:t>1.124</w:t>
            </w:r>
          </w:p>
        </w:tc>
        <w:tc>
          <w:tcPr>
            <w:tcW w:w="994" w:type="dxa"/>
            <w:tcBorders>
              <w:top w:val="single" w:sz="8" w:space="0" w:color="auto"/>
              <w:left w:val="nil"/>
              <w:bottom w:val="single" w:sz="8" w:space="0" w:color="auto"/>
              <w:right w:val="single" w:sz="4" w:space="0" w:color="auto"/>
            </w:tcBorders>
            <w:shd w:val="clear" w:color="auto" w:fill="auto"/>
            <w:vAlign w:val="center"/>
          </w:tcPr>
          <w:p>
            <w:pPr>
              <w:jc w:val="center"/>
              <w:rPr>
                <w:noProof/>
                <w:sz w:val="20"/>
                <w:szCs w:val="20"/>
              </w:rPr>
            </w:pPr>
            <w:r>
              <w:rPr>
                <w:noProof/>
                <w:sz w:val="20"/>
                <w:szCs w:val="20"/>
              </w:rPr>
              <w:t>1.124</w:t>
            </w:r>
          </w:p>
        </w:tc>
        <w:tc>
          <w:tcPr>
            <w:tcW w:w="994" w:type="dxa"/>
            <w:tcBorders>
              <w:top w:val="single" w:sz="8" w:space="0" w:color="auto"/>
              <w:left w:val="nil"/>
              <w:bottom w:val="single" w:sz="8" w:space="0" w:color="auto"/>
              <w:right w:val="single" w:sz="4" w:space="0" w:color="auto"/>
            </w:tcBorders>
            <w:shd w:val="clear" w:color="auto" w:fill="auto"/>
            <w:vAlign w:val="center"/>
          </w:tcPr>
          <w:p>
            <w:pPr>
              <w:jc w:val="center"/>
              <w:rPr>
                <w:noProof/>
                <w:sz w:val="20"/>
                <w:szCs w:val="20"/>
              </w:rPr>
            </w:pPr>
            <w:r>
              <w:rPr>
                <w:noProof/>
                <w:sz w:val="20"/>
                <w:szCs w:val="20"/>
              </w:rPr>
              <w:t>1.124</w:t>
            </w:r>
          </w:p>
        </w:tc>
        <w:tc>
          <w:tcPr>
            <w:tcW w:w="994" w:type="dxa"/>
            <w:tcBorders>
              <w:top w:val="single" w:sz="8" w:space="0" w:color="auto"/>
              <w:left w:val="nil"/>
              <w:bottom w:val="single" w:sz="8" w:space="0" w:color="auto"/>
              <w:right w:val="single" w:sz="4" w:space="0" w:color="auto"/>
            </w:tcBorders>
            <w:shd w:val="clear" w:color="auto" w:fill="auto"/>
            <w:vAlign w:val="center"/>
          </w:tcPr>
          <w:p>
            <w:pPr>
              <w:jc w:val="center"/>
              <w:rPr>
                <w:noProof/>
                <w:sz w:val="20"/>
                <w:szCs w:val="20"/>
              </w:rPr>
            </w:pPr>
            <w:r>
              <w:rPr>
                <w:noProof/>
                <w:sz w:val="20"/>
                <w:szCs w:val="20"/>
              </w:rPr>
              <w:t>1.124</w:t>
            </w:r>
          </w:p>
        </w:tc>
        <w:tc>
          <w:tcPr>
            <w:tcW w:w="995" w:type="dxa"/>
            <w:tcBorders>
              <w:top w:val="single" w:sz="2" w:space="0" w:color="auto"/>
              <w:left w:val="nil"/>
              <w:bottom w:val="single" w:sz="2" w:space="0" w:color="auto"/>
              <w:right w:val="single" w:sz="4" w:space="0" w:color="auto"/>
            </w:tcBorders>
            <w:shd w:val="clear" w:color="auto" w:fill="auto"/>
            <w:vAlign w:val="center"/>
          </w:tcPr>
          <w:p>
            <w:pPr>
              <w:jc w:val="center"/>
              <w:rPr>
                <w:b/>
                <w:noProof/>
                <w:sz w:val="20"/>
                <w:szCs w:val="20"/>
              </w:rPr>
            </w:pPr>
            <w:r>
              <w:rPr>
                <w:b/>
                <w:noProof/>
                <w:sz w:val="20"/>
                <w:szCs w:val="20"/>
              </w:rPr>
              <w:t>7.817</w:t>
            </w:r>
          </w:p>
        </w:tc>
      </w:tr>
      <w:tr>
        <w:trPr>
          <w:trHeight w:val="585"/>
        </w:trPr>
        <w:tc>
          <w:tcPr>
            <w:tcW w:w="1980" w:type="dxa"/>
            <w:shd w:val="clear" w:color="auto" w:fill="CCCCCC"/>
            <w:vAlign w:val="center"/>
          </w:tcPr>
          <w:p>
            <w:pPr>
              <w:spacing w:before="60" w:after="60" w:line="200" w:lineRule="exact"/>
              <w:jc w:val="center"/>
              <w:rPr>
                <w:b/>
                <w:noProof/>
                <w:sz w:val="20"/>
                <w:szCs w:val="20"/>
              </w:rPr>
            </w:pPr>
            <w:r>
              <w:rPr>
                <w:b/>
                <w:noProof/>
                <w:sz w:val="20"/>
                <w:szCs w:val="20"/>
              </w:rPr>
              <w:t>Subtotal HEADING 7</w:t>
            </w:r>
            <w:r>
              <w:rPr>
                <w:noProof/>
                <w:sz w:val="20"/>
                <w:szCs w:val="20"/>
              </w:rPr>
              <w:br/>
            </w:r>
            <w:r>
              <w:rPr>
                <w:b/>
                <w:noProof/>
                <w:sz w:val="20"/>
                <w:szCs w:val="20"/>
              </w:rPr>
              <w:t xml:space="preserve">of the multiannual financial framework </w:t>
            </w:r>
          </w:p>
        </w:tc>
        <w:tc>
          <w:tcPr>
            <w:tcW w:w="994" w:type="dxa"/>
            <w:vAlign w:val="center"/>
          </w:tcPr>
          <w:p>
            <w:pPr>
              <w:jc w:val="center"/>
              <w:rPr>
                <w:noProof/>
                <w:color w:val="000000"/>
                <w:sz w:val="20"/>
                <w:szCs w:val="20"/>
              </w:rPr>
            </w:pPr>
            <w:r>
              <w:rPr>
                <w:b/>
                <w:bCs/>
                <w:noProof/>
                <w:color w:val="000000"/>
                <w:sz w:val="20"/>
                <w:szCs w:val="20"/>
              </w:rPr>
              <w:t>22.546</w:t>
            </w:r>
          </w:p>
        </w:tc>
        <w:tc>
          <w:tcPr>
            <w:tcW w:w="994" w:type="dxa"/>
            <w:vAlign w:val="center"/>
          </w:tcPr>
          <w:p>
            <w:pPr>
              <w:jc w:val="center"/>
              <w:rPr>
                <w:noProof/>
                <w:color w:val="000000"/>
                <w:sz w:val="20"/>
                <w:szCs w:val="20"/>
              </w:rPr>
            </w:pPr>
            <w:r>
              <w:rPr>
                <w:b/>
                <w:bCs/>
                <w:noProof/>
                <w:color w:val="000000"/>
                <w:sz w:val="20"/>
                <w:szCs w:val="20"/>
              </w:rPr>
              <w:t>22.772</w:t>
            </w:r>
          </w:p>
        </w:tc>
        <w:tc>
          <w:tcPr>
            <w:tcW w:w="994" w:type="dxa"/>
            <w:vAlign w:val="center"/>
          </w:tcPr>
          <w:p>
            <w:pPr>
              <w:jc w:val="center"/>
              <w:rPr>
                <w:noProof/>
                <w:color w:val="000000"/>
                <w:sz w:val="20"/>
                <w:szCs w:val="20"/>
              </w:rPr>
            </w:pPr>
            <w:r>
              <w:rPr>
                <w:b/>
                <w:bCs/>
                <w:noProof/>
                <w:color w:val="000000"/>
                <w:sz w:val="20"/>
                <w:szCs w:val="20"/>
              </w:rPr>
              <w:t>22.997</w:t>
            </w:r>
          </w:p>
        </w:tc>
        <w:tc>
          <w:tcPr>
            <w:tcW w:w="995" w:type="dxa"/>
            <w:vAlign w:val="center"/>
          </w:tcPr>
          <w:p>
            <w:pPr>
              <w:jc w:val="center"/>
              <w:rPr>
                <w:noProof/>
                <w:color w:val="000000"/>
                <w:sz w:val="20"/>
                <w:szCs w:val="20"/>
              </w:rPr>
            </w:pPr>
            <w:r>
              <w:rPr>
                <w:b/>
                <w:bCs/>
                <w:noProof/>
                <w:color w:val="000000"/>
                <w:sz w:val="20"/>
                <w:szCs w:val="20"/>
              </w:rPr>
              <w:t>23.223</w:t>
            </w:r>
          </w:p>
        </w:tc>
        <w:tc>
          <w:tcPr>
            <w:tcW w:w="994" w:type="dxa"/>
            <w:vAlign w:val="center"/>
          </w:tcPr>
          <w:p>
            <w:pPr>
              <w:jc w:val="center"/>
              <w:rPr>
                <w:noProof/>
                <w:color w:val="000000"/>
                <w:sz w:val="20"/>
                <w:szCs w:val="20"/>
              </w:rPr>
            </w:pPr>
            <w:r>
              <w:rPr>
                <w:b/>
                <w:bCs/>
                <w:noProof/>
                <w:color w:val="000000"/>
                <w:sz w:val="20"/>
                <w:szCs w:val="20"/>
              </w:rPr>
              <w:t>23.223</w:t>
            </w:r>
          </w:p>
        </w:tc>
        <w:tc>
          <w:tcPr>
            <w:tcW w:w="994" w:type="dxa"/>
            <w:vAlign w:val="center"/>
          </w:tcPr>
          <w:p>
            <w:pPr>
              <w:jc w:val="center"/>
              <w:rPr>
                <w:noProof/>
                <w:color w:val="000000"/>
                <w:sz w:val="20"/>
                <w:szCs w:val="20"/>
              </w:rPr>
            </w:pPr>
            <w:r>
              <w:rPr>
                <w:b/>
                <w:bCs/>
                <w:noProof/>
                <w:color w:val="000000"/>
                <w:sz w:val="20"/>
                <w:szCs w:val="20"/>
              </w:rPr>
              <w:t>23.223</w:t>
            </w:r>
          </w:p>
        </w:tc>
        <w:tc>
          <w:tcPr>
            <w:tcW w:w="994" w:type="dxa"/>
            <w:vAlign w:val="center"/>
          </w:tcPr>
          <w:p>
            <w:pPr>
              <w:jc w:val="center"/>
              <w:rPr>
                <w:noProof/>
                <w:color w:val="000000"/>
                <w:sz w:val="20"/>
                <w:szCs w:val="20"/>
              </w:rPr>
            </w:pPr>
            <w:r>
              <w:rPr>
                <w:b/>
                <w:bCs/>
                <w:noProof/>
                <w:color w:val="000000"/>
                <w:sz w:val="20"/>
                <w:szCs w:val="20"/>
              </w:rPr>
              <w:t>23.223</w:t>
            </w:r>
          </w:p>
        </w:tc>
        <w:tc>
          <w:tcPr>
            <w:tcW w:w="995" w:type="dxa"/>
            <w:tcBorders>
              <w:top w:val="single" w:sz="2" w:space="0" w:color="auto"/>
            </w:tcBorders>
            <w:vAlign w:val="center"/>
          </w:tcPr>
          <w:p>
            <w:pPr>
              <w:jc w:val="center"/>
              <w:rPr>
                <w:b/>
                <w:noProof/>
                <w:color w:val="000000"/>
                <w:sz w:val="20"/>
                <w:szCs w:val="20"/>
              </w:rPr>
            </w:pPr>
            <w:r>
              <w:rPr>
                <w:b/>
                <w:noProof/>
                <w:color w:val="000000"/>
                <w:sz w:val="20"/>
                <w:szCs w:val="20"/>
              </w:rPr>
              <w:t>161.208</w:t>
            </w:r>
          </w:p>
        </w:tc>
      </w:tr>
    </w:tbl>
    <w:p>
      <w:pPr>
        <w:spacing w:line="200" w:lineRule="exact"/>
        <w:rPr>
          <w:noProof/>
          <w:sz w:val="20"/>
          <w:szCs w:val="20"/>
        </w:rPr>
      </w:pPr>
    </w:p>
    <w:tbl>
      <w:tblPr>
        <w:tblW w:w="9934"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994"/>
        <w:gridCol w:w="994"/>
        <w:gridCol w:w="994"/>
        <w:gridCol w:w="995"/>
        <w:gridCol w:w="994"/>
        <w:gridCol w:w="994"/>
        <w:gridCol w:w="994"/>
        <w:gridCol w:w="995"/>
      </w:tblGrid>
      <w:tr>
        <w:trPr>
          <w:trHeight w:val="585"/>
        </w:trPr>
        <w:tc>
          <w:tcPr>
            <w:tcW w:w="1980" w:type="dxa"/>
            <w:shd w:val="clear" w:color="auto" w:fill="CCCCCC"/>
            <w:vAlign w:val="center"/>
          </w:tcPr>
          <w:p>
            <w:pPr>
              <w:spacing w:before="60" w:after="60" w:line="200" w:lineRule="exact"/>
              <w:jc w:val="center"/>
              <w:rPr>
                <w:noProof/>
                <w:sz w:val="20"/>
                <w:szCs w:val="20"/>
              </w:rPr>
            </w:pPr>
            <w:r>
              <w:rPr>
                <w:b/>
                <w:noProof/>
                <w:sz w:val="20"/>
                <w:szCs w:val="20"/>
              </w:rPr>
              <w:t>Outside HEADING 7</w:t>
            </w:r>
            <w:r>
              <w:rPr>
                <w:rStyle w:val="FootnoteReference"/>
                <w:b/>
                <w:noProof/>
                <w:sz w:val="20"/>
                <w:szCs w:val="20"/>
              </w:rPr>
              <w:footnoteReference w:id="26"/>
            </w:r>
            <w:r>
              <w:rPr>
                <w:noProof/>
                <w:sz w:val="20"/>
                <w:szCs w:val="20"/>
              </w:rPr>
              <w:br/>
            </w:r>
            <w:r>
              <w:rPr>
                <w:b/>
                <w:noProof/>
                <w:sz w:val="20"/>
                <w:szCs w:val="20"/>
              </w:rPr>
              <w:t xml:space="preserve">of the multiannual financial framework </w:t>
            </w:r>
          </w:p>
          <w:p>
            <w:pPr>
              <w:spacing w:before="0" w:after="0" w:line="200" w:lineRule="exact"/>
              <w:jc w:val="center"/>
              <w:rPr>
                <w:b/>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5"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b/>
                <w:noProof/>
                <w:sz w:val="20"/>
                <w:szCs w:val="20"/>
              </w:rPr>
            </w:pPr>
          </w:p>
        </w:tc>
        <w:tc>
          <w:tcPr>
            <w:tcW w:w="995" w:type="dxa"/>
            <w:vAlign w:val="center"/>
          </w:tcPr>
          <w:p>
            <w:pPr>
              <w:spacing w:before="60" w:after="60" w:line="200" w:lineRule="exact"/>
              <w:jc w:val="right"/>
              <w:rPr>
                <w:b/>
                <w:noProof/>
                <w:sz w:val="20"/>
                <w:szCs w:val="20"/>
              </w:rPr>
            </w:pPr>
          </w:p>
        </w:tc>
      </w:tr>
      <w:tr>
        <w:trPr>
          <w:trHeight w:val="585"/>
        </w:trPr>
        <w:tc>
          <w:tcPr>
            <w:tcW w:w="1980" w:type="dxa"/>
            <w:vAlign w:val="center"/>
          </w:tcPr>
          <w:p>
            <w:pPr>
              <w:spacing w:before="60" w:after="60" w:line="200" w:lineRule="exact"/>
              <w:ind w:left="72"/>
              <w:jc w:val="left"/>
              <w:rPr>
                <w:noProof/>
                <w:sz w:val="20"/>
                <w:szCs w:val="20"/>
              </w:rPr>
            </w:pPr>
            <w:r>
              <w:rPr>
                <w:noProof/>
                <w:sz w:val="20"/>
                <w:szCs w:val="20"/>
              </w:rPr>
              <w:t xml:space="preserve">Human resources </w:t>
            </w: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5"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b/>
                <w:noProof/>
                <w:sz w:val="20"/>
                <w:szCs w:val="20"/>
              </w:rPr>
            </w:pPr>
          </w:p>
        </w:tc>
        <w:tc>
          <w:tcPr>
            <w:tcW w:w="995" w:type="dxa"/>
            <w:vAlign w:val="center"/>
          </w:tcPr>
          <w:p>
            <w:pPr>
              <w:spacing w:before="60" w:after="60" w:line="200" w:lineRule="exact"/>
              <w:jc w:val="right"/>
              <w:rPr>
                <w:b/>
                <w:noProof/>
                <w:sz w:val="20"/>
                <w:szCs w:val="20"/>
              </w:rPr>
            </w:pPr>
          </w:p>
        </w:tc>
      </w:tr>
      <w:tr>
        <w:trPr>
          <w:trHeight w:val="585"/>
        </w:trPr>
        <w:tc>
          <w:tcPr>
            <w:tcW w:w="1980" w:type="dxa"/>
            <w:vAlign w:val="center"/>
          </w:tcPr>
          <w:p>
            <w:pPr>
              <w:spacing w:before="60" w:after="60" w:line="200" w:lineRule="exact"/>
              <w:ind w:left="72"/>
              <w:jc w:val="left"/>
              <w:rPr>
                <w:noProof/>
                <w:sz w:val="20"/>
                <w:szCs w:val="20"/>
              </w:rPr>
            </w:pPr>
            <w:r>
              <w:rPr>
                <w:noProof/>
                <w:sz w:val="20"/>
                <w:szCs w:val="20"/>
              </w:rPr>
              <w:t xml:space="preserve">Other expenditure </w:t>
            </w:r>
            <w:r>
              <w:rPr>
                <w:noProof/>
                <w:sz w:val="20"/>
                <w:szCs w:val="20"/>
              </w:rPr>
              <w:br/>
              <w:t>of an administrative nature</w:t>
            </w: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5"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b/>
                <w:noProof/>
                <w:sz w:val="20"/>
                <w:szCs w:val="20"/>
              </w:rPr>
            </w:pPr>
          </w:p>
        </w:tc>
        <w:tc>
          <w:tcPr>
            <w:tcW w:w="995" w:type="dxa"/>
            <w:vAlign w:val="center"/>
          </w:tcPr>
          <w:p>
            <w:pPr>
              <w:spacing w:before="60" w:after="60" w:line="200" w:lineRule="exact"/>
              <w:jc w:val="right"/>
              <w:rPr>
                <w:b/>
                <w:noProof/>
                <w:sz w:val="20"/>
                <w:szCs w:val="20"/>
              </w:rPr>
            </w:pPr>
          </w:p>
        </w:tc>
      </w:tr>
      <w:tr>
        <w:trPr>
          <w:trHeight w:val="585"/>
        </w:trPr>
        <w:tc>
          <w:tcPr>
            <w:tcW w:w="1980" w:type="dxa"/>
            <w:shd w:val="clear" w:color="auto" w:fill="CCCCCC"/>
            <w:vAlign w:val="center"/>
          </w:tcPr>
          <w:p>
            <w:pPr>
              <w:spacing w:before="60" w:after="60" w:line="200" w:lineRule="exact"/>
              <w:jc w:val="center"/>
              <w:rPr>
                <w:b/>
                <w:noProof/>
                <w:sz w:val="20"/>
                <w:szCs w:val="20"/>
              </w:rPr>
            </w:pPr>
            <w:r>
              <w:rPr>
                <w:b/>
                <w:noProof/>
                <w:sz w:val="20"/>
                <w:szCs w:val="20"/>
              </w:rPr>
              <w:t xml:space="preserve">Subtotal </w:t>
            </w:r>
            <w:r>
              <w:rPr>
                <w:noProof/>
                <w:sz w:val="20"/>
                <w:szCs w:val="20"/>
              </w:rPr>
              <w:br/>
            </w:r>
            <w:r>
              <w:rPr>
                <w:b/>
                <w:noProof/>
                <w:sz w:val="20"/>
                <w:szCs w:val="20"/>
              </w:rPr>
              <w:t>outside HEADING 7</w:t>
            </w:r>
            <w:r>
              <w:rPr>
                <w:noProof/>
                <w:sz w:val="20"/>
                <w:szCs w:val="20"/>
              </w:rPr>
              <w:br/>
            </w:r>
            <w:r>
              <w:rPr>
                <w:b/>
                <w:noProof/>
                <w:sz w:val="20"/>
                <w:szCs w:val="20"/>
              </w:rPr>
              <w:t xml:space="preserve">of the multiannual financial framework </w:t>
            </w: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5"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noProof/>
                <w:sz w:val="20"/>
                <w:szCs w:val="20"/>
              </w:rPr>
            </w:pPr>
          </w:p>
        </w:tc>
        <w:tc>
          <w:tcPr>
            <w:tcW w:w="994" w:type="dxa"/>
            <w:vAlign w:val="center"/>
          </w:tcPr>
          <w:p>
            <w:pPr>
              <w:spacing w:before="60" w:after="60" w:line="200" w:lineRule="exact"/>
              <w:jc w:val="right"/>
              <w:rPr>
                <w:b/>
                <w:noProof/>
                <w:sz w:val="20"/>
                <w:szCs w:val="20"/>
              </w:rPr>
            </w:pPr>
          </w:p>
        </w:tc>
        <w:tc>
          <w:tcPr>
            <w:tcW w:w="995" w:type="dxa"/>
            <w:vAlign w:val="center"/>
          </w:tcPr>
          <w:p>
            <w:pPr>
              <w:spacing w:before="60" w:after="60" w:line="200" w:lineRule="exact"/>
              <w:jc w:val="right"/>
              <w:rPr>
                <w:b/>
                <w:noProof/>
                <w:sz w:val="20"/>
                <w:szCs w:val="20"/>
              </w:rPr>
            </w:pPr>
          </w:p>
        </w:tc>
      </w:tr>
    </w:tbl>
    <w:p>
      <w:pPr>
        <w:spacing w:line="200" w:lineRule="exact"/>
        <w:rPr>
          <w:noProof/>
          <w:sz w:val="20"/>
          <w:szCs w:val="20"/>
        </w:rPr>
      </w:pPr>
    </w:p>
    <w:tbl>
      <w:tblPr>
        <w:tblW w:w="9934" w:type="dxa"/>
        <w:tblInd w:w="-612" w:type="dxa"/>
        <w:tblLayout w:type="fixed"/>
        <w:tblLook w:val="01E0" w:firstRow="1" w:lastRow="1" w:firstColumn="1" w:lastColumn="1" w:noHBand="0" w:noVBand="0"/>
      </w:tblPr>
      <w:tblGrid>
        <w:gridCol w:w="1980"/>
        <w:gridCol w:w="994"/>
        <w:gridCol w:w="994"/>
        <w:gridCol w:w="994"/>
        <w:gridCol w:w="995"/>
        <w:gridCol w:w="994"/>
        <w:gridCol w:w="994"/>
        <w:gridCol w:w="994"/>
        <w:gridCol w:w="995"/>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20"/>
                <w:szCs w:val="20"/>
              </w:rPr>
            </w:pPr>
            <w:r>
              <w:rPr>
                <w:b/>
                <w:noProof/>
                <w:sz w:val="20"/>
                <w:szCs w:val="20"/>
              </w:rPr>
              <w:t>TOTAL</w:t>
            </w:r>
          </w:p>
        </w:tc>
        <w:tc>
          <w:tcPr>
            <w:tcW w:w="994" w:type="dxa"/>
            <w:tcBorders>
              <w:top w:val="single" w:sz="12" w:space="0" w:color="auto"/>
              <w:left w:val="single" w:sz="2" w:space="0" w:color="auto"/>
              <w:bottom w:val="single" w:sz="12" w:space="0" w:color="auto"/>
              <w:right w:val="single" w:sz="2" w:space="0" w:color="auto"/>
            </w:tcBorders>
            <w:vAlign w:val="center"/>
          </w:tcPr>
          <w:p>
            <w:pPr>
              <w:jc w:val="center"/>
              <w:rPr>
                <w:b/>
                <w:noProof/>
                <w:color w:val="000000"/>
                <w:sz w:val="20"/>
                <w:szCs w:val="20"/>
              </w:rPr>
            </w:pPr>
            <w:r>
              <w:rPr>
                <w:b/>
                <w:bCs/>
                <w:noProof/>
                <w:color w:val="000000"/>
                <w:sz w:val="20"/>
                <w:szCs w:val="20"/>
              </w:rPr>
              <w:t>22.546</w:t>
            </w:r>
          </w:p>
        </w:tc>
        <w:tc>
          <w:tcPr>
            <w:tcW w:w="994" w:type="dxa"/>
            <w:tcBorders>
              <w:top w:val="single" w:sz="12" w:space="0" w:color="auto"/>
              <w:left w:val="single" w:sz="2" w:space="0" w:color="auto"/>
              <w:bottom w:val="single" w:sz="12" w:space="0" w:color="auto"/>
              <w:right w:val="single" w:sz="2" w:space="0" w:color="auto"/>
            </w:tcBorders>
            <w:vAlign w:val="center"/>
          </w:tcPr>
          <w:p>
            <w:pPr>
              <w:jc w:val="right"/>
              <w:rPr>
                <w:b/>
                <w:noProof/>
                <w:color w:val="000000"/>
                <w:sz w:val="20"/>
                <w:szCs w:val="20"/>
              </w:rPr>
            </w:pPr>
            <w:r>
              <w:rPr>
                <w:b/>
                <w:bCs/>
                <w:noProof/>
                <w:color w:val="000000"/>
                <w:sz w:val="20"/>
                <w:szCs w:val="20"/>
              </w:rPr>
              <w:t>22.772</w:t>
            </w:r>
          </w:p>
        </w:tc>
        <w:tc>
          <w:tcPr>
            <w:tcW w:w="994" w:type="dxa"/>
            <w:tcBorders>
              <w:top w:val="single" w:sz="12" w:space="0" w:color="auto"/>
              <w:left w:val="single" w:sz="2" w:space="0" w:color="auto"/>
              <w:bottom w:val="single" w:sz="12" w:space="0" w:color="auto"/>
              <w:right w:val="single" w:sz="2" w:space="0" w:color="auto"/>
            </w:tcBorders>
            <w:vAlign w:val="center"/>
          </w:tcPr>
          <w:p>
            <w:pPr>
              <w:jc w:val="right"/>
              <w:rPr>
                <w:b/>
                <w:noProof/>
                <w:color w:val="000000"/>
                <w:sz w:val="20"/>
                <w:szCs w:val="20"/>
              </w:rPr>
            </w:pPr>
            <w:r>
              <w:rPr>
                <w:b/>
                <w:bCs/>
                <w:noProof/>
                <w:color w:val="000000"/>
                <w:sz w:val="20"/>
                <w:szCs w:val="20"/>
              </w:rPr>
              <w:t>22.997</w:t>
            </w:r>
          </w:p>
        </w:tc>
        <w:tc>
          <w:tcPr>
            <w:tcW w:w="995" w:type="dxa"/>
            <w:tcBorders>
              <w:top w:val="single" w:sz="12" w:space="0" w:color="auto"/>
              <w:left w:val="single" w:sz="2" w:space="0" w:color="auto"/>
              <w:bottom w:val="single" w:sz="12" w:space="0" w:color="auto"/>
              <w:right w:val="single" w:sz="2" w:space="0" w:color="auto"/>
            </w:tcBorders>
            <w:vAlign w:val="center"/>
          </w:tcPr>
          <w:p>
            <w:pPr>
              <w:jc w:val="right"/>
              <w:rPr>
                <w:b/>
                <w:noProof/>
                <w:color w:val="000000"/>
                <w:sz w:val="20"/>
                <w:szCs w:val="20"/>
              </w:rPr>
            </w:pPr>
            <w:r>
              <w:rPr>
                <w:b/>
                <w:bCs/>
                <w:noProof/>
                <w:color w:val="000000"/>
                <w:sz w:val="20"/>
                <w:szCs w:val="20"/>
              </w:rPr>
              <w:t>23.223</w:t>
            </w:r>
          </w:p>
        </w:tc>
        <w:tc>
          <w:tcPr>
            <w:tcW w:w="994" w:type="dxa"/>
            <w:tcBorders>
              <w:top w:val="single" w:sz="12" w:space="0" w:color="auto"/>
              <w:left w:val="single" w:sz="2" w:space="0" w:color="auto"/>
              <w:bottom w:val="single" w:sz="12" w:space="0" w:color="auto"/>
              <w:right w:val="single" w:sz="2" w:space="0" w:color="auto"/>
            </w:tcBorders>
            <w:vAlign w:val="center"/>
          </w:tcPr>
          <w:p>
            <w:pPr>
              <w:jc w:val="right"/>
              <w:rPr>
                <w:b/>
                <w:noProof/>
                <w:color w:val="000000"/>
                <w:sz w:val="20"/>
                <w:szCs w:val="20"/>
              </w:rPr>
            </w:pPr>
            <w:r>
              <w:rPr>
                <w:b/>
                <w:bCs/>
                <w:noProof/>
                <w:color w:val="000000"/>
                <w:sz w:val="20"/>
                <w:szCs w:val="20"/>
              </w:rPr>
              <w:t>23.223</w:t>
            </w:r>
          </w:p>
        </w:tc>
        <w:tc>
          <w:tcPr>
            <w:tcW w:w="994" w:type="dxa"/>
            <w:tcBorders>
              <w:top w:val="single" w:sz="12" w:space="0" w:color="auto"/>
              <w:left w:val="single" w:sz="2" w:space="0" w:color="auto"/>
              <w:bottom w:val="single" w:sz="12" w:space="0" w:color="auto"/>
              <w:right w:val="single" w:sz="2" w:space="0" w:color="auto"/>
            </w:tcBorders>
            <w:vAlign w:val="center"/>
          </w:tcPr>
          <w:p>
            <w:pPr>
              <w:jc w:val="right"/>
              <w:rPr>
                <w:b/>
                <w:noProof/>
                <w:color w:val="000000"/>
                <w:sz w:val="20"/>
                <w:szCs w:val="20"/>
              </w:rPr>
            </w:pPr>
            <w:r>
              <w:rPr>
                <w:b/>
                <w:bCs/>
                <w:noProof/>
                <w:color w:val="000000"/>
                <w:sz w:val="20"/>
                <w:szCs w:val="20"/>
              </w:rPr>
              <w:t>23.223</w:t>
            </w:r>
          </w:p>
        </w:tc>
        <w:tc>
          <w:tcPr>
            <w:tcW w:w="994" w:type="dxa"/>
            <w:tcBorders>
              <w:top w:val="single" w:sz="12" w:space="0" w:color="auto"/>
              <w:left w:val="single" w:sz="2" w:space="0" w:color="auto"/>
              <w:bottom w:val="single" w:sz="12" w:space="0" w:color="auto"/>
              <w:right w:val="single" w:sz="2" w:space="0" w:color="auto"/>
            </w:tcBorders>
            <w:vAlign w:val="center"/>
          </w:tcPr>
          <w:p>
            <w:pPr>
              <w:jc w:val="right"/>
              <w:rPr>
                <w:b/>
                <w:noProof/>
                <w:color w:val="000000"/>
                <w:sz w:val="20"/>
                <w:szCs w:val="20"/>
              </w:rPr>
            </w:pPr>
            <w:r>
              <w:rPr>
                <w:b/>
                <w:bCs/>
                <w:noProof/>
                <w:color w:val="000000"/>
                <w:sz w:val="20"/>
                <w:szCs w:val="20"/>
              </w:rPr>
              <w:t>23.223</w:t>
            </w:r>
          </w:p>
        </w:tc>
        <w:tc>
          <w:tcPr>
            <w:tcW w:w="995" w:type="dxa"/>
            <w:tcBorders>
              <w:top w:val="single" w:sz="12" w:space="0" w:color="auto"/>
              <w:left w:val="single" w:sz="2" w:space="0" w:color="auto"/>
              <w:bottom w:val="single" w:sz="12" w:space="0" w:color="auto"/>
              <w:right w:val="single" w:sz="12" w:space="0" w:color="auto"/>
            </w:tcBorders>
            <w:vAlign w:val="center"/>
          </w:tcPr>
          <w:p>
            <w:pPr>
              <w:jc w:val="right"/>
              <w:rPr>
                <w:b/>
                <w:noProof/>
                <w:color w:val="000000"/>
                <w:sz w:val="20"/>
                <w:szCs w:val="20"/>
              </w:rPr>
            </w:pPr>
            <w:r>
              <w:rPr>
                <w:b/>
                <w:noProof/>
                <w:color w:val="000000"/>
                <w:sz w:val="20"/>
                <w:szCs w:val="20"/>
              </w:rPr>
              <w:t>161.208</w:t>
            </w:r>
          </w:p>
        </w:tc>
      </w:tr>
    </w:tbl>
    <w:p>
      <w:pPr>
        <w:rPr>
          <w:noProof/>
          <w:sz w:val="18"/>
        </w:rPr>
      </w:pPr>
      <w:r>
        <w:rPr>
          <w:noProof/>
          <w:sz w:val="18"/>
        </w:rPr>
        <w:t>The appropriations required for human resources and other expenditure of an administrative nature will be met by appropriations from the DG that are already assigned to managing the action and/or have been redeployed within the DG, together if necessary with any additional allocation that may be granted to the managing DG under the annual allocation procedure and in the light of budgetary constraints.</w:t>
      </w:r>
    </w:p>
    <w:p>
      <w:pPr>
        <w:pStyle w:val="ManualHeading4"/>
        <w:rPr>
          <w:bCs/>
          <w:noProof/>
          <w:szCs w:val="24"/>
        </w:rPr>
      </w:pPr>
      <w:bookmarkStart w:id="60" w:name="_Toc351882"/>
      <w:r>
        <w:t>3.2.2.1.</w:t>
      </w:r>
      <w:r>
        <w:tab/>
      </w:r>
      <w:r>
        <w:rPr>
          <w:noProof/>
        </w:rPr>
        <w:t>Estimated requirements of human resources</w:t>
      </w:r>
      <w:bookmarkEnd w:id="60"/>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t xml:space="preserve">X </w:t>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 (FTEs)</w:t>
      </w:r>
    </w:p>
    <w:tbl>
      <w:tblPr>
        <w:tblW w:w="5342"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7"/>
        <w:gridCol w:w="1571"/>
        <w:gridCol w:w="970"/>
        <w:gridCol w:w="970"/>
        <w:gridCol w:w="970"/>
        <w:gridCol w:w="970"/>
        <w:gridCol w:w="970"/>
        <w:gridCol w:w="970"/>
        <w:gridCol w:w="964"/>
      </w:tblGrid>
      <w:tr>
        <w:trPr>
          <w:trHeight w:val="289"/>
        </w:trPr>
        <w:tc>
          <w:tcPr>
            <w:tcW w:w="1579" w:type="pct"/>
            <w:gridSpan w:val="2"/>
            <w:vAlign w:val="center"/>
          </w:tcPr>
          <w:p>
            <w:pPr>
              <w:pStyle w:val="Text1"/>
              <w:spacing w:before="40" w:after="40"/>
              <w:ind w:left="0"/>
              <w:jc w:val="center"/>
              <w:rPr>
                <w:i/>
                <w:noProof/>
                <w:sz w:val="16"/>
                <w:szCs w:val="16"/>
              </w:rPr>
            </w:pPr>
            <w:r>
              <w:rPr>
                <w:b/>
                <w:noProof/>
                <w:sz w:val="16"/>
                <w:szCs w:val="16"/>
              </w:rPr>
              <w:t>Years</w:t>
            </w:r>
          </w:p>
        </w:tc>
        <w:tc>
          <w:tcPr>
            <w:tcW w:w="489" w:type="pct"/>
            <w:shd w:val="clear" w:color="auto" w:fill="auto"/>
            <w:vAlign w:val="center"/>
          </w:tcPr>
          <w:p>
            <w:pPr>
              <w:spacing w:before="20" w:after="20"/>
              <w:jc w:val="center"/>
              <w:rPr>
                <w:b/>
                <w:noProof/>
                <w:sz w:val="16"/>
                <w:szCs w:val="16"/>
              </w:rPr>
            </w:pPr>
            <w:r>
              <w:rPr>
                <w:b/>
                <w:noProof/>
                <w:sz w:val="20"/>
              </w:rPr>
              <w:t>2021</w:t>
            </w:r>
          </w:p>
        </w:tc>
        <w:tc>
          <w:tcPr>
            <w:tcW w:w="489" w:type="pct"/>
            <w:shd w:val="clear" w:color="auto" w:fill="auto"/>
            <w:vAlign w:val="center"/>
          </w:tcPr>
          <w:p>
            <w:pPr>
              <w:spacing w:before="20" w:after="20"/>
              <w:jc w:val="center"/>
              <w:rPr>
                <w:b/>
                <w:noProof/>
                <w:sz w:val="20"/>
              </w:rPr>
            </w:pPr>
            <w:r>
              <w:rPr>
                <w:b/>
                <w:noProof/>
                <w:sz w:val="20"/>
              </w:rPr>
              <w:t>2022</w:t>
            </w:r>
          </w:p>
        </w:tc>
        <w:tc>
          <w:tcPr>
            <w:tcW w:w="489" w:type="pct"/>
            <w:shd w:val="clear" w:color="auto" w:fill="auto"/>
            <w:vAlign w:val="center"/>
          </w:tcPr>
          <w:p>
            <w:pPr>
              <w:spacing w:before="20" w:after="20"/>
              <w:jc w:val="center"/>
              <w:rPr>
                <w:b/>
                <w:noProof/>
                <w:sz w:val="20"/>
              </w:rPr>
            </w:pPr>
            <w:r>
              <w:rPr>
                <w:b/>
                <w:noProof/>
                <w:sz w:val="20"/>
              </w:rPr>
              <w:t>2023</w:t>
            </w:r>
          </w:p>
        </w:tc>
        <w:tc>
          <w:tcPr>
            <w:tcW w:w="489" w:type="pct"/>
            <w:shd w:val="clear" w:color="auto" w:fill="auto"/>
            <w:vAlign w:val="center"/>
          </w:tcPr>
          <w:p>
            <w:pPr>
              <w:spacing w:before="20" w:after="20"/>
              <w:jc w:val="center"/>
              <w:rPr>
                <w:b/>
                <w:noProof/>
                <w:sz w:val="20"/>
              </w:rPr>
            </w:pPr>
            <w:r>
              <w:rPr>
                <w:b/>
                <w:noProof/>
                <w:sz w:val="20"/>
              </w:rPr>
              <w:t>2024</w:t>
            </w:r>
          </w:p>
        </w:tc>
        <w:tc>
          <w:tcPr>
            <w:tcW w:w="489" w:type="pct"/>
            <w:shd w:val="clear" w:color="auto" w:fill="auto"/>
            <w:vAlign w:val="center"/>
          </w:tcPr>
          <w:p>
            <w:pPr>
              <w:jc w:val="center"/>
              <w:rPr>
                <w:b/>
                <w:noProof/>
                <w:sz w:val="20"/>
              </w:rPr>
            </w:pPr>
            <w:r>
              <w:rPr>
                <w:b/>
                <w:noProof/>
                <w:sz w:val="20"/>
              </w:rPr>
              <w:t>2025</w:t>
            </w:r>
          </w:p>
        </w:tc>
        <w:tc>
          <w:tcPr>
            <w:tcW w:w="489" w:type="pct"/>
            <w:shd w:val="clear" w:color="auto" w:fill="auto"/>
            <w:vAlign w:val="center"/>
          </w:tcPr>
          <w:p>
            <w:pPr>
              <w:jc w:val="center"/>
              <w:rPr>
                <w:b/>
                <w:noProof/>
                <w:sz w:val="20"/>
              </w:rPr>
            </w:pPr>
            <w:r>
              <w:rPr>
                <w:b/>
                <w:noProof/>
                <w:sz w:val="20"/>
              </w:rPr>
              <w:t>2026</w:t>
            </w:r>
          </w:p>
        </w:tc>
        <w:tc>
          <w:tcPr>
            <w:tcW w:w="488"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579"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p>
        </w:tc>
        <w:tc>
          <w:tcPr>
            <w:tcW w:w="489" w:type="pct"/>
            <w:shd w:val="clear" w:color="auto" w:fill="auto"/>
          </w:tcPr>
          <w:p>
            <w:pPr>
              <w:spacing w:beforeLines="20" w:before="48" w:afterLines="20" w:after="48"/>
              <w:jc w:val="center"/>
              <w:rPr>
                <w:noProof/>
                <w:sz w:val="20"/>
                <w:szCs w:val="16"/>
              </w:rPr>
            </w:pPr>
            <w:r>
              <w:rPr>
                <w:noProof/>
                <w:sz w:val="20"/>
              </w:rPr>
              <w:t xml:space="preserve"> 102</w:t>
            </w:r>
          </w:p>
        </w:tc>
        <w:tc>
          <w:tcPr>
            <w:tcW w:w="489" w:type="pct"/>
            <w:shd w:val="clear" w:color="auto" w:fill="auto"/>
          </w:tcPr>
          <w:p>
            <w:pPr>
              <w:spacing w:beforeLines="20" w:before="48" w:afterLines="20" w:after="48"/>
              <w:jc w:val="center"/>
              <w:rPr>
                <w:noProof/>
                <w:sz w:val="20"/>
                <w:szCs w:val="16"/>
              </w:rPr>
            </w:pPr>
            <w:r>
              <w:rPr>
                <w:noProof/>
                <w:sz w:val="20"/>
              </w:rPr>
              <w:t>103</w:t>
            </w:r>
          </w:p>
        </w:tc>
        <w:tc>
          <w:tcPr>
            <w:tcW w:w="489" w:type="pct"/>
            <w:shd w:val="clear" w:color="auto" w:fill="auto"/>
          </w:tcPr>
          <w:p>
            <w:pPr>
              <w:spacing w:beforeLines="20" w:before="48" w:afterLines="20" w:after="48"/>
              <w:jc w:val="center"/>
              <w:rPr>
                <w:noProof/>
                <w:sz w:val="20"/>
                <w:szCs w:val="16"/>
              </w:rPr>
            </w:pPr>
            <w:r>
              <w:rPr>
                <w:noProof/>
                <w:sz w:val="20"/>
              </w:rPr>
              <w:t>104</w:t>
            </w:r>
          </w:p>
        </w:tc>
        <w:tc>
          <w:tcPr>
            <w:tcW w:w="489" w:type="pct"/>
            <w:shd w:val="clear" w:color="auto" w:fill="auto"/>
          </w:tcPr>
          <w:p>
            <w:pPr>
              <w:spacing w:beforeLines="20" w:before="48" w:afterLines="20" w:after="48"/>
              <w:jc w:val="center"/>
              <w:rPr>
                <w:noProof/>
                <w:sz w:val="20"/>
                <w:szCs w:val="16"/>
              </w:rPr>
            </w:pPr>
            <w:r>
              <w:rPr>
                <w:noProof/>
                <w:sz w:val="20"/>
              </w:rPr>
              <w:t>105</w:t>
            </w:r>
          </w:p>
        </w:tc>
        <w:tc>
          <w:tcPr>
            <w:tcW w:w="489" w:type="pct"/>
            <w:shd w:val="clear" w:color="auto" w:fill="auto"/>
          </w:tcPr>
          <w:p>
            <w:pPr>
              <w:spacing w:beforeLines="20" w:before="48" w:afterLines="20" w:after="48"/>
              <w:jc w:val="center"/>
              <w:rPr>
                <w:noProof/>
                <w:sz w:val="20"/>
                <w:szCs w:val="16"/>
              </w:rPr>
            </w:pPr>
            <w:r>
              <w:rPr>
                <w:noProof/>
                <w:sz w:val="20"/>
              </w:rPr>
              <w:t>105</w:t>
            </w:r>
          </w:p>
        </w:tc>
        <w:tc>
          <w:tcPr>
            <w:tcW w:w="489" w:type="pct"/>
            <w:shd w:val="clear" w:color="auto" w:fill="auto"/>
          </w:tcPr>
          <w:p>
            <w:pPr>
              <w:spacing w:beforeLines="20" w:before="48" w:afterLines="20" w:after="48"/>
              <w:jc w:val="center"/>
              <w:rPr>
                <w:noProof/>
                <w:sz w:val="20"/>
                <w:szCs w:val="16"/>
              </w:rPr>
            </w:pPr>
            <w:r>
              <w:rPr>
                <w:noProof/>
                <w:sz w:val="20"/>
              </w:rPr>
              <w:t xml:space="preserve"> 105 </w:t>
            </w:r>
          </w:p>
        </w:tc>
        <w:tc>
          <w:tcPr>
            <w:tcW w:w="488" w:type="pct"/>
            <w:shd w:val="clear" w:color="auto" w:fill="auto"/>
          </w:tcPr>
          <w:p>
            <w:pPr>
              <w:spacing w:beforeLines="20" w:before="48" w:afterLines="20" w:after="48"/>
              <w:jc w:val="center"/>
              <w:rPr>
                <w:noProof/>
                <w:sz w:val="20"/>
                <w:szCs w:val="16"/>
              </w:rPr>
            </w:pPr>
            <w:r>
              <w:rPr>
                <w:noProof/>
                <w:sz w:val="20"/>
              </w:rPr>
              <w:t xml:space="preserve">105 </w:t>
            </w:r>
          </w:p>
        </w:tc>
      </w:tr>
      <w:tr>
        <w:trPr>
          <w:trHeight w:val="289"/>
        </w:trPr>
        <w:tc>
          <w:tcPr>
            <w:tcW w:w="1579" w:type="pct"/>
            <w:gridSpan w:val="2"/>
          </w:tcPr>
          <w:p>
            <w:pPr>
              <w:pStyle w:val="Text1"/>
              <w:spacing w:beforeLines="20" w:before="48" w:afterLines="20" w:after="48"/>
              <w:ind w:left="134"/>
              <w:jc w:val="left"/>
              <w:rPr>
                <w:noProof/>
                <w:sz w:val="16"/>
                <w:szCs w:val="16"/>
              </w:rPr>
            </w:pPr>
            <w:r>
              <w:rPr>
                <w:noProof/>
                <w:sz w:val="16"/>
              </w:rPr>
              <w:t>Delegations</w:t>
            </w: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8" w:type="pct"/>
            <w:shd w:val="clear" w:color="auto" w:fill="auto"/>
            <w:vAlign w:val="center"/>
          </w:tcPr>
          <w:p>
            <w:pPr>
              <w:spacing w:beforeLines="20" w:before="48" w:afterLines="20" w:after="48"/>
              <w:jc w:val="center"/>
              <w:rPr>
                <w:noProof/>
                <w:sz w:val="20"/>
                <w:szCs w:val="16"/>
              </w:rPr>
            </w:pPr>
          </w:p>
        </w:tc>
      </w:tr>
      <w:tr>
        <w:trPr>
          <w:trHeight w:val="289"/>
        </w:trPr>
        <w:tc>
          <w:tcPr>
            <w:tcW w:w="1579" w:type="pct"/>
            <w:gridSpan w:val="2"/>
          </w:tcPr>
          <w:p>
            <w:pPr>
              <w:pStyle w:val="Text1"/>
              <w:spacing w:beforeLines="20" w:before="48" w:afterLines="20" w:after="48"/>
              <w:ind w:left="134"/>
              <w:jc w:val="left"/>
              <w:rPr>
                <w:noProof/>
                <w:sz w:val="16"/>
                <w:szCs w:val="16"/>
              </w:rPr>
            </w:pPr>
            <w:r>
              <w:rPr>
                <w:noProof/>
                <w:sz w:val="16"/>
              </w:rPr>
              <w:t>Research</w:t>
            </w: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8" w:type="pct"/>
            <w:shd w:val="clear" w:color="auto" w:fill="auto"/>
            <w:vAlign w:val="center"/>
          </w:tcPr>
          <w:p>
            <w:pPr>
              <w:spacing w:beforeLines="20" w:before="48" w:afterLines="20" w:after="48"/>
              <w:jc w:val="center"/>
              <w:rPr>
                <w:noProof/>
                <w:sz w:val="20"/>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27"/>
            </w:r>
          </w:p>
          <w:p>
            <w:pPr>
              <w:pStyle w:val="Text1"/>
              <w:spacing w:before="0" w:after="0"/>
              <w:ind w:left="0"/>
              <w:jc w:val="left"/>
              <w:rPr>
                <w:noProof/>
                <w:sz w:val="16"/>
                <w:szCs w:val="16"/>
              </w:rPr>
            </w:pPr>
            <w:r>
              <w:rPr>
                <w:noProof/>
                <w:sz w:val="16"/>
                <w:szCs w:val="16"/>
              </w:rPr>
              <w:t>Heading 7</w:t>
            </w:r>
          </w:p>
        </w:tc>
      </w:tr>
      <w:tr>
        <w:trPr>
          <w:trHeight w:val="485"/>
        </w:trPr>
        <w:tc>
          <w:tcPr>
            <w:tcW w:w="789"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91" w:type="pct"/>
            <w:vAlign w:val="center"/>
          </w:tcPr>
          <w:p>
            <w:pPr>
              <w:pStyle w:val="Text1"/>
              <w:spacing w:beforeLines="20" w:before="48" w:afterLines="20" w:after="48"/>
              <w:ind w:left="136"/>
              <w:jc w:val="left"/>
              <w:rPr>
                <w:b/>
                <w:noProof/>
                <w:sz w:val="16"/>
                <w:szCs w:val="16"/>
              </w:rPr>
            </w:pPr>
            <w:r>
              <w:rPr>
                <w:noProof/>
                <w:sz w:val="16"/>
              </w:rPr>
              <w:t>- at Headquarters</w:t>
            </w:r>
          </w:p>
        </w:tc>
        <w:tc>
          <w:tcPr>
            <w:tcW w:w="489" w:type="pct"/>
            <w:shd w:val="clear" w:color="auto" w:fill="auto"/>
            <w:vAlign w:val="center"/>
          </w:tcPr>
          <w:p>
            <w:pPr>
              <w:spacing w:beforeLines="20" w:before="48" w:afterLines="20" w:after="48"/>
              <w:jc w:val="center"/>
              <w:rPr>
                <w:noProof/>
                <w:sz w:val="20"/>
                <w:szCs w:val="16"/>
              </w:rPr>
            </w:pPr>
            <w:r>
              <w:rPr>
                <w:noProof/>
                <w:sz w:val="20"/>
                <w:szCs w:val="16"/>
              </w:rPr>
              <w:t>91</w:t>
            </w:r>
          </w:p>
        </w:tc>
        <w:tc>
          <w:tcPr>
            <w:tcW w:w="489" w:type="pct"/>
            <w:shd w:val="clear" w:color="auto" w:fill="auto"/>
            <w:vAlign w:val="center"/>
          </w:tcPr>
          <w:p>
            <w:pPr>
              <w:spacing w:beforeLines="20" w:before="48" w:afterLines="20" w:after="48"/>
              <w:jc w:val="center"/>
              <w:rPr>
                <w:noProof/>
                <w:sz w:val="20"/>
                <w:szCs w:val="16"/>
              </w:rPr>
            </w:pPr>
            <w:r>
              <w:rPr>
                <w:noProof/>
                <w:sz w:val="20"/>
                <w:szCs w:val="16"/>
              </w:rPr>
              <w:t>92</w:t>
            </w:r>
          </w:p>
        </w:tc>
        <w:tc>
          <w:tcPr>
            <w:tcW w:w="489" w:type="pct"/>
            <w:shd w:val="clear" w:color="auto" w:fill="auto"/>
            <w:vAlign w:val="center"/>
          </w:tcPr>
          <w:p>
            <w:pPr>
              <w:spacing w:beforeLines="20" w:before="48" w:afterLines="20" w:after="48"/>
              <w:jc w:val="center"/>
              <w:rPr>
                <w:noProof/>
                <w:sz w:val="20"/>
                <w:szCs w:val="16"/>
              </w:rPr>
            </w:pPr>
            <w:r>
              <w:rPr>
                <w:noProof/>
                <w:sz w:val="20"/>
                <w:szCs w:val="16"/>
              </w:rPr>
              <w:t>93</w:t>
            </w:r>
          </w:p>
        </w:tc>
        <w:tc>
          <w:tcPr>
            <w:tcW w:w="489" w:type="pct"/>
            <w:shd w:val="clear" w:color="auto" w:fill="auto"/>
            <w:vAlign w:val="center"/>
          </w:tcPr>
          <w:p>
            <w:pPr>
              <w:spacing w:beforeLines="20" w:before="48" w:afterLines="20" w:after="48"/>
              <w:jc w:val="center"/>
              <w:rPr>
                <w:noProof/>
                <w:sz w:val="20"/>
                <w:szCs w:val="16"/>
              </w:rPr>
            </w:pPr>
            <w:r>
              <w:rPr>
                <w:noProof/>
                <w:sz w:val="20"/>
                <w:szCs w:val="16"/>
              </w:rPr>
              <w:t>94</w:t>
            </w:r>
          </w:p>
        </w:tc>
        <w:tc>
          <w:tcPr>
            <w:tcW w:w="489" w:type="pct"/>
            <w:shd w:val="clear" w:color="auto" w:fill="auto"/>
            <w:vAlign w:val="center"/>
          </w:tcPr>
          <w:p>
            <w:pPr>
              <w:spacing w:beforeLines="20" w:before="48" w:afterLines="20" w:after="48"/>
              <w:jc w:val="center"/>
              <w:rPr>
                <w:noProof/>
                <w:sz w:val="20"/>
                <w:szCs w:val="16"/>
              </w:rPr>
            </w:pPr>
            <w:r>
              <w:rPr>
                <w:noProof/>
                <w:sz w:val="20"/>
                <w:szCs w:val="16"/>
              </w:rPr>
              <w:t>94</w:t>
            </w:r>
          </w:p>
        </w:tc>
        <w:tc>
          <w:tcPr>
            <w:tcW w:w="489" w:type="pct"/>
            <w:shd w:val="clear" w:color="auto" w:fill="auto"/>
            <w:vAlign w:val="center"/>
          </w:tcPr>
          <w:p>
            <w:pPr>
              <w:spacing w:beforeLines="20" w:before="48" w:afterLines="20" w:after="48"/>
              <w:jc w:val="center"/>
              <w:rPr>
                <w:noProof/>
                <w:sz w:val="20"/>
                <w:szCs w:val="16"/>
              </w:rPr>
            </w:pPr>
            <w:r>
              <w:rPr>
                <w:noProof/>
                <w:sz w:val="20"/>
                <w:szCs w:val="16"/>
              </w:rPr>
              <w:t>94</w:t>
            </w:r>
          </w:p>
        </w:tc>
        <w:tc>
          <w:tcPr>
            <w:tcW w:w="488" w:type="pct"/>
            <w:shd w:val="clear" w:color="auto" w:fill="auto"/>
            <w:vAlign w:val="center"/>
          </w:tcPr>
          <w:p>
            <w:pPr>
              <w:spacing w:beforeLines="20" w:before="48" w:afterLines="20" w:after="48"/>
              <w:jc w:val="center"/>
              <w:rPr>
                <w:noProof/>
                <w:sz w:val="20"/>
                <w:szCs w:val="16"/>
              </w:rPr>
            </w:pPr>
            <w:r>
              <w:rPr>
                <w:noProof/>
                <w:sz w:val="20"/>
                <w:szCs w:val="16"/>
              </w:rPr>
              <w:t>94</w:t>
            </w:r>
          </w:p>
        </w:tc>
      </w:tr>
      <w:tr>
        <w:trPr>
          <w:trHeight w:val="289"/>
        </w:trPr>
        <w:tc>
          <w:tcPr>
            <w:tcW w:w="789" w:type="pct"/>
            <w:vMerge/>
            <w:vAlign w:val="center"/>
          </w:tcPr>
          <w:p>
            <w:pPr>
              <w:pStyle w:val="Text1"/>
              <w:spacing w:beforeLines="20" w:before="48" w:afterLines="20" w:after="48"/>
              <w:ind w:left="136"/>
              <w:jc w:val="left"/>
              <w:rPr>
                <w:noProof/>
                <w:sz w:val="16"/>
                <w:szCs w:val="16"/>
              </w:rPr>
            </w:pPr>
          </w:p>
        </w:tc>
        <w:tc>
          <w:tcPr>
            <w:tcW w:w="791"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8" w:type="pct"/>
            <w:shd w:val="clear" w:color="auto" w:fill="auto"/>
            <w:vAlign w:val="center"/>
          </w:tcPr>
          <w:p>
            <w:pPr>
              <w:spacing w:beforeLines="20" w:before="48" w:afterLines="20" w:after="48"/>
              <w:jc w:val="center"/>
              <w:rPr>
                <w:noProof/>
                <w:sz w:val="20"/>
                <w:szCs w:val="16"/>
              </w:rPr>
            </w:pPr>
          </w:p>
        </w:tc>
      </w:tr>
      <w:tr>
        <w:trPr>
          <w:trHeight w:val="370"/>
        </w:trPr>
        <w:tc>
          <w:tcPr>
            <w:tcW w:w="789" w:type="pct"/>
            <w:vMerge w:val="restart"/>
            <w:vAlign w:val="center"/>
          </w:tcPr>
          <w:p>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28"/>
            </w:r>
          </w:p>
        </w:tc>
        <w:tc>
          <w:tcPr>
            <w:tcW w:w="791"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89" w:type="pct"/>
            <w:shd w:val="clear" w:color="auto" w:fill="auto"/>
            <w:vAlign w:val="center"/>
          </w:tcPr>
          <w:p>
            <w:pPr>
              <w:pStyle w:val="Text1"/>
              <w:spacing w:beforeLines="20" w:before="48" w:afterLines="20" w:after="48"/>
              <w:ind w:left="0"/>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8" w:type="pct"/>
            <w:shd w:val="clear" w:color="auto" w:fill="auto"/>
            <w:vAlign w:val="center"/>
          </w:tcPr>
          <w:p>
            <w:pPr>
              <w:spacing w:beforeLines="20" w:before="48" w:afterLines="20" w:after="48"/>
              <w:jc w:val="center"/>
              <w:rPr>
                <w:noProof/>
                <w:sz w:val="20"/>
                <w:szCs w:val="16"/>
              </w:rPr>
            </w:pPr>
          </w:p>
        </w:tc>
      </w:tr>
      <w:tr>
        <w:trPr>
          <w:trHeight w:val="289"/>
        </w:trPr>
        <w:tc>
          <w:tcPr>
            <w:tcW w:w="789" w:type="pct"/>
            <w:vMerge/>
          </w:tcPr>
          <w:p>
            <w:pPr>
              <w:pStyle w:val="Text1"/>
              <w:spacing w:beforeLines="20" w:before="48" w:afterLines="20" w:after="48"/>
              <w:ind w:left="136"/>
              <w:jc w:val="left"/>
              <w:rPr>
                <w:b/>
                <w:noProof/>
                <w:sz w:val="16"/>
                <w:szCs w:val="16"/>
              </w:rPr>
            </w:pPr>
          </w:p>
        </w:tc>
        <w:tc>
          <w:tcPr>
            <w:tcW w:w="791"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89" w:type="pct"/>
            <w:shd w:val="clear" w:color="auto" w:fill="auto"/>
            <w:vAlign w:val="center"/>
          </w:tcPr>
          <w:p>
            <w:pPr>
              <w:pStyle w:val="Text1"/>
              <w:spacing w:beforeLines="20" w:before="48" w:afterLines="20" w:after="48"/>
              <w:ind w:left="0"/>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8" w:type="pct"/>
            <w:shd w:val="clear" w:color="auto" w:fill="auto"/>
            <w:vAlign w:val="center"/>
          </w:tcPr>
          <w:p>
            <w:pPr>
              <w:spacing w:beforeLines="20" w:before="48" w:afterLines="20" w:after="48"/>
              <w:jc w:val="center"/>
              <w:rPr>
                <w:noProof/>
                <w:sz w:val="20"/>
                <w:szCs w:val="16"/>
              </w:rPr>
            </w:pPr>
          </w:p>
        </w:tc>
      </w:tr>
      <w:tr>
        <w:trPr>
          <w:trHeight w:val="289"/>
        </w:trPr>
        <w:tc>
          <w:tcPr>
            <w:tcW w:w="1579" w:type="pct"/>
            <w:gridSpan w:val="2"/>
          </w:tcPr>
          <w:p>
            <w:pPr>
              <w:pStyle w:val="Text1"/>
              <w:spacing w:beforeLines="20" w:before="48" w:afterLines="20" w:after="48"/>
              <w:ind w:left="136"/>
              <w:jc w:val="left"/>
              <w:rPr>
                <w:noProof/>
                <w:sz w:val="16"/>
                <w:szCs w:val="16"/>
              </w:rPr>
            </w:pPr>
            <w:r>
              <w:rPr>
                <w:noProof/>
                <w:sz w:val="16"/>
                <w:szCs w:val="16"/>
              </w:rPr>
              <w:t>Research</w:t>
            </w: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9" w:type="pct"/>
            <w:shd w:val="clear" w:color="auto" w:fill="auto"/>
            <w:vAlign w:val="center"/>
          </w:tcPr>
          <w:p>
            <w:pPr>
              <w:spacing w:beforeLines="20" w:before="48" w:afterLines="20" w:after="48"/>
              <w:jc w:val="center"/>
              <w:rPr>
                <w:noProof/>
                <w:sz w:val="20"/>
                <w:szCs w:val="16"/>
              </w:rPr>
            </w:pPr>
          </w:p>
        </w:tc>
        <w:tc>
          <w:tcPr>
            <w:tcW w:w="488" w:type="pct"/>
            <w:shd w:val="clear" w:color="auto" w:fill="auto"/>
            <w:vAlign w:val="center"/>
          </w:tcPr>
          <w:p>
            <w:pPr>
              <w:spacing w:beforeLines="20" w:before="48" w:afterLines="20" w:after="48"/>
              <w:jc w:val="center"/>
              <w:rPr>
                <w:noProof/>
                <w:sz w:val="20"/>
                <w:szCs w:val="16"/>
              </w:rPr>
            </w:pPr>
          </w:p>
        </w:tc>
      </w:tr>
      <w:tr>
        <w:trPr>
          <w:trHeight w:val="289"/>
        </w:trPr>
        <w:tc>
          <w:tcPr>
            <w:tcW w:w="1579"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89" w:type="pct"/>
            <w:tcBorders>
              <w:bottom w:val="double" w:sz="4" w:space="0" w:color="auto"/>
            </w:tcBorders>
            <w:shd w:val="clear" w:color="auto" w:fill="auto"/>
            <w:vAlign w:val="center"/>
          </w:tcPr>
          <w:p>
            <w:pPr>
              <w:spacing w:beforeLines="20" w:before="48" w:afterLines="20" w:after="48"/>
              <w:jc w:val="center"/>
              <w:rPr>
                <w:noProof/>
                <w:sz w:val="20"/>
                <w:szCs w:val="16"/>
              </w:rPr>
            </w:pPr>
          </w:p>
        </w:tc>
        <w:tc>
          <w:tcPr>
            <w:tcW w:w="489" w:type="pct"/>
            <w:tcBorders>
              <w:bottom w:val="double" w:sz="4" w:space="0" w:color="auto"/>
            </w:tcBorders>
            <w:shd w:val="clear" w:color="auto" w:fill="auto"/>
            <w:vAlign w:val="center"/>
          </w:tcPr>
          <w:p>
            <w:pPr>
              <w:spacing w:beforeLines="20" w:before="48" w:afterLines="20" w:after="48"/>
              <w:jc w:val="center"/>
              <w:rPr>
                <w:noProof/>
                <w:sz w:val="20"/>
                <w:szCs w:val="16"/>
              </w:rPr>
            </w:pPr>
          </w:p>
        </w:tc>
        <w:tc>
          <w:tcPr>
            <w:tcW w:w="489" w:type="pct"/>
            <w:tcBorders>
              <w:bottom w:val="double" w:sz="4" w:space="0" w:color="auto"/>
            </w:tcBorders>
            <w:shd w:val="clear" w:color="auto" w:fill="auto"/>
            <w:vAlign w:val="center"/>
          </w:tcPr>
          <w:p>
            <w:pPr>
              <w:spacing w:beforeLines="20" w:before="48" w:afterLines="20" w:after="48"/>
              <w:jc w:val="center"/>
              <w:rPr>
                <w:noProof/>
                <w:sz w:val="20"/>
                <w:szCs w:val="16"/>
              </w:rPr>
            </w:pPr>
          </w:p>
        </w:tc>
        <w:tc>
          <w:tcPr>
            <w:tcW w:w="489" w:type="pct"/>
            <w:tcBorders>
              <w:bottom w:val="double" w:sz="4" w:space="0" w:color="auto"/>
            </w:tcBorders>
            <w:shd w:val="clear" w:color="auto" w:fill="auto"/>
            <w:vAlign w:val="center"/>
          </w:tcPr>
          <w:p>
            <w:pPr>
              <w:spacing w:beforeLines="20" w:before="48" w:afterLines="20" w:after="48"/>
              <w:jc w:val="center"/>
              <w:rPr>
                <w:noProof/>
                <w:sz w:val="20"/>
                <w:szCs w:val="16"/>
              </w:rPr>
            </w:pPr>
          </w:p>
        </w:tc>
        <w:tc>
          <w:tcPr>
            <w:tcW w:w="489" w:type="pct"/>
            <w:tcBorders>
              <w:bottom w:val="double" w:sz="4" w:space="0" w:color="auto"/>
            </w:tcBorders>
            <w:shd w:val="clear" w:color="auto" w:fill="auto"/>
            <w:vAlign w:val="center"/>
          </w:tcPr>
          <w:p>
            <w:pPr>
              <w:spacing w:beforeLines="20" w:before="48" w:afterLines="20" w:after="48"/>
              <w:jc w:val="center"/>
              <w:rPr>
                <w:noProof/>
                <w:sz w:val="20"/>
                <w:szCs w:val="16"/>
              </w:rPr>
            </w:pPr>
          </w:p>
        </w:tc>
        <w:tc>
          <w:tcPr>
            <w:tcW w:w="489" w:type="pct"/>
            <w:tcBorders>
              <w:bottom w:val="double" w:sz="4" w:space="0" w:color="auto"/>
            </w:tcBorders>
            <w:shd w:val="clear" w:color="auto" w:fill="auto"/>
            <w:vAlign w:val="center"/>
          </w:tcPr>
          <w:p>
            <w:pPr>
              <w:spacing w:beforeLines="20" w:before="48" w:afterLines="20" w:after="48"/>
              <w:jc w:val="center"/>
              <w:rPr>
                <w:noProof/>
                <w:sz w:val="20"/>
                <w:szCs w:val="16"/>
              </w:rPr>
            </w:pPr>
          </w:p>
        </w:tc>
        <w:tc>
          <w:tcPr>
            <w:tcW w:w="488" w:type="pct"/>
            <w:tcBorders>
              <w:bottom w:val="double" w:sz="4" w:space="0" w:color="auto"/>
            </w:tcBorders>
            <w:shd w:val="clear" w:color="auto" w:fill="auto"/>
            <w:vAlign w:val="center"/>
          </w:tcPr>
          <w:p>
            <w:pPr>
              <w:spacing w:beforeLines="20" w:before="48" w:afterLines="20" w:after="48"/>
              <w:jc w:val="center"/>
              <w:rPr>
                <w:noProof/>
                <w:sz w:val="20"/>
                <w:szCs w:val="16"/>
              </w:rPr>
            </w:pPr>
          </w:p>
        </w:tc>
      </w:tr>
      <w:tr>
        <w:trPr>
          <w:trHeight w:val="289"/>
        </w:trPr>
        <w:tc>
          <w:tcPr>
            <w:tcW w:w="1579"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89" w:type="pct"/>
            <w:tcBorders>
              <w:top w:val="double" w:sz="4" w:space="0" w:color="auto"/>
            </w:tcBorders>
            <w:shd w:val="clear" w:color="auto" w:fill="auto"/>
            <w:vAlign w:val="center"/>
          </w:tcPr>
          <w:p>
            <w:pPr>
              <w:spacing w:beforeLines="20" w:before="48" w:afterLines="20" w:after="48"/>
              <w:jc w:val="center"/>
              <w:rPr>
                <w:b/>
                <w:noProof/>
                <w:sz w:val="20"/>
                <w:szCs w:val="16"/>
              </w:rPr>
            </w:pPr>
            <w:r>
              <w:rPr>
                <w:b/>
                <w:noProof/>
                <w:sz w:val="20"/>
                <w:szCs w:val="16"/>
              </w:rPr>
              <w:t>193</w:t>
            </w:r>
          </w:p>
        </w:tc>
        <w:tc>
          <w:tcPr>
            <w:tcW w:w="489" w:type="pct"/>
            <w:tcBorders>
              <w:top w:val="double" w:sz="4" w:space="0" w:color="auto"/>
            </w:tcBorders>
            <w:shd w:val="clear" w:color="auto" w:fill="auto"/>
            <w:vAlign w:val="center"/>
          </w:tcPr>
          <w:p>
            <w:pPr>
              <w:spacing w:beforeLines="20" w:before="48" w:afterLines="20" w:after="48"/>
              <w:jc w:val="center"/>
              <w:rPr>
                <w:b/>
                <w:noProof/>
                <w:sz w:val="20"/>
                <w:szCs w:val="16"/>
              </w:rPr>
            </w:pPr>
            <w:r>
              <w:rPr>
                <w:b/>
                <w:noProof/>
                <w:sz w:val="20"/>
                <w:szCs w:val="16"/>
              </w:rPr>
              <w:t>195</w:t>
            </w:r>
          </w:p>
        </w:tc>
        <w:tc>
          <w:tcPr>
            <w:tcW w:w="489" w:type="pct"/>
            <w:tcBorders>
              <w:top w:val="double" w:sz="4" w:space="0" w:color="auto"/>
            </w:tcBorders>
            <w:shd w:val="clear" w:color="auto" w:fill="auto"/>
            <w:vAlign w:val="center"/>
          </w:tcPr>
          <w:p>
            <w:pPr>
              <w:spacing w:beforeLines="20" w:before="48" w:afterLines="20" w:after="48"/>
              <w:jc w:val="center"/>
              <w:rPr>
                <w:b/>
                <w:noProof/>
                <w:sz w:val="20"/>
                <w:szCs w:val="16"/>
              </w:rPr>
            </w:pPr>
            <w:r>
              <w:rPr>
                <w:b/>
                <w:noProof/>
                <w:sz w:val="20"/>
                <w:szCs w:val="16"/>
              </w:rPr>
              <w:t>197</w:t>
            </w:r>
          </w:p>
        </w:tc>
        <w:tc>
          <w:tcPr>
            <w:tcW w:w="489" w:type="pct"/>
            <w:tcBorders>
              <w:top w:val="double" w:sz="4" w:space="0" w:color="auto"/>
            </w:tcBorders>
            <w:shd w:val="clear" w:color="auto" w:fill="auto"/>
            <w:vAlign w:val="center"/>
          </w:tcPr>
          <w:p>
            <w:pPr>
              <w:spacing w:beforeLines="20" w:before="48" w:afterLines="20" w:after="48"/>
              <w:jc w:val="center"/>
              <w:rPr>
                <w:b/>
                <w:noProof/>
                <w:sz w:val="20"/>
                <w:szCs w:val="16"/>
              </w:rPr>
            </w:pPr>
            <w:r>
              <w:rPr>
                <w:b/>
                <w:noProof/>
                <w:sz w:val="20"/>
                <w:szCs w:val="16"/>
              </w:rPr>
              <w:t>199</w:t>
            </w:r>
          </w:p>
        </w:tc>
        <w:tc>
          <w:tcPr>
            <w:tcW w:w="489" w:type="pct"/>
            <w:tcBorders>
              <w:top w:val="double" w:sz="4" w:space="0" w:color="auto"/>
            </w:tcBorders>
            <w:shd w:val="clear" w:color="auto" w:fill="auto"/>
            <w:vAlign w:val="center"/>
          </w:tcPr>
          <w:p>
            <w:pPr>
              <w:spacing w:beforeLines="20" w:before="48" w:afterLines="20" w:after="48"/>
              <w:jc w:val="center"/>
              <w:rPr>
                <w:b/>
                <w:noProof/>
                <w:sz w:val="20"/>
                <w:szCs w:val="16"/>
              </w:rPr>
            </w:pPr>
            <w:r>
              <w:rPr>
                <w:b/>
                <w:noProof/>
                <w:sz w:val="20"/>
                <w:szCs w:val="16"/>
              </w:rPr>
              <w:t>199</w:t>
            </w:r>
          </w:p>
        </w:tc>
        <w:tc>
          <w:tcPr>
            <w:tcW w:w="489" w:type="pct"/>
            <w:tcBorders>
              <w:top w:val="double" w:sz="4" w:space="0" w:color="auto"/>
            </w:tcBorders>
            <w:shd w:val="clear" w:color="auto" w:fill="auto"/>
            <w:vAlign w:val="center"/>
          </w:tcPr>
          <w:p>
            <w:pPr>
              <w:spacing w:beforeLines="20" w:before="48" w:afterLines="20" w:after="48"/>
              <w:jc w:val="center"/>
              <w:rPr>
                <w:b/>
                <w:noProof/>
                <w:sz w:val="20"/>
                <w:szCs w:val="16"/>
              </w:rPr>
            </w:pPr>
            <w:r>
              <w:rPr>
                <w:b/>
                <w:noProof/>
                <w:sz w:val="20"/>
                <w:szCs w:val="16"/>
              </w:rPr>
              <w:t>199</w:t>
            </w:r>
          </w:p>
        </w:tc>
        <w:tc>
          <w:tcPr>
            <w:tcW w:w="488" w:type="pct"/>
            <w:tcBorders>
              <w:top w:val="double" w:sz="4" w:space="0" w:color="auto"/>
            </w:tcBorders>
            <w:shd w:val="clear" w:color="auto" w:fill="auto"/>
            <w:vAlign w:val="center"/>
          </w:tcPr>
          <w:p>
            <w:pPr>
              <w:spacing w:beforeLines="20" w:before="48" w:afterLines="20" w:after="48"/>
              <w:jc w:val="center"/>
              <w:rPr>
                <w:b/>
                <w:noProof/>
                <w:sz w:val="20"/>
                <w:szCs w:val="16"/>
              </w:rPr>
            </w:pPr>
            <w:r>
              <w:rPr>
                <w:b/>
                <w:noProof/>
                <w:sz w:val="20"/>
                <w:szCs w:val="16"/>
              </w:rPr>
              <w:t>199</w:t>
            </w:r>
          </w:p>
        </w:tc>
      </w:tr>
    </w:tbl>
    <w:p>
      <w:pPr>
        <w:pStyle w:val="Text1"/>
        <w:ind w:left="0"/>
        <w:rPr>
          <w:noProof/>
          <w:sz w:val="18"/>
          <w:szCs w:val="18"/>
        </w:rPr>
      </w:pPr>
      <w:r>
        <w:rPr>
          <w:noProof/>
          <w:sz w:val="18"/>
        </w:rPr>
        <w:t>The human resources required will be met by staff from the DG who are already assigned to managing the action and/or have been redeployed within the DG, together if necessary with any additional allocation that may be granted to the managing DG under the annual allocation procedure and in the light of budgetary constraints.</w:t>
      </w:r>
    </w:p>
    <w:p>
      <w:pPr>
        <w:rPr>
          <w:noProof/>
          <w:sz w:val="20"/>
        </w:rPr>
      </w:pPr>
      <w:r>
        <w:rPr>
          <w:noProof/>
          <w:sz w:val="20"/>
        </w:rPr>
        <w:t>Description of tasks to be carried out:</w:t>
      </w:r>
    </w:p>
    <w:tbl>
      <w:tblPr>
        <w:tblW w:w="9923"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6683"/>
      </w:tblGrid>
      <w:tr>
        <w:tc>
          <w:tcPr>
            <w:tcW w:w="3240" w:type="dxa"/>
          </w:tcPr>
          <w:p>
            <w:pPr>
              <w:rPr>
                <w:noProof/>
                <w:sz w:val="20"/>
              </w:rPr>
            </w:pPr>
            <w:r>
              <w:rPr>
                <w:noProof/>
                <w:sz w:val="20"/>
              </w:rPr>
              <w:t>Officials and temporary staff</w:t>
            </w:r>
          </w:p>
        </w:tc>
        <w:tc>
          <w:tcPr>
            <w:tcW w:w="6683" w:type="dxa"/>
          </w:tcPr>
          <w:p>
            <w:pPr>
              <w:pStyle w:val="Text2"/>
              <w:spacing w:before="0" w:after="0"/>
              <w:ind w:left="0"/>
              <w:rPr>
                <w:rFonts w:ascii="Arial Narrow" w:hAnsi="Arial Narrow"/>
                <w:noProof/>
                <w:sz w:val="20"/>
                <w:szCs w:val="20"/>
              </w:rPr>
            </w:pPr>
            <w:r>
              <w:rPr>
                <w:rFonts w:ascii="Arial Narrow" w:hAnsi="Arial Narrow"/>
                <w:noProof/>
                <w:sz w:val="20"/>
                <w:szCs w:val="20"/>
              </w:rPr>
              <w:t>This table shows indicative figures of the total staffing needs for the overall period 2021-2027. The baseline figure upon which the additional staff has been requested is 189 FTEs (i.e. staff working in civil protection as of 31 December 2020). This figure already includes the staff requested in 2017 to support the Commission proposal to strengthen the Union Civil Protection Mechanism (rescEU proposal).</w:t>
            </w:r>
          </w:p>
          <w:p>
            <w:pPr>
              <w:pStyle w:val="Text2"/>
              <w:spacing w:before="0" w:after="0"/>
              <w:ind w:left="0"/>
              <w:rPr>
                <w:rFonts w:ascii="Arial Narrow" w:hAnsi="Arial Narrow"/>
                <w:noProof/>
                <w:sz w:val="20"/>
                <w:szCs w:val="20"/>
              </w:rPr>
            </w:pPr>
          </w:p>
          <w:p>
            <w:pPr>
              <w:pStyle w:val="Text2"/>
              <w:spacing w:before="0" w:after="0"/>
              <w:ind w:left="0"/>
              <w:rPr>
                <w:rFonts w:ascii="Arial Narrow" w:hAnsi="Arial Narrow"/>
                <w:noProof/>
                <w:sz w:val="20"/>
                <w:szCs w:val="20"/>
              </w:rPr>
            </w:pPr>
            <w:r>
              <w:rPr>
                <w:rFonts w:ascii="Arial Narrow" w:hAnsi="Arial Narrow"/>
                <w:noProof/>
                <w:sz w:val="20"/>
                <w:szCs w:val="20"/>
              </w:rPr>
              <w:t>The total number of additional staff requested for 2021-27 is of 10 FTEs. This request is justified by the fact that the emerging compromise on the revision of the Union Civil Protection Mechanism will lead to a system that will be much more complex to set up and to manage than the proposal tabled by the Commission in November 2017. This is due to the increasing administrative complexities the Council agreed to introduce, notably the joint development of assets co-financed by the Commission. In addition, elements that the Commission originally put forward as part of the legislative proposal will now need to be determined by means of implementing acts, such as the capacities that the rescEU reserve will comprise (e.g. aerial firefighting, emergency medical team), along with how it will be managed operationally (such as defining the decision-making procedure for ther deployment).</w:t>
            </w:r>
          </w:p>
          <w:p>
            <w:pPr>
              <w:pStyle w:val="Text2"/>
              <w:spacing w:before="0" w:after="0"/>
              <w:ind w:left="0"/>
              <w:rPr>
                <w:rFonts w:ascii="Arial Narrow" w:hAnsi="Arial Narrow"/>
                <w:noProof/>
                <w:sz w:val="20"/>
                <w:szCs w:val="20"/>
              </w:rPr>
            </w:pPr>
          </w:p>
          <w:p>
            <w:pPr>
              <w:pStyle w:val="Text2"/>
              <w:spacing w:before="0" w:after="0"/>
              <w:ind w:left="0"/>
              <w:rPr>
                <w:rFonts w:ascii="Arial Narrow" w:hAnsi="Arial Narrow"/>
                <w:noProof/>
                <w:sz w:val="20"/>
                <w:szCs w:val="20"/>
              </w:rPr>
            </w:pPr>
            <w:r>
              <w:rPr>
                <w:rFonts w:ascii="Arial Narrow" w:hAnsi="Arial Narrow"/>
                <w:noProof/>
                <w:sz w:val="20"/>
                <w:szCs w:val="20"/>
              </w:rPr>
              <w:t>In general, legal profiles, including experts on procurement, and interinstitutional profiles will be sought to cover these tasks. The request for additional staff is staggered over the next multiannual financial framework period to allow this iterative process to be repeated for various new capacities, while also maintaining staff to manage existing capacities.</w:t>
            </w:r>
          </w:p>
          <w:p>
            <w:pPr>
              <w:pStyle w:val="Text2"/>
              <w:spacing w:before="0" w:after="0"/>
              <w:ind w:left="0"/>
              <w:rPr>
                <w:rFonts w:ascii="Arial Narrow" w:hAnsi="Arial Narrow"/>
                <w:noProof/>
                <w:sz w:val="20"/>
                <w:szCs w:val="20"/>
              </w:rPr>
            </w:pPr>
          </w:p>
          <w:p>
            <w:pPr>
              <w:pStyle w:val="Text2"/>
              <w:spacing w:before="0" w:after="0"/>
              <w:ind w:left="0"/>
              <w:rPr>
                <w:rFonts w:ascii="Arial Narrow" w:hAnsi="Arial Narrow"/>
                <w:noProof/>
                <w:sz w:val="20"/>
                <w:szCs w:val="20"/>
              </w:rPr>
            </w:pPr>
            <w:r>
              <w:rPr>
                <w:rFonts w:ascii="Arial Narrow" w:hAnsi="Arial Narrow"/>
                <w:noProof/>
                <w:sz w:val="20"/>
                <w:szCs w:val="20"/>
              </w:rPr>
              <w:t>Accordingly, additional staff will first be needed to prepare the implementing acts and follow up the legislative process to define the type of capacities rescEU will include (e.g. aerial firefighting capacities, emergency medical teams, capacities to face chemical, biological, radiological and nuclear risks), and then draw up the conditions of use.</w:t>
            </w:r>
          </w:p>
          <w:p>
            <w:pPr>
              <w:pStyle w:val="Text2"/>
              <w:spacing w:before="0" w:after="0"/>
              <w:ind w:left="0"/>
              <w:rPr>
                <w:rFonts w:ascii="Arial Narrow" w:hAnsi="Arial Narrow"/>
                <w:noProof/>
                <w:sz w:val="20"/>
                <w:szCs w:val="20"/>
              </w:rPr>
            </w:pPr>
          </w:p>
          <w:p>
            <w:pPr>
              <w:pStyle w:val="Text2"/>
              <w:spacing w:before="0" w:after="0"/>
              <w:ind w:left="0"/>
              <w:rPr>
                <w:rFonts w:ascii="Arial Narrow" w:hAnsi="Arial Narrow"/>
                <w:noProof/>
                <w:sz w:val="20"/>
                <w:szCs w:val="20"/>
              </w:rPr>
            </w:pPr>
            <w:r>
              <w:rPr>
                <w:rFonts w:ascii="Arial Narrow" w:hAnsi="Arial Narrow"/>
                <w:noProof/>
                <w:sz w:val="20"/>
                <w:szCs w:val="20"/>
              </w:rPr>
              <w:t>There is general political agreement that the first implementing act to define rescEU capacities will be focused on aerial firefighting capacities. Once the implementing acts for aerial firefighting capacities are in place, the development phase of the rescEU firefighting capacities will start. As noted above, this is likely to be a complex process, given that several Member States may participate in the development of one capacity through joint procurement agreement, as opposed to the Commission's original proposal to simplify co-financing and empower the Commission to acquire or lease assets on its own. The preparation and management of joint procurement agreements will create additional complexities that were not initially envisaged.</w:t>
            </w:r>
          </w:p>
          <w:p>
            <w:pPr>
              <w:pStyle w:val="Text2"/>
              <w:spacing w:before="0" w:after="0"/>
              <w:ind w:left="0"/>
              <w:rPr>
                <w:rFonts w:ascii="Arial Narrow" w:hAnsi="Arial Narrow"/>
                <w:noProof/>
                <w:sz w:val="20"/>
                <w:szCs w:val="20"/>
              </w:rPr>
            </w:pPr>
          </w:p>
          <w:p>
            <w:pPr>
              <w:rPr>
                <w:noProof/>
                <w:sz w:val="20"/>
              </w:rPr>
            </w:pPr>
            <w:r>
              <w:rPr>
                <w:rFonts w:ascii="Arial Narrow" w:hAnsi="Arial Narrow"/>
                <w:noProof/>
                <w:sz w:val="20"/>
                <w:szCs w:val="20"/>
              </w:rPr>
              <w:t>This process (defining capacities and conditions of use, developing capacities, using capacities, etc.) will have to be repeated with other types of capacities, such as emergency medical capacities or capacities to face chemical, biological radiological or nuclear risks. This is due to the fact that the emerging compromise opens the door to include a much wider range of capacities as part of the rescEU reserve, as opposed to the original Commission proposal, where only four capacities were listed. As such, additional staff will be needed over the multiannual financial framework period to be able to respond to these emerging needs, while continuing to manage established rescEU capacities. As such, profiles with relevant expertise in key areas of civil protection will be needed to support the development of other type of capacities.</w:t>
            </w:r>
          </w:p>
        </w:tc>
      </w:tr>
      <w:tr>
        <w:tc>
          <w:tcPr>
            <w:tcW w:w="3240" w:type="dxa"/>
          </w:tcPr>
          <w:p>
            <w:pPr>
              <w:spacing w:before="60" w:after="60"/>
              <w:rPr>
                <w:noProof/>
                <w:sz w:val="20"/>
              </w:rPr>
            </w:pPr>
            <w:r>
              <w:rPr>
                <w:noProof/>
                <w:sz w:val="20"/>
              </w:rPr>
              <w:t>External staff</w:t>
            </w:r>
          </w:p>
        </w:tc>
        <w:tc>
          <w:tcPr>
            <w:tcW w:w="6683" w:type="dxa"/>
          </w:tcPr>
          <w:p>
            <w:pPr>
              <w:rPr>
                <w:rFonts w:ascii="Arial Narrow" w:hAnsi="Arial Narrow"/>
                <w:noProof/>
                <w:sz w:val="20"/>
                <w:szCs w:val="20"/>
              </w:rPr>
            </w:pPr>
            <w:r>
              <w:rPr>
                <w:rFonts w:ascii="Arial Narrow" w:hAnsi="Arial Narrow"/>
                <w:noProof/>
                <w:sz w:val="20"/>
                <w:szCs w:val="20"/>
              </w:rPr>
              <w:t xml:space="preserve">External staff will also be sought to cover the abovementioned roles. </w:t>
            </w:r>
          </w:p>
          <w:p>
            <w:pPr>
              <w:rPr>
                <w:noProof/>
                <w:sz w:val="20"/>
              </w:rPr>
            </w:pPr>
            <w:r>
              <w:rPr>
                <w:rFonts w:ascii="Arial Narrow" w:hAnsi="Arial Narrow"/>
                <w:noProof/>
                <w:sz w:val="20"/>
                <w:szCs w:val="20"/>
              </w:rPr>
              <w:t>In addition, external staff can also provide expertise on certain technical issues related to the development of capacities.</w:t>
            </w:r>
          </w:p>
        </w:tc>
      </w:tr>
    </w:tbl>
    <w:p>
      <w:pPr>
        <w:rPr>
          <w:noProof/>
        </w:rPr>
        <w:sectPr>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pPr>
        <w:pStyle w:val="ManualHeading3"/>
        <w:rPr>
          <w:bCs/>
          <w:noProof/>
          <w:szCs w:val="24"/>
        </w:rPr>
      </w:pPr>
      <w:bookmarkStart w:id="61" w:name="_Toc351883"/>
      <w:r>
        <w:t>3.2.3.</w:t>
      </w:r>
      <w:r>
        <w:tab/>
      </w:r>
      <w:r>
        <w:rPr>
          <w:noProof/>
        </w:rPr>
        <w:t>Third-party contributions</w:t>
      </w:r>
      <w:bookmarkEnd w:id="61"/>
      <w:r>
        <w:rPr>
          <w:noProof/>
        </w:rPr>
        <w:t xml:space="preserve"> </w:t>
      </w:r>
    </w:p>
    <w:p>
      <w:pPr>
        <w:pStyle w:val="Text1"/>
        <w:rPr>
          <w:noProof/>
        </w:rPr>
      </w:pPr>
      <w:r>
        <w:rPr>
          <w:noProof/>
        </w:rPr>
        <w:t>The proposal/initiative:</w:t>
      </w:r>
    </w:p>
    <w:p>
      <w:pPr>
        <w:pStyle w:val="ListDash1"/>
        <w:rPr>
          <w:noProof/>
        </w:rPr>
      </w:pPr>
      <w:r>
        <w:rPr>
          <w:noProof/>
        </w:rPr>
        <w:sym w:font="Wingdings" w:char="F0A8"/>
      </w:r>
      <w:r>
        <w:rPr>
          <w:noProof/>
        </w:rPr>
        <w:tab/>
        <w:t>does not provide for co-financing by third parties</w:t>
      </w:r>
    </w:p>
    <w:p>
      <w:pPr>
        <w:pStyle w:val="ListDash1"/>
        <w:rPr>
          <w:noProof/>
        </w:rPr>
      </w:pPr>
      <w:r>
        <w:rPr>
          <w:noProof/>
        </w:rPr>
        <w:t>X</w:t>
      </w:r>
      <w:r>
        <w:rPr>
          <w:noProof/>
        </w:rPr>
        <w:tab/>
        <w:t>provides for the co-financing by third parties</w:t>
      </w:r>
    </w:p>
    <w:p>
      <w:pPr>
        <w:rPr>
          <w:noProof/>
        </w:rPr>
      </w:pPr>
      <w:r>
        <w:rPr>
          <w:noProof/>
        </w:rPr>
        <w:t>Financial contributions from third parties</w:t>
      </w:r>
      <w:r>
        <w:rPr>
          <w:rStyle w:val="FootnoteReference"/>
          <w:noProof/>
        </w:rPr>
        <w:footnoteReference w:id="29"/>
      </w:r>
      <w:r>
        <w:rPr>
          <w:noProof/>
        </w:rPr>
        <w:t xml:space="preserve"> cannot be calculated at this stage as amounts have not yet been decided.</w:t>
      </w:r>
    </w:p>
    <w:p>
      <w:pPr>
        <w:pStyle w:val="ManualHeading2"/>
        <w:rPr>
          <w:bCs/>
          <w:noProof/>
          <w:szCs w:val="24"/>
        </w:rPr>
      </w:pPr>
      <w:bookmarkStart w:id="62" w:name="_Toc351884"/>
      <w:r>
        <w:t>3.3.</w:t>
      </w:r>
      <w:r>
        <w:tab/>
      </w:r>
      <w:r>
        <w:rPr>
          <w:noProof/>
        </w:rPr>
        <w:t>Estimated impact on revenue</w:t>
      </w:r>
      <w:bookmarkEnd w:id="62"/>
      <w:r>
        <w:rPr>
          <w:noProof/>
        </w:rPr>
        <w:t xml:space="preserve"> </w:t>
      </w:r>
    </w:p>
    <w:p>
      <w:pPr>
        <w:pStyle w:val="ListDash1"/>
        <w:rPr>
          <w:noProof/>
        </w:rPr>
      </w:pPr>
      <w:r>
        <w:rPr>
          <w:noProof/>
        </w:rPr>
        <w:t>X</w:t>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rPr>
          <w:noProof/>
        </w:rPr>
      </w:pPr>
      <w:r>
        <w:rPr>
          <w:noProof/>
        </w:rPr>
        <w:sym w:font="Wingdings" w:char="F0A8"/>
      </w:r>
      <w:r>
        <w:rPr>
          <w:noProof/>
        </w:rPr>
        <w:tab/>
        <w:t xml:space="preserve">on own resources </w:t>
      </w:r>
    </w:p>
    <w:p>
      <w:pPr>
        <w:pStyle w:val="ListNumberLevel3"/>
        <w:rPr>
          <w:noProof/>
        </w:rPr>
      </w:pPr>
      <w:r>
        <w:rPr>
          <w:noProof/>
        </w:rPr>
        <w:sym w:font="Wingdings" w:char="F0A8"/>
      </w:r>
      <w:r>
        <w:rPr>
          <w:noProof/>
        </w:rPr>
        <w:tab/>
        <w:t xml:space="preserve"> on other revenue</w:t>
      </w:r>
    </w:p>
    <w:p>
      <w:pPr>
        <w:jc w:val="right"/>
        <w:rPr>
          <w:noProof/>
        </w:rPr>
      </w:pPr>
      <w:r>
        <w:rPr>
          <w:noProof/>
        </w:rPr>
        <w:t xml:space="preserve">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sz w:val="18"/>
              </w:rPr>
              <w:footnoteReference w:id="30"/>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EN</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11</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Decision No 1313/2013/EU of the European Parliament and of the Council of 17 December 2013 on a Union Civil Protection Mechanism (OJ L 347, 20.12.2013, p. 924)</w:t>
      </w:r>
    </w:p>
  </w:footnote>
  <w:footnote w:id="3">
    <w:p>
      <w:pPr>
        <w:pStyle w:val="FootnoteText"/>
        <w:ind w:left="0" w:firstLine="0"/>
      </w:pPr>
      <w:r>
        <w:rPr>
          <w:rStyle w:val="FootnoteReference"/>
        </w:rPr>
        <w:footnoteRef/>
      </w:r>
      <w:r>
        <w:tab/>
        <w:t>COM(2018)321 final.</w:t>
      </w:r>
    </w:p>
  </w:footnote>
  <w:footnote w:id="4">
    <w:p>
      <w:pPr>
        <w:pStyle w:val="FootnoteText"/>
        <w:ind w:left="0" w:firstLine="0"/>
      </w:pPr>
      <w:r>
        <w:rPr>
          <w:rStyle w:val="FootnoteReference"/>
        </w:rPr>
        <w:footnoteRef/>
      </w:r>
      <w:r>
        <w:tab/>
        <w:t>COM(2017)772 final.</w:t>
      </w:r>
    </w:p>
  </w:footnote>
  <w:footnote w:id="5">
    <w:p>
      <w:pPr>
        <w:pStyle w:val="FootnoteText"/>
        <w:ind w:left="0" w:firstLine="0"/>
      </w:pPr>
      <w:r>
        <w:rPr>
          <w:rStyle w:val="FootnoteReference"/>
        </w:rPr>
        <w:footnoteRef/>
      </w:r>
      <w:r>
        <w:tab/>
        <w:t>The Communication’s title is ‘A Modern Budget for a Union that Protects, Empowers and Defends’.</w:t>
      </w:r>
    </w:p>
  </w:footnote>
  <w:footnote w:id="6">
    <w:p>
      <w:pPr>
        <w:pStyle w:val="FootnoteText"/>
        <w:rPr>
          <w:lang w:val="pt-PT"/>
        </w:rPr>
      </w:pPr>
      <w:r>
        <w:rPr>
          <w:rStyle w:val="FootnoteReference"/>
        </w:rPr>
        <w:footnoteRef/>
      </w:r>
      <w:r>
        <w:rPr>
          <w:lang w:val="pt-PT"/>
        </w:rPr>
        <w:tab/>
        <w:t>COM(2018)321 final, p. 29.</w:t>
      </w:r>
    </w:p>
  </w:footnote>
  <w:footnote w:id="7">
    <w:p>
      <w:pPr>
        <w:pStyle w:val="FootnoteText"/>
        <w:rPr>
          <w:lang w:val="pt-PT"/>
        </w:rPr>
      </w:pPr>
      <w:r>
        <w:rPr>
          <w:rStyle w:val="FootnoteReference"/>
        </w:rPr>
        <w:footnoteRef/>
      </w:r>
      <w:r>
        <w:rPr>
          <w:lang w:val="pt-PT"/>
        </w:rPr>
        <w:tab/>
        <w:t>COM(2017)772 final.</w:t>
      </w:r>
    </w:p>
  </w:footnote>
  <w:footnote w:id="8">
    <w:p>
      <w:pPr>
        <w:pStyle w:val="FootnoteText"/>
      </w:pPr>
      <w:r>
        <w:rPr>
          <w:rStyle w:val="FootnoteReference"/>
        </w:rPr>
        <w:footnoteRef/>
      </w:r>
      <w:r>
        <w:tab/>
        <w:t>OJ C , , p. .</w:t>
      </w:r>
    </w:p>
  </w:footnote>
  <w:footnote w:id="9">
    <w:p>
      <w:pPr>
        <w:pStyle w:val="FootnoteText"/>
      </w:pPr>
      <w:r>
        <w:rPr>
          <w:rStyle w:val="FootnoteReference"/>
        </w:rPr>
        <w:footnoteRef/>
      </w:r>
      <w:r>
        <w:tab/>
        <w:t>OJ C , , p. .</w:t>
      </w:r>
    </w:p>
  </w:footnote>
  <w:footnote w:id="10">
    <w:p>
      <w:pPr>
        <w:pStyle w:val="FootnoteText"/>
      </w:pPr>
      <w:r>
        <w:rPr>
          <w:rStyle w:val="FootnoteReference"/>
        </w:rPr>
        <w:footnoteRef/>
      </w:r>
      <w:r>
        <w:tab/>
        <w:t>Proposal for a Decision of the European Parliament and of the Council amending Decision No 1313/2013/EU on a Union Civil Protection Mechanism on 23 November 2017 (COM(2017)772 final)</w:t>
      </w:r>
    </w:p>
  </w:footnote>
  <w:footnote w:id="11">
    <w:p>
      <w:pPr>
        <w:pStyle w:val="FootnoteText"/>
      </w:pPr>
      <w:r>
        <w:rPr>
          <w:rStyle w:val="FootnoteReference"/>
        </w:rPr>
        <w:footnoteRef/>
      </w:r>
      <w:r>
        <w:tab/>
        <w:t>Decision No 1313/2013/EU of the European Parliament and of the Council of 17 December 2013 on a Union Civil Protection Mechanism (OJ L 347, 20.12.2013, p. 924).</w:t>
      </w:r>
    </w:p>
  </w:footnote>
  <w:footnote w:id="12">
    <w:p>
      <w:pPr>
        <w:pStyle w:val="FootnoteText"/>
      </w:pPr>
      <w:r>
        <w:rPr>
          <w:rStyle w:val="FootnoteReference"/>
        </w:rPr>
        <w:footnoteRef/>
      </w:r>
      <w:r>
        <w:tab/>
        <w:t>COM(2018)321 final.</w:t>
      </w:r>
    </w:p>
  </w:footnote>
  <w:footnote w:id="13">
    <w:p>
      <w:pPr>
        <w:pStyle w:val="FootnoteText"/>
      </w:pPr>
      <w:r>
        <w:rPr>
          <w:rStyle w:val="FootnoteReference"/>
        </w:rPr>
        <w:footnoteRef/>
      </w:r>
      <w:r>
        <w:tab/>
        <w:t>By the time of the likely adoption of this proposal, the proposed revision of Decision No 1313/2013/EU of 23 November 2017 (rescEU proposal), where a new article on visibility (Article 20a) has been added, should be already in force (foreseen entry into force is 21 March 2019). Given the need to streamline the language on corporate communication for all new multiannual financial framework proposals following SG guidelines (ARES (2018)4555072), Article 20a is amended to comply with the internal rules on the matter.</w:t>
      </w:r>
    </w:p>
  </w:footnote>
  <w:footnote w:id="14">
    <w:p>
      <w:pPr>
        <w:pStyle w:val="FootnoteText"/>
      </w:pPr>
      <w:r>
        <w:rPr>
          <w:rStyle w:val="FootnoteReference"/>
        </w:rPr>
        <w:footnoteRef/>
      </w:r>
      <w:r>
        <w:tab/>
        <w:t>By the time of the likely adoption of this proposal, the proposed revision of Decision No 1313/2013/EU of 23 November 2017 (rescEU proposal) should be already in force (foreseen entry into force is 21 March 2019). The amendment presented in this document refers then to Article 30 as it stands in the revised Decision No 1313/2013/EU.</w:t>
      </w:r>
    </w:p>
  </w:footnote>
  <w:footnote w:id="15">
    <w:p>
      <w:pPr>
        <w:pStyle w:val="FootnoteText"/>
        <w:ind w:left="0" w:firstLine="0"/>
      </w:pPr>
      <w:r>
        <w:rPr>
          <w:rStyle w:val="FootnoteReference"/>
        </w:rPr>
        <w:footnoteRef/>
      </w:r>
      <w:r>
        <w:tab/>
        <w:t>COM(2018)98 final.</w:t>
      </w:r>
    </w:p>
  </w:footnote>
  <w:footnote w:id="16">
    <w:p>
      <w:pPr>
        <w:pStyle w:val="FootnoteText"/>
        <w:rPr>
          <w:szCs w:val="24"/>
        </w:rPr>
      </w:pPr>
      <w:r>
        <w:rPr>
          <w:rStyle w:val="FootnoteReference"/>
        </w:rPr>
        <w:footnoteRef/>
      </w:r>
      <w:r>
        <w:tab/>
        <w:t>As referred to in Article 58(2)(a) or (b) of the Financial Regulation.</w:t>
      </w:r>
    </w:p>
  </w:footnote>
  <w:footnote w:id="17">
    <w:p>
      <w:pPr>
        <w:pStyle w:val="FootnoteText"/>
      </w:pPr>
      <w:r>
        <w:rPr>
          <w:rStyle w:val="FootnoteReference"/>
        </w:rPr>
        <w:footnoteRef/>
      </w:r>
      <w:r>
        <w:tab/>
        <w:t>COM(2017)772 final.</w:t>
      </w:r>
    </w:p>
  </w:footnote>
  <w:footnote w:id="18">
    <w:p>
      <w:pPr>
        <w:pStyle w:val="FootnoteText"/>
      </w:pPr>
      <w:r>
        <w:rPr>
          <w:rStyle w:val="FootnoteReference"/>
        </w:rPr>
        <w:footnoteRef/>
      </w:r>
      <w:r>
        <w:tab/>
        <w:t>European Court of Auditors, ‘Union Civil Protection Mechanism: the coordination of responses to disasters outside the EU has been broadly effective’, Special Report no. 33, 2016.</w:t>
      </w:r>
    </w:p>
  </w:footnote>
  <w:footnote w:id="19">
    <w:p>
      <w:pPr>
        <w:pStyle w:val="FootnoteText"/>
      </w:pPr>
      <w:r>
        <w:rPr>
          <w:rStyle w:val="FootnoteReference"/>
        </w:rPr>
        <w:footnoteRef/>
      </w:r>
      <w:r>
        <w:tab/>
        <w:t>Staff Working Document, ‘Overview of Natural and Man-made Disaster Risks the European Union may face’, SWD (2017)176 final, 23.5.2017.</w:t>
      </w:r>
    </w:p>
  </w:footnote>
  <w:footnote w:id="20">
    <w:p>
      <w:pPr>
        <w:pStyle w:val="FootnoteText"/>
        <w:jc w:val="left"/>
        <w:rPr>
          <w:szCs w:val="24"/>
        </w:rPr>
      </w:pPr>
      <w:r>
        <w:rPr>
          <w:rStyle w:val="FootnoteReference"/>
        </w:rPr>
        <w:footnoteRef/>
      </w:r>
      <w:r>
        <w:tab/>
        <w:t xml:space="preserve">The BudgWeb site contains details on management modes and references to the Financial Regulation:: </w:t>
      </w:r>
      <w:hyperlink r:id="rId1" w:history="1">
        <w:r>
          <w:rPr>
            <w:rStyle w:val="Hyperlink"/>
            <w:szCs w:val="24"/>
          </w:rPr>
          <w:t>https://myintracomm.ec.europa.eu/budgweb/EN/man/budgmanag/Pages/budgmanag.aspx</w:t>
        </w:r>
      </w:hyperlink>
      <w:r>
        <w:rPr>
          <w:szCs w:val="24"/>
        </w:rPr>
        <w:t xml:space="preserve"> </w:t>
      </w:r>
    </w:p>
  </w:footnote>
  <w:footnote w:id="21">
    <w:p>
      <w:pPr>
        <w:pStyle w:val="FootnoteText"/>
        <w:rPr>
          <w:szCs w:val="24"/>
        </w:rPr>
      </w:pPr>
      <w:r>
        <w:rPr>
          <w:rStyle w:val="FootnoteReference"/>
        </w:rPr>
        <w:footnoteRef/>
      </w:r>
      <w:r>
        <w:tab/>
        <w:t>Diff. = differentiated appropriations / Non-diff. = non-differentiated appropriations.</w:t>
      </w:r>
    </w:p>
  </w:footnote>
  <w:footnote w:id="22">
    <w:p>
      <w:pPr>
        <w:pStyle w:val="FootnoteText"/>
        <w:rPr>
          <w:szCs w:val="24"/>
        </w:rPr>
      </w:pPr>
      <w:r>
        <w:rPr>
          <w:rStyle w:val="FootnoteReference"/>
        </w:rPr>
        <w:footnoteRef/>
      </w:r>
      <w:r>
        <w:tab/>
        <w:t>EFTA: European Free Trade Association. EFTA countries that are part of the EEA can join the Union Civil Protection Mechanism as ‘Participating States’ as provided for in Article 28(1)a of Decision No 1313/2013/EU.</w:t>
      </w:r>
    </w:p>
  </w:footnote>
  <w:footnote w:id="23">
    <w:p>
      <w:pPr>
        <w:pStyle w:val="FootnoteText"/>
      </w:pPr>
      <w:r>
        <w:rPr>
          <w:rStyle w:val="FootnoteReference"/>
        </w:rPr>
        <w:footnoteRef/>
      </w:r>
      <w:r>
        <w:tab/>
        <w:t>Candidate countries and, where applicable, potential candidates from the Western Balkans. These countries can join the Union Civil Protection Mechanism as ‘Participating States’ as provided for in Article 28(1)b of Decision No 1313/2013/EU.</w:t>
      </w:r>
    </w:p>
  </w:footnote>
  <w:footnote w:id="24">
    <w:p>
      <w:pPr>
        <w:pStyle w:val="FootnoteText"/>
      </w:pPr>
      <w:r>
        <w:rPr>
          <w:rStyle w:val="FootnoteReference"/>
        </w:rPr>
        <w:footnoteRef/>
      </w:r>
      <w:r>
        <w:tab/>
        <w:t>For the purpose of this table, the reference to third countries should be understood as ‘other European countries’ that are not yet part of the Union Civil Protection Mechanism, but that might join in the future as provided for in Article 28(1)a of Decision No 1313/2013/EU. No contributions are expected from third countries other than the ones specified above.</w:t>
      </w:r>
    </w:p>
  </w:footnote>
  <w:footnote w:id="25">
    <w:p>
      <w:pPr>
        <w:pStyle w:val="FootnoteText"/>
      </w:pPr>
      <w:r>
        <w:rPr>
          <w:rStyle w:val="FootnoteReference"/>
        </w:rPr>
        <w:footnoteRef/>
      </w:r>
      <w:r>
        <w:tab/>
        <w:t>“Totals may not tally due to rounding.”</w:t>
      </w:r>
    </w:p>
  </w:footnote>
  <w:footnote w:id="26">
    <w:p>
      <w:pPr>
        <w:pStyle w:val="FootnoteText"/>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27">
    <w:p>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28">
    <w:p>
      <w:pPr>
        <w:pStyle w:val="FootnoteText"/>
        <w:rPr>
          <w:szCs w:val="24"/>
        </w:rPr>
      </w:pPr>
      <w:r>
        <w:rPr>
          <w:rStyle w:val="FootnoteReference"/>
        </w:rPr>
        <w:footnoteRef/>
      </w:r>
      <w:r>
        <w:tab/>
        <w:t>Sub-ceiling for external staff covered by operational appropriations (former ‘BA’ lines).</w:t>
      </w:r>
    </w:p>
  </w:footnote>
  <w:footnote w:id="29">
    <w:p>
      <w:pPr>
        <w:pStyle w:val="FootnoteText"/>
      </w:pPr>
      <w:r>
        <w:rPr>
          <w:rStyle w:val="FootnoteReference"/>
        </w:rPr>
        <w:footnoteRef/>
      </w:r>
      <w:r>
        <w:tab/>
        <w:t>Third-party contributions refer to the contributions of the ‘Participating States’ to the Union Civil Protection Mechanism as specified in Table 3.1 (above) and in line with the explanations provided in footnotes 21, 22 and 23.</w:t>
      </w:r>
    </w:p>
  </w:footnote>
  <w:footnote w:id="30">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E035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C6A5A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5E39F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582AC2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B4CA4D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CBA545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24"/>
    <w:lvlOverride w:ilvl="0">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2"/>
  </w:num>
  <w:num w:numId="13">
    <w:abstractNumId w:val="1"/>
  </w:num>
  <w:num w:numId="14">
    <w:abstractNumId w:val="0"/>
  </w:num>
  <w:num w:numId="15">
    <w:abstractNumId w:val="13"/>
    <w:lvlOverride w:ilvl="0">
      <w:startOverride w:val="1"/>
    </w:lvlOverride>
  </w:num>
  <w:num w:numId="16">
    <w:abstractNumId w:val="17"/>
    <w:lvlOverride w:ilvl="0">
      <w:startOverride w:val="1"/>
    </w:lvlOverride>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1"/>
  </w:num>
  <w:num w:numId="21">
    <w:abstractNumId w:val="22"/>
  </w:num>
  <w:num w:numId="22">
    <w:abstractNumId w:val="10"/>
  </w:num>
  <w:num w:numId="23">
    <w:abstractNumId w:val="12"/>
  </w:num>
  <w:num w:numId="24">
    <w:abstractNumId w:val="8"/>
  </w:num>
  <w:num w:numId="25">
    <w:abstractNumId w:val="21"/>
  </w:num>
  <w:num w:numId="26">
    <w:abstractNumId w:val="7"/>
  </w:num>
  <w:num w:numId="27">
    <w:abstractNumId w:val="13"/>
  </w:num>
  <w:num w:numId="28">
    <w:abstractNumId w:val="17"/>
  </w:num>
  <w:num w:numId="29">
    <w:abstractNumId w:val="18"/>
  </w:num>
  <w:num w:numId="30">
    <w:abstractNumId w:val="9"/>
  </w:num>
  <w:num w:numId="31">
    <w:abstractNumId w:val="16"/>
  </w:num>
  <w:num w:numId="32">
    <w:abstractNumId w:val="24"/>
  </w:num>
  <w:num w:numId="33">
    <w:abstractNumId w:val="19"/>
  </w:num>
  <w:num w:numId="34">
    <w:abstractNumId w:val="11"/>
  </w:num>
  <w:num w:numId="35">
    <w:abstractNumId w:val="22"/>
  </w:num>
  <w:num w:numId="36">
    <w:abstractNumId w:val="10"/>
  </w:num>
  <w:num w:numId="37">
    <w:abstractNumId w:val="12"/>
  </w:num>
  <w:num w:numId="38">
    <w:abstractNumId w:val="8"/>
  </w:num>
  <w:num w:numId="39">
    <w:abstractNumId w:val="21"/>
  </w:num>
  <w:num w:numId="40">
    <w:abstractNumId w:val="7"/>
  </w:num>
  <w:num w:numId="41">
    <w:abstractNumId w:val="13"/>
  </w:num>
  <w:num w:numId="42">
    <w:abstractNumId w:val="17"/>
  </w:num>
  <w:num w:numId="43">
    <w:abstractNumId w:val="18"/>
  </w:num>
  <w:num w:numId="44">
    <w:abstractNumId w:val="9"/>
  </w:num>
  <w:num w:numId="45">
    <w:abstractNumId w:val="16"/>
  </w:num>
  <w:num w:numId="46">
    <w:abstractNumId w:val="2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6 09:00:4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43CB0CB-2E8D-4CD3-8DF1-CA83EF904157"/>
    <w:docVar w:name="LW_COVERPAGE_TYPE" w:val="1"/>
    <w:docVar w:name="LW_CROSSREFERENCE" w:val="&lt;UNUSED&gt;"/>
    <w:docVar w:name="LW_DocType" w:val="COM"/>
    <w:docVar w:name="LW_EMISSION" w:val="7.3.2019"/>
    <w:docVar w:name="LW_EMISSION_ISODATE" w:val="2019-03-07"/>
    <w:docVar w:name="LW_EMISSION_LOCATION" w:val="BRX"/>
    <w:docVar w:name="LW_EMISSION_PREFIX" w:val="Brussels, "/>
    <w:docVar w:name="LW_EMISSION_SUFFIX" w:val=" "/>
    <w:docVar w:name="LW_ID_DOCMODEL" w:val="SJ-025"/>
    <w:docVar w:name="LW_ID_DOCSIGNATURE" w:val="SJ-025"/>
    <w:docVar w:name="LW_ID_DOCSTRUCTURE" w:val="COM/PL/ORG"/>
    <w:docVar w:name="LW_ID_DOCTYPE" w:val="SJ-025"/>
    <w:docVar w:name="LW_ID_EXP.MOTIFS.NEW" w:val="EM_PL_"/>
    <w:docVar w:name="LW_ID_STATUT" w:val="SJ-025"/>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70"/>
    <w:docVar w:name="LW_REF.II.NEW.CP_YEAR" w:val="2019"/>
    <w:docVar w:name="LW_REF.INST.NEW" w:val="COM"/>
    <w:docVar w:name="LW_REF.INST.NEW_ADOPTED" w:val="final"/>
    <w:docVar w:name="LW_REF.INST.NEW_TEXT" w:val="(2019) 1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ecision No 1313/2013/EU of the European Parliament and of the Council on a Union Civil Protection Mechanism"/>
    <w:docVar w:name="LW_TYPE.DOC.CP" w:val="DECIS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rmal1">
    <w:name w:val="normal1"/>
    <w:basedOn w:val="Normal"/>
    <w:pPr>
      <w:spacing w:before="0" w:after="0"/>
    </w:pPr>
    <w:rPr>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tabs>
        <w:tab w:val="clear" w:pos="643"/>
        <w:tab w:val="num" w:pos="360"/>
      </w:tabs>
      <w:ind w:left="0" w:firstLine="0"/>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lang w:val="fr-FR" w:eastAsia="en-GB"/>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normal1">
    <w:name w:val="normal1"/>
    <w:basedOn w:val="Normal"/>
    <w:pPr>
      <w:spacing w:before="0" w:after="0"/>
    </w:pPr>
    <w:rPr>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tabs>
        <w:tab w:val="clear" w:pos="643"/>
        <w:tab w:val="num" w:pos="360"/>
      </w:tabs>
      <w:ind w:left="0" w:firstLine="0"/>
      <w:contextualSpacing/>
    </w:pPr>
  </w:style>
  <w:style w:type="paragraph" w:styleId="ListNumber3">
    <w:name w:val="List Number 3"/>
    <w:basedOn w:val="Normal"/>
    <w:uiPriority w:val="99"/>
    <w:semiHidden/>
    <w:unhideWhenUsed/>
    <w:pPr>
      <w:numPr>
        <w:numId w:val="13"/>
      </w:numPr>
      <w:contextualSpacing/>
    </w:pPr>
  </w:style>
  <w:style w:type="paragraph" w:styleId="ListNumber4">
    <w:name w:val="List Number 4"/>
    <w:basedOn w:val="Normal"/>
    <w:uiPriority w:val="99"/>
    <w:semiHidden/>
    <w:unhideWhenUsed/>
    <w:pPr>
      <w:numPr>
        <w:numId w:val="1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1979">
      <w:bodyDiv w:val="1"/>
      <w:marLeft w:val="0"/>
      <w:marRight w:val="0"/>
      <w:marTop w:val="0"/>
      <w:marBottom w:val="0"/>
      <w:divBdr>
        <w:top w:val="none" w:sz="0" w:space="0" w:color="auto"/>
        <w:left w:val="none" w:sz="0" w:space="0" w:color="auto"/>
        <w:bottom w:val="none" w:sz="0" w:space="0" w:color="auto"/>
        <w:right w:val="none" w:sz="0" w:space="0" w:color="auto"/>
      </w:divBdr>
    </w:div>
    <w:div w:id="573123183">
      <w:bodyDiv w:val="1"/>
      <w:marLeft w:val="0"/>
      <w:marRight w:val="0"/>
      <w:marTop w:val="0"/>
      <w:marBottom w:val="0"/>
      <w:divBdr>
        <w:top w:val="none" w:sz="0" w:space="0" w:color="auto"/>
        <w:left w:val="none" w:sz="0" w:space="0" w:color="auto"/>
        <w:bottom w:val="none" w:sz="0" w:space="0" w:color="auto"/>
        <w:right w:val="none" w:sz="0" w:space="0" w:color="auto"/>
      </w:divBdr>
    </w:div>
    <w:div w:id="1297024277">
      <w:bodyDiv w:val="1"/>
      <w:marLeft w:val="0"/>
      <w:marRight w:val="0"/>
      <w:marTop w:val="0"/>
      <w:marBottom w:val="0"/>
      <w:divBdr>
        <w:top w:val="none" w:sz="0" w:space="0" w:color="auto"/>
        <w:left w:val="none" w:sz="0" w:space="0" w:color="auto"/>
        <w:bottom w:val="none" w:sz="0" w:space="0" w:color="auto"/>
        <w:right w:val="none" w:sz="0" w:space="0" w:color="auto"/>
      </w:divBdr>
    </w:div>
    <w:div w:id="1542589701">
      <w:bodyDiv w:val="1"/>
      <w:marLeft w:val="0"/>
      <w:marRight w:val="0"/>
      <w:marTop w:val="0"/>
      <w:marBottom w:val="0"/>
      <w:divBdr>
        <w:top w:val="none" w:sz="0" w:space="0" w:color="auto"/>
        <w:left w:val="none" w:sz="0" w:space="0" w:color="auto"/>
        <w:bottom w:val="none" w:sz="0" w:space="0" w:color="auto"/>
        <w:right w:val="none" w:sz="0" w:space="0" w:color="auto"/>
      </w:divBdr>
    </w:div>
    <w:div w:id="1621492935">
      <w:bodyDiv w:val="1"/>
      <w:marLeft w:val="0"/>
      <w:marRight w:val="0"/>
      <w:marTop w:val="0"/>
      <w:marBottom w:val="0"/>
      <w:divBdr>
        <w:top w:val="none" w:sz="0" w:space="0" w:color="auto"/>
        <w:left w:val="none" w:sz="0" w:space="0" w:color="auto"/>
        <w:bottom w:val="none" w:sz="0" w:space="0" w:color="auto"/>
        <w:right w:val="none" w:sz="0" w:space="0" w:color="auto"/>
      </w:divBdr>
    </w:div>
    <w:div w:id="1916741002">
      <w:bodyDiv w:val="1"/>
      <w:marLeft w:val="0"/>
      <w:marRight w:val="0"/>
      <w:marTop w:val="0"/>
      <w:marBottom w:val="0"/>
      <w:divBdr>
        <w:top w:val="none" w:sz="0" w:space="0" w:color="auto"/>
        <w:left w:val="none" w:sz="0" w:space="0" w:color="auto"/>
        <w:bottom w:val="none" w:sz="0" w:space="0" w:color="auto"/>
        <w:right w:val="none" w:sz="0" w:space="0" w:color="auto"/>
      </w:divBdr>
    </w:div>
    <w:div w:id="200365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DCD8FF8C72C8549836259561C51B016" ma:contentTypeVersion="6" ma:contentTypeDescription="Create a new document." ma:contentTypeScope="" ma:versionID="0a7a7b7323ec51367a3104ad09c77728">
  <xsd:schema xmlns:xsd="http://www.w3.org/2001/XMLSchema" xmlns:xs="http://www.w3.org/2001/XMLSchema" xmlns:p="http://schemas.microsoft.com/office/2006/metadata/properties" xmlns:ns3="f097a6c1-89d2-4bde-8298-f5f7615834d3" targetNamespace="http://schemas.microsoft.com/office/2006/metadata/properties" ma:root="true" ma:fieldsID="e5cdda77b0df180cbcd03b0f22749dc3" ns3:_="">
    <xsd:import namespace="f097a6c1-89d2-4bde-8298-f5f7615834d3"/>
    <xsd:element name="properties">
      <xsd:complexType>
        <xsd:sequence>
          <xsd:element name="documentManagement">
            <xsd:complexType>
              <xsd:all>
                <xsd:element ref="ns3:EC_Collab_Reference" minOccurs="0"/>
                <xsd:element ref="ns3:EC_Collab_DocumentLangu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7a6c1-89d2-4bde-8298-f5f7615834d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f097a6c1-89d2-4bde-8298-f5f7615834d3">EN</EC_Collab_DocumentLanguage>
    <EC_Collab_Reference xmlns="f097a6c1-89d2-4bde-8298-f5f7615834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36D3-3E36-4A7A-99BA-31808414D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7a6c1-89d2-4bde-8298-f5f761583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E1836-2B37-43A4-B71D-9B59A69B0DC8}">
  <ds:schemaRefs>
    <ds:schemaRef ds:uri="http://schemas.microsoft.com/sharepoint/v3/contenttype/forms"/>
  </ds:schemaRefs>
</ds:datastoreItem>
</file>

<file path=customXml/itemProps3.xml><?xml version="1.0" encoding="utf-8"?>
<ds:datastoreItem xmlns:ds="http://schemas.openxmlformats.org/officeDocument/2006/customXml" ds:itemID="{E697FB82-6646-43B8-86E7-79546DA913A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f097a6c1-89d2-4bde-8298-f5f7615834d3"/>
    <ds:schemaRef ds:uri="http://www.w3.org/XML/1998/namespace"/>
  </ds:schemaRefs>
</ds:datastoreItem>
</file>

<file path=customXml/itemProps4.xml><?xml version="1.0" encoding="utf-8"?>
<ds:datastoreItem xmlns:ds="http://schemas.openxmlformats.org/officeDocument/2006/customXml" ds:itemID="{4658FD57-9625-4D9C-A4EB-3A15EEFFC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10</TotalTime>
  <Pages>25</Pages>
  <Words>6172</Words>
  <Characters>34749</Characters>
  <Application>Microsoft Office Word</Application>
  <DocSecurity>0</DocSecurity>
  <Lines>1085</Lines>
  <Paragraphs>649</Paragraphs>
  <ScaleCrop>false</ScaleCrop>
  <HeadingPairs>
    <vt:vector size="2" baseType="variant">
      <vt:variant>
        <vt:lpstr>Title</vt:lpstr>
      </vt:variant>
      <vt:variant>
        <vt:i4>1</vt:i4>
      </vt:variant>
    </vt:vector>
  </HeadingPairs>
  <TitlesOfParts>
    <vt:vector size="1" baseType="lpstr">
      <vt:lpstr>Pre-ISC_First Amendment_Decision 1313</vt:lpstr>
    </vt:vector>
  </TitlesOfParts>
  <Manager/>
  <Company/>
  <LinksUpToDate>false</LinksUpToDate>
  <CharactersWithSpaces>40272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Pre-ISC_First Amendment_Decision 1313</dc:title>
  <dc:creator/>
  <cp:lastModifiedBy>WES PDFC Administrator</cp:lastModifiedBy>
  <cp:revision>18</cp:revision>
  <cp:lastPrinted>2019-02-05T11:26:00Z</cp:lastPrinted>
  <dcterms:created xsi:type="dcterms:W3CDTF">2019-02-06T13:56:00Z</dcterms:created>
  <dcterms:modified xsi:type="dcterms:W3CDTF">2019-03-06T08:00:00Z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ContentTypeId">
    <vt:lpwstr>0x010100258AA79CEB83498886A3A08681123250000DCD8FF8C72C8549836259561C51B016</vt:lpwstr>
  </property>
  <property fmtid="{D5CDD505-2E9C-101B-9397-08002B2CF9AE}" pid="11" name="DQCStatus">
    <vt:lpwstr>Green (DQC version 03)</vt:lpwstr>
  </property>
</Properties>
</file>