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A0" w:rsidRDefault="0076488E">
      <w:pPr>
        <w:pStyle w:val="Pagedecouverture"/>
        <w:rPr>
          <w:noProof/>
          <w:highlight w:val="yellow"/>
        </w:rPr>
      </w:pPr>
      <w:r w:rsidRPr="0076488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B6AAF29-0EDB-4A12-BB18-962969F2BB88" style="width:450.6pt;height:410.4pt">
            <v:imagedata r:id="rId11" o:title=""/>
          </v:shape>
        </w:pict>
      </w:r>
      <w:bookmarkStart w:id="0" w:name="_GoBack"/>
      <w:bookmarkEnd w:id="0"/>
    </w:p>
    <w:p w:rsidR="00A75CA0" w:rsidRDefault="00A75CA0">
      <w:pPr>
        <w:rPr>
          <w:noProof/>
          <w:highlight w:val="yellow"/>
        </w:rPr>
        <w:sectPr w:rsidR="00A75CA0">
          <w:footerReference w:type="default" r:id="rId12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A75CA0" w:rsidRDefault="0076488E">
      <w:pPr>
        <w:pStyle w:val="Annexetitre"/>
        <w:rPr>
          <w:noProof/>
        </w:rPr>
      </w:pPr>
      <w:r>
        <w:rPr>
          <w:noProof/>
        </w:rPr>
        <w:lastRenderedPageBreak/>
        <w:t>PRILOG I.</w:t>
      </w:r>
    </w:p>
    <w:p w:rsidR="00A75CA0" w:rsidRDefault="0076488E">
      <w:pPr>
        <w:jc w:val="center"/>
        <w:rPr>
          <w:b/>
          <w:noProof/>
          <w:u w:val="single"/>
        </w:rPr>
      </w:pPr>
      <w:r>
        <w:rPr>
          <w:b/>
          <w:noProof/>
          <w:u w:val="single"/>
        </w:rPr>
        <w:t xml:space="preserve">Stajalište Unije o ključnim pitanjima o kojima će se raspravljati na 18. zasjedanju Konferencije stranaka Konvencije o međunarodnoj </w:t>
      </w:r>
      <w:r>
        <w:rPr>
          <w:b/>
          <w:noProof/>
          <w:u w:val="single"/>
        </w:rPr>
        <w:t>trgovini ugroženim vrstama divljih životinja i biljaka (CITES) u Colombu, Šri Lanka, 23. svibnja – 3. lipnja 2019.</w:t>
      </w:r>
    </w:p>
    <w:p w:rsidR="00A75CA0" w:rsidRDefault="0076488E">
      <w:pPr>
        <w:pStyle w:val="ManualHeading1"/>
        <w:rPr>
          <w:noProof/>
        </w:rPr>
      </w:pPr>
      <w:r>
        <w:rPr>
          <w:noProof/>
        </w:rPr>
        <w:t>A.</w:t>
      </w:r>
      <w:r>
        <w:rPr>
          <w:noProof/>
        </w:rPr>
        <w:tab/>
        <w:t>Opća razmatranja</w:t>
      </w:r>
    </w:p>
    <w:p w:rsidR="00A75CA0" w:rsidRDefault="0076488E">
      <w:pPr>
        <w:pStyle w:val="NumPar1"/>
        <w:numPr>
          <w:ilvl w:val="0"/>
          <w:numId w:val="9"/>
        </w:numPr>
        <w:rPr>
          <w:noProof/>
        </w:rPr>
      </w:pPr>
      <w:r>
        <w:rPr>
          <w:noProof/>
        </w:rPr>
        <w:t>Unija smatra da je CITES ključna međunarodna konvencija za očuvanje biološke raznolikosti i suzbijanje nezakonite trgovin</w:t>
      </w:r>
      <w:r>
        <w:rPr>
          <w:noProof/>
        </w:rPr>
        <w:t xml:space="preserve">e divljom faunom i florom. 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>Unija bi na 18. zasjedanju Konferencije stranaka CITES-a trebala zauzeti ambiciozno stajalište u skladu s relevantnim politikama Unije i njezinim međunarodnim obvezama u tim područjima, posebice ciljevima povezanima s divljom fa</w:t>
      </w:r>
      <w:r>
        <w:rPr>
          <w:noProof/>
        </w:rPr>
        <w:t>unom i florom u okviru 15. cilja održivog razvoja, Strateškog plana za biološku raznolikost 2011.–2020. i ciljeva iz Aichija, dogovorenima na temelju Konvencije o biološkoj raznolikosti, Strateške vizije CITES-a</w:t>
      </w:r>
      <w:r>
        <w:rPr>
          <w:rStyle w:val="FootnoteReference"/>
          <w:noProof/>
        </w:rPr>
        <w:footnoteReference w:id="1"/>
      </w:r>
      <w:r>
        <w:rPr>
          <w:noProof/>
        </w:rPr>
        <w:t xml:space="preserve"> i Rezolucije Opće skupštine UN-a 71/326 o n</w:t>
      </w:r>
      <w:r>
        <w:rPr>
          <w:noProof/>
        </w:rPr>
        <w:t>ezakonitoj trgovini divljom faunom i florom. Stajalište Unije također bi trebalo pomoći u postizanju ciljeva utvrđenih na razini EU-a Strategijom EU-a o biološkoj raznolikosti do 2020., Akcijskim planom EU-a za suzbijanje nezakonite trgovine divljom faunom</w:t>
      </w:r>
      <w:r>
        <w:rPr>
          <w:noProof/>
        </w:rPr>
        <w:t xml:space="preserve"> i florom, EU-ovim pristupom promicanju trgovine i održivog razvoja kako je odražen u strategiji EU-a „Trgovina za sve”, zajedničkom ribarstvenom politikom te Akcijskim planom EU-a za gospodarenje morskim psima i njihovo očuvanje.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>Prioriteti Unije na 18. z</w:t>
      </w:r>
      <w:r>
        <w:rPr>
          <w:noProof/>
        </w:rPr>
        <w:t>asjedanju Konferencije stranaka CITES-a trebali bi biti:</w:t>
      </w:r>
    </w:p>
    <w:p w:rsidR="00A75CA0" w:rsidRDefault="0076488E">
      <w:pPr>
        <w:pStyle w:val="Bullet1"/>
        <w:numPr>
          <w:ilvl w:val="0"/>
          <w:numId w:val="10"/>
        </w:numPr>
        <w:rPr>
          <w:noProof/>
        </w:rPr>
      </w:pPr>
      <w:r>
        <w:rPr>
          <w:noProof/>
        </w:rPr>
        <w:t>sveobuhvatna uporaba instrumenata CITES-a za uređenje međunarodne trgovine ugroženim vrstama životinja i biljaka koje su izložene neodrživim razinama trgovine, primjenom pristupa koji se temelji na z</w:t>
      </w:r>
      <w:r>
        <w:rPr>
          <w:noProof/>
        </w:rPr>
        <w:t>nanosti,</w:t>
      </w:r>
    </w:p>
    <w:p w:rsidR="00A75CA0" w:rsidRDefault="0076488E">
      <w:pPr>
        <w:pStyle w:val="Bullet1"/>
        <w:rPr>
          <w:noProof/>
        </w:rPr>
      </w:pPr>
      <w:r>
        <w:rPr>
          <w:noProof/>
        </w:rPr>
        <w:t xml:space="preserve">jačanje odgovora međunarodne zajednice za suzbijanje nezakonite trgovine divljom faunom i florom, </w:t>
      </w:r>
    </w:p>
    <w:p w:rsidR="00A75CA0" w:rsidRDefault="0076488E">
      <w:pPr>
        <w:pStyle w:val="Bullet1"/>
        <w:rPr>
          <w:noProof/>
        </w:rPr>
      </w:pPr>
      <w:r>
        <w:rPr>
          <w:noProof/>
        </w:rPr>
        <w:t xml:space="preserve">osiguravanje da se status i prava EU-a kao stranke Konvencije i dalje u potpunosti odražavaju u relevantnim postupovnim pravilima i dogovorima. 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U </w:t>
      </w:r>
      <w:r>
        <w:rPr>
          <w:noProof/>
        </w:rPr>
        <w:t>stajalištu Unije trebao bi se uzeti u obzir doprinos koji nadzor CITES-a može dati poboljšanju stanja očuvanosti vrsta i ujedno odati priznanje nastojanjima država koje su provele učinkovite mjere za očuvanje. Unija bi trebala osigurati da se odlukama done</w:t>
      </w:r>
      <w:r>
        <w:rPr>
          <w:noProof/>
        </w:rPr>
        <w:t>senima na 18. zasjedanju Konferencije stranaka postigne najveća moguća učinkovitost CITES-a tako da se nepotrebna administrativna opterećenja svedu na najmanju moguću mjeru i postignu praktična, troškovno učinkovita i provediva rješenja za probleme provedb</w:t>
      </w:r>
      <w:r>
        <w:rPr>
          <w:noProof/>
        </w:rPr>
        <w:t>e i praćenja.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>Konferencija stranaka je upravljačko tijelo CITES-a, a odluke donesene na 18. Konferenciji stranaka CITES-a provest će Stalni odbor, glavno pomoćno tijelo Konferencije stranaka. Stajalište Unije za 18. Konferenciju stranaka CITES-a stoga bi t</w:t>
      </w:r>
      <w:r>
        <w:rPr>
          <w:noProof/>
        </w:rPr>
        <w:t>rebalo biti mjerodavno i za pristup EU-a na 71. i 72. sastanku Stalnog odbora koji će se održati neposredno prije i nakon 18. Konferencije stranaka CITES-a.</w:t>
      </w:r>
    </w:p>
    <w:p w:rsidR="00A75CA0" w:rsidRDefault="0076488E">
      <w:pPr>
        <w:pStyle w:val="ManualHeading1"/>
        <w:rPr>
          <w:noProof/>
        </w:rPr>
      </w:pPr>
      <w:r>
        <w:rPr>
          <w:noProof/>
        </w:rPr>
        <w:lastRenderedPageBreak/>
        <w:t>B.</w:t>
      </w:r>
      <w:r>
        <w:rPr>
          <w:noProof/>
        </w:rPr>
        <w:tab/>
        <w:t>Posebna pitanja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Na 18. Konferenciji stranaka CITES-a na razmatranje je podneseno pedeset sedam </w:t>
      </w:r>
      <w:r>
        <w:rPr>
          <w:b/>
          <w:noProof/>
        </w:rPr>
        <w:t>p</w:t>
      </w:r>
      <w:r>
        <w:rPr>
          <w:b/>
          <w:noProof/>
        </w:rPr>
        <w:t>rijedloga za izmjenu dodataka CITES-u</w:t>
      </w:r>
      <w:r>
        <w:rPr>
          <w:noProof/>
        </w:rPr>
        <w:t>. Od toga je dvanaest prijedloga podnijela Unija kao glavni predlagatelj ili supredlagatelj pa bi stoga Unija trebala poduprijeti i njihovo donošenje. Stajalište Unije o svim prijedlozima trebalo bi se temeljiti na stan</w:t>
      </w:r>
      <w:r>
        <w:rPr>
          <w:noProof/>
        </w:rPr>
        <w:t>ju očuvanosti predmetnih vrsta i utjecaju koji trgovina ima ili bi mogla imati na te vrste, u skladu s Rezolucijom Konferencije 9.24 o kriterijima za izmjenu dodataka I. i II. Posebna bi se pažnja trebala posvetiti gledištima država rasprostranjenja predme</w:t>
      </w:r>
      <w:r>
        <w:rPr>
          <w:noProof/>
        </w:rPr>
        <w:t xml:space="preserve">tnih vrsta. Unija također smatra da bi u pravilu trebalo pružiti potporu prijedlozima za izmjenu dodataka CITES-u koji su rezultat rada odbora za životinje i biljke CITES-a i Stalnog odbora. Trebalo bi uzeti u obzir i ocjenu prijedloga koju daju Tajništvo </w:t>
      </w:r>
      <w:r>
        <w:rPr>
          <w:noProof/>
        </w:rPr>
        <w:t>CITES-a i IUCN/TRAFFIC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te, u slučaju morskih vrsta koje se iskorištavaju u komercijalne svrhe, procjenu posebne stručne skupine FAO-a, ako su dostupne.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>U skladu sa svojim stajalištem koje već dugo zastupa, EU ponavlja da je CITES odgovarajući instrument z</w:t>
      </w:r>
      <w:r>
        <w:rPr>
          <w:noProof/>
        </w:rPr>
        <w:t xml:space="preserve">a uređivanje međunarodne trgovine </w:t>
      </w:r>
      <w:r>
        <w:rPr>
          <w:b/>
          <w:noProof/>
        </w:rPr>
        <w:t>morskim vrstama</w:t>
      </w:r>
      <w:r>
        <w:rPr>
          <w:noProof/>
        </w:rPr>
        <w:t xml:space="preserve"> kada trgovina ima posljedice na stanje očuvanja vrsta kojima prijeti ili može prijetiti izumiranje. Unija se posebno zalaže za to da se u Dodatak II. CITES-u uključi tri vrste trpova iz roda </w:t>
      </w:r>
      <w:r>
        <w:rPr>
          <w:i/>
          <w:noProof/>
        </w:rPr>
        <w:t>Holothuria (Mic</w:t>
      </w:r>
      <w:r>
        <w:rPr>
          <w:i/>
          <w:noProof/>
        </w:rPr>
        <w:t>rothele</w:t>
      </w:r>
      <w:r>
        <w:rPr>
          <w:noProof/>
        </w:rPr>
        <w:t>) s obzirom na prekomjerno iskorištavanje i znatni opseg međunarodne trgovine tim vrstama.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Unija napominje da se posljednjih godina mnogo radilo na </w:t>
      </w:r>
      <w:r>
        <w:rPr>
          <w:b/>
          <w:noProof/>
        </w:rPr>
        <w:t>izgradnji kapaciteta za provedbu</w:t>
      </w:r>
      <w:r>
        <w:rPr>
          <w:noProof/>
        </w:rPr>
        <w:t xml:space="preserve"> CITES-a, među ostalim u pogledu morskih vrsta, uključujući uz financ</w:t>
      </w:r>
      <w:r>
        <w:rPr>
          <w:noProof/>
        </w:rPr>
        <w:t>ijsku potporu Unije. Unija podupire bolju koordinaciju između CITES-a, regionalnih organizacija za upravljanje ribarstvom i drugih relevantnih tijela, djelujući u okviru svojih nadležnosti, u cilju poboljšanja upravljanja i veće komplementarnosti. Konkretn</w:t>
      </w:r>
      <w:r>
        <w:rPr>
          <w:noProof/>
        </w:rPr>
        <w:t>o, Unija je supokrovitelj prijedloga za uvrštavanje određenih vrsta morskih pasa (</w:t>
      </w:r>
      <w:r>
        <w:rPr>
          <w:i/>
          <w:noProof/>
        </w:rPr>
        <w:t>Isurus oxyrinchus</w:t>
      </w:r>
      <w:r>
        <w:rPr>
          <w:noProof/>
        </w:rPr>
        <w:t xml:space="preserve"> i </w:t>
      </w:r>
      <w:r>
        <w:rPr>
          <w:i/>
          <w:noProof/>
        </w:rPr>
        <w:t>I. paucus</w:t>
      </w:r>
      <w:r>
        <w:rPr>
          <w:noProof/>
        </w:rPr>
        <w:t>) i ražopasa (</w:t>
      </w:r>
      <w:r>
        <w:rPr>
          <w:i/>
          <w:noProof/>
        </w:rPr>
        <w:t>Glaucostegus</w:t>
      </w:r>
      <w:r>
        <w:rPr>
          <w:noProof/>
        </w:rPr>
        <w:t xml:space="preserve"> i Rhinidae spp.) u Dodatak II. CITES-u. Kad je riječ o vrsti </w:t>
      </w:r>
      <w:r>
        <w:rPr>
          <w:i/>
          <w:noProof/>
        </w:rPr>
        <w:t>Isurus oxyrinchus</w:t>
      </w:r>
      <w:r>
        <w:rPr>
          <w:noProof/>
        </w:rPr>
        <w:t xml:space="preserve"> (dugonosa psina), Unija bi trebala doni</w:t>
      </w:r>
      <w:r>
        <w:rPr>
          <w:noProof/>
        </w:rPr>
        <w:t>jeti konačno stajalište uzimajući u obzir rezultate procjena posebne stručne skupine FAO-a, Tajništva CITES-a i IUCN-a.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>Na 17. Konferenciji stranaka u Dodatak II. CITES-u uvrštene su dodatne vrste ružičastog drva (</w:t>
      </w:r>
      <w:r>
        <w:rPr>
          <w:i/>
          <w:noProof/>
        </w:rPr>
        <w:t>Pterocarpus erinaceus</w:t>
      </w:r>
      <w:r>
        <w:rPr>
          <w:noProof/>
        </w:rPr>
        <w:t xml:space="preserve">, tri vrste iz roda </w:t>
      </w:r>
      <w:r>
        <w:rPr>
          <w:i/>
          <w:noProof/>
        </w:rPr>
        <w:t>Guibourtia</w:t>
      </w:r>
      <w:r>
        <w:rPr>
          <w:noProof/>
        </w:rPr>
        <w:t xml:space="preserve"> i </w:t>
      </w:r>
      <w:r>
        <w:rPr>
          <w:i/>
          <w:noProof/>
        </w:rPr>
        <w:t>Dalbergia</w:t>
      </w:r>
      <w:r>
        <w:rPr>
          <w:noProof/>
        </w:rPr>
        <w:t xml:space="preserve"> spp</w:t>
      </w:r>
      <w:r>
        <w:rPr>
          <w:i/>
          <w:noProof/>
        </w:rPr>
        <w:t>.</w:t>
      </w:r>
      <w:r>
        <w:rPr>
          <w:noProof/>
        </w:rPr>
        <w:t xml:space="preserve">) radi boljeg nadzora međunarodne trgovine tim vrstama </w:t>
      </w:r>
      <w:r>
        <w:rPr>
          <w:b/>
          <w:noProof/>
        </w:rPr>
        <w:t>tropskog drva</w:t>
      </w:r>
      <w:r>
        <w:rPr>
          <w:noProof/>
        </w:rPr>
        <w:t>. Za Uniju je važno osigurati da se trenutačna napomena br. 15 izmijeni kako bi se usredotočila na one primjerke koji se prvi put pojavljuju u međunarodnoj trgov</w:t>
      </w:r>
      <w:r>
        <w:rPr>
          <w:noProof/>
        </w:rPr>
        <w:t>ini te kako bi se izbjegla nepotrebna administrativna i provedbena opterećenja. EU bi stoga trebao poduprijeti sporazumnu izmjenu napomene br. 15 utvrđenu na 70. sastanku Stalnog odbora, no ujedno bi trebao ostati otvoren za moguća konačna poboljšanja koja</w:t>
      </w:r>
      <w:r>
        <w:rPr>
          <w:noProof/>
        </w:rPr>
        <w:t xml:space="preserve"> mogu proizaći iz savjetovanja s drugim strankama. U skladu sa svojim nastojanjima za bolji nadzor uvoza drvne sirovine iz središnje Afrike, Unija bi također trebala poduprijeti proširenje područja primjene trenutačnog uvrštavanja afrormosie (</w:t>
      </w:r>
      <w:r>
        <w:rPr>
          <w:i/>
          <w:noProof/>
        </w:rPr>
        <w:t>Pericopsis el</w:t>
      </w:r>
      <w:r>
        <w:rPr>
          <w:i/>
          <w:noProof/>
        </w:rPr>
        <w:t>ata</w:t>
      </w:r>
      <w:r>
        <w:rPr>
          <w:noProof/>
        </w:rPr>
        <w:t xml:space="preserve">) na popis CITES-a u Dodatku II. Konvenciji. 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Unija bi trebala poduprijeti i zajednička nastojanja za učinkovitije reguliranje međunarodne trgovine ugroženim divljim biljnim i životinjskim vrstama, uključujući </w:t>
      </w:r>
      <w:r>
        <w:rPr>
          <w:noProof/>
        </w:rPr>
        <w:lastRenderedPageBreak/>
        <w:t xml:space="preserve">predloženu Rezoluciju o </w:t>
      </w:r>
      <w:r>
        <w:rPr>
          <w:b/>
          <w:noProof/>
        </w:rPr>
        <w:t>potvrđivanju zakoni</w:t>
      </w:r>
      <w:r>
        <w:rPr>
          <w:b/>
          <w:noProof/>
        </w:rPr>
        <w:t>tog stjecanja</w:t>
      </w:r>
      <w:r>
        <w:rPr>
          <w:noProof/>
        </w:rPr>
        <w:t xml:space="preserve">, koja se temelji na rezultatima posebne radionice u organizaciji EU-a u lipnju 2018. Donošenje nove </w:t>
      </w:r>
      <w:r>
        <w:rPr>
          <w:b/>
          <w:noProof/>
        </w:rPr>
        <w:t>strateške vizije</w:t>
      </w:r>
      <w:r>
        <w:rPr>
          <w:noProof/>
        </w:rPr>
        <w:t xml:space="preserve"> za CITES za razdoblje 2021.–2030. na 18. Konferenciji stranaka pruža mogućnost za konsolidaciju i, prema potrebi, pojašnjenje</w:t>
      </w:r>
      <w:r>
        <w:rPr>
          <w:noProof/>
        </w:rPr>
        <w:t xml:space="preserve"> uloge Konvencije u širem kontekstu međunarodnog upravljanja okolišem, uključujući okvir za biološku raznolikost za razdoblje nakon 2020. u okviru Konvencije o biološkoj raznolikosti.  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Stajalište Unije o prijedlozima povezanima s </w:t>
      </w:r>
      <w:r>
        <w:rPr>
          <w:b/>
          <w:noProof/>
        </w:rPr>
        <w:t>nezakonitom trgovinom div</w:t>
      </w:r>
      <w:r>
        <w:rPr>
          <w:b/>
          <w:noProof/>
        </w:rPr>
        <w:t xml:space="preserve">ljom faunom i florom </w:t>
      </w:r>
      <w:r>
        <w:rPr>
          <w:noProof/>
        </w:rPr>
        <w:t xml:space="preserve">treba biti u skladu s tri prioriteta utvrđena Akcijskim planom EU-a za suzbijanje nezakonite trgovine divljom faunom i florom i s njime povezanima zaključcima Vijeća. U stajalištu bi trebalo uzeti u obzir i Komisijino nedavno izvješće </w:t>
      </w:r>
      <w:r>
        <w:rPr>
          <w:noProof/>
        </w:rPr>
        <w:t>o provedbi Akcijskog plana.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U skladu s prvim prioritetom Akcijskog plana, Unija podržava bolju zaštitu putem CITES-a za vrste koje se trenutačno uvoze u EU u neodrživom opsegu ili nezakonito (posebno kad je riječ o </w:t>
      </w:r>
      <w:r>
        <w:rPr>
          <w:b/>
          <w:noProof/>
        </w:rPr>
        <w:t>trgovini egzotičnim kućnim ljubimcima</w:t>
      </w:r>
      <w:r>
        <w:rPr>
          <w:noProof/>
        </w:rPr>
        <w:t>). U</w:t>
      </w:r>
      <w:r>
        <w:rPr>
          <w:noProof/>
        </w:rPr>
        <w:t xml:space="preserve">nija stoga podržava prijedloge o izmjeni dodataka s obzirom na različite vrste gmazova i vodozemaca, a posebno na nekoliko vrsta macaklina i vodenjaka. 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U skladu s drugim i trećim prioritetom, Unija podupire snažne mjere za </w:t>
      </w:r>
      <w:r>
        <w:rPr>
          <w:b/>
          <w:noProof/>
        </w:rPr>
        <w:t>provedbu</w:t>
      </w:r>
      <w:r>
        <w:rPr>
          <w:noProof/>
        </w:rPr>
        <w:t xml:space="preserve"> Konvencije od strane nj</w:t>
      </w:r>
      <w:r>
        <w:rPr>
          <w:noProof/>
        </w:rPr>
        <w:t>ezinih stranaka. Ona zagovara jasan vremenski okvir s mehanizmima praćenja (uključujući moguće trgovinske sankcije) za one stranke koje opetovano ne provode svoje obveze u skladu s CITES-om. To je posebno važno za suzbijanje krivolova i nezakonite trgovine</w:t>
      </w:r>
      <w:r>
        <w:rPr>
          <w:noProof/>
        </w:rPr>
        <w:t xml:space="preserve"> slonovima (vidjeti u nastavku), nosorozima, azijskim velikim mačkama, ružinim drvom i ljuskavcima.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Nekoliko prijedloga iznesenih na 18. Konferenciji stranaka usmjereno je na pitanja povezana s </w:t>
      </w:r>
      <w:r>
        <w:rPr>
          <w:b/>
          <w:noProof/>
        </w:rPr>
        <w:t>održivom upotrebom</w:t>
      </w:r>
      <w:r>
        <w:rPr>
          <w:noProof/>
        </w:rPr>
        <w:t>, sredstvima za život i ruralnim zajednicama</w:t>
      </w:r>
      <w:r>
        <w:rPr>
          <w:noProof/>
        </w:rPr>
        <w:t>. Unija bi trebala podržati takve prijedloge u mjeri u kojoj oni pomažu osigurati da se relevantne informacije odražavaju u postojećim postupcima, u skladu s odredbama Konvencije. Trebalo bi izbjegavati stvaranje dodatnih procesa ili struktura sa znatnim t</w:t>
      </w:r>
      <w:r>
        <w:rPr>
          <w:noProof/>
        </w:rPr>
        <w:t>roškovima i neizvjesnim koristima.</w:t>
      </w:r>
    </w:p>
    <w:p w:rsidR="00A75CA0" w:rsidRDefault="0076488E">
      <w:pPr>
        <w:pStyle w:val="NumPar1"/>
        <w:rPr>
          <w:noProof/>
        </w:rPr>
      </w:pPr>
      <w:r>
        <w:rPr>
          <w:b/>
          <w:noProof/>
        </w:rPr>
        <w:t>Krivolov slonova i nezakonita trgovina bjelokosti</w:t>
      </w:r>
      <w:r>
        <w:rPr>
          <w:noProof/>
        </w:rPr>
        <w:t xml:space="preserve"> nastavljaju se u zabrinjavajuće velikom opsegu. I Unija i njezine države članice pružile su znatnu potporu afričkim zemljama kako bi poboljšale očuvanje divlje faune i flo</w:t>
      </w:r>
      <w:r>
        <w:rPr>
          <w:noProof/>
        </w:rPr>
        <w:t>re te suzbile nezakonitu trgovinu divljom faunom i florom. Unija se obvezuje da će i dalje podržavati svoje afričke partnere i povećati nastojanja u tom pogledu, u skladu s Akcijskim planom EU-a za suzbijanje nezakonite trgovine divljom faunom i florom. EU</w:t>
      </w:r>
      <w:r>
        <w:rPr>
          <w:noProof/>
        </w:rPr>
        <w:t xml:space="preserve"> je još uvijek vrlo zabrinut zbog visokih razina krivolova i nezakonite trgovine, a prioritet EU-a za sve točke dnevnog reda 18. Konferencije stranaka koje se odnose na slonove trebao bi biti pružanje potpore mjerama kojima se izravno nastoji riješiti taj </w:t>
      </w:r>
      <w:r>
        <w:rPr>
          <w:noProof/>
        </w:rPr>
        <w:t xml:space="preserve">problem. 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Unija konstatira da su stranke podnijele nekoliko djelomično proturječnih prijedloga u vezi sa </w:t>
      </w:r>
      <w:r>
        <w:rPr>
          <w:b/>
          <w:noProof/>
        </w:rPr>
        <w:t>zakonitom trgovinom slonovom bjelokosti</w:t>
      </w:r>
      <w:r>
        <w:rPr>
          <w:noProof/>
        </w:rPr>
        <w:t>. Međunarodna trgovina bjelokosti trenutačno je zabranjena u okviru CITES-a. Unija smatra da nisu postignuti uvj</w:t>
      </w:r>
      <w:r>
        <w:rPr>
          <w:noProof/>
        </w:rPr>
        <w:t>eti za ponovno izdavanje odobrenja za tu trgovinu i ne podržava prijedloge da se ta trgovina ponovno omogući na 18. Konferenciji stranaka. Kad je riječ o domaćim tržištima bjelokosti, Unija bi i dalje trebala pružati potporu razmjernim, djelotvornim mjeram</w:t>
      </w:r>
      <w:r>
        <w:rPr>
          <w:noProof/>
        </w:rPr>
        <w:t>a koje se temelje na najboljim dostupnim dokazima u okviru područja primjene Konvencije.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Unija smatra da </w:t>
      </w:r>
      <w:r>
        <w:rPr>
          <w:b/>
          <w:noProof/>
        </w:rPr>
        <w:t>Poslovnik</w:t>
      </w:r>
      <w:r>
        <w:rPr>
          <w:noProof/>
        </w:rPr>
        <w:t xml:space="preserve"> Konferencije stranaka ne smije odstupati od teksta Konvencije, uključujući članak XXI. stavke od 2. do 6. Trebalo bi odlučno odbiti sve </w:t>
      </w:r>
      <w:r>
        <w:rPr>
          <w:noProof/>
        </w:rPr>
        <w:lastRenderedPageBreak/>
        <w:t>pokuš</w:t>
      </w:r>
      <w:r>
        <w:rPr>
          <w:noProof/>
        </w:rPr>
        <w:t xml:space="preserve">aje dodavanja odredaba prema kojima bi ostvarivanje prava Unije kao stranke bilo podložno uvjetima koji nisu predviđeni Konvencijom. </w:t>
      </w:r>
    </w:p>
    <w:p w:rsidR="00A75CA0" w:rsidRDefault="0076488E">
      <w:pPr>
        <w:pStyle w:val="NumPar1"/>
        <w:rPr>
          <w:noProof/>
        </w:rPr>
      </w:pPr>
      <w:r>
        <w:rPr>
          <w:noProof/>
        </w:rPr>
        <w:t xml:space="preserve">Kriza prouzročena nezakonitom trgovinom divljom faunom i florom, u kombinaciji s proširenjem područja primjene CITES-a na </w:t>
      </w:r>
      <w:r>
        <w:rPr>
          <w:noProof/>
        </w:rPr>
        <w:t xml:space="preserve">nove vrste i stranke, znači da je posljednjih godina </w:t>
      </w:r>
      <w:r>
        <w:rPr>
          <w:b/>
          <w:noProof/>
        </w:rPr>
        <w:t>više aktivnosti stavljeno pod krovnu nadležnost CITES-a</w:t>
      </w:r>
      <w:r>
        <w:rPr>
          <w:noProof/>
        </w:rPr>
        <w:t xml:space="preserve"> i da se obujam posla Tajništva CITES-a znatno povećao. Unija bi trebala uzeti u obzir taj razvoj događaja prilikom odlučivanja o svojim prioritetim</w:t>
      </w:r>
      <w:r>
        <w:rPr>
          <w:noProof/>
        </w:rPr>
        <w:t xml:space="preserve">a na 18. Konferenciji stranaka i o budućem proračunskom izdatku za Tajništvo CITES-a. </w:t>
      </w:r>
    </w:p>
    <w:sectPr w:rsidR="00A75CA0">
      <w:footerReference w:type="default" r:id="rId13"/>
      <w:footerReference w:type="first" r:id="rId14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9BD307" w16cid:durableId="20119FF9"/>
  <w16cid:commentId w16cid:paraId="09FB7257" w16cid:durableId="20119FFA"/>
  <w16cid:commentId w16cid:paraId="0E5E1FF7" w16cid:durableId="2011A050"/>
  <w16cid:commentId w16cid:paraId="4BFD0E96" w16cid:durableId="20119FFB"/>
  <w16cid:commentId w16cid:paraId="462571C0" w16cid:durableId="20119FFC"/>
  <w16cid:commentId w16cid:paraId="2589A3C0" w16cid:durableId="2011A0AC"/>
  <w16cid:commentId w16cid:paraId="2C5BBDCA" w16cid:durableId="20119F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A0" w:rsidRDefault="0076488E">
      <w:pPr>
        <w:spacing w:before="0" w:after="0"/>
      </w:pPr>
      <w:r>
        <w:separator/>
      </w:r>
    </w:p>
  </w:endnote>
  <w:endnote w:type="continuationSeparator" w:id="0">
    <w:p w:rsidR="00A75CA0" w:rsidRDefault="0076488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A0" w:rsidRDefault="0076488E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A0" w:rsidRDefault="0076488E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A0" w:rsidRDefault="00A75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A0" w:rsidRDefault="0076488E">
      <w:pPr>
        <w:spacing w:before="0" w:after="0"/>
      </w:pPr>
      <w:r>
        <w:separator/>
      </w:r>
    </w:p>
  </w:footnote>
  <w:footnote w:type="continuationSeparator" w:id="0">
    <w:p w:rsidR="00A75CA0" w:rsidRDefault="0076488E">
      <w:pPr>
        <w:spacing w:before="0" w:after="0"/>
      </w:pPr>
      <w:r>
        <w:continuationSeparator/>
      </w:r>
    </w:p>
  </w:footnote>
  <w:footnote w:id="1">
    <w:p w:rsidR="00A75CA0" w:rsidRDefault="0076488E">
      <w:pPr>
        <w:pStyle w:val="FootnoteText"/>
      </w:pPr>
      <w:r>
        <w:rPr>
          <w:rStyle w:val="FootnoteReference"/>
        </w:rPr>
        <w:footnoteRef/>
      </w:r>
      <w:r>
        <w:tab/>
        <w:t>Rezolucija Konferencije CITES-a 14.2., koju bi trebalo ažurirati na 18. zasjedanju Konferencije stranaka (vidjeti stavak 5. u na</w:t>
      </w:r>
      <w:r>
        <w:t>stavku).</w:t>
      </w:r>
    </w:p>
  </w:footnote>
  <w:footnote w:id="2">
    <w:p w:rsidR="00A75CA0" w:rsidRDefault="0076488E">
      <w:pPr>
        <w:pStyle w:val="FootnoteText"/>
        <w:ind w:left="0" w:firstLine="0"/>
      </w:pPr>
      <w:r>
        <w:rPr>
          <w:rStyle w:val="FootnoteReference"/>
        </w:rPr>
        <w:footnoteRef/>
      </w:r>
      <w:r>
        <w:tab/>
        <w:t>Međunarodna unija za očuvanje prirode (IUCN) i TRAFFIC specijalizirana su tijela za pitanja trgovine divljom faunom i florom te vrše temeljitu procjenu prijedloga za izmjenu dodataka CITES-u prije svake Konferencije stranaka.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C4EAF8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CC8249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01C63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293EBC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A4C9F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66A71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2ABA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BBB825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9-04-05 10:07:2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1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ACCOMPAGNANT" w:val="&lt;LWCR:NBS&gt;"/>
    <w:docVar w:name="LW_ACCOMPAGNANT.CP" w:val=" 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4B6AAF29-0EDB-4A12-BB18-962969F2BB88"/>
    <w:docVar w:name="LW_COVERPAGE_TYPE" w:val="1"/>
    <w:docVar w:name="LW_CROSSREFERENCE" w:val="&lt;UNUSED&gt;"/>
    <w:docVar w:name="LW_DocType" w:val="ANNEX"/>
    <w:docVar w:name="LW_EMISSION" w:val="21.3.2019."/>
    <w:docVar w:name="LW_EMISSION_ISODATE" w:val="2019-03-21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17"/>
    <w:docVar w:name="LW_LANGUE" w:val="HR"/>
    <w:docVar w:name="LW_LEVEL_OF_SENSITIVITY" w:val="Standard treatment"/>
    <w:docVar w:name="LW_NOM.INST" w:val="EUROPSKA KOMISIJA"/>
    <w:docVar w:name="LW_NOM.INST_JOINTDOC" w:val="&lt;EMPTY&gt;"/>
    <w:docVar w:name="LW_OBJETACTEPRINCIPAL" w:val="o stajali\u353?tu koje treba zauzeti u ime Europske unije na 18.&lt;LWCR:NBS&gt;zasjedanju Konferencije stranaka Konvencije o me\u273?unarodnoj trgovini ugro\u382?enim vrstama divljih \u382?ivotinja i biljaka (CITES CoP18)_x000b_"/>
    <w:docVar w:name="LW_OBJETACTEPRINCIPAL.CP" w:val="o stajali\u353?tu koje treba zauzeti u ime Europske unije na 18. zasjedanju Konferencije stranaka Konvencije o me\u273?unarodnoj trgovini ugro\u382?enim vrstama divljih \u382?ivotinja i biljaka (CITES CoP18)_x000b_"/>
    <w:docVar w:name="LW_PART_NBR" w:val="1"/>
    <w:docVar w:name="LW_PART_NBR_TOTAL" w:val="1"/>
    <w:docVar w:name="LW_REF.INST.NEW" w:val="COM"/>
    <w:docVar w:name="LW_REF.INST.NEW_ADOPTED" w:val="final"/>
    <w:docVar w:name="LW_REF.INST.NEW_TEXT" w:val="(2019) 146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PRILOG"/>
    <w:docVar w:name="LW_TYPE.DOC.CP" w:val="PRILOG"/>
    <w:docVar w:name="LW_TYPEACTEPRINCIPAL" w:val="prijedlogu odluke Vije\u263?a"/>
    <w:docVar w:name="LW_TYPEACTEPRINCIPAL.CP" w:val="prijedlogu odluke Vije\u263?a"/>
  </w:docVars>
  <w:rsids>
    <w:rsidRoot w:val="00A75CA0"/>
    <w:rsid w:val="0076488E"/>
    <w:rsid w:val="00A7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C198E705-2FBE-4016-90CE-DC40F2A5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hr-HR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Times New Roman" w:hAnsi="Times New Roman" w:cs="Times New Roman"/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hr-H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AA856C34D8E478D8680B911FA8A3D" ma:contentTypeVersion="0" ma:contentTypeDescription="Create a new document." ma:contentTypeScope="" ma:versionID="a1b2f863b13fb1eec5060ba3f8e2a5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28fc8648fa84460f5661d9ecf385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2D4C4-F5F4-4E05-8D9B-20F6F4D6C6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8210B5-82C2-49CE-8CEE-0588BD883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55E34B-72E3-43DE-A94E-25E96730B8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D7FA8-D4B6-476B-9C37-997D5C63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3</TotalTime>
  <Pages>5</Pages>
  <Words>1495</Words>
  <Characters>8975</Characters>
  <Application>Microsoft Office Word</Application>
  <DocSecurity>0</DocSecurity>
  <Lines>142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 Matthias Leonhard (ENV)</dc:creator>
  <cp:lastModifiedBy>KITRIMI Efstathia (SG)</cp:lastModifiedBy>
  <cp:revision>9</cp:revision>
  <cp:lastPrinted>2019-02-15T18:13:00Z</cp:lastPrinted>
  <dcterms:created xsi:type="dcterms:W3CDTF">2019-04-03T14:55:00Z</dcterms:created>
  <dcterms:modified xsi:type="dcterms:W3CDTF">2019-04-05T13:41:00Z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6.0.1, Build 20180503</vt:lpwstr>
  </property>
  <property fmtid="{D5CDD505-2E9C-101B-9397-08002B2CF9AE}" pid="3" name="Level of sensitivity">
    <vt:lpwstr>Standard treatment</vt:lpwstr>
  </property>
  <property fmtid="{D5CDD505-2E9C-101B-9397-08002B2CF9AE}" pid="4" name="Category">
    <vt:lpwstr>COM/ANNEX</vt:lpwstr>
  </property>
  <property fmtid="{D5CDD505-2E9C-101B-9397-08002B2CF9AE}" pid="5" name="First annex">
    <vt:lpwstr>1</vt:lpwstr>
  </property>
  <property fmtid="{D5CDD505-2E9C-101B-9397-08002B2CF9AE}" pid="6" name="Last annex">
    <vt:lpwstr>1</vt:lpwstr>
  </property>
  <property fmtid="{D5CDD505-2E9C-101B-9397-08002B2CF9AE}" pid="7" name="Unique annex">
    <vt:lpwstr>0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WTemplateID">
    <vt:lpwstr>SG-017</vt:lpwstr>
  </property>
  <property fmtid="{D5CDD505-2E9C-101B-9397-08002B2CF9AE}" pid="11" name="ContentTypeId">
    <vt:lpwstr>0x010100135AA856C34D8E478D8680B911FA8A3D</vt:lpwstr>
  </property>
  <property fmtid="{D5CDD505-2E9C-101B-9397-08002B2CF9AE}" pid="12" name="IsMyDocuments">
    <vt:bool>true</vt:bool>
  </property>
  <property fmtid="{D5CDD505-2E9C-101B-9397-08002B2CF9AE}" pid="13" name="DQCStatus">
    <vt:lpwstr>Yellow (DQC version 03)</vt:lpwstr>
  </property>
</Properties>
</file>