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531FDE56-338A-4D46-BC55-709326B5645F" style="width:450.75pt;height:321pt">
            <v:imagedata r:id="rId12" o:title=""/>
          </v:shape>
        </w:pict>
      </w:r>
    </w:p>
    <w:bookmarkEnd w:id="0"/>
    <w:p>
      <w:pPr>
        <w:rPr>
          <w:noProof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after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</w:rPr>
        <w:lastRenderedPageBreak/>
        <w:t>1.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Úvod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Energetická únia je jednou z hlavných priorít Európskej únie. Jej základným cieľom je poskytnúť Európanom – domácnostiam aj podnikom – bezpečnú, udržateľnú, konkurencieschopnú a cenovo dostupnú energiu. Základom je integrovaný energetický systém pre celú Úniu, ktorý prispieva k európskej strategickej dlhodobej vízii prosperujúceho, moderného, konkurencieschopného, inkluzívneho a klimaticky neutrálneho hospodárstva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noProof/>
        </w:rPr>
        <w:t>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 uplynulých rokoch sa dosiahol významný pokrok pri dosahovaní cieľov energetickej únie, najmä prijatím balíka opatrení v oblasti energetickej bezpečnosti</w:t>
      </w:r>
      <w:r>
        <w:rPr>
          <w:rStyle w:val="FootnoteReference"/>
          <w:rFonts w:ascii="Times New Roman" w:hAnsi="Times New Roman"/>
          <w:noProof/>
          <w:sz w:val="24"/>
        </w:rPr>
        <w:footnoteReference w:id="3"/>
      </w:r>
      <w:r>
        <w:rPr>
          <w:rFonts w:ascii="Times New Roman" w:hAnsi="Times New Roman"/>
          <w:noProof/>
          <w:sz w:val="24"/>
        </w:rPr>
        <w:t>, balíka Čistá planéta pre všetkých Európanov</w:t>
      </w:r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rFonts w:ascii="Times New Roman" w:hAnsi="Times New Roman"/>
          <w:noProof/>
          <w:sz w:val="24"/>
        </w:rPr>
        <w:t>, ktorý je doteraz najväčším dohodnutým balíkom právnych predpisov EÚ v oblasti energetiky, právnych predpisov EÚ v oblasti klímy</w:t>
      </w:r>
      <w:r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noProof/>
          <w:sz w:val="24"/>
        </w:rPr>
        <w:t xml:space="preserve"> a troch balíkov opatrení v oblasti mobility z rokov 2017 – 2018</w:t>
      </w:r>
      <w:r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noProof/>
          <w:sz w:val="24"/>
        </w:rPr>
        <w:t>. V súvislosti s balíkom Čistá energia pre všetkých Európanov sa nariadením o riadení energetickej únie</w:t>
      </w:r>
      <w:r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noProof/>
          <w:sz w:val="24"/>
        </w:rPr>
        <w:t xml:space="preserve"> realizácia všetkých rozmerov energetickej únie navyše uľahčí úzkou spoluprácou EÚ a jej členských štátov. Vo štvrtej správe o stave energetickej únie sa uvádza prehľad pokroku pri dosahovaní cieľov energetickej únie</w:t>
      </w:r>
      <w:r>
        <w:rPr>
          <w:rStyle w:val="FootnoteReference"/>
          <w:rFonts w:ascii="Times New Roman" w:hAnsi="Times New Roman"/>
          <w:noProof/>
          <w:sz w:val="24"/>
        </w:rPr>
        <w:footnoteReference w:id="8"/>
      </w:r>
      <w:r>
        <w:rPr>
          <w:noProof/>
        </w:rPr>
        <w:t>.</w:t>
      </w:r>
    </w:p>
    <w:p>
      <w:pPr>
        <w:pStyle w:val="NormalWeb"/>
        <w:spacing w:before="0" w:beforeAutospacing="0" w:after="0" w:afterAutospacing="0" w:line="276" w:lineRule="auto"/>
        <w:jc w:val="both"/>
        <w:rPr>
          <w:noProof/>
        </w:rPr>
      </w:pPr>
      <w:r>
        <w:rPr>
          <w:noProof/>
        </w:rPr>
        <w:t>V rámci programu o politike v oblasti energetiky a klímy orientovaného na budúcnosť existujú oblasti, ktoré treba v záujme dosiahnutia všetkých politických cieľov ešte zlepšiť. Významným prvkom tohto programu o budúcich politikách v oblasti energetiky orientovaného na budúcnosť je spôsob, akým Únia prijíma rozhodnutia v tejto oblasti. Vo svojom prejave o stave únie z roku 2017 predseda Juncker jasne uviedol, že v súvislosti s významnými trhovými otázkami treba rozhodnutia v Rade častejšie prijímať kvalifikovanou väčšinou – s rovnakým zastúpením Európskeho parlamentu. Táto otázka sa zvlášť prejavuje v jadrovej oblasti, v ktorej prijímanie rozhodnutí podľa Zmluvy o Euratome nezahŕňa Európsky parlament za rovnakých podmienok tak, ako sa to stanovuje v riadnom legislatívnom postupe Lisabonskej zmluvy.</w:t>
      </w:r>
    </w:p>
    <w:p>
      <w:pPr>
        <w:pStyle w:val="NormalWeb"/>
        <w:spacing w:before="0" w:beforeAutospacing="0" w:after="0" w:afterAutospacing="0" w:line="276" w:lineRule="auto"/>
        <w:jc w:val="both"/>
        <w:rPr>
          <w:noProof/>
        </w:rPr>
      </w:pPr>
    </w:p>
    <w:p>
      <w:pPr>
        <w:pStyle w:val="NormalWeb"/>
        <w:spacing w:before="0" w:beforeAutospacing="0" w:after="0" w:afterAutospacing="0" w:line="276" w:lineRule="auto"/>
        <w:jc w:val="both"/>
        <w:rPr>
          <w:noProof/>
        </w:rPr>
      </w:pPr>
      <w:r>
        <w:rPr>
          <w:noProof/>
        </w:rPr>
        <w:t>EÚ sa postupne posunula od jednomyseľnosti k hlasovaniu kvalifikovanou väčšinou, ktoré sa na väčšinu oblastí politiky rozšírilo Jednotným európskym aktom</w:t>
      </w:r>
      <w:r>
        <w:rPr>
          <w:rStyle w:val="FootnoteReference"/>
          <w:noProof/>
        </w:rPr>
        <w:footnoteReference w:id="9"/>
      </w:r>
      <w:r>
        <w:rPr>
          <w:noProof/>
        </w:rPr>
        <w:t>. V iných oblastiach, ako je zdaňovanie, posun v rozhodovacom procese nenastal. Dôvod na nahradenie jednomyseľnosti kvalifikovanou väčšinou je jednoduchý a zaujímavý. Členské štáty pripustili, že vtedy, keď je v konkrétnych oblastiach politiky potrebná určitá úroveň ambícií, jednomyseľnosť v určitom momente spomaľuje pokrok a bráni EÚ, aby sa prispôsobila meniacim sa skutočnostiam a poskytla Európanom čo najvhodnejšie prostriedky na obranu ich záujmov. V tomto zmysle je každý krok smerom ku kvalifikovanej väčšine pre EÚ významným krokom vpred. Hlasovanie kvalifikovanou väčšinou je založené na kompromise. Vytvára väčší priestor na diskusiu a pragmatické výsledky, ktoré odzrkadľujú záujmy všetkých. Tento flexibilný, efektívny a rýchly prístup k rozhodovaniu Únii umožnil, aby sa stala aktérom, ktorý inšpiruje celý svet a určuje štandard v oblastiach politiky, ako sú životné prostredie a ochrana spotrebiteľa, zamestnanosť a sociálne normy, ochrana údajov, ako aj voľné a spravodlivé obchodovanie</w:t>
      </w:r>
      <w:r>
        <w:rPr>
          <w:rStyle w:val="FootnoteReference"/>
          <w:noProof/>
        </w:rPr>
        <w:footnoteReference w:id="10"/>
      </w:r>
      <w:r>
        <w:rPr>
          <w:noProof/>
        </w:rPr>
        <w:t>.</w:t>
      </w:r>
    </w:p>
    <w:p>
      <w:pPr>
        <w:pStyle w:val="NormalWeb"/>
        <w:spacing w:before="0" w:beforeAutospacing="0" w:after="0" w:afterAutospacing="0" w:line="276" w:lineRule="auto"/>
        <w:jc w:val="both"/>
        <w:rPr>
          <w:noProof/>
        </w:rPr>
      </w:pPr>
      <w:r>
        <w:rPr>
          <w:noProof/>
        </w:rPr>
        <w:br/>
        <w:t>Na prechod od jednomyseľnosti ku kvalifikovanej väčšine nie je nevyhnuté zmeniť zmluvu – možno to urobiť pomocou tzv. premosťovacích doložiek v súčasných zmluvách po schválení Rady alebo Európskej rady.</w:t>
      </w:r>
    </w:p>
    <w:p>
      <w:pPr>
        <w:pStyle w:val="NormalWeb"/>
        <w:spacing w:before="0" w:beforeAutospacing="0" w:after="0" w:afterAutospacing="0" w:line="276" w:lineRule="auto"/>
        <w:jc w:val="both"/>
        <w:rPr>
          <w:noProof/>
        </w:rPr>
      </w:pPr>
      <w:r>
        <w:rPr>
          <w:noProof/>
        </w:rPr>
        <w:br/>
        <w:t>V tomto oznámení sa uvádza odôvodnenie efektívnejšieho a demokratickejšieho rozhodovania v niektorých oblastiach energetickej politiky vrátane jadrovej oblasti. Skúmajú sa v ňom možnosti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numPr>
          <w:ilvl w:val="0"/>
          <w:numId w:val="27"/>
        </w:num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zlepšeného hlasovania kvalifikovanou väčšinou a riadneho legislatívneho postupu podľa Zmluvy o fungovaní Európskej únie, ako už bolo uvedené v oznámení Efektívnejšie a demokratickejšie rozhodovanie v oblasti daňovej politiky EÚ,</w:t>
      </w:r>
    </w:p>
    <w:p>
      <w:pPr>
        <w:pStyle w:val="ListParagraph"/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numPr>
          <w:ilvl w:val="0"/>
          <w:numId w:val="27"/>
        </w:numPr>
        <w:spacing w:after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silnejšej demokratickej zodpovednosti podľa Zmluvy o Euratome.</w:t>
      </w:r>
    </w:p>
    <w:p>
      <w:pPr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2.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Možnosti zlepšeného hlasovania kvalifikovanou väčšinou podľa Zmluvy o fungovaní Európskej únie</w:t>
      </w:r>
    </w:p>
    <w:p>
      <w:pPr>
        <w:spacing w:after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Jedným z hlavných problémov pri skúmaní existujúceho inštitucionálneho nastavenia energetickej únie je otázka, či sú aktuálne rozhodovacie postupy EÚ úplne vhodné na dosahovanie cieľov EÚ v oblastiach energetiky a klímy.</w:t>
      </w:r>
    </w:p>
    <w:p>
      <w:pPr>
        <w:spacing w:after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2.1.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Aktuálny rozhodovací proces súvisiaci s politikou v oblastiach energetiky a klímy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V Lisabonskej zmluve sa stanovuje, že v Únii sa štandardne rozhoduje riadnym legislatívnym postupom. Legislatívne akty teda prijíma Európsky parlament a Rada na návrh Komisie, pričom Rada hlasuje kvalifikovanou väčšinou. Táto zásada sa vzťahuje na hlavu o energetike v Zmluve o fungovaní Európskej únie (ZFEÚ).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 zmluve</w:t>
      </w:r>
      <w:r>
        <w:rPr>
          <w:rStyle w:val="FootnoteReference"/>
          <w:rFonts w:ascii="Times New Roman" w:hAnsi="Times New Roman"/>
          <w:noProof/>
          <w:sz w:val="24"/>
        </w:rPr>
        <w:footnoteReference w:id="11"/>
      </w:r>
      <w:r>
        <w:rPr>
          <w:rFonts w:ascii="Times New Roman" w:hAnsi="Times New Roman"/>
          <w:noProof/>
          <w:sz w:val="24"/>
        </w:rPr>
        <w:t xml:space="preserve"> sa konkrétne stanovuje, že kvalifikovanou väčšinou sa hlasuje v súvislosti s opatreniami politiky v oblasti energetiky zameraných na:</w:t>
      </w:r>
    </w:p>
    <w:p>
      <w:pPr>
        <w:pStyle w:val="ListParagraph"/>
        <w:numPr>
          <w:ilvl w:val="0"/>
          <w:numId w:val="26"/>
        </w:num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zabezpečovanie fungovania trhu v oblasti energetiky,</w:t>
      </w:r>
    </w:p>
    <w:p>
      <w:pPr>
        <w:pStyle w:val="ListParagraph"/>
        <w:numPr>
          <w:ilvl w:val="0"/>
          <w:numId w:val="26"/>
        </w:num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zabezpečovanie bezpečnosti dodávok energie v Únii,</w:t>
      </w:r>
    </w:p>
    <w:p>
      <w:pPr>
        <w:pStyle w:val="ListParagraph"/>
        <w:numPr>
          <w:ilvl w:val="0"/>
          <w:numId w:val="26"/>
        </w:num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presadzovanie energetickej efektívnosti, úspor energie a vývoja nových a obnoviteľných zdrojov energie,</w:t>
      </w:r>
    </w:p>
    <w:p>
      <w:pPr>
        <w:pStyle w:val="ListParagraph"/>
        <w:numPr>
          <w:ilvl w:val="0"/>
          <w:numId w:val="26"/>
        </w:num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podporu prepojenia energetických sietí.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 tejto súvislosti sa v zmluve okrem toho výslovne uznáva právo členských štátov určiť podmienky pre využívanie svojich energetických zdrojov, ich voľba medzi rôznymi zdrojmi energie a všeobecná štruktúra ich zásobovania energiou</w:t>
      </w:r>
      <w:r>
        <w:rPr>
          <w:rStyle w:val="FootnoteReference"/>
          <w:rFonts w:ascii="Times New Roman" w:hAnsi="Times New Roman"/>
          <w:noProof/>
          <w:sz w:val="24"/>
        </w:rPr>
        <w:footnoteReference w:id="12"/>
      </w:r>
      <w:r>
        <w:rPr>
          <w:noProof/>
        </w:rPr>
        <w:t>.</w:t>
      </w:r>
    </w:p>
    <w:p>
      <w:pPr>
        <w:spacing w:after="240"/>
        <w:jc w:val="both"/>
        <w:rPr>
          <w:noProof/>
        </w:rPr>
      </w:pPr>
      <w:r>
        <w:rPr>
          <w:rFonts w:ascii="Times New Roman" w:hAnsi="Times New Roman"/>
          <w:noProof/>
          <w:sz w:val="24"/>
        </w:rPr>
        <w:t>V zmluve sa okrem toho stanovuje, že pri prijímaní opatrení v oblasti energetiky, ak sú najmä fiškálnej povahy, Rada koná jednomyseľne a po porade s Európskym parlamentom</w:t>
      </w:r>
      <w:r>
        <w:rPr>
          <w:rStyle w:val="FootnoteReference"/>
          <w:rFonts w:ascii="Times New Roman" w:hAnsi="Times New Roman"/>
          <w:noProof/>
          <w:sz w:val="24"/>
        </w:rPr>
        <w:footnoteReference w:id="13"/>
      </w:r>
      <w:r>
        <w:rPr>
          <w:noProof/>
        </w:rPr>
        <w:t>.</w:t>
      </w:r>
    </w:p>
    <w:p>
      <w:pPr>
        <w:spacing w:after="24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</w:rPr>
        <w:t>V zmluve sa podobne vyžaduje, aby v oblasti ochrany životného prostredia Rada konala jednomyseľne pri prijímaní i) ustanovení predovšetkým fiškálnej povahy; ii) opatrení týkajúcich sa územného plánovania, hospodárenia s vodnými zdrojmi alebo využívania pôdy a iii) opatrení významne ovplyvňujúcich možnosť voľby členského štátu pri výbere medzi rôznymi energetickými zdrojmi a celkovú štruktúru zásobovania energiou</w:t>
      </w:r>
      <w:r>
        <w:rPr>
          <w:rFonts w:ascii="Times New Roman" w:hAnsi="Times New Roman"/>
          <w:noProof/>
          <w:sz w:val="24"/>
          <w:vertAlign w:val="superscript"/>
        </w:rPr>
        <w:footnoteReference w:id="14"/>
      </w:r>
      <w:r>
        <w:rPr>
          <w:rFonts w:ascii="Times New Roman" w:hAnsi="Times New Roman"/>
          <w:noProof/>
          <w:sz w:val="24"/>
        </w:rPr>
        <w:t>.</w:t>
      </w:r>
    </w:p>
    <w:p>
      <w:pPr>
        <w:spacing w:before="360" w:after="360"/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2.2.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Potreba efektívnejších rozhodovacích postupov v oblasti daňových opatrení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Únia sa zaväzuje dosiahnuť svoje ciele v oblasti energetiky a klímy na rok 2030 a v budúcnosti pokračovať v transformácii a modernizácii na klimaticky neutrálne hospodárstvo. Jednou zo základných požiadaviek je, aby regulačná, finančná a daňová politika v oblastiach energetiky a klímy boli úplne jednotné a aby sa navzájom dopĺňali.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Daňová politika je dôležitý nástroj na zabezpečenie dosiahnutia cieľov energetickej únie, najmä na uľahčenie prechodu na čistú energiu, pričom sa budú dodržiavať zásady subsidiarity a proporcionality.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Pokrok pri dokončovaní jednotného trhu s energiou stále pokračuje a zdaňovanie energie pri ňom zohráva významnú úlohu. Dane a odvody predstavujú významný podiel na cenách energie, pričom ich podiel v prípade kľúčových produktov, ako je napríklad elektrická energia, v niektorých krajinách rastie</w:t>
      </w:r>
      <w:r>
        <w:rPr>
          <w:rStyle w:val="FootnoteReference"/>
          <w:rFonts w:ascii="Times New Roman" w:hAnsi="Times New Roman"/>
          <w:noProof/>
          <w:sz w:val="24"/>
        </w:rPr>
        <w:footnoteReference w:id="15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Zvyšuje sa tým význam rámca zdaňovania pre fungovanie vnútorného trhu a prínosu zo súvisiaceho rastu.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Aktuálny rámec zdaňovania energie</w:t>
      </w:r>
      <w:r>
        <w:rPr>
          <w:rStyle w:val="FootnoteReference"/>
          <w:rFonts w:ascii="Times New Roman" w:hAnsi="Times New Roman"/>
          <w:noProof/>
          <w:sz w:val="24"/>
        </w:rPr>
        <w:footnoteReference w:id="16"/>
      </w:r>
      <w:r>
        <w:rPr>
          <w:rFonts w:ascii="Times New Roman" w:hAnsi="Times New Roman"/>
          <w:noProof/>
          <w:sz w:val="24"/>
        </w:rPr>
        <w:t xml:space="preserve"> vychádza z článku 113 ZFEÚ, v ktorom sa stanovuje mimoriadny legislatívny postup s jednomyseľnosťou Rady. Tento rámec nie je prispôsobený ambíciám Únie v oblasti energetiky a klímy. Nezabezpečuje sa ním súdržnosť politík medzi rámcom zdaňovania a politikami a cieľmi v oblasti energetiky a klímy. Napriek tomu, že odzrkadľuje vzorce zdaňovania členských štátov, ktoré do veľkej miery vychádzajú z potreby zvýšiť príjmy, aktuálne politiky zdaňovania systematicky nezačleňujú vplyv spotreby paliva a energie na dosahovanie cieľov EÚ v oblasti energetiky a klímy, ani ciele v oblasti zdravia a životného prostredia. Komisia v tejto súvislosti pri viacerých príležitostiach navrhla používanie dane z fosílnych palív na základe emisií oxidu uhličitého súvisiacich s používaním týchto palív. Členské štáty sa nevedeli jednomyseľne dohodnúť na podmienkach týchto návrhov. Aj nedávna výzva niektorých členských štátov využiť úpravu hraničnej uhlíkovej dane by si vyžadovala jednomyseľnosť.</w:t>
      </w:r>
    </w:p>
    <w:p>
      <w:pPr>
        <w:spacing w:after="24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2.3.</w:t>
      </w:r>
      <w:r>
        <w:rPr>
          <w:noProof/>
        </w:rPr>
        <w:tab/>
      </w:r>
      <w:r>
        <w:rPr>
          <w:rFonts w:ascii="Times New Roman" w:hAnsi="Times New Roman"/>
          <w:b/>
          <w:i/>
          <w:noProof/>
          <w:sz w:val="24"/>
        </w:rPr>
        <w:t>Status quo</w:t>
      </w:r>
      <w:r>
        <w:rPr>
          <w:rFonts w:ascii="Times New Roman" w:hAnsi="Times New Roman"/>
          <w:b/>
          <w:noProof/>
          <w:sz w:val="24"/>
        </w:rPr>
        <w:t xml:space="preserve"> a budúcnosť zdaňovania energie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Aktuálny európsky rámec zdaňovania energie ostáva nezmenený od roku 2003 a je zastaraný. Sotva prispieva ku kľúčovým cieľom, ako sú diverzifikácia zdrojov energie a dodávateľov energie či zlepšenie energetickej efektívnosti výroby a spotreby, lebo dane sa nestanovujú na základe energetického obsahu, ale podľa objemu/hmotnosti spotrebovaných energetických produktov.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Viac než desaťročné nezvyšovanie minimálnych sadzieb na úrovni EÚ narušilo daňovo podmienený cenový signál, ktorým sa malo podporiť investovanie do energeticky účinnej technológie a správania. Keďže niektoré členské štáty odvtedy zvýšili vnútroštátnu úroveň zdaňovania, zatiaľ čo iné nie, hrozí navyše čoraz väčšie narušenie hospodárskej súťaže na jednotnom trhu a základu dane v krajinách s vysokými daňovými sadzbami, najmä na motorové palivá, ktoré možno ľahko a legálne prepravovať cez hranice. Celkový percentuálny podiel daňových príjmov z environmentálnych daní v EÚ ostáva napriek opakovaným výzvam na zmenu zdaňovania v poslednom desaťročí relatívne nezmenený</w:t>
      </w:r>
      <w:r>
        <w:rPr>
          <w:rStyle w:val="FootnoteReference"/>
          <w:rFonts w:ascii="Times New Roman" w:hAnsi="Times New Roman"/>
          <w:noProof/>
          <w:sz w:val="24"/>
        </w:rPr>
        <w:footnoteReference w:id="17"/>
      </w:r>
      <w:r>
        <w:rPr>
          <w:rFonts w:ascii="Times New Roman" w:hAnsi="Times New Roman"/>
          <w:noProof/>
          <w:sz w:val="24"/>
        </w:rPr>
        <w:t>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Prítomnosť oslobodení od dane alebo daňových úľav pre osobitné odvetvia, najmä odvetvie letectva, námornej dopravy a nákladnej cestnej dopravy, odvetvia poľnohospodárstva/rybolovu a pre energeticky náročné priemyselné odvetvia takisto vo všeobecnosti značne oslabuje podnety na investovanie do energeticky efektívnejšieho základného imania a výrobných postupov v týchto odvetviach. Tieto oslobodenia od dane či daňové úľavy sú záťažou pre ostatné odvetvia a/alebo súkromné domácnosti, ktoré musia kompenzovať spôsobené výpadky príjmov. Môžu navyše narúšať hospodársku súťaž medzi hospodárskymi odvetviami a podporovať neefektívne a znečisťujúce druhy dopravy</w:t>
      </w:r>
      <w:r>
        <w:rPr>
          <w:rStyle w:val="FootnoteReference"/>
          <w:rFonts w:ascii="Times New Roman" w:hAnsi="Times New Roman"/>
          <w:noProof/>
          <w:sz w:val="24"/>
        </w:rPr>
        <w:footnoteReference w:id="18"/>
      </w:r>
      <w:r>
        <w:rPr>
          <w:rFonts w:ascii="Times New Roman" w:hAnsi="Times New Roman"/>
          <w:noProof/>
          <w:sz w:val="24"/>
        </w:rPr>
        <w:t>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Zdaňovanie palív podľa objemu, nie podľa ich energetického obsahu, diskriminuje palivá z obnoviteľných zdrojov v prospech konvenčných palív, najmä nafty, čo je v rozpore s energetickou politikou, ktorej cieľom je prejsť na iné palivo a propagovať obnoviteľné a iné čisté zdroje energie. Nepomáha to ani vyvážiť dopyt a ponuku nafty na európskom trhu s palivami.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Komisia v návrhu zmeny smernice 2003/96/ES o reštrukturalizácii právneho rámca Spoločenstva pre zdaňovanie energetických výrobkov a elektriny</w:t>
      </w:r>
      <w:r>
        <w:rPr>
          <w:rStyle w:val="FootnoteReference"/>
          <w:rFonts w:ascii="Times New Roman" w:hAnsi="Times New Roman"/>
          <w:noProof/>
          <w:sz w:val="24"/>
        </w:rPr>
        <w:footnoteReference w:id="19"/>
      </w:r>
      <w:r>
        <w:rPr>
          <w:rFonts w:ascii="Times New Roman" w:hAnsi="Times New Roman"/>
          <w:noProof/>
          <w:sz w:val="24"/>
        </w:rPr>
        <w:t xml:space="preserve"> v roku 2011 navrhla zaviesť do rámca EÚ pre zdaňovanie energie zložku CO</w:t>
      </w:r>
      <w:r>
        <w:rPr>
          <w:rFonts w:ascii="Times New Roman" w:hAnsi="Times New Roman"/>
          <w:noProof/>
          <w:sz w:val="24"/>
          <w:vertAlign w:val="subscript"/>
        </w:rPr>
        <w:t>2</w:t>
      </w:r>
      <w:r>
        <w:rPr>
          <w:rFonts w:ascii="Times New Roman" w:hAnsi="Times New Roman"/>
          <w:noProof/>
          <w:sz w:val="24"/>
        </w:rPr>
        <w:t>. Zdaňovanie podľa emisií CO</w:t>
      </w:r>
      <w:r>
        <w:rPr>
          <w:rFonts w:ascii="Times New Roman" w:hAnsi="Times New Roman"/>
          <w:noProof/>
          <w:sz w:val="24"/>
          <w:vertAlign w:val="subscript"/>
        </w:rPr>
        <w:t>2</w:t>
      </w:r>
      <w:r>
        <w:rPr>
          <w:rFonts w:ascii="Times New Roman" w:hAnsi="Times New Roman"/>
          <w:noProof/>
          <w:sz w:val="24"/>
        </w:rPr>
        <w:t xml:space="preserve"> sa malo uplatňovať v odvetviach, na ktoré sa nevzťahuje systém EÚ na obchodovanie s emisiami. V EÚ sa mal teda uplatniť jednotný signál o cenách emisií CO</w:t>
      </w:r>
      <w:r>
        <w:rPr>
          <w:rFonts w:ascii="Times New Roman" w:hAnsi="Times New Roman"/>
          <w:noProof/>
          <w:sz w:val="24"/>
          <w:vertAlign w:val="subscript"/>
        </w:rPr>
        <w:t xml:space="preserve">2 </w:t>
      </w:r>
      <w:r>
        <w:rPr>
          <w:rFonts w:ascii="Times New Roman" w:hAnsi="Times New Roman"/>
          <w:noProof/>
          <w:sz w:val="24"/>
        </w:rPr>
        <w:t>na úrovni celej ekonomiky. Okrem toho bol podaný návrh, aby sa energetické produkty zdaňovali na základe ich energetického obsahu a zjednodušil sa systém daňových úľav a oslobodenia od dane. Ukázalo sa však, že je nemožné, aby členské štáty dospeli k jednomyseľnosti v súvislosti s hlavnými prvkami návrhu, najmä so zavedením daňovej zložky podľa emisií CO</w:t>
      </w:r>
      <w:r>
        <w:rPr>
          <w:rFonts w:ascii="Times New Roman" w:hAnsi="Times New Roman"/>
          <w:noProof/>
          <w:sz w:val="24"/>
          <w:vertAlign w:val="subscript"/>
        </w:rPr>
        <w:t>2</w:t>
      </w:r>
      <w:r>
        <w:rPr>
          <w:rFonts w:ascii="Times New Roman" w:hAnsi="Times New Roman"/>
          <w:noProof/>
          <w:sz w:val="24"/>
        </w:rPr>
        <w:t>. Komisia teda v roku 2015 rozhodla o stiahnutí návrhu. V dôsledku toho až dodnes ostal v platnosti zastaraný rámec z roku 2003.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Komisia v súčasnosti posudzuje smernicu o zdaňovaní energie so zreteľom na jej prípadnú revíziu. Posúdi sa vykonávanie rôznych ustanovení, zváži sa efektívnosť, jasnosť, rozsah dosahovania stanovených cieľov a zistia sa možné nedostatky. Preskúma sa takisto jej súdržnosť s politikami (napr. v oblasti energetiky, životného prostredia, hospodárskej súťaže a dopravy), iniciatívami či opatreniami EÚ.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Budúcim režimom zdaňovania energie by sa mali doplniť a posilniť právne predpisy EÚ v oblasti energetiky a umožniť (finančný/technologický/sociálny) rámec na úrovni členských štátov a na úrovni EÚ. Komisia sa vzhľadom na to domnieva, že nasledovné tri aspekty majú rozhodujúci význam.</w:t>
      </w:r>
    </w:p>
    <w:p>
      <w:pPr>
        <w:spacing w:after="24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Zdaňovaním energie by sa mal podporiť prechod na čistú energiu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Dane z energií by sa mali navrhnúť najmä tak, aby poskytli vhodné podnety na postupné znižovanie emisií a zlepšenie efektívnosti využívania zdrojov, okrem iného prostredníctvom sadzby dane z rôznych energetických nosičov a palív, v rámci ktorých sa zohľadňuje životné prostredie. Môžu takisto podnietiť určité správanie, ktoré bude v súlade so širšími potrebami a cieľmi spoločnosti v súvislosti s prechodom na čistú energiu a so zmenou klímy.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Súčasne so stimulovaním používania čistých zdrojov energie by mal daňový režim lepšie odzrkadľovať aj všetky externé náklady na tovary a služby, najmä konzistentným uplatňovaním zásady „znečisťovateľ platí“. Tento cieľ ešte nebol splnený. V správe o cenách energie a nákladoch na energie</w:t>
      </w:r>
      <w:r>
        <w:rPr>
          <w:rStyle w:val="FootnoteReference"/>
          <w:rFonts w:ascii="Times New Roman" w:hAnsi="Times New Roman"/>
          <w:noProof/>
          <w:sz w:val="24"/>
        </w:rPr>
        <w:footnoteReference w:id="20"/>
      </w:r>
      <w:r>
        <w:rPr>
          <w:rFonts w:ascii="Times New Roman" w:hAnsi="Times New Roman"/>
          <w:noProof/>
          <w:sz w:val="24"/>
        </w:rPr>
        <w:t xml:space="preserve"> z roku 2018 sa konkrétne poukazuje na to, že dotovanie fosílnych palív, najmä v podobe daňových úľav alebo oslobodení od dane, ostáva v platnosti napriek cieľu uvedenému v stratégii energetickej únie vyradiť dotácie poškodzujúce životné prostredie. Jedným zo spôsobov, ako dosiahnuť tento cieľ, môže byť použitie uhlíkovej dane, ktorá môže zmeniť štruktúry spotreby a výroby tak, aby boli menej náročné na uhlík a energiu, čo by viedlo k zníženiu emisií skleníkových plynov a k celkovým úsporám energie. Takisto motivuje investície do zlepšovania efektívnosti a nízkouhlíkových technológií.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Zdaňovaním energie by sa teda odzrkadlil jednak príspevok k udržateľnému rastu, jednak potenciálny rozvoj čistých technológií, ako aj vonkajšie poškodenia spôsobené každým palivom a jeho používaním. V tejto súvislosti by sa dane z energií použili, aby sa na trhu umožnil stav, v rámci ktorého by sa najmenej zdaňovali riešenia, ktorými sa zmenšuje aj naša ekologická stopa a znečistenie. Hlavnou výzvou je zabezpečiť súdržnosť aktuálneho rámca súvisiaceho s dopravou a vykurovacími palivami.</w:t>
      </w:r>
    </w:p>
    <w:p>
      <w:pPr>
        <w:spacing w:after="240"/>
        <w:jc w:val="both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Zdaňovanie energie by malo prispievať k udržateľnému a sociálne spravodlivému rastu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Zdaňovanie v kombinácii s ďalšími politickými trhovými nástrojmi (ako sú poplatky, odvody či emisné kvóty) sa môže použiť na riešenie osobitných problémov v oblasti životného prostredia a zároveň na podporu investícií, pracovných miest a rastu. Ekonomické štúdie poukazujú na to, že určité typy daní – napríklad dane z práce a príjmu – skôr narúšajú hospodársku súťaž, zatiaľ čo iné, napríklad spotrebná daň a environmentálna daň, sú vhodné pre rast.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Dane z energií a ďalšie trhové nástroje by mali byť v súlade s investičnými potrebami, ktoré sú prípravou na budúcnosť, napríklad uľahčením zavedenia kľúčových technológií prispievajúcich k nízkouhlíkovému rastu, ktorý bude na čele prechodu k čistej energii.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Zdaňovanie energie má vplyv aj na riadne fungovanie jednotného trhu s energiou. Trhy s energiou, ako je elektrická energia, plyn a ropa, sú v súčasnosti do veľkej miery integrované na úrovni EÚ, pričom energia voľne prúdi z jedného členského štátu do druhého. Odzrkadľuje sa to okrem iného postupným zbližovaním vnútroštátnych cien. Napríklad rozdiely v cenách za elektrickú energiu sa za posledných desať rokov znížili o 21 %</w:t>
      </w:r>
      <w:r>
        <w:rPr>
          <w:rStyle w:val="FootnoteReference"/>
          <w:rFonts w:ascii="Times New Roman" w:hAnsi="Times New Roman"/>
          <w:noProof/>
          <w:sz w:val="24"/>
        </w:rPr>
        <w:footnoteReference w:id="21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Dokončenie vnútorného trhu EÚ s energiou si vyžadovalo rozsiahly súhrn právnych predpisov na odstránenie mnohých bariér a obchodných prekážok. Regulačný rámec EÚ umožnil postupné dosiahnutie jednotného trhu. Politika zdaňovania energie sa na rozdiel od toho nevyvíjala rovnakým tempom, aby sa podporilo lepšie a hlbšie začlenenie vnútorného trhu s energiou. Inými slovami, ceny elektrickej energie, plynu a motorového paliva naďalej ovplyvňujú náklady na podporu politiky a daňové nástroje stanovené na vnútroštátnej úrovni a v rozličnej miere vo všetkých členských štátoch.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Režimom zdaňovania energie by sa takisto mali minimalizovať deformácie spôsobené rôznymi daňovými sadzbami z rôznych palív. So všetkými zdrojmi energie by sa malo zaobchádzať rovnako vzhľadom na to, ako každý z nich prispieva k dosahovaniu konečných cieľov energetickej únie. Mala by sa napríklad zabezpečiť konzistentnosť zdrojov energie u používateľov, aby sa v daňovom systéme zabránilo neprimeranému uprednostňovaniu zákazníckych riešení založených na fosílnych palivách (napríklad podporovanie používania uhlia vo vykurovacích systémoch, pričom ide o často najmenej zdaňované, ale aj najviac znečisťujúce výhrevné palivo).</w:t>
      </w:r>
    </w:p>
    <w:p>
      <w:pPr>
        <w:spacing w:after="240"/>
        <w:jc w:val="both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Reforma dane z energií by mala odzrkadľovať úvahy o sociálnej rovnosti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Politika zdaňovania energie môže negatívne ovplyvniť kúpnu silu spotrebiteľov v ekonomicky slabšej situácii, pokiaľ sa nezohľadní sociálny vplyv daňového systému. Napriek tomu, že zvyšovanie daní z fosílnych palív v doprave alebo v sektore vykurovania sú silným krátkodobým stimulom zmeny správania, spotrebitelia nemusia byť schopní jednoducho zmeniť svoje vzorce spotreby, pokiaľ ide o veľkú časť ich príjmu.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Sú teda potrebné aj starostlivo navrhnuté sprievodné opatrenia, aby sa zabezpečil presun daňového zaťaženia v súlade s politickými cieľmi v oblasti energetiky a klímy, ktorý bude sociálne prijateľný pre všetkých občanov. Tieto sociálne problémy bude treba riešiť prostredníctvom sociálnej politiky a systému sociálneho zabezpečenia, pri ktorých financovaní je potrebné účinne využívať presuny daňového zaťaženia a recykláciu príjmov. Možno to dosiahnuť nielen podporou zraniteľných spotrebiteľov prostredníctvom sociálnych politík, ale aj využívaním príjmov zo zdaňovania energie a environmentálneho zdaňovania tak, aby sa uprednostnil prechod hospodárskych odvetví a/alebo regiónov k environmentálnej výkonnosti, a umožnením zníženia zdaňovania práce v dôsledku zvýšenia príjmov z environmentálneho zdaňovania.</w:t>
      </w:r>
    </w:p>
    <w:p>
      <w:pPr>
        <w:spacing w:before="360" w:after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2.4.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„Premosťovacie doložky“ ako nástroj na prispôsobenie rozhodovacieho postupu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V zmluvách sa uvádza možnosť odblokovať oblasti politiky, na ktoré sa vzťahuje požiadavka jednomyseľnosti, a posunúť hlasovací režim ku kvalifikovanej väčšine prostredníctvom všeobecného ustanovenia uvedeného v článku 48 ods. 7 Zmluvy o Európskej únii (ZEÚ) a prostredníctvom osobitných ustanovení ZFEÚ. Toto riešenie nazývané „premosťovacie doložky“ umožňuje prechod od jednomyseľnosti ku kvalifikovanej väčšine.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 hlave ZFEÚ o životnom prostredí sa zaviedla osobitná premosťovacia doložka</w:t>
      </w:r>
      <w:r>
        <w:rPr>
          <w:rStyle w:val="FootnoteReference"/>
          <w:rFonts w:ascii="Times New Roman" w:hAnsi="Times New Roman"/>
          <w:noProof/>
          <w:sz w:val="24"/>
        </w:rPr>
        <w:footnoteReference w:id="22"/>
      </w:r>
      <w:r>
        <w:rPr>
          <w:rFonts w:ascii="Times New Roman" w:hAnsi="Times New Roman"/>
          <w:noProof/>
          <w:sz w:val="24"/>
        </w:rPr>
        <w:t>, ktorá poskytuje Rade právomoc rozhodnúť, že opatrenia v oblasti životného prostredia s fiškálnou povahou možno prijať riadnym legislatívnym postupom hlasovaním kvalifikovanou väčšinou. Na výkon tejto právomoci musí Rada jednomyseľne odsúhlasiť návrh Komisie po porade s Európskym parlamentom, Hospodárskym a sociálnym výborom a Výborom regiónov.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Premosťovaciu doložku stanovenú v hlave ZFEÚ o životnom prostredí možno použiť na opatrenia na zdaňovanie energie s primárne environmentálnou povahou. Môžu sa tým odôvodniť opatrenia environmentálneho zdaňovania zamerané na znižovanie emisií CO</w:t>
      </w:r>
      <w:r>
        <w:rPr>
          <w:rFonts w:ascii="Times New Roman" w:hAnsi="Times New Roman"/>
          <w:noProof/>
          <w:sz w:val="24"/>
          <w:vertAlign w:val="subscript"/>
        </w:rPr>
        <w:t>2</w:t>
      </w:r>
      <w:r>
        <w:rPr>
          <w:rFonts w:ascii="Times New Roman" w:hAnsi="Times New Roman"/>
          <w:noProof/>
          <w:sz w:val="24"/>
        </w:rPr>
        <w:t xml:space="preserve"> a ďalších emisií znečisťujúcich látok alebo na zlepšovanie energetickej efektívnosti, teda hlavné priority stratégie energetickej únie EÚ a Parížskej dohody. Keďže výrobou a používaním energie sa produkujú viac než tri štvrtiny emisií CO</w:t>
      </w:r>
      <w:r>
        <w:rPr>
          <w:rFonts w:ascii="Times New Roman" w:hAnsi="Times New Roman"/>
          <w:noProof/>
          <w:sz w:val="24"/>
          <w:vertAlign w:val="subscript"/>
        </w:rPr>
        <w:t>2</w:t>
      </w:r>
      <w:r>
        <w:rPr>
          <w:rFonts w:ascii="Times New Roman" w:hAnsi="Times New Roman"/>
          <w:noProof/>
          <w:sz w:val="24"/>
        </w:rPr>
        <w:t>, environmentálnymi daňami na emisie CO</w:t>
      </w:r>
      <w:r>
        <w:rPr>
          <w:rFonts w:ascii="Times New Roman" w:hAnsi="Times New Roman"/>
          <w:noProof/>
          <w:sz w:val="24"/>
          <w:vertAlign w:val="subscript"/>
        </w:rPr>
        <w:t>2</w:t>
      </w:r>
      <w:r>
        <w:rPr>
          <w:rFonts w:ascii="Times New Roman" w:hAnsi="Times New Roman"/>
          <w:noProof/>
          <w:sz w:val="24"/>
        </w:rPr>
        <w:t xml:space="preserve"> možno tento cieľ dosiahnuť, ak sa tieto daňové opatrenia budú vzťahovať na výrobu a používanie energie. Opatrenia v oblasti energetiky týkajúce sa zdaňovania CO</w:t>
      </w:r>
      <w:r>
        <w:rPr>
          <w:rFonts w:ascii="Times New Roman" w:hAnsi="Times New Roman"/>
          <w:noProof/>
          <w:sz w:val="24"/>
          <w:vertAlign w:val="subscript"/>
        </w:rPr>
        <w:t>2</w:t>
      </w:r>
      <w:r>
        <w:rPr>
          <w:rFonts w:ascii="Times New Roman" w:hAnsi="Times New Roman"/>
          <w:noProof/>
          <w:sz w:val="24"/>
        </w:rPr>
        <w:t xml:space="preserve"> by mali mať prospech aj z premosťovacej doložky stanovenej v hlave ZFEÚ o životnom prostredí.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Využitie tejto premosťovacej doložky by nemalo priamy vplyv na súčasné právomoci členských štátov v daňovej oblasti, upravil by sa iba spôsob ich vykonávania. Takýto prístup by skôr posilnil úsilie o inštitucionálny rámec pre zdaňovanie vo všeobecnosti. Použitie premosťovacej doložky by navyše vyústilo do uplatnenia riadneho legislatívneho postupu, v rámci ktorého Európsky parlament a Rada ako spoluzákonodarcovia s rovnakým postavením zastupujú širokú škálu záujmov. Hlasovanie kvalifikovanou väčšinou teda vyjadruje základnú myšlienku jednotnej činnosti založenej na kompromise. Toto odôvodnenie platí pre väčšinu politických rozhodnutí v oblastiach energetiky a klímy. Výhody kvalifikovanej väčšiny možno teda hlbšie skúmať aj v oblasti environmentálneho zdaňovania.</w:t>
      </w:r>
    </w:p>
    <w:p>
      <w:pPr>
        <w:spacing w:after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Takýto krok by tvoril súčasť všeobecnejšieho prístupu k používaniu premosťovacích doložiek, ako sa to stanovuje v pláne sektorového oznámenia „Efektívnejšie a demokratickejšie rozhodovanie v oblasti daňovej politiky EÚ“</w:t>
      </w:r>
      <w:r>
        <w:rPr>
          <w:rFonts w:ascii="Times New Roman" w:hAnsi="Times New Roman"/>
          <w:noProof/>
          <w:sz w:val="24"/>
          <w:vertAlign w:val="superscript"/>
        </w:rPr>
        <w:footnoteReference w:id="23"/>
      </w:r>
      <w:r>
        <w:rPr>
          <w:rFonts w:ascii="Times New Roman" w:hAnsi="Times New Roman"/>
          <w:noProof/>
          <w:sz w:val="24"/>
        </w:rPr>
        <w:t>. V druhom kroku tohto plánu sa stanovuje, že prechod k riadnemu legislatívnemu postupu, založenému na hlasovaní kvalifikovanou väčšinou v Rade a na spolurozhodovacích právach Európskeho parlamentu, by sa mal vzťahovať na opatrenia primárne fiškálnej povahy navrhnuté na podporu ďalších cieľov politiky vrátane boja proti zmene klímy. Komisia v druhom kroku vyzvala lídrov EÚ, aby rozhodovali rýchlo.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Komisia v tomto oznámení takisto zdôraznila, že efektívnejšie rozhodnutia súvisiace s daňami v tejto oblasti by umožnili realizovať energetickú politiku šetrnejšiu k životnému prostrediu, napríklad podporiť ambiciózne ciele EÚ v oblasti zmeny klímy. Osobitná premosťovacia doložka stanovená v článku 192 ods. 2 ZFEÚ v oblasti životného prostredia, ktorá sa vzťahuje najmä na ustanovenia s primárne fiškálnou povahou, poskytuje spôsob na prechod od mimoriadneho k riadnemu legislatívnemu postupu v oblasti energetickej politiky šetrnejšej k životnému prostrediu. Použitím všeobecnej premosťovacej doložky stanovenej v článku 48 ods. 7 ZEÚ by sa alternatívne umožnilo hlasovať kvalifikovanou väčšinou o daňových opatreniach určených najmä na energetické ciele.</w:t>
      </w:r>
    </w:p>
    <w:p>
      <w:pPr>
        <w:spacing w:after="24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3.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Rozhodovanie podľa Zmluvy o Euratome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Jadrová energia je reálnou súčasťou dnešného európskeho energetického mixu. Polovica členských štátov používa na výrobu energie jadrovú energiu, ktorá predstavuje 27 % elektrickej energie vyrobenej v EÚ.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Keď sa v roku 1957 podpísala Zmluva o Euratome, jadrová energia sa vnímala ako zdroj energie pre hospodársky rast Európy. V tejto zmluve sa uvádzajú rozsiahle nadnárodné právomoci na úrovni Spoločenstva. Vykonávanie týchto právomocí však bolo v praxi selektívne a postupne sa vyvíjalo. Euratom sa pri svojom vzniku primárne zameriaval na podporu používania jadrovej energie. Dnes jeho činnosti súvisia s ochranou, bezpečnosťou dodávok, zárukami, nakladaním s odpadom, ochranou pred žiarením, výskumom a lekárskymi aplikáciami. Euratom má významnú úlohu pri posilňovaní jadrovej bezpečnosti v nových členských štátoch a v susedstve EÚ. Potenciálny cezhraničný vplyv problémov v oblasti jadrovej bezpečnosti si vyžaduje – ešte viac dnes a v nasledujúcich rokoch – právny rámec prekračujúci hranice členských štátov. Tento rámec sa posilnil sekundárnymi právnymi predpismi prijatými po havárii vo Fukušime. Starnúce elektrárne v EÚ podobne vzbudzujú otázky súvisiace s predĺžením životnosti, postupným odstavením, vyraďovaním, nakladaním s odpadom a súvisiacimi investíciami. V ďalších rokoch sa význam týchto otázok bude zvyšovať.</w:t>
      </w:r>
    </w:p>
    <w:p>
      <w:pPr>
        <w:spacing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Je jasné, že rozhodnutie o používaní jadrovej energie prijíma každý členský štát sám a bude to tak aj v budúcnosti. Zmluva o Euratome obsahuje najmodernejší právny rámec na svete v oblastiach jadrovej bezpečnosti, nakladania s odpadom či ochrany pred žiarením. Existuje však známa obava súvisiaca s tým, že Zmluva o Euratome sa má vyvíjať v súlade s jednotnejšou, silnejšou a demokratickejšou EÚ. Táto obava sa odzrkadľuje vo vyhlásení piatich členských štátov k Lisabonskej zmluve</w:t>
      </w:r>
      <w:r>
        <w:rPr>
          <w:rStyle w:val="FootnoteReference"/>
          <w:rFonts w:ascii="Times New Roman" w:hAnsi="Times New Roman"/>
          <w:noProof/>
          <w:sz w:val="24"/>
        </w:rPr>
        <w:footnoteReference w:id="24"/>
      </w:r>
      <w:r>
        <w:rPr>
          <w:rFonts w:ascii="Times New Roman" w:hAnsi="Times New Roman"/>
          <w:noProof/>
          <w:sz w:val="24"/>
        </w:rPr>
        <w:t>. Podotkli totiž, že hlavné ustanovenia Zmluvy o založení Európskeho spoločenstva pre atómovú energiu sa od nadobudnutia jej účinnosti podstatne nezmenili a treba ju aktualizovať.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Ústredným aspektom je demokratická zodpovednosť Euratomu, najmä zapojenie Európskeho parlamentu a národných parlamentov. V Lisabonskej zmluve sa riadny legislatívny postup rozšíril takmer na všetky oblasti politiky, v ktorých Európsky parlament pôvodne zastával iba poradnú úlohu. Hoci sa riadny legislatívny postup vo všeobecnosti vzťahuje aj na Zmluvu o Euratome</w:t>
      </w:r>
      <w:r>
        <w:rPr>
          <w:rStyle w:val="FootnoteReference"/>
          <w:rFonts w:ascii="Times New Roman" w:hAnsi="Times New Roman"/>
          <w:noProof/>
          <w:sz w:val="24"/>
        </w:rPr>
        <w:footnoteReference w:id="25"/>
      </w:r>
      <w:r>
        <w:rPr>
          <w:rFonts w:ascii="Times New Roman" w:hAnsi="Times New Roman"/>
          <w:noProof/>
          <w:sz w:val="24"/>
        </w:rPr>
        <w:t>, ustanovenia zmluvy týkajúce sa prijímania právnych aktov tak v praxi nestanovujú. Konzultácie s Európskym parlamentom prebiehajú len v súvislosti s týmito ustanoveniami. V Lisabonskej zmluve sa podobne zaviedla posilnená úloha Parlamentu pri uzatváraní medzinárodných dohôd, keď sa často vyžaduje súhlas Parlamentu</w:t>
      </w:r>
      <w:r>
        <w:rPr>
          <w:rStyle w:val="FootnoteReference"/>
          <w:rFonts w:ascii="Times New Roman" w:hAnsi="Times New Roman"/>
          <w:noProof/>
          <w:sz w:val="24"/>
        </w:rPr>
        <w:footnoteReference w:id="26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V Zmluve o Euratome to uvedené nie je. Podľa nej sa s Európskym parlamentom nevedú konzultácie pri uzatváraní medzinárodných dohôd. Preto by mohlo byť užitočné preskúmať, ako možno urobiť viac na posilnenie úlohy Európskeho parlamentu pri zlepšovaní demokratickej legitímnosti rozhodovania podľa Zmluvy o Euratome.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Ďalšia oblasť, v ktorej sa v Zmluve o Euratome neodzrkadľujú zlepšenia z hľadiska transparentnosti a demokratizácie dosiahnuté v nasledujúcich reformách zmlúv EÚ, súvisí s úlohou národných parlamentov. Súčasťou rámca Zmluvy o Euratome je Protokol 1 o úlohe národných parlamentov v Európskej únii. V Zmluve o Euratome však nie je ekvivalent článku 12 Zmluvy o EÚ, v ktorom by sa stanovila úloha národných parlamentov. V tejto súvislosti by mohlo byť užitočné preskúmať, či možno viac posilniť úlohu národných parlamentov v rámci Euratomu.</w:t>
      </w:r>
    </w:p>
    <w:p>
      <w:pPr>
        <w:spacing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Komisia by takisto mala zaviesť iniciatívy na zlepšenie zapojenia občianskej spoločnosti do vytvárania politík v jadrovej oblasti a na zvýšenie celoúnijného záujmu na relevantných fórach. V prípade určitých jadrových otázok je dostupnosť informácií pochopiteľne obmedzená, najmä v oblasti jadrovej bezpečnosti. Napriek tomu, že ide o legitímnu obavu, o otázkach, ako sú jadrová bezpečnosť, nakladanie s rádioaktívnym odpadom a núdzové plánovanie, treba naďalej diskutovať čo najotvorenejšie v súlade s existujúcimi pravidlami.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Tieto otázky sú ústredným prvkom obáv zo strany občanov. Prvým krokom je dôsledné vykonávanie nedávno schválených právnych predpisov. Pokiaľ ide o zodpovedné a bezpečné nakladanie s vyhoretým palivom a rádioaktívnym odpadom, je mimoriadne dôležité, aby členské štáty naďalej vyvíjali komplexné plány nakladania s jadrovým odpadom a vykonávali ich. V súvislosti s cezhraničným vplyvom treba povzbudiť cezhraničné konzultácie medzi členskými štátmi, ako aj silnejšie zapojenie Skupiny európskych regulačných orgánov pre jadrovú bezpečnosť (ENSREG). Mala by sa posilniť kolektívna schopnosť EÚ a členských štátov reagovať na jadrové havárie, najmä s cieľom objasniť finančnú zodpovednosť a zabezpečiť primerané financovanie v tejto súvislosti.</w:t>
      </w:r>
    </w:p>
    <w:p>
      <w:pPr>
        <w:spacing w:after="240"/>
        <w:jc w:val="both"/>
        <w:rPr>
          <w:rFonts w:ascii="Times New Roman" w:eastAsia="Malgun Gothic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 Zmluve o Euratome sa nestanovuje zjednodušený postup jej revidovania v zmysle článku 48 ods. 7 ZEÚ. Premosťovacie doložky podľa zmlúv EÚ sa na Zmluvu o Euratome takisto nevzťahujú. Na revidovanie zmluvy s cieľom rozšíriť použitie riadneho legislatívneho postupu na rámec Euratomu by bolo preto potrebné použiť riadny revízny postup týkajúci sa zmlúv podľa článku 48 ZEÚ.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Zmena Zmluvy o Euratome zameraná na rozšírenie používania bežného legislatívneho postupu by teda musela byť súčasťou širšieho postupu reformy zmluvy s využitím riadneho postupu revízie zmluvy podľa článku 48 ZEÚ a mala by sa vnímať z dlhodobejšieho hľadiska, obdobia po roku 2025. Európska komisia zriadi v nadchádzajúcich mesiacoch expertnú skupinu na vysokej úrovni, ktorej úlohou bude posúdiť a oznámiť Komisii aktuálny stav Zmluvy o Euratome s cieľom zvážiť, ako možno zlepšiť jej demokratickú zodpovednosť na základe súčasnej zmluvy.</w:t>
      </w:r>
    </w:p>
    <w:p>
      <w:pPr>
        <w:spacing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24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4.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Záver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Ako Komisia nedávno zdôraznila vo svojom oznámení „Čistá planéta pre všetkých“, energetická transformácia si vyžaduje komplexnú hospodársku a spoločenskú transformáciu všetkých odvetví hospodárstva a spoločnosti, aby sa do roku 2050 uskutočnil prechod ku klimatickej neutrálnosti a udržateľnosti.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Dosahovanie tohto cieľa si vyžaduje rozhodné kroky vo všetkých oblastiach politiky a je nevyhnutné, aby EÚ bola vybavená nástrojmi na prijímanie potrebných rozhodnutí efektívnym a demokratickým spôsobom.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V tomto zmysle sa v posledných rokoch dosiahol významný pokrok dokončením politického rámca energetickej únie. Pokiaľ ide o regulačnú stránku, tento pokrok úzko súvisí s používaním riadneho legislatívneho postupu. Úplné zapojenie Európskeho parlamentu a Rady zohralo pozitívnu úlohu z pohľadu demokratickosti procesu, ako aj pri dosahovaní ambiciózneho výsledku v súvislosti s mnohými dôležitými spismi.</w:t>
      </w:r>
    </w:p>
    <w:p>
      <w:pPr>
        <w:spacing w:after="24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V tomto oznámení sa určili dve oblasti, v ktorých rozhodovanie možno ešte zlepšiť v prospech dosiahnutia cieľov energetickej únie.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 Komisia vyzýva lídrov EÚ:</w:t>
      </w:r>
    </w:p>
    <w:p>
      <w:pPr>
        <w:pStyle w:val="ListDash"/>
        <w:rPr>
          <w:noProof/>
          <w:sz w:val="24"/>
          <w:szCs w:val="24"/>
        </w:rPr>
      </w:pPr>
      <w:r>
        <w:rPr>
          <w:noProof/>
          <w:sz w:val="24"/>
        </w:rPr>
        <w:t>v súlade s predchádzajúcou výzvou</w:t>
      </w:r>
      <w:r>
        <w:rPr>
          <w:rStyle w:val="FootnoteReference"/>
          <w:noProof/>
          <w:sz w:val="24"/>
        </w:rPr>
        <w:footnoteReference w:id="27"/>
      </w:r>
      <w:r>
        <w:rPr>
          <w:noProof/>
          <w:sz w:val="24"/>
        </w:rPr>
        <w:t xml:space="preserve"> na rýchle prijatie rozhodnutia o využití všeobecnej premosťovacej doložky (článok 48 ods. 7 ZEÚ) v záujme prechodu na riadny legislatívny postup a hlasovanie kvalifikovanou väčšinou. Európska rada sa vyzýva, aby svoju iniciatívu oznámila národným parlamentom a požiadala o súhlas Európskeho parlamentu. Osobitná premosťovacia doložka stanovená v článku 192 ods. 2 ZFEÚ okrem toho ponúka jasnú cestu k prechodu na riadny legislatívny postup v záležitostiach zdaňovania v oblasti životného prostredia,</w:t>
      </w:r>
    </w:p>
    <w:p>
      <w:pPr>
        <w:pStyle w:val="ListDash"/>
        <w:rPr>
          <w:noProof/>
        </w:rPr>
      </w:pPr>
      <w:r>
        <w:rPr>
          <w:noProof/>
          <w:sz w:val="24"/>
        </w:rPr>
        <w:t>Rada a ďalšie zainteresované strany spolu s Európskym parlamentom sa majú aktívne zapojiť do úvah expertnej skupiny na vysokej úrovni, ktorú by Komisia vyzvala na posúdenie spôsobu, ako najlepšie zvýšiť demokratickú zodpovednosť a transparentnosť v rámci Zmluvy o Euratome.</w:t>
      </w:r>
    </w:p>
    <w:sectPr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SK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249693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984950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Default"/>
        <w:ind w:left="357" w:hanging="357"/>
        <w:jc w:val="both"/>
        <w:rPr>
          <w:color w:val="auto"/>
          <w:sz w:val="20"/>
          <w:szCs w:val="20"/>
        </w:rPr>
      </w:pPr>
      <w:r>
        <w:rPr>
          <w:rStyle w:val="FootnoteReference"/>
          <w:color w:val="auto"/>
          <w:sz w:val="20"/>
          <w:szCs w:val="20"/>
        </w:rPr>
        <w:footnoteRef/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  <w:t>COM(2018) 773 final z 28. novembra 2018 – Čistá planéta pre všetkých.</w:t>
      </w:r>
    </w:p>
  </w:footnote>
  <w:footnote w:id="3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Nariadenie (EÚ) 2017/1938 o opatreniach na zaistenie bezpečnosti dodávok plynu; rozhodnutie (EÚ) 2017/684 o ustanovení mechanizmu výmeny informácií, pokiaľ ide o medzivládne dohody a nezáväzné nástroje v oblasti energetiky medzi členskými štátmi a tretími krajinami; COM(2016) 49 final zo 16. februára 2016 – Stratégia EÚ pre skvapalnený zemný plyn a skladovanie plynu; COM(2016) 51 final zo 16. februára 2016 – Stratégia EÚ týkajúca sa vykurovania a chladenia.</w:t>
      </w:r>
    </w:p>
  </w:footnote>
  <w:footnote w:id="4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COM(2016) 860 final z 30. novembra 2016 – Čistá energia pre všetkých Európanov.</w:t>
      </w:r>
    </w:p>
  </w:footnote>
  <w:footnote w:id="5">
    <w:p>
      <w:pPr>
        <w:pStyle w:val="Default"/>
        <w:ind w:left="357" w:hanging="357"/>
        <w:jc w:val="both"/>
        <w:rPr>
          <w:i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Smernica (EÚ) 2018/410, ktorou sa mení smernica 2003/87/ES s cieľom zlepšiť nákladovo efektívne znižovanie emisií a investície do nízkouhlíkových technológií a rozhodnutie (EÚ) 2015/1814; nariadenie (EÚ) 2018/842 o záväznom ročnom znižovaní emisií skleníkových plynov členskými štátmi v rokoch 2021 až 2030, ktorým sa prispieva k opatreniam v oblasti klímy zameraným na splnenie záväzkov podľa Parížskej dohody</w:t>
      </w:r>
      <w:r>
        <w:rPr>
          <w:rStyle w:val="Emphasis"/>
          <w:i w:val="0"/>
          <w:sz w:val="20"/>
          <w:szCs w:val="20"/>
        </w:rPr>
        <w:t>;</w:t>
      </w:r>
      <w:r>
        <w:rPr>
          <w:sz w:val="20"/>
          <w:szCs w:val="20"/>
        </w:rPr>
        <w:t xml:space="preserve"> nariadenie (EÚ) 2018/841 o začlenení emisií a odstraňovania skleníkových plynov z využívania pôdy, zo zmien vo využívaní pôdy a z lesného hospodárstva do rámca politík v oblasti klímy a energetiky na rok 2030</w:t>
      </w:r>
      <w:r>
        <w:rPr>
          <w:i/>
          <w:sz w:val="20"/>
          <w:szCs w:val="20"/>
        </w:rPr>
        <w:t>.</w:t>
      </w:r>
    </w:p>
  </w:footnote>
  <w:footnote w:id="6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COM(2017) 283 final z 31. mája 2017 – Agenda sociálne spravodlivého prechodu na ekologickú, konkurencieschopnú a prepojenú mobilitu pre všetkých; COM(2017) 675 final z 8. novembra 2017 – Nízkoemisná mobilita sa stáva skutočnosťou; COM(2018) 293 final zo 17. mája 2018 – Udržateľná mobilita pre Európu: bezpečná, prepojená a ekologická.</w:t>
      </w:r>
    </w:p>
  </w:footnote>
  <w:footnote w:id="7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Nariadenie (EÚ) 2018/1999 o riadení energetickej únie a opatrení v oblasti klímy</w:t>
      </w:r>
      <w:r>
        <w:rPr>
          <w:rStyle w:val="Emphasis"/>
          <w:i w:val="0"/>
          <w:sz w:val="20"/>
          <w:szCs w:val="20"/>
        </w:rPr>
        <w:t>.</w:t>
      </w:r>
    </w:p>
  </w:footnote>
  <w:footnote w:id="8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COM(2019) 175 z 3. apríla 2019 – Štvrtá správa o stave energetickej únie.</w:t>
      </w:r>
    </w:p>
  </w:footnote>
  <w:footnote w:id="9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Jednotný európsky akt, Ú. v. ES L 169, 29.6.1987, s. 1 – 28.</w:t>
      </w:r>
    </w:p>
  </w:footnote>
  <w:footnote w:id="10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Toto je tretie oznámenie o otázke hlasovania kvalifikovanou väčšinou. Predchádzajúce oznámenia: COM(2019) 8 final z 15. januára 2019 – Efektívnejšie a demokratickejšie rozhodovanie v oblasti daňovej politiky EÚ; a COM(2018) 647 final z 12. septembra 2018 – Silnejší globálny aktér: efektívnejšie rozhodovanie v oblasti spoločnej zahraničnej a bezpečnostnej politiky EÚ. </w:t>
      </w:r>
    </w:p>
  </w:footnote>
  <w:footnote w:id="11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Článok 194 ods. 1 Zmluvy o fungovaní Európskej únie.</w:t>
      </w:r>
    </w:p>
  </w:footnote>
  <w:footnote w:id="12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Článok 194 ods. 2 Zmluvy o fungovaní Európskej únie.</w:t>
      </w:r>
    </w:p>
  </w:footnote>
  <w:footnote w:id="13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Článok 194 ods. 3 Zmluvy o fungovaní Európskej únie.</w:t>
      </w:r>
    </w:p>
  </w:footnote>
  <w:footnote w:id="14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Článok 192 ods. 2 Zmluvy o fungovaní Európskej únie.</w:t>
      </w:r>
    </w:p>
  </w:footnote>
  <w:footnote w:id="15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Podľa správy o cenách energií a nákladoch na energie [COM(2019) 1 z 9. januára 2019] predstavujú celkové dane 40 % z konečnej ceny elektrickej energie pre domácnosti.</w:t>
      </w:r>
    </w:p>
  </w:footnote>
  <w:footnote w:id="16">
    <w:p>
      <w:pPr>
        <w:pStyle w:val="Default"/>
        <w:ind w:left="357" w:hanging="357"/>
        <w:jc w:val="both"/>
        <w:rPr>
          <w:sz w:val="20"/>
          <w:szCs w:val="20"/>
          <w:lang w:val="en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Smernica Rady 2003/96/ES z 27. októbra 2003 o reštrukturalizácii právneho rámca Spoločenstva pre zdaňovanie energetických výrobkov a elektriny</w:t>
      </w:r>
      <w:r>
        <w:rPr>
          <w:rStyle w:val="Emphasis"/>
          <w:i w:val="0"/>
          <w:sz w:val="20"/>
          <w:szCs w:val="20"/>
        </w:rPr>
        <w:t>.</w:t>
      </w:r>
    </w:p>
  </w:footnote>
  <w:footnote w:id="17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Zdroj: Eurostat – Environmental taxes in the EU: countries compared (Environmentálne dane v EÚ: porovnanie krajín) </w:t>
      </w:r>
      <w:hyperlink r:id="rId1">
        <w:r>
          <w:rPr>
            <w:rStyle w:val="Hyperlink"/>
            <w:color w:val="auto"/>
            <w:sz w:val="20"/>
            <w:szCs w:val="20"/>
          </w:rPr>
          <w:t>https://ec.europa.eu/eurostat/web/products-eurostat-news/-/DDN-20190212-1</w:t>
        </w:r>
      </w:hyperlink>
      <w:r>
        <w:rPr>
          <w:sz w:val="20"/>
          <w:szCs w:val="20"/>
        </w:rPr>
        <w:t>.</w:t>
      </w:r>
    </w:p>
  </w:footnote>
  <w:footnote w:id="18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Na niektoré z týchto odvetví, najmä energeticky náročný priemysel a lety v rámci EÚ, sa však vzťahuje systém obchodovania s emisiami, a teda aj signál o cene uhlíka.</w:t>
      </w:r>
    </w:p>
  </w:footnote>
  <w:footnote w:id="19">
    <w:p>
      <w:pPr>
        <w:pStyle w:val="Default"/>
        <w:ind w:left="357" w:hanging="357"/>
        <w:jc w:val="both"/>
        <w:rPr>
          <w:bCs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KOM(2011) 169 v konečnom znení z 13. apríla 2011 – Návrh smernice Rady, ktorou sa mení a dopĺňa smernica 2003/96/ES o reštrukturalizácii právneho rámca Spoločenstva pre zdaňovanie energetických výrobkov a elektriny.</w:t>
      </w:r>
    </w:p>
  </w:footnote>
  <w:footnote w:id="20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hyperlink r:id="rId2">
        <w:r>
          <w:rPr>
            <w:sz w:val="20"/>
            <w:szCs w:val="20"/>
          </w:rPr>
          <w:t>https://eur-lex.europa.eu/legal-content/SK/TXT/PDF/?uri=CELEX:52019DC0001&amp;from=SK</w:t>
        </w:r>
      </w:hyperlink>
      <w:r>
        <w:rPr>
          <w:sz w:val="20"/>
          <w:szCs w:val="20"/>
        </w:rPr>
        <w:t>.</w:t>
      </w:r>
    </w:p>
  </w:footnote>
  <w:footnote w:id="21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hyperlink r:id="rId3">
        <w:r>
          <w:rPr>
            <w:sz w:val="20"/>
            <w:szCs w:val="20"/>
          </w:rPr>
          <w:t>https://eur-lex.europa.eu/legal-content/SK/TXT/PDF/?uri=CELEX:52019DC0001&amp;from=SK</w:t>
        </w:r>
      </w:hyperlink>
      <w:r>
        <w:rPr>
          <w:sz w:val="20"/>
          <w:szCs w:val="20"/>
        </w:rPr>
        <w:t>.</w:t>
      </w:r>
    </w:p>
  </w:footnote>
  <w:footnote w:id="22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Článok 192 ods. 2 Zmluvy o fungovaní Európskej únie.</w:t>
      </w:r>
    </w:p>
  </w:footnote>
  <w:footnote w:id="23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COM(2019) 8 final, 15.1.2019.</w:t>
      </w:r>
    </w:p>
  </w:footnote>
  <w:footnote w:id="24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Vyhlásenie 54 Spolkovej republiky Nemecko, Írska, Maďarskej republiky, Rakúskej republiky a Švédskeho kráľovstva k Zmluve o fungovaní Európskej únie.</w:t>
      </w:r>
    </w:p>
  </w:footnote>
  <w:footnote w:id="25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V článku 106a Zmluvy o Euratome sa uvádzajú ustanovenia Zmluvy o Európskej únii a Zmluvy o fungovaní Európskej únie, ktoré sa týkajú aj Zmluvy o Euratome. Týka sa to článkov 288 až 299 Zmluvy o fungovaní Európskej únie, ktoré sa vzťahujú na právne akty Únie a postupy prijímania aktov a iné ustanovenia.</w:t>
      </w:r>
    </w:p>
  </w:footnote>
  <w:footnote w:id="26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Články 207 a 218 Zmluvy o fungovaní Európskej únie.</w:t>
      </w:r>
    </w:p>
  </w:footnote>
  <w:footnote w:id="27">
    <w:p>
      <w:pPr>
        <w:pStyle w:val="Default"/>
        <w:ind w:left="357" w:hanging="357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COM(2019) 8 final z 15. januára 2019 – Efektívnejšie a demokratickejšie rozhodovanie v oblasti daňovej politiky EÚ.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jc w:val="right"/>
    </w:pPr>
  </w:p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18"/>
    <w:multiLevelType w:val="hybridMultilevel"/>
    <w:tmpl w:val="308A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D24EE"/>
    <w:multiLevelType w:val="hybridMultilevel"/>
    <w:tmpl w:val="1D86175E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0DD26708"/>
    <w:multiLevelType w:val="hybridMultilevel"/>
    <w:tmpl w:val="C2E666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629A0"/>
    <w:multiLevelType w:val="hybridMultilevel"/>
    <w:tmpl w:val="2B28EE54"/>
    <w:lvl w:ilvl="0" w:tplc="27E4D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57E2D"/>
    <w:multiLevelType w:val="hybridMultilevel"/>
    <w:tmpl w:val="ADA2A7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36A52"/>
    <w:multiLevelType w:val="hybridMultilevel"/>
    <w:tmpl w:val="D8AE4C0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6965D8"/>
    <w:multiLevelType w:val="hybridMultilevel"/>
    <w:tmpl w:val="A35C8F6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467D9F"/>
    <w:multiLevelType w:val="multilevel"/>
    <w:tmpl w:val="3782F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8">
    <w:nsid w:val="192F4917"/>
    <w:multiLevelType w:val="hybridMultilevel"/>
    <w:tmpl w:val="82C091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40AC4"/>
    <w:multiLevelType w:val="hybridMultilevel"/>
    <w:tmpl w:val="DFEA9EC0"/>
    <w:lvl w:ilvl="0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6A71E29"/>
    <w:multiLevelType w:val="hybridMultilevel"/>
    <w:tmpl w:val="A534395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CE0B49"/>
    <w:multiLevelType w:val="hybridMultilevel"/>
    <w:tmpl w:val="0E4AA5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C75AF"/>
    <w:multiLevelType w:val="hybridMultilevel"/>
    <w:tmpl w:val="075C91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91F59"/>
    <w:multiLevelType w:val="hybridMultilevel"/>
    <w:tmpl w:val="16621296"/>
    <w:lvl w:ilvl="0" w:tplc="04102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57812"/>
    <w:multiLevelType w:val="hybridMultilevel"/>
    <w:tmpl w:val="41FCC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5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3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0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</w:abstractNum>
  <w:abstractNum w:abstractNumId="15">
    <w:nsid w:val="42200389"/>
    <w:multiLevelType w:val="hybridMultilevel"/>
    <w:tmpl w:val="124095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473B4"/>
    <w:multiLevelType w:val="hybridMultilevel"/>
    <w:tmpl w:val="D82A603C"/>
    <w:lvl w:ilvl="0" w:tplc="D3F85B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E45C7"/>
    <w:multiLevelType w:val="hybridMultilevel"/>
    <w:tmpl w:val="6D665E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764723"/>
    <w:multiLevelType w:val="hybridMultilevel"/>
    <w:tmpl w:val="538A6D8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19">
    <w:nsid w:val="4ED0462E"/>
    <w:multiLevelType w:val="hybridMultilevel"/>
    <w:tmpl w:val="42BCBA5C"/>
    <w:lvl w:ilvl="0" w:tplc="5644E01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2619B"/>
    <w:multiLevelType w:val="multilevel"/>
    <w:tmpl w:val="6E08A42A"/>
    <w:name w:val="ListDashNumbering"/>
    <w:lvl w:ilvl="0">
      <w:start w:val="1"/>
      <w:numFmt w:val="bullet"/>
      <w:pStyle w:val="ListDash"/>
      <w:lvlText w:val="–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>
      <w:start w:val="1"/>
      <w:numFmt w:val="bullet"/>
      <w:pStyle w:val="ListDashLevel2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/>
      </w:rPr>
    </w:lvl>
    <w:lvl w:ilvl="2">
      <w:start w:val="1"/>
      <w:numFmt w:val="bullet"/>
      <w:pStyle w:val="ListDash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DashLevel4"/>
      <w:lvlText w:val="–"/>
      <w:lvlJc w:val="left"/>
      <w:pPr>
        <w:tabs>
          <w:tab w:val="num" w:pos="1814"/>
        </w:tabs>
        <w:ind w:left="1814" w:hanging="453"/>
      </w:pPr>
      <w:rPr>
        <w:rFonts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1">
    <w:nsid w:val="50A815AD"/>
    <w:multiLevelType w:val="hybridMultilevel"/>
    <w:tmpl w:val="782806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738F5"/>
    <w:multiLevelType w:val="hybridMultilevel"/>
    <w:tmpl w:val="A0BAA18C"/>
    <w:lvl w:ilvl="0" w:tplc="5644E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D51B9"/>
    <w:multiLevelType w:val="hybridMultilevel"/>
    <w:tmpl w:val="1EDAE02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4">
    <w:nsid w:val="5A704773"/>
    <w:multiLevelType w:val="hybridMultilevel"/>
    <w:tmpl w:val="8856D20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BFE5FBE"/>
    <w:multiLevelType w:val="hybridMultilevel"/>
    <w:tmpl w:val="9782F2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393D49"/>
    <w:multiLevelType w:val="hybridMultilevel"/>
    <w:tmpl w:val="D5E41A34"/>
    <w:lvl w:ilvl="0" w:tplc="FADEB1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F5C0CF7"/>
    <w:multiLevelType w:val="hybridMultilevel"/>
    <w:tmpl w:val="6F66F8B0"/>
    <w:lvl w:ilvl="0" w:tplc="04102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120A8"/>
    <w:multiLevelType w:val="hybridMultilevel"/>
    <w:tmpl w:val="19B69A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1503E"/>
    <w:multiLevelType w:val="hybridMultilevel"/>
    <w:tmpl w:val="2E189758"/>
    <w:lvl w:ilvl="0" w:tplc="5644E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7A7052"/>
    <w:multiLevelType w:val="hybridMultilevel"/>
    <w:tmpl w:val="8E3AE4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393133"/>
    <w:multiLevelType w:val="hybridMultilevel"/>
    <w:tmpl w:val="3A02E8AE"/>
    <w:lvl w:ilvl="0" w:tplc="D3F85BA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650B3B"/>
    <w:multiLevelType w:val="hybridMultilevel"/>
    <w:tmpl w:val="0F42DC7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2826F9"/>
    <w:multiLevelType w:val="hybridMultilevel"/>
    <w:tmpl w:val="AE7EC05C"/>
    <w:lvl w:ilvl="0" w:tplc="5644E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12931"/>
    <w:multiLevelType w:val="hybridMultilevel"/>
    <w:tmpl w:val="F72A9754"/>
    <w:lvl w:ilvl="0" w:tplc="080C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85FB7"/>
    <w:multiLevelType w:val="hybridMultilevel"/>
    <w:tmpl w:val="99584C42"/>
    <w:lvl w:ilvl="0" w:tplc="5644E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9"/>
  </w:num>
  <w:num w:numId="5">
    <w:abstractNumId w:val="27"/>
  </w:num>
  <w:num w:numId="6">
    <w:abstractNumId w:val="13"/>
  </w:num>
  <w:num w:numId="7">
    <w:abstractNumId w:val="35"/>
  </w:num>
  <w:num w:numId="8">
    <w:abstractNumId w:val="12"/>
  </w:num>
  <w:num w:numId="9">
    <w:abstractNumId w:val="2"/>
  </w:num>
  <w:num w:numId="10">
    <w:abstractNumId w:val="5"/>
  </w:num>
  <w:num w:numId="11">
    <w:abstractNumId w:val="23"/>
  </w:num>
  <w:num w:numId="12">
    <w:abstractNumId w:val="21"/>
  </w:num>
  <w:num w:numId="13">
    <w:abstractNumId w:val="1"/>
  </w:num>
  <w:num w:numId="14">
    <w:abstractNumId w:val="30"/>
  </w:num>
  <w:num w:numId="15">
    <w:abstractNumId w:val="24"/>
  </w:num>
  <w:num w:numId="16">
    <w:abstractNumId w:val="9"/>
  </w:num>
  <w:num w:numId="17">
    <w:abstractNumId w:val="18"/>
  </w:num>
  <w:num w:numId="18">
    <w:abstractNumId w:val="8"/>
  </w:num>
  <w:num w:numId="19">
    <w:abstractNumId w:val="34"/>
  </w:num>
  <w:num w:numId="20">
    <w:abstractNumId w:val="7"/>
  </w:num>
  <w:num w:numId="21">
    <w:abstractNumId w:val="32"/>
  </w:num>
  <w:num w:numId="22">
    <w:abstractNumId w:val="14"/>
  </w:num>
  <w:num w:numId="23">
    <w:abstractNumId w:val="15"/>
  </w:num>
  <w:num w:numId="24">
    <w:abstractNumId w:val="0"/>
  </w:num>
  <w:num w:numId="25">
    <w:abstractNumId w:val="4"/>
  </w:num>
  <w:num w:numId="26">
    <w:abstractNumId w:val="33"/>
  </w:num>
  <w:num w:numId="27">
    <w:abstractNumId w:val="29"/>
  </w:num>
  <w:num w:numId="28">
    <w:abstractNumId w:val="25"/>
  </w:num>
  <w:num w:numId="29">
    <w:abstractNumId w:val="28"/>
  </w:num>
  <w:num w:numId="30">
    <w:abstractNumId w:val="16"/>
  </w:num>
  <w:num w:numId="31">
    <w:abstractNumId w:val="3"/>
  </w:num>
  <w:num w:numId="32">
    <w:abstractNumId w:val="17"/>
  </w:num>
  <w:num w:numId="33">
    <w:abstractNumId w:val="22"/>
  </w:num>
  <w:num w:numId="34">
    <w:abstractNumId w:val="31"/>
  </w:num>
  <w:num w:numId="35">
    <w:abstractNumId w:val="26"/>
  </w:num>
  <w:num w:numId="36">
    <w:abstractNumId w:val="2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removePersonalInformation/>
  <w:removeDateAndTime/>
  <w:hideSpellingErrors/>
  <w:hideGrammaticalErrors/>
  <w:revisionView w:markup="0"/>
  <w:doNotTrackFormatting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531FDE56-338A-4D46-BC55-709326B5645F"/>
    <w:docVar w:name="LW_COVERPAGE_TYPE" w:val="1"/>
    <w:docVar w:name="LW_CROSSREFERENCE" w:val="&lt;UNUSED&gt;"/>
    <w:docVar w:name="LW_DocType" w:val="NORMAL"/>
    <w:docVar w:name="LW_EMISSION" w:val="9. 4. 2019"/>
    <w:docVar w:name="LW_EMISSION_ISODATE" w:val="2019-04-09"/>
    <w:docVar w:name="LW_EMISSION_LOCATION" w:val="BRX"/>
    <w:docVar w:name="LW_EMISSION_PREFIX" w:val="V Bruseli"/>
    <w:docVar w:name="LW_EMISSION_SUFFIX" w:val=" "/>
    <w:docVar w:name="LW_ID_DOCTYPE_NONLW" w:val="CP-009"/>
    <w:docVar w:name="LW_LANGUE" w:val="SK"/>
    <w:docVar w:name="LW_LEVEL_OF_SENSITIVITY" w:val="Standard treatment"/>
    <w:docVar w:name="LW_NOM.INST" w:val="EURÓPSKA KOMISI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9) 17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Efektívnej\u353?ie a demokratickej\u353?ie rozhodovanie v rámci politiky EÚ v oblasti energetiky a klímy "/>
    <w:docVar w:name="LW_TYPE.DOC.CP" w:val="OZNÁMENIE KOMISIE"/>
    <w:docVar w:name="LW_TYPE.DOC.CP.USERTEXT" w:val="EURÓPSKEMU PARLAMENTU, EURÓPSKEJ RADE A RAD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Carattere,fn,Footnotes,Footnote ak,Footnote Text Char1,Footnote Text Char Char,fn Char Char,footnote text Char Char,Footnotes Char Char,Footnote ak Char Char,fn Char1,footnote text Char1,Footnotes Char1,FuÛnote,Plonk"/>
    <w:basedOn w:val="Normal"/>
    <w:link w:val="FootnoteTextChar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 Char,Carattere Char,fn Char,Footnotes Char,Footnote ak Char,Footnote Text Char1 Char,Footnote Text Char Char Char,fn Char Char Char,footnote text Char Char Char,Footnotes Char Char Char,Footnote ak Char Char Char,fn Char1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aliases w:val="SUPERS,Footnote symbol,Times 10 Point,Exposant 3 Point, Exposant 3 Point,Footnote,BVI fnr, BVI fnr,Footnote Reference Superscript,note TESI,Ref,de nota al pie,fr,Footnote number,o,Source Reference,number,Footnote reference number,FR"/>
    <w:basedOn w:val="DefaultParagraphFont"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ommentText">
    <w:name w:val="annotation text"/>
    <w:basedOn w:val="Normal"/>
    <w:link w:val="CommentTextChar"/>
    <w:semiHidden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normal1">
    <w:name w:val="normal1"/>
    <w:basedOn w:val="Normal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ListDash">
    <w:name w:val="List Dash"/>
    <w:basedOn w:val="Normal"/>
    <w:pPr>
      <w:numPr>
        <w:numId w:val="36"/>
      </w:numPr>
      <w:spacing w:after="120" w:line="264" w:lineRule="auto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DashLevel2">
    <w:name w:val="List Dash (Level 2)"/>
    <w:basedOn w:val="Normal"/>
    <w:pPr>
      <w:numPr>
        <w:ilvl w:val="1"/>
        <w:numId w:val="36"/>
      </w:numPr>
      <w:spacing w:after="120" w:line="264" w:lineRule="auto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DashLevel3">
    <w:name w:val="List Dash (Level 3)"/>
    <w:basedOn w:val="Normal"/>
    <w:pPr>
      <w:numPr>
        <w:ilvl w:val="2"/>
        <w:numId w:val="36"/>
      </w:numPr>
      <w:spacing w:after="120" w:line="264" w:lineRule="auto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DashLevel4">
    <w:name w:val="List Dash (Level 4)"/>
    <w:basedOn w:val="Normal"/>
    <w:pPr>
      <w:numPr>
        <w:ilvl w:val="3"/>
        <w:numId w:val="36"/>
      </w:numPr>
      <w:spacing w:after="120" w:line="264" w:lineRule="auto"/>
      <w:contextualSpacing/>
      <w:jc w:val="both"/>
    </w:pPr>
    <w:rPr>
      <w:rFonts w:ascii="Times New Roman" w:eastAsia="Times New Roman" w:hAnsi="Times New Roman" w:cs="Times New Roman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hidden">
    <w:name w:val="hidden"/>
    <w:basedOn w:val="Normal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Carattere,fn,Footnotes,Footnote ak,Footnote Text Char1,Footnote Text Char Char,fn Char Char,footnote text Char Char,Footnotes Char Char,Footnote ak Char Char,fn Char1,footnote text Char1,Footnotes Char1,FuÛnote,Plonk"/>
    <w:basedOn w:val="Normal"/>
    <w:link w:val="FootnoteTextChar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 Char,Carattere Char,fn Char,Footnotes Char,Footnote ak Char,Footnote Text Char1 Char,Footnote Text Char Char Char,fn Char Char Char,footnote text Char Char Char,Footnotes Char Char Char,Footnote ak Char Char Char,fn Char1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aliases w:val="SUPERS,Footnote symbol,Times 10 Point,Exposant 3 Point, Exposant 3 Point,Footnote,BVI fnr, BVI fnr,Footnote Reference Superscript,note TESI,Ref,de nota al pie,fr,Footnote number,o,Source Reference,number,Footnote reference number,FR"/>
    <w:basedOn w:val="DefaultParagraphFont"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ommentText">
    <w:name w:val="annotation text"/>
    <w:basedOn w:val="Normal"/>
    <w:link w:val="CommentTextChar"/>
    <w:semiHidden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normal1">
    <w:name w:val="normal1"/>
    <w:basedOn w:val="Normal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ListDash">
    <w:name w:val="List Dash"/>
    <w:basedOn w:val="Normal"/>
    <w:pPr>
      <w:numPr>
        <w:numId w:val="36"/>
      </w:numPr>
      <w:spacing w:after="120" w:line="264" w:lineRule="auto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DashLevel2">
    <w:name w:val="List Dash (Level 2)"/>
    <w:basedOn w:val="Normal"/>
    <w:pPr>
      <w:numPr>
        <w:ilvl w:val="1"/>
        <w:numId w:val="36"/>
      </w:numPr>
      <w:spacing w:after="120" w:line="264" w:lineRule="auto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DashLevel3">
    <w:name w:val="List Dash (Level 3)"/>
    <w:basedOn w:val="Normal"/>
    <w:pPr>
      <w:numPr>
        <w:ilvl w:val="2"/>
        <w:numId w:val="36"/>
      </w:numPr>
      <w:spacing w:after="120" w:line="264" w:lineRule="auto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DashLevel4">
    <w:name w:val="List Dash (Level 4)"/>
    <w:basedOn w:val="Normal"/>
    <w:pPr>
      <w:numPr>
        <w:ilvl w:val="3"/>
        <w:numId w:val="36"/>
      </w:numPr>
      <w:spacing w:after="120" w:line="264" w:lineRule="auto"/>
      <w:contextualSpacing/>
      <w:jc w:val="both"/>
    </w:pPr>
    <w:rPr>
      <w:rFonts w:ascii="Times New Roman" w:eastAsia="Times New Roman" w:hAnsi="Times New Roman" w:cs="Times New Roman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hidden">
    <w:name w:val="hidden"/>
    <w:basedOn w:val="Normal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52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4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6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882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2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5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98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5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45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57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24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5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11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963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0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61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2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63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1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73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309654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8" w:color="112449"/>
                                                                    <w:left w:val="single" w:sz="6" w:space="8" w:color="112449"/>
                                                                    <w:bottom w:val="single" w:sz="6" w:space="8" w:color="112449"/>
                                                                    <w:right w:val="single" w:sz="6" w:space="8" w:color="11244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2965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89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7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73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9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21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13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670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5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82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97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67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1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3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35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063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710558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8" w:color="112449"/>
                                                                    <w:left w:val="single" w:sz="6" w:space="8" w:color="112449"/>
                                                                    <w:bottom w:val="single" w:sz="6" w:space="8" w:color="112449"/>
                                                                    <w:right w:val="single" w:sz="6" w:space="8" w:color="11244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209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54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5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SK/TXT/PDF/?uri=CELEX:52019DC0001&amp;from=SK" TargetMode="External"/><Relationship Id="rId2" Type="http://schemas.openxmlformats.org/officeDocument/2006/relationships/hyperlink" Target="https://eur-lex.europa.eu/legal-content/SK/TXT/PDF/?uri=CELEX:52019DC0001&amp;from=SK" TargetMode="External"/><Relationship Id="rId1" Type="http://schemas.openxmlformats.org/officeDocument/2006/relationships/hyperlink" Target="https://ec.europa.eu/eurostat/web/products-eurostat-news/-/DDN-20190212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AAD677F682642A40D69F96C68E321" ma:contentTypeVersion="0" ma:contentTypeDescription="Create a new document." ma:contentTypeScope="" ma:versionID="3836c0d0e85965ce037edf83336668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bc403197e76e8751c1bf3d3690cc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D4D3-A72E-4E3A-A071-33B03C723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87DCB2-A56D-4F0A-9FCC-02E60F14B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07831-F340-4562-8300-E856B672A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7794F1-2EF6-4C84-9A68-E20DD4D7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3941</Words>
  <Characters>24599</Characters>
  <Application>Microsoft Office Word</Application>
  <DocSecurity>0</DocSecurity>
  <Lines>372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2019-04-05T10:34:00Z</dcterms:created>
  <dcterms:modified xsi:type="dcterms:W3CDTF">2019-04-09T09:22:00Z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reated using">
    <vt:lpwstr>LW 6.0.1, Build 20180503</vt:lpwstr>
  </property>
  <property fmtid="{D5CDD505-2E9C-101B-9397-08002B2CF9AE}" pid="7" name="Last edited using">
    <vt:lpwstr>LW 6.0.1, Build 20180503</vt:lpwstr>
  </property>
  <property fmtid="{D5CDD505-2E9C-101B-9397-08002B2CF9AE}" pid="8" name="ContentTypeId">
    <vt:lpwstr>0x010100CF1AAD677F682642A40D69F96C68E321</vt:lpwstr>
  </property>
  <property fmtid="{D5CDD505-2E9C-101B-9397-08002B2CF9AE}" pid="9" name="IsMyDocuments">
    <vt:bool>true</vt:bool>
  </property>
</Properties>
</file>