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01" w:rsidRDefault="002C128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DFE0C4C-0699-436A-BD13-A4E0075DE7A7" style="width:450.6pt;height:307.2pt">
            <v:imagedata r:id="rId11" o:title=""/>
          </v:shape>
        </w:pict>
      </w:r>
    </w:p>
    <w:bookmarkEnd w:id="0"/>
    <w:p w:rsidR="00BA3501" w:rsidRDefault="00BA3501">
      <w:pPr>
        <w:rPr>
          <w:noProof/>
        </w:rPr>
        <w:sectPr w:rsidR="00BA350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BA3501" w:rsidRDefault="00BA3501">
      <w:pPr>
        <w:rPr>
          <w:noProof/>
        </w:rPr>
      </w:pPr>
      <w:bookmarkStart w:id="1" w:name="_GoBack"/>
      <w:bookmarkEnd w:id="1"/>
    </w:p>
    <w:p w:rsidR="00BA3501" w:rsidRDefault="002C1285">
      <w:pPr>
        <w:pStyle w:val="Heading1"/>
        <w:rPr>
          <w:noProof/>
        </w:rPr>
      </w:pPr>
      <w:bookmarkStart w:id="2" w:name="_Toc1149217"/>
      <w:r>
        <w:rPr>
          <w:noProof/>
        </w:rPr>
        <w:t>1. SISSEJUHATUS</w:t>
      </w:r>
      <w:bookmarkEnd w:id="2"/>
    </w:p>
    <w:p w:rsidR="00BA3501" w:rsidRDefault="002C1285">
      <w:pPr>
        <w:jc w:val="both"/>
        <w:rPr>
          <w:rFonts w:ascii="Times New Roman" w:hAnsi="Times New Roman" w:cs="Times New Roman"/>
          <w:noProof/>
          <w:sz w:val="24"/>
          <w:szCs w:val="24"/>
        </w:rPr>
      </w:pPr>
      <w:r>
        <w:rPr>
          <w:rFonts w:ascii="Times New Roman" w:hAnsi="Times New Roman"/>
          <w:noProof/>
          <w:sz w:val="24"/>
        </w:rPr>
        <w:t>Direktiiviga (EL) 2018/2001</w:t>
      </w:r>
      <w:r>
        <w:rPr>
          <w:noProof/>
        </w:rPr>
        <w:t xml:space="preserve"> </w:t>
      </w:r>
      <w:r>
        <w:rPr>
          <w:rFonts w:ascii="Times New Roman" w:hAnsi="Times New Roman"/>
          <w:noProof/>
          <w:sz w:val="24"/>
        </w:rPr>
        <w:t xml:space="preserve">taastuvatest energiaallikatest toodetud energia kasutamise </w:t>
      </w:r>
      <w:r>
        <w:rPr>
          <w:rFonts w:ascii="Times New Roman" w:hAnsi="Times New Roman"/>
          <w:noProof/>
          <w:sz w:val="24"/>
        </w:rPr>
        <w:t>edendamise kohta (II taastuvenergia direktiiv), mis jõustus 24. detsembril 2018, on kehtestatud tulevikuks hästi ette valmistatud raamistik, et oleks võimalik saavutada 2030. aastaks liidule võetud siduv eesmärk suurendada taastuvenergia osa summaarses ene</w:t>
      </w:r>
      <w:r>
        <w:rPr>
          <w:rFonts w:ascii="Times New Roman" w:hAnsi="Times New Roman"/>
          <w:noProof/>
          <w:sz w:val="24"/>
        </w:rPr>
        <w:t>rgia lõpptarbimises vähemalt 32%-ni. Raamistik tugineb edusammudele kehtiva direktiivi rakendamisel, sh seoses liikmesriikide kohustusega lähtuda oma järgmise kümnendi arengukõverat kavandades 2020. aasta sihttasemetest. Seda täiendavad veelgi paketi „Puha</w:t>
      </w:r>
      <w:r>
        <w:rPr>
          <w:rFonts w:ascii="Times New Roman" w:hAnsi="Times New Roman"/>
          <w:noProof/>
          <w:sz w:val="24"/>
        </w:rPr>
        <w:t>s energia kõikidele eurooplastele“</w:t>
      </w:r>
      <w:r>
        <w:rPr>
          <w:rStyle w:val="FootnoteReference"/>
          <w:rFonts w:ascii="Times New Roman" w:hAnsi="Times New Roman"/>
          <w:noProof/>
          <w:sz w:val="24"/>
        </w:rPr>
        <w:footnoteReference w:id="2"/>
      </w:r>
      <w:r>
        <w:rPr>
          <w:rFonts w:ascii="Times New Roman" w:hAnsi="Times New Roman"/>
          <w:noProof/>
          <w:sz w:val="24"/>
        </w:rPr>
        <w:t xml:space="preserve"> teised osad.</w:t>
      </w:r>
    </w:p>
    <w:p w:rsidR="00BA3501" w:rsidRDefault="002C1285">
      <w:pPr>
        <w:jc w:val="both"/>
        <w:rPr>
          <w:rFonts w:ascii="Times New Roman" w:hAnsi="Times New Roman" w:cs="Times New Roman"/>
          <w:noProof/>
          <w:sz w:val="24"/>
          <w:szCs w:val="24"/>
        </w:rPr>
      </w:pPr>
      <w:r>
        <w:rPr>
          <w:rFonts w:ascii="Times New Roman" w:hAnsi="Times New Roman"/>
          <w:noProof/>
          <w:sz w:val="24"/>
        </w:rPr>
        <w:t>Taastuvenergia on energialiidu prioriteetide keskmes. Direktiiv 2009/28/EÜ taastuvatest energiaallikatest toodetud energia kasutamise edendamise kohta</w:t>
      </w:r>
      <w:r>
        <w:rPr>
          <w:rStyle w:val="FootnoteReference"/>
          <w:rFonts w:ascii="Times New Roman" w:hAnsi="Times New Roman"/>
          <w:noProof/>
          <w:sz w:val="24"/>
        </w:rPr>
        <w:footnoteReference w:id="3"/>
      </w:r>
      <w:r>
        <w:rPr>
          <w:rFonts w:ascii="Times New Roman" w:hAnsi="Times New Roman"/>
          <w:noProof/>
          <w:sz w:val="24"/>
        </w:rPr>
        <w:t xml:space="preserve"> (I taastuvenergia direktiiv) on energialiidu poliitika </w:t>
      </w:r>
      <w:r>
        <w:rPr>
          <w:rFonts w:ascii="Times New Roman" w:hAnsi="Times New Roman"/>
          <w:noProof/>
          <w:sz w:val="24"/>
        </w:rPr>
        <w:t xml:space="preserve">keskne element ja taastuvenergia kasutamise 2020. aasta sihtarvude täitmise peamine hoob.  </w:t>
      </w:r>
    </w:p>
    <w:p w:rsidR="00BA3501" w:rsidRDefault="002C1285">
      <w:pPr>
        <w:jc w:val="both"/>
        <w:rPr>
          <w:rFonts w:ascii="Calibri" w:hAnsi="Calibri" w:cs="Calibri"/>
          <w:noProof/>
          <w:color w:val="333333"/>
          <w:sz w:val="26"/>
          <w:szCs w:val="26"/>
        </w:rPr>
      </w:pPr>
      <w:r>
        <w:rPr>
          <w:rFonts w:ascii="Times New Roman" w:hAnsi="Times New Roman"/>
          <w:noProof/>
          <w:sz w:val="24"/>
        </w:rPr>
        <w:t>Euroopa Liidu poliitilist prioriteeti tõusta taastuvate energiaallikate kasutamise ülemaailmseks eestvedajaks toetab taastuvate energiaallikate figureerimine energi</w:t>
      </w:r>
      <w:r>
        <w:rPr>
          <w:rFonts w:ascii="Times New Roman" w:hAnsi="Times New Roman"/>
          <w:noProof/>
          <w:sz w:val="24"/>
        </w:rPr>
        <w:t xml:space="preserve">aliidu kõigis viies valdkonnas. </w:t>
      </w:r>
      <w:r>
        <w:rPr>
          <w:rFonts w:ascii="Times New Roman" w:hAnsi="Times New Roman"/>
          <w:i/>
          <w:noProof/>
          <w:sz w:val="24"/>
        </w:rPr>
        <w:t>Energia varustuskindluse</w:t>
      </w:r>
      <w:r>
        <w:rPr>
          <w:rFonts w:ascii="Times New Roman" w:hAnsi="Times New Roman"/>
          <w:noProof/>
          <w:sz w:val="24"/>
        </w:rPr>
        <w:t xml:space="preserve"> seisukohast vähendavad taastuvad energiaallikad sõltuvust imporditavatest fossiilkütustest. Hinnanguliselt on taastuvenergia kasutamise kasv võrreldes 2005. aasta tarbimistasemega võimaldanud EL-il 2</w:t>
      </w:r>
      <w:r>
        <w:rPr>
          <w:rFonts w:ascii="Times New Roman" w:hAnsi="Times New Roman"/>
          <w:noProof/>
          <w:sz w:val="24"/>
        </w:rPr>
        <w:t>016. aastal vähendada fossiilkütuste tarbimist 143 miljonit naftaekvivalenttonni</w:t>
      </w:r>
      <w:r>
        <w:rPr>
          <w:rStyle w:val="FootnoteReference"/>
          <w:rFonts w:ascii="Times New Roman" w:hAnsi="Times New Roman"/>
          <w:noProof/>
          <w:sz w:val="24"/>
        </w:rPr>
        <w:footnoteReference w:id="4"/>
      </w:r>
      <w:r>
        <w:rPr>
          <w:rFonts w:ascii="Times New Roman" w:hAnsi="Times New Roman"/>
          <w:noProof/>
          <w:sz w:val="24"/>
        </w:rPr>
        <w:t xml:space="preserve"> (ligikaudu 12% kogu fossiilkütustest pärineva primaarenergia tarbimisest). Samuti peaks 2050. aastaks vähenema Euroopa sõltuvus energia impordist, eelkõige nafta- ja gaasiimp</w:t>
      </w:r>
      <w:r>
        <w:rPr>
          <w:rFonts w:ascii="Times New Roman" w:hAnsi="Times New Roman"/>
          <w:noProof/>
          <w:sz w:val="24"/>
        </w:rPr>
        <w:t>ordist, praeguselt 55%-lt 20%-le tänu suure osa primaarenergia tootmisele taastuvatest energiaallikatest</w:t>
      </w:r>
      <w:r>
        <w:rPr>
          <w:rStyle w:val="FootnoteReference"/>
          <w:rFonts w:ascii="Times New Roman" w:hAnsi="Times New Roman"/>
          <w:noProof/>
          <w:sz w:val="24"/>
        </w:rPr>
        <w:footnoteReference w:id="5"/>
      </w:r>
      <w:r>
        <w:rPr>
          <w:rFonts w:ascii="Times New Roman" w:hAnsi="Times New Roman"/>
          <w:noProof/>
          <w:sz w:val="24"/>
        </w:rPr>
        <w:t xml:space="preserve">. </w:t>
      </w:r>
      <w:r>
        <w:rPr>
          <w:rFonts w:ascii="Times New Roman" w:hAnsi="Times New Roman"/>
          <w:i/>
          <w:noProof/>
          <w:sz w:val="24"/>
        </w:rPr>
        <w:t>Energia siseturul</w:t>
      </w:r>
      <w:r>
        <w:rPr>
          <w:rFonts w:ascii="Times New Roman" w:hAnsi="Times New Roman"/>
          <w:noProof/>
          <w:sz w:val="24"/>
        </w:rPr>
        <w:t xml:space="preserve"> kasvab taastuvate energiaallikate osa eelkõige elektrienergia turul, kus 2017. aastal andsid taastuvad energiaallikad ligi kolmandi</w:t>
      </w:r>
      <w:r>
        <w:rPr>
          <w:rFonts w:ascii="Times New Roman" w:hAnsi="Times New Roman"/>
          <w:noProof/>
          <w:sz w:val="24"/>
        </w:rPr>
        <w:t>ku (30,8%) EL 28 elektrienergia kogutoodangust</w:t>
      </w:r>
      <w:r>
        <w:rPr>
          <w:rStyle w:val="FootnoteReference"/>
          <w:rFonts w:ascii="Times New Roman" w:hAnsi="Times New Roman"/>
          <w:noProof/>
          <w:sz w:val="24"/>
        </w:rPr>
        <w:footnoteReference w:id="6"/>
      </w:r>
      <w:r>
        <w:rPr>
          <w:rFonts w:ascii="Times New Roman" w:hAnsi="Times New Roman"/>
          <w:noProof/>
          <w:sz w:val="24"/>
        </w:rPr>
        <w:t xml:space="preserve">. </w:t>
      </w:r>
    </w:p>
    <w:p w:rsidR="00BA3501" w:rsidRDefault="002C1285">
      <w:pPr>
        <w:jc w:val="both"/>
        <w:rPr>
          <w:rFonts w:ascii="Times New Roman" w:hAnsi="Times New Roman" w:cs="Times New Roman"/>
          <w:noProof/>
          <w:sz w:val="24"/>
          <w:szCs w:val="24"/>
        </w:rPr>
      </w:pPr>
      <w:r>
        <w:rPr>
          <w:rFonts w:ascii="Times New Roman" w:hAnsi="Times New Roman"/>
          <w:noProof/>
          <w:sz w:val="24"/>
        </w:rPr>
        <w:t>Taastuvatest energiaallikatest toodetud gaasi osa suureneb samuti. Heaks näiteks on Taani, kus oli biogaasi osa kogu gaasitarbimisest 2018. aasta juulis 18,6%, mis on 50% rohkem kui aasta varem</w:t>
      </w:r>
      <w:r>
        <w:rPr>
          <w:rStyle w:val="FootnoteReference"/>
          <w:rFonts w:ascii="Times New Roman" w:hAnsi="Times New Roman"/>
          <w:noProof/>
          <w:sz w:val="24"/>
        </w:rPr>
        <w:footnoteReference w:id="7"/>
      </w:r>
      <w:r>
        <w:rPr>
          <w:rFonts w:ascii="Times New Roman" w:hAnsi="Times New Roman"/>
          <w:noProof/>
          <w:sz w:val="24"/>
        </w:rPr>
        <w:t xml:space="preserve">. </w:t>
      </w:r>
      <w:r>
        <w:rPr>
          <w:rFonts w:ascii="Times New Roman" w:hAnsi="Times New Roman"/>
          <w:i/>
          <w:noProof/>
          <w:sz w:val="24"/>
        </w:rPr>
        <w:t>Energiatõhususest</w:t>
      </w:r>
      <w:r>
        <w:rPr>
          <w:rFonts w:ascii="Times New Roman" w:hAnsi="Times New Roman"/>
          <w:noProof/>
          <w:sz w:val="24"/>
        </w:rPr>
        <w:t xml:space="preserve"> rääkides on energiatarbimise vähenemine tihedalt seotud taastuvate energiaallikate osatähtsuse kasvu ja väikesemahuliste taastuvate energiaallikate suurema kasutuselevõtuga hoonetes, suurendades kulutõhusalt hoonete energiatõhusust. Lisak</w:t>
      </w:r>
      <w:r>
        <w:rPr>
          <w:rFonts w:ascii="Times New Roman" w:hAnsi="Times New Roman"/>
          <w:noProof/>
          <w:sz w:val="24"/>
        </w:rPr>
        <w:t>s on taastuvenergia väga oluline CO</w:t>
      </w:r>
      <w:r>
        <w:rPr>
          <w:rFonts w:ascii="Times New Roman" w:hAnsi="Times New Roman"/>
          <w:noProof/>
          <w:sz w:val="24"/>
          <w:vertAlign w:val="subscript"/>
        </w:rPr>
        <w:t xml:space="preserve">2 </w:t>
      </w:r>
      <w:r>
        <w:rPr>
          <w:rFonts w:ascii="Times New Roman" w:hAnsi="Times New Roman"/>
          <w:noProof/>
          <w:sz w:val="24"/>
        </w:rPr>
        <w:t>heite vähendamisel: 2016. aastal aitas taastuvate energiaallikate kasutamine vältida kokku 460 miljoni tonni CO</w:t>
      </w:r>
      <w:r>
        <w:rPr>
          <w:rFonts w:ascii="Times New Roman" w:hAnsi="Times New Roman"/>
          <w:noProof/>
          <w:sz w:val="24"/>
          <w:vertAlign w:val="subscript"/>
        </w:rPr>
        <w:t>2</w:t>
      </w:r>
      <w:r>
        <w:rPr>
          <w:rFonts w:ascii="Times New Roman" w:hAnsi="Times New Roman"/>
          <w:noProof/>
          <w:sz w:val="24"/>
        </w:rPr>
        <w:t xml:space="preserve"> õhkupaiskamist (rohkem kui </w:t>
      </w:r>
      <w:r>
        <w:rPr>
          <w:rFonts w:ascii="Times New Roman" w:hAnsi="Times New Roman"/>
          <w:noProof/>
          <w:sz w:val="24"/>
        </w:rPr>
        <w:lastRenderedPageBreak/>
        <w:t>kogu Itaalia 2016. aasta kasvuhoonegaaside heide)</w:t>
      </w:r>
      <w:r>
        <w:rPr>
          <w:rStyle w:val="FootnoteReference"/>
          <w:rFonts w:ascii="Times New Roman" w:hAnsi="Times New Roman"/>
          <w:noProof/>
          <w:sz w:val="24"/>
        </w:rPr>
        <w:footnoteReference w:id="8"/>
      </w:r>
      <w:r>
        <w:rPr>
          <w:rFonts w:ascii="Times New Roman" w:hAnsi="Times New Roman"/>
          <w:noProof/>
          <w:sz w:val="24"/>
        </w:rPr>
        <w:t xml:space="preserve"> ning 2017. aastal ulatub see</w:t>
      </w:r>
      <w:r>
        <w:rPr>
          <w:rFonts w:ascii="Times New Roman" w:hAnsi="Times New Roman"/>
          <w:noProof/>
          <w:sz w:val="24"/>
        </w:rPr>
        <w:t xml:space="preserve"> arv hinnangute kohaselt 499 miljoni tonnini</w:t>
      </w:r>
      <w:r>
        <w:rPr>
          <w:rStyle w:val="FootnoteReference"/>
          <w:rFonts w:ascii="Times New Roman" w:hAnsi="Times New Roman"/>
          <w:noProof/>
          <w:sz w:val="24"/>
        </w:rPr>
        <w:footnoteReference w:id="9"/>
      </w:r>
      <w:r>
        <w:rPr>
          <w:rFonts w:ascii="Times New Roman" w:hAnsi="Times New Roman"/>
          <w:noProof/>
          <w:sz w:val="24"/>
        </w:rPr>
        <w:t xml:space="preserve">. Peale selle on taastuvad energiaallikad oluline </w:t>
      </w:r>
      <w:r>
        <w:rPr>
          <w:rFonts w:ascii="Times New Roman" w:hAnsi="Times New Roman"/>
          <w:i/>
          <w:noProof/>
          <w:sz w:val="24"/>
        </w:rPr>
        <w:t>innovatsiooni</w:t>
      </w:r>
      <w:r>
        <w:rPr>
          <w:rFonts w:ascii="Times New Roman" w:hAnsi="Times New Roman"/>
          <w:noProof/>
          <w:sz w:val="24"/>
        </w:rPr>
        <w:t xml:space="preserve"> tõukejõud. Taastuvenergia valdkonnas patenteeritakse väljaspool Euroopat 53% ELi ettevõtjate leiutistest</w:t>
      </w:r>
      <w:r>
        <w:rPr>
          <w:rStyle w:val="FootnoteReference"/>
          <w:rFonts w:ascii="Times New Roman" w:hAnsi="Times New Roman"/>
          <w:noProof/>
          <w:sz w:val="24"/>
        </w:rPr>
        <w:footnoteReference w:id="10"/>
      </w:r>
      <w:r>
        <w:rPr>
          <w:rFonts w:ascii="Times New Roman" w:hAnsi="Times New Roman"/>
          <w:noProof/>
          <w:sz w:val="24"/>
        </w:rPr>
        <w:t>. See näitab innovatsiooni suurt väärtust,</w:t>
      </w:r>
      <w:r>
        <w:rPr>
          <w:rFonts w:ascii="Times New Roman" w:hAnsi="Times New Roman"/>
          <w:noProof/>
          <w:sz w:val="24"/>
        </w:rPr>
        <w:t xml:space="preserve"> sest kaitset taotletakse eeldusel, et sellel on potentsiaali jõuda välisturgudele ja seal edu saavutada. See teeb EList ülemaailmse innovatsiooni liidri, sest ELi osa on suurem kui ühelgi teisel arenenud majandusega piirkonnal</w:t>
      </w:r>
      <w:r>
        <w:rPr>
          <w:rStyle w:val="FootnoteReference"/>
          <w:rFonts w:ascii="Times New Roman" w:hAnsi="Times New Roman"/>
          <w:noProof/>
          <w:sz w:val="24"/>
        </w:rPr>
        <w:footnoteReference w:id="11"/>
      </w:r>
      <w:r>
        <w:rPr>
          <w:rFonts w:ascii="Times New Roman" w:hAnsi="Times New Roman"/>
          <w:noProof/>
          <w:sz w:val="24"/>
        </w:rPr>
        <w:t>. Nagu on märkinud Rahvusvah</w:t>
      </w:r>
      <w:r>
        <w:rPr>
          <w:rFonts w:ascii="Times New Roman" w:hAnsi="Times New Roman"/>
          <w:noProof/>
          <w:sz w:val="24"/>
        </w:rPr>
        <w:t>eline Taastuvenergia Agentuur (IRENA), on energeetikasektori innovatsiooni alal esirinnas olevast Euroopast saanud taastuvatel energiaallikatel põhineva tulevikuenergeetika edukate lahenduste teenäitaja</w:t>
      </w:r>
      <w:r>
        <w:rPr>
          <w:rStyle w:val="FootnoteReference"/>
          <w:rFonts w:ascii="Times New Roman" w:hAnsi="Times New Roman"/>
          <w:noProof/>
          <w:color w:val="333333"/>
          <w:sz w:val="24"/>
        </w:rPr>
        <w:footnoteReference w:id="12"/>
      </w:r>
      <w:r>
        <w:rPr>
          <w:rFonts w:ascii="Times New Roman" w:hAnsi="Times New Roman"/>
          <w:noProof/>
          <w:color w:val="333333"/>
          <w:sz w:val="24"/>
        </w:rPr>
        <w:t>.</w:t>
      </w:r>
    </w:p>
    <w:p w:rsidR="00BA3501" w:rsidRDefault="002C1285">
      <w:pPr>
        <w:jc w:val="both"/>
        <w:rPr>
          <w:rFonts w:ascii="Times New Roman" w:hAnsi="Times New Roman" w:cs="Times New Roman"/>
          <w:noProof/>
          <w:sz w:val="24"/>
          <w:szCs w:val="24"/>
        </w:rPr>
      </w:pPr>
      <w:r>
        <w:rPr>
          <w:rFonts w:ascii="Times New Roman" w:hAnsi="Times New Roman"/>
          <w:noProof/>
          <w:sz w:val="24"/>
        </w:rPr>
        <w:t>Euroopa täidab juhirolli ka eri taastuvenergia tehn</w:t>
      </w:r>
      <w:r>
        <w:rPr>
          <w:rFonts w:ascii="Times New Roman" w:hAnsi="Times New Roman"/>
          <w:noProof/>
          <w:sz w:val="24"/>
        </w:rPr>
        <w:t>oloogiate tarneahelate poolel. Mõnes tehnoloogiavaldkonnas, nagu tuulegeneraatorid, tootsid ELi ettevõtjad 2016. aastal vähemalt 41% kogu maailma uuest installeeritud võimsusest</w:t>
      </w:r>
      <w:r>
        <w:rPr>
          <w:rStyle w:val="FootnoteReference"/>
          <w:rFonts w:ascii="Times New Roman" w:hAnsi="Times New Roman"/>
          <w:noProof/>
          <w:sz w:val="24"/>
        </w:rPr>
        <w:footnoteReference w:id="13"/>
      </w:r>
      <w:r>
        <w:rPr>
          <w:rFonts w:ascii="Times New Roman" w:hAnsi="Times New Roman"/>
          <w:noProof/>
          <w:sz w:val="24"/>
        </w:rPr>
        <w:t>. Fotogalvaanika valdkonnas juhivad ELi päikeseenergiaseadmete tootjad ülemaai</w:t>
      </w:r>
      <w:r>
        <w:rPr>
          <w:rFonts w:ascii="Times New Roman" w:hAnsi="Times New Roman"/>
          <w:noProof/>
          <w:sz w:val="24"/>
        </w:rPr>
        <w:t>lmset turgu 50% turuosaga, ELi tuulikuinverterite tootjate ülemaailmne turuosa on üle 18%</w:t>
      </w:r>
      <w:r>
        <w:rPr>
          <w:rStyle w:val="FootnoteReference"/>
          <w:rFonts w:ascii="Times New Roman" w:hAnsi="Times New Roman"/>
          <w:noProof/>
          <w:sz w:val="24"/>
        </w:rPr>
        <w:footnoteReference w:id="14"/>
      </w:r>
      <w:r>
        <w:rPr>
          <w:rFonts w:ascii="Times New Roman" w:hAnsi="Times New Roman"/>
          <w:noProof/>
          <w:sz w:val="24"/>
        </w:rPr>
        <w:t>. Selleks et säilitada ja tugevdada oma ülemaailmset juhtpositsiooni arenevate taastuva mereenergia rakendamise tehnoloogiate valdkonnas, on komisjon võtnud kohustuse</w:t>
      </w:r>
      <w:r>
        <w:rPr>
          <w:rFonts w:ascii="Times New Roman" w:hAnsi="Times New Roman"/>
          <w:noProof/>
          <w:sz w:val="24"/>
        </w:rPr>
        <w:t xml:space="preserve"> koos liikmesriikidega ühendada jõupingutused kõnealuste tehnoloogiate kasutuselevõtu suurendamiseks ja energiatehnoloogia strateegilises kavas esitatud kulude vähendamise eesmärkide saavutamiseks</w:t>
      </w:r>
      <w:r>
        <w:rPr>
          <w:rStyle w:val="FootnoteReference"/>
          <w:rFonts w:ascii="Times New Roman" w:hAnsi="Times New Roman"/>
          <w:noProof/>
          <w:sz w:val="24"/>
        </w:rPr>
        <w:footnoteReference w:id="15"/>
      </w:r>
      <w:r>
        <w:rPr>
          <w:rFonts w:ascii="Times New Roman" w:hAnsi="Times New Roman"/>
          <w:noProof/>
          <w:sz w:val="24"/>
        </w:rPr>
        <w:t>. Komisjon on loonud puhta energeetika taastuvenergia valdk</w:t>
      </w:r>
      <w:r>
        <w:rPr>
          <w:rFonts w:ascii="Times New Roman" w:hAnsi="Times New Roman"/>
          <w:noProof/>
          <w:sz w:val="24"/>
        </w:rPr>
        <w:t xml:space="preserve">onna foorumi, et tugevdada Euroopas taastuvate energiaallikate tööstuslikku baasi. Foorum teeb tihedas koostöös sektori peamiste osalistega ettepanekud Euroopa taastuvenergia tarneahela konkurentsivõime parandamiseks. </w:t>
      </w:r>
    </w:p>
    <w:p w:rsidR="00BA3501" w:rsidRDefault="002C1285">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Taastuvatest energiaallikatest saadav</w:t>
      </w:r>
      <w:r>
        <w:rPr>
          <w:rFonts w:ascii="Times New Roman" w:hAnsi="Times New Roman"/>
          <w:noProof/>
          <w:sz w:val="24"/>
        </w:rPr>
        <w:t xml:space="preserve"> kasu on palju laiem kui mõju viiele eespool nimetatud poliitikavaldkonnale. Taastuvenergia on majanduskasvu allikas ja pakub eurooplastele töökohti, eelkõige kohalikke töökohti – sektoris on praegu hõivatud üle 1,4 miljoni inimese ja selle käivet hinnatak</w:t>
      </w:r>
      <w:r>
        <w:rPr>
          <w:rFonts w:ascii="Times New Roman" w:hAnsi="Times New Roman"/>
          <w:noProof/>
          <w:sz w:val="24"/>
        </w:rPr>
        <w:t>se 154,7 miljardile eurole</w:t>
      </w:r>
      <w:r>
        <w:rPr>
          <w:rStyle w:val="FootnoteReference"/>
          <w:rFonts w:ascii="Times New Roman" w:hAnsi="Times New Roman"/>
          <w:noProof/>
          <w:sz w:val="24"/>
        </w:rPr>
        <w:footnoteReference w:id="16"/>
      </w:r>
      <w:r>
        <w:rPr>
          <w:rFonts w:ascii="Times New Roman" w:hAnsi="Times New Roman"/>
          <w:noProof/>
          <w:sz w:val="24"/>
        </w:rPr>
        <w:t>. Hiljuti avaldatud aruanne „Energiahinnad ja -kulud Euroopas“</w:t>
      </w:r>
      <w:r>
        <w:rPr>
          <w:rStyle w:val="FootnoteReference"/>
          <w:rFonts w:ascii="Times New Roman" w:hAnsi="Times New Roman"/>
          <w:noProof/>
          <w:sz w:val="24"/>
        </w:rPr>
        <w:footnoteReference w:id="17"/>
      </w:r>
      <w:r>
        <w:rPr>
          <w:rFonts w:ascii="Times New Roman" w:hAnsi="Times New Roman"/>
          <w:noProof/>
          <w:sz w:val="24"/>
        </w:rPr>
        <w:t xml:space="preserve"> tõdeb positiivset mõju tööstuse konkurentsivõimele, kuna taastuvatest energiaallikatest toodetud energia koguste suurenemine on peamine tegur, mis on viimastel aasta</w:t>
      </w:r>
      <w:r>
        <w:rPr>
          <w:rFonts w:ascii="Times New Roman" w:hAnsi="Times New Roman"/>
          <w:noProof/>
          <w:sz w:val="24"/>
        </w:rPr>
        <w:t xml:space="preserve">tel elektrienergia hulgihindu ELis märkimisväärselt langetanud. IRENA rõhutab, et taastuvate energiaallikate üha suurem kasutamine on käivitanud kogu maailma energeetika ümberkujunemise, millel on märkimisväärne geopoliitiline mõju ja milles EL on selgelt </w:t>
      </w:r>
      <w:r>
        <w:rPr>
          <w:rFonts w:ascii="Times New Roman" w:hAnsi="Times New Roman"/>
          <w:noProof/>
          <w:sz w:val="24"/>
        </w:rPr>
        <w:t>liidripositsioonil</w:t>
      </w:r>
      <w:r>
        <w:rPr>
          <w:rStyle w:val="FootnoteReference"/>
          <w:rFonts w:ascii="Times New Roman" w:hAnsi="Times New Roman"/>
          <w:noProof/>
          <w:sz w:val="24"/>
        </w:rPr>
        <w:footnoteReference w:id="18"/>
      </w:r>
      <w:r>
        <w:rPr>
          <w:rFonts w:ascii="Times New Roman" w:hAnsi="Times New Roman"/>
          <w:noProof/>
          <w:sz w:val="24"/>
        </w:rPr>
        <w:t>.</w:t>
      </w:r>
    </w:p>
    <w:p w:rsidR="00BA3501" w:rsidRDefault="002C1285">
      <w:pPr>
        <w:autoSpaceDE w:val="0"/>
        <w:autoSpaceDN w:val="0"/>
        <w:jc w:val="both"/>
        <w:rPr>
          <w:rFonts w:ascii="Times New Roman" w:hAnsi="Times New Roman" w:cs="Times New Roman"/>
          <w:noProof/>
          <w:sz w:val="24"/>
          <w:szCs w:val="24"/>
        </w:rPr>
      </w:pPr>
      <w:r>
        <w:rPr>
          <w:rFonts w:ascii="Times New Roman" w:hAnsi="Times New Roman"/>
          <w:noProof/>
          <w:sz w:val="24"/>
        </w:rPr>
        <w:t>Samuti aitab see vähendada õhusaastet ja pakkuda arenguriikidele juurdepääsu taskukohasele ja puhtale energiale. Ajavahemikus 2011–2016 kasvas taastuvatest energiaallikatest toodetav võimsus peaaegu 10 GW ning võrguväliseid taastuvener</w:t>
      </w:r>
      <w:r>
        <w:rPr>
          <w:rFonts w:ascii="Times New Roman" w:hAnsi="Times New Roman"/>
          <w:noProof/>
          <w:sz w:val="24"/>
        </w:rPr>
        <w:t>gial põhinevaid lahendusi kasutavate inimeste arv kasvas kuus korda, ületades 133 miljoni piiri</w:t>
      </w:r>
      <w:r>
        <w:rPr>
          <w:rStyle w:val="FootnoteReference"/>
          <w:rFonts w:ascii="Times New Roman" w:hAnsi="Times New Roman"/>
          <w:noProof/>
          <w:sz w:val="24"/>
        </w:rPr>
        <w:footnoteReference w:id="19"/>
      </w:r>
      <w:r>
        <w:rPr>
          <w:rFonts w:ascii="Times New Roman" w:hAnsi="Times New Roman"/>
          <w:noProof/>
          <w:sz w:val="24"/>
        </w:rPr>
        <w:t>. 2030. aastaks varustavad taastuvad energiaallikad üle 60% uutest elektrienergiale juurdepääsu saajatest ning peaaegu pool uutest juurdepääsu saajatest kasutab</w:t>
      </w:r>
      <w:r>
        <w:rPr>
          <w:rFonts w:ascii="Times New Roman" w:hAnsi="Times New Roman"/>
          <w:noProof/>
          <w:sz w:val="24"/>
        </w:rPr>
        <w:t xml:space="preserve"> võrguväliseid ja väikesüsteeme</w:t>
      </w:r>
      <w:r>
        <w:rPr>
          <w:rStyle w:val="FootnoteReference"/>
          <w:rFonts w:ascii="Times New Roman" w:hAnsi="Times New Roman"/>
          <w:noProof/>
          <w:sz w:val="24"/>
        </w:rPr>
        <w:footnoteReference w:id="20"/>
      </w:r>
      <w:r>
        <w:rPr>
          <w:rFonts w:ascii="Times New Roman" w:hAnsi="Times New Roman"/>
          <w:noProof/>
          <w:sz w:val="24"/>
        </w:rPr>
        <w:t>. Viimane ja väga tähtis punkt: tehnoloogia madalam hind koosmõjus digitehnoloogia levikuga on muutmas taastuvad energiaallikad oluliseks edasiviivaks jõuks, et suurendada tarbijate mõjuvõimu ja rolli energiasüsteemi ümberku</w:t>
      </w:r>
      <w:r>
        <w:rPr>
          <w:rFonts w:ascii="Times New Roman" w:hAnsi="Times New Roman"/>
          <w:noProof/>
          <w:sz w:val="24"/>
        </w:rPr>
        <w:t>jundamises.</w:t>
      </w:r>
    </w:p>
    <w:p w:rsidR="00BA3501" w:rsidRDefault="002C1285">
      <w:pPr>
        <w:jc w:val="both"/>
        <w:rPr>
          <w:rFonts w:ascii="Times New Roman" w:hAnsi="Times New Roman" w:cs="Times New Roman"/>
          <w:noProof/>
          <w:sz w:val="24"/>
          <w:szCs w:val="24"/>
        </w:rPr>
      </w:pPr>
      <w:r>
        <w:rPr>
          <w:rFonts w:ascii="Times New Roman" w:hAnsi="Times New Roman"/>
          <w:noProof/>
          <w:sz w:val="24"/>
        </w:rPr>
        <w:t>Käesolev aruanne on koostatud vastavalt Euroopa Komisjoni aruandekohustusele, mis tuleneb I taastuvenergia direktiivist ning maakasutuse kaudset muutust käsitlevast direktiivist</w:t>
      </w:r>
      <w:r>
        <w:rPr>
          <w:rStyle w:val="FootnoteReference"/>
          <w:rFonts w:ascii="Times New Roman" w:hAnsi="Times New Roman"/>
          <w:noProof/>
          <w:sz w:val="24"/>
        </w:rPr>
        <w:footnoteReference w:id="21"/>
      </w:r>
      <w:r>
        <w:rPr>
          <w:rFonts w:ascii="Times New Roman" w:hAnsi="Times New Roman"/>
          <w:noProof/>
          <w:sz w:val="24"/>
        </w:rPr>
        <w:t xml:space="preserve"> ning selles on esitatud kõige värskemad tulemused, mis on saavuta</w:t>
      </w:r>
      <w:r>
        <w:rPr>
          <w:rFonts w:ascii="Times New Roman" w:hAnsi="Times New Roman"/>
          <w:noProof/>
          <w:sz w:val="24"/>
        </w:rPr>
        <w:t xml:space="preserve">tud 2017. aastaks 2020. aasta taastuvenergia 20% eesmärgi poole liikudes. 2020. aasta eesmärgi poole liikumise hindamiseks kasutatakse eelkõige energiastatistikat, mille liikmesriigid on esitanud Eurostatile kuni 2019. aasta jaanuarini. Aruande aluseks on </w:t>
      </w:r>
      <w:r>
        <w:rPr>
          <w:rFonts w:ascii="Times New Roman" w:hAnsi="Times New Roman"/>
          <w:noProof/>
          <w:sz w:val="24"/>
        </w:rPr>
        <w:t>liikmesriikide 4. kaheaastane taastuvenergia arenguaruanne aastate 2015–16</w:t>
      </w:r>
      <w:r>
        <w:rPr>
          <w:rStyle w:val="FootnoteReference"/>
          <w:rFonts w:ascii="Times New Roman" w:hAnsi="Times New Roman"/>
          <w:noProof/>
          <w:sz w:val="24"/>
        </w:rPr>
        <w:footnoteReference w:id="22"/>
      </w:r>
      <w:r>
        <w:rPr>
          <w:rFonts w:ascii="Times New Roman" w:hAnsi="Times New Roman"/>
          <w:noProof/>
          <w:sz w:val="24"/>
        </w:rPr>
        <w:t xml:space="preserve"> kohta, ning 2018. aastal tehtud täiendav tehniline analüüs. See sisaldab ka ülevaadet koostöömehhanismidega ning haldusraamistike ja biokütuste jätkusuutlikkuse hindamisega seotud </w:t>
      </w:r>
      <w:r>
        <w:rPr>
          <w:rFonts w:ascii="Times New Roman" w:hAnsi="Times New Roman"/>
          <w:noProof/>
          <w:sz w:val="24"/>
        </w:rPr>
        <w:t xml:space="preserve">võimalustest. </w:t>
      </w:r>
    </w:p>
    <w:p w:rsidR="00BA3501" w:rsidRDefault="002C1285">
      <w:pPr>
        <w:pStyle w:val="Heading1"/>
        <w:rPr>
          <w:noProof/>
        </w:rPr>
      </w:pPr>
      <w:bookmarkStart w:id="3" w:name="_Toc1149218"/>
      <w:r>
        <w:rPr>
          <w:noProof/>
        </w:rPr>
        <w:t>2. EL 28 EDUSAMMUD TAASTUVENERGIA KASUTUSELEVÕTUS</w:t>
      </w:r>
      <w:bookmarkEnd w:id="3"/>
      <w:r>
        <w:rPr>
          <w:noProof/>
        </w:rPr>
        <w:t xml:space="preserve"> </w:t>
      </w:r>
    </w:p>
    <w:p w:rsidR="00BA3501" w:rsidRDefault="002C1285">
      <w:pPr>
        <w:jc w:val="both"/>
        <w:rPr>
          <w:rFonts w:ascii="Times New Roman" w:hAnsi="Times New Roman" w:cs="Times New Roman"/>
          <w:noProof/>
          <w:sz w:val="24"/>
          <w:szCs w:val="24"/>
        </w:rPr>
      </w:pPr>
      <w:r>
        <w:rPr>
          <w:rFonts w:ascii="Times New Roman" w:hAnsi="Times New Roman"/>
          <w:noProof/>
          <w:sz w:val="24"/>
        </w:rPr>
        <w:t>2017. aastal moodustas ELis taastuvatest energiaallikatest toodetud energia 17,52% summaarsest energia lõpptarbimisest, mis ületab 2020. aasta 20% eesmärgi saavutamiseks 2017. ja 2018. aasta</w:t>
      </w:r>
      <w:r>
        <w:rPr>
          <w:rFonts w:ascii="Times New Roman" w:hAnsi="Times New Roman"/>
          <w:noProof/>
          <w:sz w:val="24"/>
        </w:rPr>
        <w:t>ks ettenähtud soovituslikku 16%. Lisaks on EL tervikuna ees pisut ambitsioonikamast arengukõverast, mille on kavandanud liikmesriigid oma riiklikes taastuvenergia tegevuskavades (NREAP)</w:t>
      </w:r>
      <w:r>
        <w:rPr>
          <w:rStyle w:val="FootnoteReference"/>
          <w:rFonts w:ascii="Times New Roman" w:hAnsi="Times New Roman"/>
          <w:noProof/>
          <w:sz w:val="24"/>
        </w:rPr>
        <w:footnoteReference w:id="23"/>
      </w:r>
      <w:r>
        <w:rPr>
          <w:rFonts w:ascii="Times New Roman" w:hAnsi="Times New Roman"/>
          <w:noProof/>
          <w:sz w:val="24"/>
        </w:rPr>
        <w:t>. EL püsib 2020. aasta sihttaseme saavutamiseks graafikus. Viimastel a</w:t>
      </w:r>
      <w:r>
        <w:rPr>
          <w:rFonts w:ascii="Times New Roman" w:hAnsi="Times New Roman"/>
          <w:noProof/>
          <w:sz w:val="24"/>
        </w:rPr>
        <w:t>astatel on ELi tasandil summaarne taastuvate energiaallikate osa pidevalt suurenenud, niisamuti on taastuvenergia osa suurenenud elektrienergia tootmises ning kütte- ja jahutussektoris, vähemal määral ka transpordis.</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Taastuvenergia osatähtsuse kasvu tempo </w:t>
      </w:r>
      <w:r>
        <w:rPr>
          <w:rFonts w:ascii="Times New Roman" w:hAnsi="Times New Roman"/>
          <w:noProof/>
          <w:sz w:val="24"/>
        </w:rPr>
        <w:t>on alates 2014. aastast siiski vähenenud. Võrreldes 16,19%-ga 2014. aastal kasvas osatähtsus perioodil 2014–2017 ainult 0,44% võrra aastas ning seda on vähem, kui peab olema keskmine juurdekasv 0,83 protsendi võrra aastas, et saavutada 2020. aastaks nõutav</w:t>
      </w:r>
      <w:r>
        <w:rPr>
          <w:rFonts w:ascii="Times New Roman" w:hAnsi="Times New Roman"/>
          <w:noProof/>
          <w:sz w:val="24"/>
        </w:rPr>
        <w:t xml:space="preserve"> 20% eesmärk. Kuna I taastuvenergia direktiivi kohane soovituslik tõus on viimaste aastate kohta suurem, on sihttaseme saavutamiseks vaja püsivalt pingutada. </w:t>
      </w:r>
    </w:p>
    <w:p w:rsidR="00BA3501" w:rsidRDefault="002C1285">
      <w:pPr>
        <w:jc w:val="both"/>
        <w:rPr>
          <w:rFonts w:ascii="Times New Roman" w:hAnsi="Times New Roman" w:cs="Times New Roman"/>
          <w:noProof/>
          <w:sz w:val="24"/>
          <w:szCs w:val="24"/>
        </w:rPr>
      </w:pPr>
      <w:r>
        <w:rPr>
          <w:rFonts w:ascii="Times New Roman" w:hAnsi="Times New Roman"/>
          <w:noProof/>
          <w:sz w:val="24"/>
        </w:rPr>
        <w:t>Sektorite lõikes on taastuvenergia osa elektrienergia tootmises ning kütte- ja jahutussektoris pü</w:t>
      </w:r>
      <w:r>
        <w:rPr>
          <w:rFonts w:ascii="Times New Roman" w:hAnsi="Times New Roman"/>
          <w:noProof/>
          <w:sz w:val="24"/>
        </w:rPr>
        <w:t xml:space="preserve">sinud süstemaatiliselt kõrgemal kui liikmesriikide taastuvenergia tegevuskavades ette nähtud tase, transpordisektoris aga järgib taastuvate energiaallikate osa üldjoontes kavandatud graafikut. </w:t>
      </w:r>
    </w:p>
    <w:p w:rsidR="00BA3501" w:rsidRDefault="00BA3501">
      <w:pPr>
        <w:jc w:val="both"/>
        <w:rPr>
          <w:rFonts w:ascii="Times New Roman" w:hAnsi="Times New Roman" w:cs="Times New Roman"/>
          <w:noProof/>
          <w:sz w:val="24"/>
          <w:szCs w:val="24"/>
        </w:rPr>
      </w:pPr>
    </w:p>
    <w:p w:rsidR="00BA3501" w:rsidRDefault="002C1285">
      <w:pPr>
        <w:jc w:val="both"/>
        <w:rPr>
          <w:rFonts w:ascii="Times New Roman" w:hAnsi="Times New Roman" w:cs="Times New Roman"/>
          <w:noProof/>
          <w:sz w:val="24"/>
          <w:szCs w:val="24"/>
        </w:rPr>
      </w:pPr>
      <w:r>
        <w:rPr>
          <w:rFonts w:ascii="Times New Roman" w:hAnsi="Times New Roman" w:cs="Times New Roman"/>
          <w:noProof/>
          <w:sz w:val="24"/>
          <w:szCs w:val="24"/>
          <w:lang w:val="fr-BE" w:eastAsia="fr-BE" w:bidi="ar-SA"/>
        </w:rPr>
        <w:drawing>
          <wp:inline distT="0" distB="0" distL="0" distR="0">
            <wp:extent cx="5768745" cy="3603400"/>
            <wp:effectExtent l="19050" t="19050" r="22860" b="165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68745" cy="3603400"/>
                    </a:xfrm>
                    <a:prstGeom prst="rect">
                      <a:avLst/>
                    </a:prstGeom>
                    <a:noFill/>
                    <a:ln>
                      <a:solidFill>
                        <a:schemeClr val="bg2">
                          <a:alpha val="50000"/>
                        </a:schemeClr>
                      </a:solidFill>
                    </a:ln>
                    <a:effectLst>
                      <a:softEdge rad="0"/>
                    </a:effectLst>
                  </pic:spPr>
                </pic:pic>
              </a:graphicData>
            </a:graphic>
          </wp:inline>
        </w:drawing>
      </w:r>
    </w:p>
    <w:p w:rsidR="00BA3501" w:rsidRDefault="002C1285">
      <w:pPr>
        <w:jc w:val="both"/>
        <w:rPr>
          <w:rFonts w:ascii="Times New Roman" w:hAnsi="Times New Roman" w:cs="Times New Roman"/>
          <w:i/>
          <w:noProof/>
          <w:sz w:val="24"/>
          <w:szCs w:val="24"/>
        </w:rPr>
      </w:pPr>
      <w:r>
        <w:rPr>
          <w:rFonts w:ascii="Times New Roman" w:hAnsi="Times New Roman"/>
          <w:b/>
          <w:i/>
          <w:noProof/>
          <w:sz w:val="24"/>
        </w:rPr>
        <w:t>Joonis 1.</w:t>
      </w:r>
      <w:r>
        <w:rPr>
          <w:rFonts w:ascii="Times New Roman" w:hAnsi="Times New Roman"/>
          <w:i/>
          <w:noProof/>
          <w:sz w:val="24"/>
        </w:rPr>
        <w:t xml:space="preserve"> Tegelik ja kavandatud taastuvenergia osa EL 28-s (2005–2020, %). Allikas: Eurostat ja riiklikud taastuvenergia tegevuskavad </w:t>
      </w:r>
    </w:p>
    <w:p w:rsidR="00BA3501" w:rsidRDefault="002C1285">
      <w:pPr>
        <w:jc w:val="both"/>
        <w:rPr>
          <w:rFonts w:ascii="Times New Roman" w:hAnsi="Times New Roman" w:cs="Times New Roman"/>
          <w:noProof/>
          <w:sz w:val="24"/>
          <w:szCs w:val="24"/>
        </w:rPr>
      </w:pPr>
      <w:r>
        <w:rPr>
          <w:rFonts w:ascii="Times New Roman" w:hAnsi="Times New Roman"/>
          <w:noProof/>
          <w:sz w:val="24"/>
        </w:rPr>
        <w:t>Absoluutarvudes on taastuvenergia tarbimine suurim kütte- ja jahutussektoris, kokku 102 miljonit naftaekvivalenttonni 2017. aastal</w:t>
      </w:r>
      <w:r>
        <w:rPr>
          <w:rFonts w:ascii="Times New Roman" w:hAnsi="Times New Roman"/>
          <w:noProof/>
          <w:sz w:val="24"/>
        </w:rPr>
        <w:t>, sellele on lähedal taastuvatest energiaallikatest toodetud elektrienergia tarbimine 86,7 miljonit naftaekvivalenttonni ning transpordisektoris on tarbimine 23,65 miljonit naftaekvivalenttonni</w:t>
      </w:r>
      <w:r>
        <w:rPr>
          <w:rFonts w:ascii="Times New Roman" w:hAnsi="Times New Roman"/>
          <w:noProof/>
          <w:sz w:val="24"/>
          <w:vertAlign w:val="superscript"/>
        </w:rPr>
        <w:footnoteReference w:id="24"/>
      </w:r>
      <w:r>
        <w:rPr>
          <w:rFonts w:ascii="Times New Roman" w:hAnsi="Times New Roman"/>
          <w:noProof/>
          <w:sz w:val="24"/>
        </w:rPr>
        <w:t xml:space="preserve">. </w:t>
      </w:r>
    </w:p>
    <w:p w:rsidR="00BA3501" w:rsidRDefault="002C1285">
      <w:pPr>
        <w:jc w:val="both"/>
        <w:rPr>
          <w:rFonts w:ascii="Times New Roman" w:hAnsi="Times New Roman" w:cs="Times New Roman"/>
          <w:noProof/>
          <w:sz w:val="24"/>
          <w:szCs w:val="24"/>
        </w:rPr>
      </w:pPr>
      <w:r>
        <w:rPr>
          <w:rFonts w:ascii="Times New Roman" w:hAnsi="Times New Roman"/>
          <w:noProof/>
          <w:sz w:val="24"/>
        </w:rPr>
        <w:t>Peamised energiatarbimises kasutatavad taastuvad allikad ol</w:t>
      </w:r>
      <w:r>
        <w:rPr>
          <w:rFonts w:ascii="Times New Roman" w:hAnsi="Times New Roman"/>
          <w:noProof/>
          <w:sz w:val="24"/>
        </w:rPr>
        <w:t>id biomass kütte- ja jahutussektoris, vee- ja tuuleenergia elektrienergia tootmises ning biokütused transpordisektoris. Elektrienergiasektoris on toimumas selge paradigma muutus taastuvate energiaallikate suunas. Üks peamisi tegureid on olnud päikese- ja t</w:t>
      </w:r>
      <w:r>
        <w:rPr>
          <w:rFonts w:ascii="Times New Roman" w:hAnsi="Times New Roman"/>
          <w:noProof/>
          <w:sz w:val="24"/>
        </w:rPr>
        <w:t>uuleenergiast toodetud elektri hinna langus, mis ajavahemikus 2009–2018 oli ligi 75% päikese- ja 50% tuuleenergia puhul (olenevalt turust) kapitalikulu vähenemise, efektiivsuse tõusu ja tarneahelate täiustumise ning toetuskavade võistlevate pakkumismenetlu</w:t>
      </w:r>
      <w:r>
        <w:rPr>
          <w:rFonts w:ascii="Times New Roman" w:hAnsi="Times New Roman"/>
          <w:noProof/>
          <w:sz w:val="24"/>
        </w:rPr>
        <w:t>ste mõjul. 2018. aastal oli Ourika projekt Portugalis Euroopa esimene päikeseenergia projekt, mida arendati täielikult ilma avaliku sektori toetuseta. Saksamaal maksti 2018. aasta suvel 1,4 MW päikesekiirgusest elektrienergia tootmise projektis turutoetust</w:t>
      </w:r>
      <w:r>
        <w:rPr>
          <w:rFonts w:ascii="Times New Roman" w:hAnsi="Times New Roman"/>
          <w:noProof/>
          <w:sz w:val="24"/>
        </w:rPr>
        <w:t xml:space="preserve"> vähem, kui oli päikesekiirguse abil toodetud elektrienergia turuväärtus, ja Taanis arendati uusi tuuleenergia projekte fikseeritud sisendtariifiga 2,5 eurot/MWh. Nii Saksamaal kui ka Madalmaades tehti pakkumismenetlustes 1610 ja 700 MW meretuulepargi aren</w:t>
      </w:r>
      <w:r>
        <w:rPr>
          <w:rFonts w:ascii="Times New Roman" w:hAnsi="Times New Roman"/>
          <w:noProof/>
          <w:sz w:val="24"/>
        </w:rPr>
        <w:t>damiseks pakkumusi ilma toetuseta.</w:t>
      </w:r>
    </w:p>
    <w:p w:rsidR="00BA3501" w:rsidRDefault="002C1285">
      <w:pPr>
        <w:jc w:val="both"/>
        <w:rPr>
          <w:rFonts w:ascii="Times New Roman" w:hAnsi="Times New Roman" w:cs="Times New Roman"/>
          <w:noProof/>
          <w:sz w:val="24"/>
          <w:szCs w:val="24"/>
        </w:rPr>
      </w:pPr>
      <w:r>
        <w:rPr>
          <w:rFonts w:ascii="Times New Roman" w:hAnsi="Times New Roman"/>
          <w:noProof/>
          <w:sz w:val="24"/>
        </w:rPr>
        <w:t>Kulude vähenemine on ka üks peamisi taastuvenergia äritarbijaskonna kasvu käivitajaid, eriti juhul, kui energia äritarbijad sõlmivad energiaostulepingu otse taastuvenergia projekti arendajaga. Ajavahemikus 2015–2018 kasva</w:t>
      </w:r>
      <w:r>
        <w:rPr>
          <w:rFonts w:ascii="Times New Roman" w:hAnsi="Times New Roman"/>
          <w:noProof/>
          <w:sz w:val="24"/>
        </w:rPr>
        <w:t>s Euroopas äritarbijate selliste energiaostu lepingute arv, mis sõlmiti taastuvatest allikatest toodetud elektri ostmiseks, neli korda,</w:t>
      </w:r>
      <w:r>
        <w:rPr>
          <w:rStyle w:val="FootnoteReference"/>
          <w:rFonts w:ascii="Times New Roman" w:hAnsi="Times New Roman"/>
          <w:noProof/>
          <w:sz w:val="24"/>
        </w:rPr>
        <w:footnoteReference w:id="25"/>
      </w:r>
      <w:r>
        <w:rPr>
          <w:rFonts w:ascii="Times New Roman" w:hAnsi="Times New Roman"/>
          <w:noProof/>
          <w:sz w:val="24"/>
        </w:rPr>
        <w:t xml:space="preserve"> 506 MW-lt 1967 MW-le. </w:t>
      </w:r>
    </w:p>
    <w:p w:rsidR="00BA3501" w:rsidRDefault="002C1285">
      <w:pPr>
        <w:pStyle w:val="Heading1"/>
        <w:rPr>
          <w:noProof/>
        </w:rPr>
      </w:pPr>
      <w:bookmarkStart w:id="4" w:name="_Toc1149219"/>
      <w:r>
        <w:rPr>
          <w:noProof/>
        </w:rPr>
        <w:t>3. LIIKMESRIIKIDE EDUSAMMUDE JA 2020. AASTA PROGNOOSI</w:t>
      </w:r>
      <w:bookmarkEnd w:id="4"/>
      <w:r>
        <w:rPr>
          <w:noProof/>
        </w:rPr>
        <w:t xml:space="preserve"> ÜKSIKASJALIK HINDAMINE</w:t>
      </w:r>
    </w:p>
    <w:p w:rsidR="00BA3501" w:rsidRDefault="002C1285">
      <w:pPr>
        <w:pStyle w:val="Heading2"/>
        <w:spacing w:after="120"/>
        <w:ind w:left="714" w:hanging="357"/>
        <w:rPr>
          <w:noProof/>
        </w:rPr>
      </w:pPr>
      <w:bookmarkStart w:id="5" w:name="_Toc1149220"/>
      <w:r>
        <w:rPr>
          <w:noProof/>
        </w:rPr>
        <w:t>Edusammud elektrien</w:t>
      </w:r>
      <w:r>
        <w:rPr>
          <w:noProof/>
        </w:rPr>
        <w:t>ergia tootmise, kütte ja jahutuse ning transpordi valdkonnas</w:t>
      </w:r>
      <w:bookmarkEnd w:id="5"/>
    </w:p>
    <w:p w:rsidR="00BA3501" w:rsidRDefault="002C1285">
      <w:pPr>
        <w:jc w:val="both"/>
        <w:rPr>
          <w:rFonts w:ascii="Times New Roman" w:hAnsi="Times New Roman" w:cs="Times New Roman"/>
          <w:noProof/>
          <w:sz w:val="24"/>
          <w:szCs w:val="24"/>
        </w:rPr>
      </w:pPr>
      <w:r>
        <w:rPr>
          <w:rFonts w:ascii="Times New Roman" w:hAnsi="Times New Roman"/>
          <w:noProof/>
          <w:sz w:val="24"/>
        </w:rPr>
        <w:t>Taastuvatest energiaallikatest toodetud energia osa kajastab ajaloolist mitmekesisust liikmesriikide energiaallikate jaotuses ja nende erinevat taastuvenergia tootmise potentsiaali, arvestades, e</w:t>
      </w:r>
      <w:r>
        <w:rPr>
          <w:rFonts w:ascii="Times New Roman" w:hAnsi="Times New Roman"/>
          <w:noProof/>
          <w:sz w:val="24"/>
        </w:rPr>
        <w:t>t 2017. aastal ulatus taastuvenergia osa 6,4%st Luksemburgis 54,5%ni Rootsis (vt joonis 2).</w:t>
      </w:r>
    </w:p>
    <w:p w:rsidR="00BA3501" w:rsidRDefault="002C1285">
      <w:pPr>
        <w:jc w:val="both"/>
        <w:rPr>
          <w:rFonts w:ascii="Times New Roman" w:hAnsi="Times New Roman" w:cs="Times New Roman"/>
          <w:noProof/>
          <w:sz w:val="24"/>
          <w:szCs w:val="24"/>
        </w:rPr>
      </w:pPr>
      <w:r>
        <w:rPr>
          <w:rFonts w:ascii="Times New Roman" w:hAnsi="Times New Roman" w:cs="Times New Roman"/>
          <w:noProof/>
          <w:sz w:val="24"/>
          <w:szCs w:val="24"/>
          <w:lang w:val="fr-BE" w:eastAsia="fr-BE" w:bidi="ar-SA"/>
        </w:rPr>
        <w:drawing>
          <wp:inline distT="0" distB="0" distL="0" distR="0">
            <wp:extent cx="5887429" cy="24013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887429" cy="2401369"/>
                    </a:xfrm>
                    <a:prstGeom prst="rect">
                      <a:avLst/>
                    </a:prstGeom>
                    <a:noFill/>
                  </pic:spPr>
                </pic:pic>
              </a:graphicData>
            </a:graphic>
          </wp:inline>
        </w:drawing>
      </w:r>
    </w:p>
    <w:p w:rsidR="00BA3501" w:rsidRDefault="00BA3501">
      <w:pPr>
        <w:jc w:val="both"/>
        <w:rPr>
          <w:rFonts w:ascii="Times New Roman" w:hAnsi="Times New Roman" w:cs="Times New Roman"/>
          <w:noProof/>
          <w:sz w:val="24"/>
          <w:szCs w:val="24"/>
        </w:rPr>
      </w:pPr>
    </w:p>
    <w:p w:rsidR="00BA3501" w:rsidRDefault="002C1285">
      <w:pPr>
        <w:jc w:val="both"/>
        <w:rPr>
          <w:rFonts w:ascii="Times New Roman" w:hAnsi="Times New Roman" w:cs="Times New Roman"/>
          <w:i/>
          <w:noProof/>
          <w:sz w:val="24"/>
          <w:szCs w:val="24"/>
        </w:rPr>
      </w:pPr>
      <w:r>
        <w:rPr>
          <w:rFonts w:ascii="Times New Roman" w:hAnsi="Times New Roman"/>
          <w:b/>
          <w:noProof/>
          <w:sz w:val="24"/>
        </w:rPr>
        <w:t>Joonis 2.</w:t>
      </w:r>
      <w:r>
        <w:rPr>
          <w:rFonts w:ascii="Times New Roman" w:hAnsi="Times New Roman"/>
          <w:noProof/>
          <w:sz w:val="24"/>
        </w:rPr>
        <w:t xml:space="preserve"> </w:t>
      </w:r>
      <w:r>
        <w:rPr>
          <w:rFonts w:ascii="Times New Roman" w:hAnsi="Times New Roman"/>
          <w:i/>
          <w:noProof/>
          <w:sz w:val="24"/>
        </w:rPr>
        <w:t>ELi ja liikmesriikide taastuvenergia osa summaarses energia lõpptarbimises 2015–17 võrreldes I taastuvenergia direktiivis kavandatud graafikuga (allika</w:t>
      </w:r>
      <w:r>
        <w:rPr>
          <w:rFonts w:ascii="Times New Roman" w:hAnsi="Times New Roman"/>
          <w:i/>
          <w:noProof/>
          <w:sz w:val="24"/>
        </w:rPr>
        <w:t>s: Eurostat).</w:t>
      </w:r>
    </w:p>
    <w:p w:rsidR="00BA3501" w:rsidRDefault="002C1285">
      <w:pPr>
        <w:jc w:val="both"/>
        <w:rPr>
          <w:rFonts w:ascii="Times New Roman" w:hAnsi="Times New Roman" w:cs="Times New Roman"/>
          <w:noProof/>
          <w:sz w:val="24"/>
          <w:szCs w:val="24"/>
        </w:rPr>
      </w:pPr>
      <w:r>
        <w:rPr>
          <w:rFonts w:ascii="Times New Roman" w:hAnsi="Times New Roman"/>
          <w:noProof/>
          <w:sz w:val="24"/>
        </w:rPr>
        <w:t>Liikmesriikide 4. taastuvenergia arenguaruannete (edaspidi „arenguaruanded“) põhjal, mis hõlmavad ajavahemikku 2015–2016,</w:t>
      </w:r>
      <w:r>
        <w:rPr>
          <w:rStyle w:val="FootnoteReference"/>
          <w:rFonts w:ascii="Times New Roman" w:hAnsi="Times New Roman"/>
          <w:noProof/>
          <w:sz w:val="24"/>
        </w:rPr>
        <w:footnoteReference w:id="26"/>
      </w:r>
      <w:r>
        <w:rPr>
          <w:rFonts w:ascii="Times New Roman" w:hAnsi="Times New Roman"/>
          <w:noProof/>
          <w:sz w:val="24"/>
        </w:rPr>
        <w:t xml:space="preserve"> ületasid 25 liikmesriiki oma I taastuvenergia direktiivi kohast soovituslikku arengukõverat aastateks 2015–2016. Kolme </w:t>
      </w:r>
      <w:r>
        <w:rPr>
          <w:rFonts w:ascii="Times New Roman" w:hAnsi="Times New Roman"/>
          <w:noProof/>
          <w:sz w:val="24"/>
        </w:rPr>
        <w:t>liikmesriigi hulgas, kes jäid oma I taastuvenergia direktiivi kohasest soovituslikust graafikust maha, on suurim mahajäämus Madalmaadel, kelle tegelik taastuvenergia keskmine osa aastatel 2015–2016 oli 5,9% (vrd soovitusliku graafiku kohane osa 7,6%). Maha</w:t>
      </w:r>
      <w:r>
        <w:rPr>
          <w:rFonts w:ascii="Times New Roman" w:hAnsi="Times New Roman"/>
          <w:noProof/>
          <w:sz w:val="24"/>
        </w:rPr>
        <w:t>jäämus taastuvenergia tegevuskavades ettenähtud 9,7% taastuvenergia osast 2016. aastal on veelgi suurem. Madalmaad jäävad endiselt maha kavandatud taastuvenergia osast elektri tootmises ja mõnevõrra ka taastuvenergia kavandatud osast transpordisektoris. Ka</w:t>
      </w:r>
      <w:r>
        <w:rPr>
          <w:rFonts w:ascii="Times New Roman" w:hAnsi="Times New Roman"/>
          <w:noProof/>
          <w:sz w:val="24"/>
        </w:rPr>
        <w:t xml:space="preserve"> Luksemburg ja Prantsusmaa on oma I taastuvenergia direktiivi kohasest soovituslikust arengukõverast aastatel 2015–2016 maha jäänud, kuigi vaid vähesel määral. </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Eurostati andmed 2017. aasta kohta ei näita oluliselt erinevat pilti. 11 liikmesriiki </w:t>
      </w:r>
      <w:r>
        <w:rPr>
          <w:rFonts w:ascii="Times New Roman" w:hAnsi="Times New Roman"/>
          <w:noProof/>
          <w:sz w:val="24"/>
        </w:rPr>
        <w:t>(Bulgaaria, Tšehhi Vabariik, Taani, Eesti, Soome, Horvaatia, Ungari, Itaalia, Leedu, Rumeenia ja Rootsi) on juba saavutanud oma 2020. aasta sihttasemele vastava eesmärgi. Ülejäänud 17 liikmesriigist kümme püsivad oma I taastuvenergia direktiivi kohases gra</w:t>
      </w:r>
      <w:r>
        <w:rPr>
          <w:rFonts w:ascii="Times New Roman" w:hAnsi="Times New Roman"/>
          <w:noProof/>
          <w:sz w:val="24"/>
        </w:rPr>
        <w:t>afikus aastateks 2017–2018 või on isegi pisut sellest ette jõudnud. Ülejäänud seitse liikmesriiki (Belgia, Prantsusmaa, Iirimaa, Luksemburg, Madalmaad, Poola, Sloveenia) peaksid tõhustama jõupingutusi, et jõuda aastateks 2017–2018 ettenähtud graafikusse 20</w:t>
      </w:r>
      <w:r>
        <w:rPr>
          <w:rFonts w:ascii="Times New Roman" w:hAnsi="Times New Roman"/>
          <w:noProof/>
          <w:sz w:val="24"/>
        </w:rPr>
        <w:t>20. aasta eesmärgi täitmiseks.</w:t>
      </w:r>
    </w:p>
    <w:p w:rsidR="00BA3501" w:rsidRDefault="002C1285">
      <w:pPr>
        <w:jc w:val="both"/>
        <w:rPr>
          <w:rFonts w:ascii="Times New Roman" w:hAnsi="Times New Roman" w:cs="Times New Roman"/>
          <w:noProof/>
          <w:sz w:val="24"/>
          <w:szCs w:val="24"/>
        </w:rPr>
      </w:pPr>
      <w:r>
        <w:rPr>
          <w:rFonts w:ascii="Times New Roman" w:hAnsi="Times New Roman"/>
          <w:noProof/>
          <w:sz w:val="24"/>
        </w:rPr>
        <w:t>EL 28 taastuvenergia tarbimine absoluutarvudes on kasvanud märkimisväärselt: 189 miljonilt naftaekvivalenttonnilt 2015. aastal 204-le 2017. aastal, s.t 8%. Kuid samas ajavahemikus kasvas summaarne energia lõpptarbimine 1125 n</w:t>
      </w:r>
      <w:r>
        <w:rPr>
          <w:rFonts w:ascii="Times New Roman" w:hAnsi="Times New Roman"/>
          <w:noProof/>
          <w:sz w:val="24"/>
        </w:rPr>
        <w:t xml:space="preserve">aftaekvivalenttonnilt 1159-le, mistõttu taastuvenergia osa vähenes, sest see on taastuvenergia lõpptarbimise ja summaarse energia lõpptarbimise jagatis. Nimetatud nõudluse kasv on üks peamisi tegureid, mis põhjustas taastuvatest energiaallikatest toodetud </w:t>
      </w:r>
      <w:r>
        <w:rPr>
          <w:rFonts w:ascii="Times New Roman" w:hAnsi="Times New Roman"/>
          <w:noProof/>
          <w:sz w:val="24"/>
        </w:rPr>
        <w:t xml:space="preserve">energia osa vähenemise 2017. aastal võrreldes 2016. aastaga üheksas liikmesriigis (Austria, Bulgaaria, Tšehhi Vabariik, Ungari, Poola, Portugal, Rumeenia ja Slovakkia). </w:t>
      </w:r>
    </w:p>
    <w:p w:rsidR="00BA3501" w:rsidRDefault="002C1285">
      <w:pPr>
        <w:jc w:val="both"/>
        <w:rPr>
          <w:rFonts w:ascii="Times New Roman" w:hAnsi="Times New Roman" w:cs="Times New Roman"/>
          <w:noProof/>
          <w:sz w:val="24"/>
          <w:szCs w:val="24"/>
        </w:rPr>
      </w:pPr>
      <w:r>
        <w:rPr>
          <w:rFonts w:ascii="Times New Roman" w:hAnsi="Times New Roman"/>
          <w:noProof/>
          <w:sz w:val="24"/>
        </w:rPr>
        <w:t>Taastuvenergia osa sektoriti kasvas ajavahemikus 2015–2017 enamikus liikmesriikides. M</w:t>
      </w:r>
      <w:r>
        <w:rPr>
          <w:rFonts w:ascii="Times New Roman" w:hAnsi="Times New Roman"/>
          <w:noProof/>
          <w:sz w:val="24"/>
        </w:rPr>
        <w:t>õnes liikmesriigis oli sektoripõhine taastuvenergia osa muutus siiski alla 0,3 protsendipunkti. Nii oli see 9 liikmesriigis seoses taastuvate energiaallikate osaga elektri tootmises (Bulgaaria, Tšehhi Vabariik, Hispaania, Ungari, Poola, Rumeenia, Sloveenia</w:t>
      </w:r>
      <w:r>
        <w:rPr>
          <w:rFonts w:ascii="Times New Roman" w:hAnsi="Times New Roman"/>
          <w:noProof/>
          <w:sz w:val="24"/>
        </w:rPr>
        <w:t>, Slovakkia), 7 liikmesriigis seoses taastuvenergia osaga kütte- ja jahutussektoris (Tšehhi Vabariik, Saksamaa, Ungari, Austria, Poola, Sloveenia, Slovakkia) ning 10 liikmesriigis seoses taastuvenergia osaga transpordis (Tšehhi Vabariik, Taani, Eesti, Unga</w:t>
      </w:r>
      <w:r>
        <w:rPr>
          <w:rFonts w:ascii="Times New Roman" w:hAnsi="Times New Roman"/>
          <w:noProof/>
          <w:sz w:val="24"/>
        </w:rPr>
        <w:t xml:space="preserve">ri, Küpros, Läti, Luksemburg, Austria, Poola, Soome).  </w:t>
      </w:r>
    </w:p>
    <w:p w:rsidR="00BA3501" w:rsidRDefault="002C1285">
      <w:pPr>
        <w:jc w:val="both"/>
        <w:rPr>
          <w:rFonts w:ascii="Times New Roman" w:hAnsi="Times New Roman" w:cs="Times New Roman"/>
          <w:noProof/>
          <w:sz w:val="24"/>
          <w:szCs w:val="24"/>
        </w:rPr>
      </w:pPr>
      <w:r>
        <w:rPr>
          <w:rFonts w:ascii="Times New Roman" w:hAnsi="Times New Roman"/>
          <w:noProof/>
          <w:sz w:val="24"/>
        </w:rPr>
        <w:t>Transpordisektoris, kus kõik liikmesriigid peaksid saavutama sama eesmärgi 10%, võib selline kasvu aeglustumine osutuda probleemseks 8 liikmesriigile (Eesti, Kreeka, Ungari, Küpros, Läti, Leedu, Poola</w:t>
      </w:r>
      <w:r>
        <w:rPr>
          <w:rFonts w:ascii="Times New Roman" w:hAnsi="Times New Roman"/>
          <w:noProof/>
          <w:sz w:val="24"/>
        </w:rPr>
        <w:t>, Sloveenia), kus taastuvenergia tarbimine transpordisektoris on alla 5% ja oleks vaja seega järsku tõusu 10% eesmärgi saavutamiseks. Maakasutuse kaudse muutuse direktiiviga lubatud statistilise ülekandmise kasutamine on veel üks võimalik käsitlus, mida uu</w:t>
      </w:r>
      <w:r>
        <w:rPr>
          <w:rFonts w:ascii="Times New Roman" w:hAnsi="Times New Roman"/>
          <w:noProof/>
          <w:sz w:val="24"/>
        </w:rPr>
        <w:t xml:space="preserve">rida. </w:t>
      </w:r>
    </w:p>
    <w:p w:rsidR="00BA3501" w:rsidRDefault="002C1285">
      <w:pPr>
        <w:pStyle w:val="Heading2"/>
        <w:spacing w:after="120"/>
        <w:ind w:left="714" w:hanging="357"/>
        <w:rPr>
          <w:noProof/>
        </w:rPr>
      </w:pPr>
      <w:bookmarkStart w:id="6" w:name="_Toc1149221"/>
      <w:r>
        <w:rPr>
          <w:noProof/>
        </w:rPr>
        <w:t>Koostöömehhanismid</w:t>
      </w:r>
      <w:bookmarkEnd w:id="6"/>
    </w:p>
    <w:p w:rsidR="00BA3501" w:rsidRDefault="002C1285">
      <w:pPr>
        <w:jc w:val="both"/>
        <w:rPr>
          <w:rFonts w:ascii="Times New Roman" w:hAnsi="Times New Roman" w:cs="Times New Roman"/>
          <w:noProof/>
          <w:sz w:val="24"/>
          <w:szCs w:val="24"/>
        </w:rPr>
      </w:pPr>
      <w:r>
        <w:rPr>
          <w:rFonts w:ascii="Times New Roman" w:hAnsi="Times New Roman"/>
          <w:noProof/>
          <w:sz w:val="24"/>
        </w:rPr>
        <w:t>Koostöömehhanismid põhinevad I taastuvenergia direktiivi artiklitel 6–11. Nende hulka kuulub mitu mehhanismi, mille abil liikmesriigid saavad teha taastuvenergia vallas koostööd statistiliste ülekannete, ühisprojektide ja ühiste t</w:t>
      </w:r>
      <w:r>
        <w:rPr>
          <w:rFonts w:ascii="Times New Roman" w:hAnsi="Times New Roman"/>
          <w:noProof/>
          <w:sz w:val="24"/>
        </w:rPr>
        <w:t>oetuskavade vormis. Statistilised ülekanded on eesmärkide saavutamiseks eriti sobivad, sest need võimaldavad liikmesriikidel, kes on saavutanud riiklikust eesmärgist suurema taastuvenergia osa, kanda ülemäärase osa üle teisele liikmesriigile. Praegu on sõl</w:t>
      </w:r>
      <w:r>
        <w:rPr>
          <w:rFonts w:ascii="Times New Roman" w:hAnsi="Times New Roman"/>
          <w:noProof/>
          <w:sz w:val="24"/>
        </w:rPr>
        <w:t xml:space="preserve">mitud kaks lepingut selliste statistiliste ülekannete kasutamiseks: Luksemburgi ja Leedu ning Luksemburgi ja Eesti vahel. Mõlemal juhul on Luksemburg lepingu alusel statistilise ülekande vastuvõtja ajavahemiku 2018–2020 osas. </w:t>
      </w:r>
    </w:p>
    <w:p w:rsidR="00BA3501" w:rsidRDefault="002C1285">
      <w:pPr>
        <w:jc w:val="both"/>
        <w:rPr>
          <w:rFonts w:ascii="Times New Roman" w:hAnsi="Times New Roman" w:cs="Times New Roman"/>
          <w:noProof/>
          <w:sz w:val="24"/>
          <w:szCs w:val="24"/>
        </w:rPr>
      </w:pPr>
      <w:r>
        <w:rPr>
          <w:rFonts w:ascii="Times New Roman" w:hAnsi="Times New Roman"/>
          <w:noProof/>
          <w:sz w:val="24"/>
        </w:rPr>
        <w:t>Vastavalt hinnangutele, mis l</w:t>
      </w:r>
      <w:r>
        <w:rPr>
          <w:rFonts w:ascii="Times New Roman" w:hAnsi="Times New Roman"/>
          <w:noProof/>
          <w:sz w:val="24"/>
        </w:rPr>
        <w:t>iikmesriigid on lisanud oma arenguaruannetele, on taastuvenergia tootmise ülejääk võrreldes soovitusliku vahe-eesmärgiga kokku 12 564 ktoe, mida on võimalik kasutada 2020. aastal statistilisteks ülekanneteks. See vastab ligi poolele Prantsusmaa summaarsest</w:t>
      </w:r>
      <w:r>
        <w:rPr>
          <w:rFonts w:ascii="Times New Roman" w:hAnsi="Times New Roman"/>
          <w:noProof/>
          <w:sz w:val="24"/>
        </w:rPr>
        <w:t xml:space="preserve"> taastuvenergia lõpptarbimisest Liikmesriigile, kes ei suuda 2020. aasta eesmärki omaenda taastuvenergia ressursside abil täita, võib see olla toimiv lahendus eesmärgi kulutõhusaks täitmiseks (vt tabel 1). </w:t>
      </w:r>
    </w:p>
    <w:tbl>
      <w:tblPr>
        <w:tblStyle w:val="Tablestylegreen2"/>
        <w:tblW w:w="5005" w:type="pct"/>
        <w:tblLook w:val="04A0" w:firstRow="1" w:lastRow="0" w:firstColumn="1" w:lastColumn="0" w:noHBand="0" w:noVBand="1"/>
      </w:tblPr>
      <w:tblGrid>
        <w:gridCol w:w="1399"/>
        <w:gridCol w:w="706"/>
        <w:gridCol w:w="706"/>
        <w:gridCol w:w="710"/>
        <w:gridCol w:w="710"/>
        <w:gridCol w:w="710"/>
        <w:gridCol w:w="710"/>
        <w:gridCol w:w="710"/>
        <w:gridCol w:w="710"/>
        <w:gridCol w:w="706"/>
        <w:gridCol w:w="706"/>
        <w:gridCol w:w="617"/>
        <w:gridCol w:w="706"/>
      </w:tblGrid>
      <w:tr w:rsidR="00BA3501" w:rsidTr="00BA3501">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761" w:type="pct"/>
            <w:noWrap/>
          </w:tcPr>
          <w:p w:rsidR="00BA3501" w:rsidRDefault="00BA3501">
            <w:pPr>
              <w:keepNext/>
              <w:spacing w:before="0" w:beforeAutospacing="0" w:after="0" w:afterAutospacing="0"/>
              <w:jc w:val="both"/>
              <w:rPr>
                <w:rFonts w:cs="Arial"/>
                <w:noProof/>
                <w:color w:val="FFFFFF" w:themeColor="background1"/>
                <w:szCs w:val="16"/>
              </w:rPr>
            </w:pP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2009</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2010</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2011</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2012</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2013</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2014</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2015</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2016</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2017</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2018</w:t>
            </w:r>
          </w:p>
        </w:tc>
        <w:tc>
          <w:tcPr>
            <w:tcW w:w="309"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2019</w:t>
            </w:r>
          </w:p>
        </w:tc>
        <w:tc>
          <w:tcPr>
            <w:tcW w:w="357" w:type="pct"/>
            <w:shd w:val="clear" w:color="auto" w:fill="648C1A"/>
            <w:noWrap/>
          </w:tcPr>
          <w:p w:rsidR="00BA3501" w:rsidRDefault="002C1285">
            <w:pPr>
              <w:keepNext/>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rPr>
              <w:t>2020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Belgia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Bulgaaria</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372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357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528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641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601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610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691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420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471</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411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341</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Tšehhi Vabariik</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1 145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1 039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947</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863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892</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678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643</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Taani</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694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834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1 123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1 106</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1 223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1 452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552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619</w:t>
            </w:r>
          </w:p>
        </w:tc>
        <w:tc>
          <w:tcPr>
            <w:tcW w:w="309"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63</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Saksamaa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6 895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8 436</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6 546</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9 390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7 272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7 911</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4 130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5 976</w:t>
            </w:r>
          </w:p>
        </w:tc>
        <w:tc>
          <w:tcPr>
            <w:tcW w:w="309"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3 065</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Eesti</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101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135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122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154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163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186</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235</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279</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296</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Iirimaa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111</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−142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−239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−366</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Kreeka</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137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201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320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242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195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137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−162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737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743</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683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529</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Hispaania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2 290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3 083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2 720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3 357</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1 990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2 963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2 049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2 793</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 xml:space="preserve"> </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839</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Prantsusmaa</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−641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−2 708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−1 877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−1 565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−3 721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−4 048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−4 075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Itaalia</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8 324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8 613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7 405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10 011</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10 937</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9 343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9 468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7 789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7 259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5 828</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4 462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3 397</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Küpros</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29</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29</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57</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34</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Läti</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-127</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09"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Luksemburg</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-50</w:t>
            </w:r>
          </w:p>
        </w:tc>
        <w:tc>
          <w:tcPr>
            <w:tcW w:w="309"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-120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Ungari</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968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1 150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1 213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1 295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883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970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803</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09"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Malta</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10</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09"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Madalmaad</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Austria</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Poola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543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729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929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530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174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968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968</w:t>
            </w:r>
          </w:p>
        </w:tc>
        <w:tc>
          <w:tcPr>
            <w:tcW w:w="309"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587</w:t>
            </w:r>
          </w:p>
        </w:tc>
      </w:tr>
      <w:tr w:rsidR="00BA3501" w:rsidTr="00BA3501">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Portugal</w:t>
            </w: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128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154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131</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Rumeenia</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1 153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1 306</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794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942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645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692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1 089</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886</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258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405</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263</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Sloveenia</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Slovakkia</w:t>
            </w: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357"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302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254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142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222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305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364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90</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110</w:t>
            </w:r>
          </w:p>
        </w:tc>
        <w:tc>
          <w:tcPr>
            <w:tcW w:w="309" w:type="pct"/>
            <w:noWrap/>
          </w:tcPr>
          <w:p w:rsidR="00BA3501" w:rsidRDefault="00BA3501">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Soome</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bookmarkStart w:id="7" w:name="RANGE!C29"/>
      <w:tr w:rsidR="00BA3501" w:rsidTr="00BA3501">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rPr>
              <w:fldChar w:fldCharType="begin"/>
            </w:r>
            <w:r>
              <w:rPr>
                <w:noProof/>
              </w:rPr>
              <w:instrText xml:space="preserve">HYPERLINK </w:instrText>
            </w:r>
            <w:r>
              <w:rPr>
                <w:noProof/>
              </w:rPr>
              <w:instrText>"file:///C:\\Users\\fvonbluecher\\Desktop\\stuff\\2020%20PREBS\\Cooperation%20mechanism%20overview.xlsx" \l "RANGE!#REF!"</w:instrText>
            </w:r>
            <w:r>
              <w:rPr>
                <w:noProof/>
              </w:rPr>
              <w:fldChar w:fldCharType="separate"/>
            </w:r>
            <w:r>
              <w:rPr>
                <w:noProof/>
                <w:color w:val="FFFFFF" w:themeColor="background1"/>
              </w:rPr>
              <w:t>Rootsi</w:t>
            </w:r>
            <w:r>
              <w:rPr>
                <w:noProof/>
              </w:rPr>
              <w:fldChar w:fldCharType="end"/>
            </w:r>
            <w:bookmarkEnd w:id="7"/>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2 407</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2 141</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2 482</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3 318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3 214</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3 335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3 347</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3 475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3 215</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3 610</w:t>
            </w:r>
          </w:p>
        </w:tc>
        <w:tc>
          <w:tcPr>
            <w:tcW w:w="309"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3 428</w:t>
            </w:r>
          </w:p>
        </w:tc>
        <w:tc>
          <w:tcPr>
            <w:tcW w:w="357" w:type="pct"/>
            <w:noWrap/>
          </w:tcPr>
          <w:p w:rsidR="00BA3501" w:rsidRDefault="002C1285">
            <w:pPr>
              <w:keepNext/>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3 241</w:t>
            </w:r>
          </w:p>
        </w:tc>
      </w:tr>
      <w:tr w:rsidR="00BA3501" w:rsidTr="00BA350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61" w:type="pct"/>
            <w:noWrap/>
          </w:tcPr>
          <w:p w:rsidR="00BA3501" w:rsidRDefault="002C1285">
            <w:pPr>
              <w:keepNext/>
              <w:spacing w:before="0" w:beforeAutospacing="0" w:after="0" w:afterAutospacing="0"/>
              <w:jc w:val="both"/>
              <w:rPr>
                <w:rFonts w:cs="Arial"/>
                <w:b w:val="0"/>
                <w:noProof/>
                <w:color w:val="FFFFFF" w:themeColor="background1"/>
                <w:szCs w:val="16"/>
              </w:rPr>
            </w:pPr>
            <w:r>
              <w:rPr>
                <w:noProof/>
                <w:color w:val="FFFFFF" w:themeColor="background1"/>
              </w:rPr>
              <w:t xml:space="preserve">Kokku </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11 985</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13 544</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20 838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28 332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26 660</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27 033</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23 901</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23 038</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20 722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22 752</w:t>
            </w:r>
          </w:p>
        </w:tc>
        <w:tc>
          <w:tcPr>
            <w:tcW w:w="309"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9 982</w:t>
            </w:r>
          </w:p>
        </w:tc>
        <w:tc>
          <w:tcPr>
            <w:tcW w:w="357" w:type="pct"/>
            <w:noWrap/>
          </w:tcPr>
          <w:p w:rsidR="00BA3501" w:rsidRDefault="002C1285">
            <w:pPr>
              <w:keepNext/>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rPr>
              <w:t>12 564</w:t>
            </w:r>
          </w:p>
        </w:tc>
      </w:tr>
    </w:tbl>
    <w:p w:rsidR="00BA3501" w:rsidRDefault="002C1285">
      <w:pPr>
        <w:keepNext/>
        <w:jc w:val="both"/>
        <w:rPr>
          <w:rFonts w:ascii="Times New Roman" w:hAnsi="Times New Roman" w:cs="Times New Roman"/>
          <w:i/>
          <w:noProof/>
          <w:sz w:val="24"/>
        </w:rPr>
      </w:pPr>
      <w:r>
        <w:rPr>
          <w:rFonts w:ascii="Times New Roman" w:hAnsi="Times New Roman"/>
          <w:b/>
          <w:noProof/>
          <w:sz w:val="24"/>
        </w:rPr>
        <w:t>Tabel 1.</w:t>
      </w:r>
      <w:r>
        <w:rPr>
          <w:rFonts w:ascii="Times New Roman" w:hAnsi="Times New Roman"/>
          <w:noProof/>
          <w:sz w:val="24"/>
        </w:rPr>
        <w:t xml:space="preserve"> </w:t>
      </w:r>
      <w:r>
        <w:rPr>
          <w:rFonts w:ascii="Times New Roman" w:hAnsi="Times New Roman"/>
          <w:i/>
          <w:noProof/>
          <w:sz w:val="24"/>
        </w:rPr>
        <w:t>Taastuvenergia tootmise tegelik ja hinnanguline ülejääk ja/või puudujääk liikmesriikides võrreldes soovituslike vahe-eesmärkidega (ktoe – tuhandetes naftaekvivalenttonnides). Allikas: Navigant 2019</w:t>
      </w:r>
      <w:r>
        <w:rPr>
          <w:rStyle w:val="FootnoteReference"/>
          <w:rFonts w:ascii="Times New Roman" w:hAnsi="Times New Roman"/>
          <w:i/>
          <w:noProof/>
          <w:sz w:val="24"/>
        </w:rPr>
        <w:footnoteReference w:id="27"/>
      </w:r>
      <w:r>
        <w:rPr>
          <w:rFonts w:ascii="Times New Roman" w:hAnsi="Times New Roman"/>
          <w:i/>
          <w:noProof/>
          <w:sz w:val="24"/>
        </w:rPr>
        <w:t xml:space="preserve">, </w:t>
      </w:r>
      <w:r>
        <w:rPr>
          <w:rFonts w:ascii="Times New Roman" w:hAnsi="Times New Roman"/>
          <w:i/>
          <w:noProof/>
          <w:sz w:val="24"/>
        </w:rPr>
        <w:t>liikmesriikide aruanded</w:t>
      </w:r>
      <w:r>
        <w:rPr>
          <w:rStyle w:val="FootnoteReference"/>
          <w:rFonts w:ascii="Times New Roman" w:hAnsi="Times New Roman"/>
          <w:i/>
          <w:noProof/>
          <w:sz w:val="24"/>
        </w:rPr>
        <w:footnoteReference w:id="28"/>
      </w:r>
      <w:r>
        <w:rPr>
          <w:rFonts w:ascii="Times New Roman" w:hAnsi="Times New Roman"/>
          <w:i/>
          <w:noProof/>
          <w:sz w:val="24"/>
        </w:rPr>
        <w:t>.</w:t>
      </w:r>
    </w:p>
    <w:p w:rsidR="00BA3501" w:rsidRDefault="002C1285">
      <w:pPr>
        <w:pStyle w:val="Heading2"/>
        <w:spacing w:after="120"/>
        <w:ind w:left="714" w:hanging="357"/>
        <w:rPr>
          <w:noProof/>
        </w:rPr>
      </w:pPr>
      <w:bookmarkStart w:id="8" w:name="_Toc1149222"/>
      <w:r>
        <w:rPr>
          <w:noProof/>
        </w:rPr>
        <w:t>Prognoos</w:t>
      </w:r>
      <w:bookmarkEnd w:id="8"/>
      <w:r>
        <w:rPr>
          <w:noProof/>
        </w:rPr>
        <w:t xml:space="preserve"> </w:t>
      </w:r>
    </w:p>
    <w:p w:rsidR="00BA3501" w:rsidRDefault="002C1285">
      <w:pPr>
        <w:jc w:val="both"/>
        <w:rPr>
          <w:rFonts w:ascii="Times New Roman" w:hAnsi="Times New Roman" w:cs="Times New Roman"/>
          <w:noProof/>
          <w:sz w:val="24"/>
          <w:szCs w:val="24"/>
        </w:rPr>
      </w:pPr>
      <w:r>
        <w:rPr>
          <w:rFonts w:ascii="Times New Roman" w:hAnsi="Times New Roman"/>
          <w:noProof/>
          <w:sz w:val="24"/>
        </w:rPr>
        <w:t>2020. aasta eesmärgi saavutatavuse hindamiseks korraldas komisjon modelleerimise</w:t>
      </w:r>
      <w:r>
        <w:rPr>
          <w:rStyle w:val="FootnoteReference"/>
          <w:rFonts w:ascii="Times New Roman" w:hAnsi="Times New Roman"/>
          <w:noProof/>
          <w:sz w:val="24"/>
        </w:rPr>
        <w:footnoteReference w:id="29"/>
      </w:r>
      <w:r>
        <w:rPr>
          <w:rFonts w:ascii="Times New Roman" w:hAnsi="Times New Roman"/>
          <w:noProof/>
          <w:sz w:val="24"/>
        </w:rPr>
        <w:t xml:space="preserve">. Analüüsiti, kas praegused taastuvenergia alased poliitikaalgatused (vastavalt liikmesriikide arenguaruannete andmetele) ning neid </w:t>
      </w:r>
      <w:r>
        <w:rPr>
          <w:rFonts w:ascii="Times New Roman" w:hAnsi="Times New Roman"/>
          <w:noProof/>
          <w:sz w:val="24"/>
        </w:rPr>
        <w:t>täiendavad kavandatud poliitikaalgatused on piisavad selleks, et jõuda igas liikmesriigis kuni 2020. aastani eesmärgiks seatud taastuvenergia kasutamise tasemele. Modelleerimise tulemusena leiti, et praegu rakendatavate ja kavandatavate taastuvenergia alga</w:t>
      </w:r>
      <w:r>
        <w:rPr>
          <w:rFonts w:ascii="Times New Roman" w:hAnsi="Times New Roman"/>
          <w:noProof/>
          <w:sz w:val="24"/>
        </w:rPr>
        <w:t>tuste abil võib 2020. aastaks ELi tasandil saavutatav taastuvenergia osa olla 18,1%–20,7%</w:t>
      </w:r>
      <w:r>
        <w:rPr>
          <w:rFonts w:ascii="Times New Roman" w:hAnsi="Times New Roman"/>
          <w:noProof/>
          <w:sz w:val="24"/>
          <w:vertAlign w:val="superscript"/>
        </w:rPr>
        <w:footnoteReference w:id="30"/>
      </w:r>
      <w:r>
        <w:rPr>
          <w:rFonts w:ascii="Times New Roman" w:hAnsi="Times New Roman"/>
          <w:noProof/>
          <w:sz w:val="24"/>
        </w:rPr>
        <w:t xml:space="preserve">. Eeldatavalt saavutavad mitu riiki tähtpäevani jäänud aja kestel häid tulemusi, saavutades oma eesmärgist suurema osa. </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Ilmnes, et 11 liikmesriigis (Belgia, Küpros, </w:t>
      </w:r>
      <w:r>
        <w:rPr>
          <w:rFonts w:ascii="Times New Roman" w:hAnsi="Times New Roman"/>
          <w:noProof/>
          <w:sz w:val="24"/>
        </w:rPr>
        <w:t>Prantsusmaa, Kreeka, Iirimaa, Luksemburg, Malta, Madalmaad, Poola, Portugal ja Ühendkuningriik) ei ole praegu rakendatav taastuvenergia poliitika ega ka juba kavandatud algatused piisavad, et saavutada nõutavad taastuvenergia mahud üksnes kodumaiste vahend</w:t>
      </w:r>
      <w:r>
        <w:rPr>
          <w:rFonts w:ascii="Times New Roman" w:hAnsi="Times New Roman"/>
          <w:noProof/>
          <w:sz w:val="24"/>
        </w:rPr>
        <w:t xml:space="preserve">itega. </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Lisaks sellele on 7 liikmesriigis (Austria, Saksamaa, Läti, Rumeenia, Sloveenia, Slovakkia ja Hispaania) 2020. aasta taastuvenergia eesmärgi saavutamine mõnevõrra ebakindel. Nende suutlikkus saavutada 2020. aasta siduvad riiklikud eesmärgid oleneb </w:t>
      </w:r>
      <w:r>
        <w:rPr>
          <w:rFonts w:ascii="Times New Roman" w:hAnsi="Times New Roman"/>
          <w:noProof/>
          <w:sz w:val="24"/>
        </w:rPr>
        <w:t>suurel määral energianõudluse tasemest: kui energianõudlus peaks järsult kasvama, hakkab nende energiatarbimine uuesti järgima viimases ELi võrdlusstsenaariumis osutatud algsuundumust. Tulemused, mis arvestavad Luksemburgi, Eesti ja Leedu kokkulepitud koos</w:t>
      </w:r>
      <w:r>
        <w:rPr>
          <w:rFonts w:ascii="Times New Roman" w:hAnsi="Times New Roman"/>
          <w:noProof/>
          <w:sz w:val="24"/>
        </w:rPr>
        <w:t xml:space="preserve">töömehhanisme, on esitatud joonisel 4. </w:t>
      </w:r>
    </w:p>
    <w:p w:rsidR="00BA3501" w:rsidRDefault="002C1285">
      <w:pPr>
        <w:jc w:val="both"/>
        <w:rPr>
          <w:rFonts w:ascii="Times New Roman" w:hAnsi="Times New Roman" w:cs="Times New Roman"/>
          <w:b/>
          <w:noProof/>
          <w:sz w:val="24"/>
          <w:szCs w:val="24"/>
        </w:rPr>
      </w:pPr>
      <w:r>
        <w:rPr>
          <w:rFonts w:ascii="Times New Roman" w:hAnsi="Times New Roman" w:cs="Times New Roman"/>
          <w:noProof/>
          <w:sz w:val="24"/>
          <w:szCs w:val="24"/>
          <w:lang w:val="fr-BE" w:eastAsia="fr-BE" w:bidi="ar-SA"/>
        </w:rPr>
        <w:drawing>
          <wp:inline distT="0" distB="0" distL="0" distR="0">
            <wp:extent cx="5795325" cy="270408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95325" cy="2704088"/>
                    </a:xfrm>
                    <a:prstGeom prst="rect">
                      <a:avLst/>
                    </a:prstGeom>
                    <a:noFill/>
                  </pic:spPr>
                </pic:pic>
              </a:graphicData>
            </a:graphic>
          </wp:inline>
        </w:drawing>
      </w:r>
    </w:p>
    <w:p w:rsidR="00BA3501" w:rsidRDefault="002C1285">
      <w:pPr>
        <w:jc w:val="both"/>
        <w:rPr>
          <w:rFonts w:ascii="Times New Roman" w:hAnsi="Times New Roman" w:cs="Times New Roman"/>
          <w:i/>
          <w:noProof/>
          <w:sz w:val="24"/>
          <w:szCs w:val="24"/>
        </w:rPr>
      </w:pPr>
      <w:r>
        <w:rPr>
          <w:rFonts w:ascii="Times New Roman" w:hAnsi="Times New Roman"/>
          <w:b/>
          <w:noProof/>
          <w:sz w:val="24"/>
        </w:rPr>
        <w:t>Joonis 3.</w:t>
      </w:r>
      <w:r>
        <w:rPr>
          <w:rFonts w:ascii="Times New Roman" w:hAnsi="Times New Roman"/>
          <w:noProof/>
          <w:sz w:val="24"/>
        </w:rPr>
        <w:t xml:space="preserve"> </w:t>
      </w:r>
      <w:r>
        <w:rPr>
          <w:rFonts w:ascii="Times New Roman" w:hAnsi="Times New Roman"/>
          <w:i/>
          <w:noProof/>
          <w:sz w:val="24"/>
        </w:rPr>
        <w:t xml:space="preserve">Oodatav taastuvenergia osa 2020. aastal võrreldes taastuvenergia direktiivi 2020. aasta eesmärkide ja riiklike taastuvenergia tegevuskavade 2020. aasta eesmärkidega (%) </w:t>
      </w:r>
      <w:r>
        <w:rPr>
          <w:rFonts w:ascii="Times New Roman" w:hAnsi="Times New Roman"/>
          <w:i/>
          <w:noProof/>
          <w:sz w:val="24"/>
          <w:u w:val="single"/>
        </w:rPr>
        <w:t>koostööd arvestamata</w:t>
      </w:r>
      <w:r>
        <w:rPr>
          <w:rFonts w:ascii="Times New Roman" w:hAnsi="Times New Roman"/>
          <w:i/>
          <w:noProof/>
          <w:sz w:val="24"/>
        </w:rPr>
        <w:t xml:space="preserve"> (Navigant 2019</w:t>
      </w:r>
      <w:r>
        <w:rPr>
          <w:rStyle w:val="FootnoteReference"/>
          <w:rFonts w:ascii="Times New Roman" w:hAnsi="Times New Roman"/>
          <w:i/>
          <w:noProof/>
          <w:sz w:val="24"/>
        </w:rPr>
        <w:footnoteReference w:id="31"/>
      </w:r>
      <w:r>
        <w:rPr>
          <w:rFonts w:ascii="Times New Roman" w:hAnsi="Times New Roman"/>
          <w:i/>
          <w:noProof/>
          <w:sz w:val="24"/>
        </w:rPr>
        <w:t>).</w:t>
      </w:r>
    </w:p>
    <w:p w:rsidR="00BA3501" w:rsidRDefault="002C1285">
      <w:pPr>
        <w:jc w:val="both"/>
        <w:rPr>
          <w:rFonts w:ascii="Times New Roman" w:hAnsi="Times New Roman" w:cs="Times New Roman"/>
          <w:bCs/>
          <w:noProof/>
          <w:sz w:val="24"/>
          <w:szCs w:val="24"/>
        </w:rPr>
      </w:pPr>
      <w:r>
        <w:rPr>
          <w:rFonts w:ascii="Times New Roman" w:hAnsi="Times New Roman" w:cs="Times New Roman"/>
          <w:bCs/>
          <w:noProof/>
          <w:sz w:val="24"/>
          <w:szCs w:val="24"/>
          <w:lang w:val="fr-BE" w:eastAsia="fr-BE" w:bidi="ar-SA"/>
        </w:rPr>
        <w:drawing>
          <wp:inline distT="0" distB="0" distL="0" distR="0">
            <wp:extent cx="5747393" cy="2671703"/>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47393" cy="2671703"/>
                    </a:xfrm>
                    <a:prstGeom prst="rect">
                      <a:avLst/>
                    </a:prstGeom>
                    <a:noFill/>
                  </pic:spPr>
                </pic:pic>
              </a:graphicData>
            </a:graphic>
          </wp:inline>
        </w:drawing>
      </w:r>
    </w:p>
    <w:p w:rsidR="00BA3501" w:rsidRDefault="002C1285">
      <w:pPr>
        <w:jc w:val="both"/>
        <w:rPr>
          <w:rFonts w:ascii="Times New Roman" w:hAnsi="Times New Roman" w:cs="Times New Roman"/>
          <w:i/>
          <w:noProof/>
          <w:sz w:val="24"/>
          <w:szCs w:val="24"/>
        </w:rPr>
      </w:pPr>
      <w:bookmarkStart w:id="9" w:name="_Ref527045038"/>
      <w:r>
        <w:rPr>
          <w:rFonts w:ascii="Times New Roman" w:hAnsi="Times New Roman"/>
          <w:b/>
          <w:noProof/>
          <w:sz w:val="24"/>
        </w:rPr>
        <w:t xml:space="preserve">Joonis </w:t>
      </w:r>
      <w:bookmarkEnd w:id="9"/>
      <w:r>
        <w:rPr>
          <w:rFonts w:ascii="Times New Roman" w:hAnsi="Times New Roman"/>
          <w:b/>
          <w:noProof/>
          <w:sz w:val="24"/>
        </w:rPr>
        <w:t>4</w:t>
      </w:r>
      <w:r>
        <w:rPr>
          <w:rFonts w:ascii="Times New Roman" w:hAnsi="Times New Roman"/>
          <w:noProof/>
          <w:sz w:val="24"/>
        </w:rPr>
        <w:t xml:space="preserve">. </w:t>
      </w:r>
      <w:r>
        <w:rPr>
          <w:rFonts w:ascii="Times New Roman" w:hAnsi="Times New Roman"/>
          <w:i/>
          <w:noProof/>
          <w:sz w:val="24"/>
        </w:rPr>
        <w:t xml:space="preserve">Oodatav taastuvenergia osa 2020. aastal võrreldes taastuvenergia direktiivi 2020. aasta eesmärkide ja riiklike taastuvenergia tegevuskavade 2020. aasta eesmärkidega (liikmesriigid, %) </w:t>
      </w:r>
      <w:r>
        <w:rPr>
          <w:rFonts w:ascii="Times New Roman" w:hAnsi="Times New Roman"/>
          <w:i/>
          <w:noProof/>
          <w:sz w:val="24"/>
          <w:u w:val="single"/>
        </w:rPr>
        <w:t>koostöömehhanisme arvestades.</w:t>
      </w:r>
      <w:r>
        <w:rPr>
          <w:rFonts w:ascii="Times New Roman" w:hAnsi="Times New Roman"/>
          <w:i/>
          <w:noProof/>
          <w:sz w:val="24"/>
        </w:rPr>
        <w:t xml:space="preserve"> Allikas: Navigant 2019.</w:t>
      </w:r>
    </w:p>
    <w:p w:rsidR="00BA3501" w:rsidRDefault="002C1285">
      <w:pPr>
        <w:jc w:val="both"/>
        <w:rPr>
          <w:rFonts w:ascii="Times New Roman" w:hAnsi="Times New Roman" w:cs="Times New Roman"/>
          <w:noProof/>
          <w:sz w:val="24"/>
          <w:szCs w:val="24"/>
        </w:rPr>
      </w:pPr>
      <w:r>
        <w:rPr>
          <w:rFonts w:ascii="Times New Roman" w:hAnsi="Times New Roman"/>
          <w:noProof/>
          <w:sz w:val="24"/>
        </w:rPr>
        <w:t>Luksemburgi suhteliselt väikese energia kogutarbimise tõttu on Eesti ja Leedu ülekannetel märgatav mõju Luksemburgi suutlikkusele oma eesmärk saavutada: Luksemburg võib oma 11% sihttaseme 2020. aastaks saavutadagi kõige optimistlikuma stsenaariumi kohaselt</w:t>
      </w:r>
      <w:r>
        <w:rPr>
          <w:rFonts w:ascii="Times New Roman" w:hAnsi="Times New Roman"/>
          <w:noProof/>
          <w:sz w:val="24"/>
        </w:rPr>
        <w:t>. Nende ülekannete mõju Eesti ja Leedu taastuvenergia osale on vähene – ka kõige negatiivsema stsenaariumi korral väheneb taastuvenergia osa Eesti puhul 0,7% ja Leedu puhul 0,9%.</w:t>
      </w:r>
    </w:p>
    <w:p w:rsidR="00BA3501" w:rsidRDefault="002C1285">
      <w:pPr>
        <w:jc w:val="both"/>
        <w:rPr>
          <w:rFonts w:ascii="Times New Roman" w:hAnsi="Times New Roman" w:cs="Times New Roman"/>
          <w:noProof/>
          <w:sz w:val="24"/>
          <w:szCs w:val="24"/>
        </w:rPr>
      </w:pPr>
      <w:bookmarkStart w:id="10" w:name="_Toc1149223"/>
      <w:r>
        <w:rPr>
          <w:rFonts w:ascii="Times New Roman" w:hAnsi="Times New Roman"/>
          <w:noProof/>
          <w:sz w:val="24"/>
        </w:rPr>
        <w:t xml:space="preserve">Edaspidiseks on kõik liikmesriigid vastavalt riiklike energia- ja </w:t>
      </w:r>
      <w:r>
        <w:rPr>
          <w:rFonts w:ascii="Times New Roman" w:hAnsi="Times New Roman"/>
          <w:noProof/>
          <w:sz w:val="24"/>
        </w:rPr>
        <w:t>kliimakavade projektidele aastaks 2030</w:t>
      </w:r>
      <w:r>
        <w:rPr>
          <w:rStyle w:val="FootnoteReference"/>
          <w:rFonts w:ascii="Times New Roman" w:hAnsi="Times New Roman"/>
          <w:noProof/>
          <w:sz w:val="24"/>
        </w:rPr>
        <w:footnoteReference w:id="32"/>
      </w:r>
      <w:r>
        <w:rPr>
          <w:rFonts w:ascii="Times New Roman" w:hAnsi="Times New Roman"/>
          <w:noProof/>
          <w:sz w:val="24"/>
        </w:rPr>
        <w:t xml:space="preserve"> juba kindlaks määranud oma panuse ELi tasandi siduva eesmärgi, vähemalt 32% saavutamisse, mis muudab taastuvad energiaallikad liidu energiasüsteemi selgrooks. Juuniks 2019 hindab komisjon nende panuste ning seonduva </w:t>
      </w:r>
      <w:r>
        <w:rPr>
          <w:rFonts w:ascii="Times New Roman" w:hAnsi="Times New Roman"/>
          <w:noProof/>
          <w:sz w:val="24"/>
        </w:rPr>
        <w:t>poliitika ja meetmete vastavust liidu eesmärgile ning annab vajaduse korral liikmesriikidele soovitused.</w:t>
      </w:r>
    </w:p>
    <w:p w:rsidR="00BA3501" w:rsidRDefault="002C1285">
      <w:pPr>
        <w:pStyle w:val="Heading2"/>
        <w:spacing w:after="120"/>
        <w:ind w:left="714" w:hanging="357"/>
        <w:rPr>
          <w:noProof/>
        </w:rPr>
      </w:pPr>
      <w:r>
        <w:rPr>
          <w:noProof/>
        </w:rPr>
        <w:t>Haldustõkked</w:t>
      </w:r>
      <w:bookmarkEnd w:id="10"/>
    </w:p>
    <w:p w:rsidR="00BA3501" w:rsidRDefault="002C1285">
      <w:pPr>
        <w:jc w:val="both"/>
        <w:rPr>
          <w:rFonts w:ascii="Times New Roman" w:hAnsi="Times New Roman" w:cs="Times New Roman"/>
          <w:noProof/>
          <w:sz w:val="24"/>
          <w:szCs w:val="24"/>
        </w:rPr>
      </w:pPr>
      <w:r>
        <w:rPr>
          <w:rFonts w:ascii="Times New Roman" w:hAnsi="Times New Roman"/>
          <w:noProof/>
          <w:sz w:val="24"/>
        </w:rPr>
        <w:t>Oma 4. taastuvenergia arenguaruannetes käsitlevad liikmesriigid meetmeid taastuvenergia projektidega seotud haldusmenetluste tõhustamiseks</w:t>
      </w:r>
      <w:r>
        <w:rPr>
          <w:rFonts w:ascii="Times New Roman" w:hAnsi="Times New Roman"/>
          <w:noProof/>
          <w:sz w:val="24"/>
        </w:rPr>
        <w:t xml:space="preserve"> (I taastuvenergia direktiivi artikli 13 alusel). Välisanalüüsi kohaselt</w:t>
      </w:r>
      <w:r>
        <w:rPr>
          <w:rFonts w:ascii="Times New Roman" w:hAnsi="Times New Roman"/>
          <w:noProof/>
          <w:sz w:val="24"/>
          <w:vertAlign w:val="superscript"/>
        </w:rPr>
        <w:footnoteReference w:id="33"/>
      </w:r>
      <w:r>
        <w:rPr>
          <w:rFonts w:ascii="Times New Roman" w:hAnsi="Times New Roman"/>
          <w:noProof/>
          <w:sz w:val="24"/>
        </w:rPr>
        <w:t xml:space="preserve"> on suur osa asjakohaseid I taastuvenergia direktiivist tulenevaid meetmeid liikmesriikides üldiselt edukalt rakendatud. Meetmed hõlmavad muu hulgas järgmist: lihtsustatud menetlused </w:t>
      </w:r>
      <w:r>
        <w:rPr>
          <w:rFonts w:ascii="Times New Roman" w:hAnsi="Times New Roman"/>
          <w:noProof/>
          <w:sz w:val="24"/>
        </w:rPr>
        <w:t>väikesemahuliste projektide puhul, nõuded võrguettevõtjatele esitada kulukalkulatsioonid ja muu vajalik teave, nõuded taastuvenergia võrguarenduskulude ja võrguga liitumise kulude jaotamise kohta, taastuvatest energiaallikatest elektri tootmisega arvestami</w:t>
      </w:r>
      <w:r>
        <w:rPr>
          <w:rFonts w:ascii="Times New Roman" w:hAnsi="Times New Roman"/>
          <w:noProof/>
          <w:sz w:val="24"/>
        </w:rPr>
        <w:t>ne riiklikus võrguarenduskavas ning taastuvenergia kasutamist edendavate toetuskavade olemasolu.</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Vaatamata sellele on ehitus- ja planeerimismenetlustega seotud haldustõkked viimastel aastatel suurenenud. Elektrienergia tootmises on areng suurte projektide </w:t>
      </w:r>
      <w:r>
        <w:rPr>
          <w:rFonts w:ascii="Times New Roman" w:hAnsi="Times New Roman"/>
          <w:noProof/>
          <w:sz w:val="24"/>
        </w:rPr>
        <w:t>suunas loonud mõningaid tõkkeid, sest sellistel projektidel on ruumi- ja keskkonnaplaneerimisega seotud lisanõuded. Kütte- ja jahutussektoris tulenevad tõkked peamiselt puudustest, mis on seotud kaugküttevõrkude võimsusega, transpordisektoris aga nii biokü</w:t>
      </w:r>
      <w:r>
        <w:rPr>
          <w:rFonts w:ascii="Times New Roman" w:hAnsi="Times New Roman"/>
          <w:noProof/>
          <w:sz w:val="24"/>
        </w:rPr>
        <w:t>tusel töötavate kui ka elektrisõidukite jaoks sobiva taristu puudumisest. Taastuvate energiaallikate kasvava võimsuse lisamine võrku on samuti jätkuv väljakutse enamikus liikmesriikides. Tõkked tulenevad peamiselt võrguühendustega seotud suurtest kuludest,</w:t>
      </w:r>
      <w:r>
        <w:rPr>
          <w:rFonts w:ascii="Times New Roman" w:hAnsi="Times New Roman"/>
          <w:noProof/>
          <w:sz w:val="24"/>
        </w:rPr>
        <w:t xml:space="preserve"> samuti võrguühenduse menetluste vähesest prognoositavusest ja läbipaistvusest. </w:t>
      </w:r>
    </w:p>
    <w:p w:rsidR="00BA3501" w:rsidRDefault="002C1285">
      <w:pPr>
        <w:pStyle w:val="Heading1"/>
        <w:rPr>
          <w:noProof/>
        </w:rPr>
      </w:pPr>
      <w:bookmarkStart w:id="11" w:name="_Toc1149224"/>
      <w:r>
        <w:rPr>
          <w:noProof/>
        </w:rPr>
        <w:t>4. BIOKÜTUSTE JÄTKUSUUTLIKKUSE HINDAMINE</w:t>
      </w:r>
      <w:bookmarkEnd w:id="11"/>
      <w:r>
        <w:rPr>
          <w:noProof/>
          <w:vertAlign w:val="superscript"/>
        </w:rPr>
        <w:footnoteReference w:id="34"/>
      </w:r>
      <w:r>
        <w:rPr>
          <w:noProof/>
        </w:rPr>
        <w:t xml:space="preserve"> </w:t>
      </w:r>
    </w:p>
    <w:p w:rsidR="00BA3501" w:rsidRDefault="002C1285">
      <w:pPr>
        <w:pStyle w:val="Heading2"/>
        <w:numPr>
          <w:ilvl w:val="0"/>
          <w:numId w:val="28"/>
        </w:numPr>
        <w:spacing w:after="120"/>
        <w:rPr>
          <w:noProof/>
        </w:rPr>
      </w:pPr>
      <w:r>
        <w:rPr>
          <w:noProof/>
        </w:rPr>
        <w:t>Ülevaade biokütuste tarbimisest ELis</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2016. aastal kasvas ELis säästva biokütuse tarbimine 13 840 ktoe. Sellest moodustas 11 083 ktoe</w:t>
      </w:r>
      <w:r>
        <w:rPr>
          <w:rFonts w:ascii="Times New Roman" w:hAnsi="Times New Roman"/>
          <w:noProof/>
          <w:sz w:val="24"/>
        </w:rPr>
        <w:t xml:space="preserve"> (80%) biodiislikütus ja 2620 ktoe (19%) bioetanool. Enamik ELis 2016. aastal tarbitud biodiislikütusest (64%) oli toodetud EList pärinevast lähteainest, peamiselt rapsist (~38%), kasutatud toiduõlist (13%), loomsest rasvast (8%) ja tallõlist (2,5%). Ülejä</w:t>
      </w:r>
      <w:r>
        <w:rPr>
          <w:rFonts w:ascii="Times New Roman" w:hAnsi="Times New Roman"/>
          <w:noProof/>
          <w:sz w:val="24"/>
        </w:rPr>
        <w:t>änud 36% ELis tarbitud biodiislikütusest toodeti 19,6% Indoneesia (13,3%) ja Malaisia (6,3%) päritoluga palmiõlist, 6,1% peamiselt Austraalia (2,6%), Ukraina (1,8%) ja Kanada (1,2%) päritoluga rapsist, 4,8% eri riikidest ELi imporditud kasutatud toiduõlist</w:t>
      </w:r>
      <w:r>
        <w:rPr>
          <w:rFonts w:ascii="Times New Roman" w:hAnsi="Times New Roman"/>
          <w:noProof/>
          <w:sz w:val="24"/>
        </w:rPr>
        <w:t xml:space="preserve"> ja 4,3% peamiselt Ameerika Ühendriikide (1,5%) ja Brasiilia (1,5%) sojast.</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ELis tarbitav etanool toodetakse samuti peamiselt EList pärinevast lähteainest (65%), sealhulgas nisust (~25%), maisist (~22%) ja suhkrupeedist (17%) ning vaid väike osa (~1%) tsel</w:t>
      </w:r>
      <w:r>
        <w:rPr>
          <w:rFonts w:ascii="Times New Roman" w:hAnsi="Times New Roman"/>
          <w:noProof/>
          <w:sz w:val="24"/>
        </w:rPr>
        <w:t>luloosietanoolist. Väljastpoolt ELi pärineva etanoolipõhise lähteaine hulgas on mitmesuguse päritoluga mais (16,4%), nisu (2,9%) ja suhkruroog (2,9%). Peamised kolmandad riigid, kus toodetakse ELis tarbitava bioetanooli lähteainet, on Ukraina (9,8%), Venem</w:t>
      </w:r>
      <w:r>
        <w:rPr>
          <w:rFonts w:ascii="Times New Roman" w:hAnsi="Times New Roman"/>
          <w:noProof/>
          <w:sz w:val="24"/>
        </w:rPr>
        <w:t xml:space="preserve">aa (2,1%), Brasiilia (1,8%), USA (1,7%) ja Kanada (1,6%). </w:t>
      </w:r>
    </w:p>
    <w:p w:rsidR="00BA3501" w:rsidRDefault="002C1285">
      <w:pPr>
        <w:jc w:val="both"/>
        <w:rPr>
          <w:rFonts w:ascii="Times New Roman" w:hAnsi="Times New Roman" w:cs="Times New Roman"/>
          <w:i/>
          <w:noProof/>
          <w:sz w:val="24"/>
          <w:szCs w:val="24"/>
        </w:rPr>
      </w:pPr>
      <w:r>
        <w:rPr>
          <w:rFonts w:ascii="Times New Roman" w:hAnsi="Times New Roman"/>
          <w:noProof/>
          <w:sz w:val="24"/>
        </w:rPr>
        <w:t>Hinnangute kohaselt oli peaaegu kogu ELis 2016. aastal tarbitud biogaas toodetud kohalikust lähteainest, peamiselt taimekasvatussaadustest ning põllumajanduslikest ja/või toiduainetööstuse jäätmete</w:t>
      </w:r>
      <w:r>
        <w:rPr>
          <w:rFonts w:ascii="Times New Roman" w:hAnsi="Times New Roman"/>
          <w:noProof/>
          <w:sz w:val="24"/>
        </w:rPr>
        <w:t>st (sh sõnnik) (75%), neile järgnesid prügilagaas (16%) ja reoveesetete gaas (9%). Vedel biokütus andis 2016. aastal vähem kui 1% kogu ELis tarbitud bioenergiast ning selle päritolu on keeruline kindlaks teha, sest liikmesriikides ei peeta eraldi arvestust</w:t>
      </w:r>
      <w:r>
        <w:rPr>
          <w:rFonts w:ascii="Times New Roman" w:hAnsi="Times New Roman"/>
          <w:noProof/>
          <w:sz w:val="24"/>
        </w:rPr>
        <w:t xml:space="preserve"> biokütuse ja vedela biokütuse lähteainete üle. </w:t>
      </w:r>
    </w:p>
    <w:tbl>
      <w:tblPr>
        <w:tblStyle w:val="Tablestylegreen"/>
        <w:tblW w:w="0" w:type="auto"/>
        <w:tblLayout w:type="fixed"/>
        <w:tblLook w:val="04A0" w:firstRow="1" w:lastRow="0" w:firstColumn="1" w:lastColumn="0" w:noHBand="0" w:noVBand="1"/>
      </w:tblPr>
      <w:tblGrid>
        <w:gridCol w:w="1879"/>
        <w:gridCol w:w="709"/>
        <w:gridCol w:w="850"/>
        <w:gridCol w:w="914"/>
        <w:gridCol w:w="1071"/>
        <w:gridCol w:w="850"/>
        <w:gridCol w:w="851"/>
        <w:gridCol w:w="1134"/>
      </w:tblGrid>
      <w:tr w:rsidR="00BA3501" w:rsidTr="00BA3501">
        <w:trPr>
          <w:cnfStyle w:val="100000000000" w:firstRow="1" w:lastRow="0" w:firstColumn="0" w:lastColumn="0" w:oddVBand="0" w:evenVBand="0" w:oddHBand="0" w:evenHBand="0" w:firstRowFirstColumn="0" w:firstRowLastColumn="0" w:lastRowFirstColumn="0" w:lastRowLastColumn="0"/>
          <w:cantSplit/>
          <w:trHeight w:val="1357"/>
        </w:trPr>
        <w:tc>
          <w:tcPr>
            <w:cnfStyle w:val="001000000100" w:firstRow="0" w:lastRow="0" w:firstColumn="1" w:lastColumn="0" w:oddVBand="0" w:evenVBand="0" w:oddHBand="0" w:evenHBand="0" w:firstRowFirstColumn="1" w:firstRowLastColumn="0" w:lastRowFirstColumn="0" w:lastRowLastColumn="0"/>
            <w:tcW w:w="1879" w:type="dxa"/>
            <w:noWrap/>
            <w:vAlign w:val="top"/>
          </w:tcPr>
          <w:p w:rsidR="00BA3501" w:rsidRDefault="00BA3501">
            <w:pPr>
              <w:keepNext/>
              <w:keepLines/>
              <w:tabs>
                <w:tab w:val="left" w:pos="1446"/>
              </w:tabs>
              <w:spacing w:after="200" w:line="276" w:lineRule="auto"/>
              <w:contextualSpacing w:val="0"/>
              <w:rPr>
                <w:rFonts w:ascii="Times New Roman" w:eastAsiaTheme="minorHAnsi" w:hAnsi="Times New Roman" w:cstheme="minorBidi"/>
                <w:noProof/>
                <w:sz w:val="22"/>
                <w:szCs w:val="22"/>
              </w:rPr>
            </w:pPr>
          </w:p>
        </w:tc>
        <w:tc>
          <w:tcPr>
            <w:tcW w:w="709" w:type="dxa"/>
            <w:noWrap/>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Biogaas</w:t>
            </w:r>
          </w:p>
        </w:tc>
        <w:tc>
          <w:tcPr>
            <w:tcW w:w="850" w:type="dxa"/>
            <w:noWrap/>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Biobensiin</w:t>
            </w:r>
          </w:p>
        </w:tc>
        <w:tc>
          <w:tcPr>
            <w:tcW w:w="914" w:type="dxa"/>
            <w:noWrap/>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Biodiislikütus</w:t>
            </w:r>
          </w:p>
        </w:tc>
        <w:tc>
          <w:tcPr>
            <w:tcW w:w="1071" w:type="dxa"/>
            <w:noWrap/>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Muud vedelad biokütused</w:t>
            </w:r>
          </w:p>
        </w:tc>
        <w:tc>
          <w:tcPr>
            <w:tcW w:w="850" w:type="dxa"/>
            <w:noWrap/>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Lennuki biopetrool</w:t>
            </w:r>
          </w:p>
        </w:tc>
        <w:tc>
          <w:tcPr>
            <w:tcW w:w="851" w:type="dxa"/>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Vedelad biokütused kokku</w:t>
            </w:r>
          </w:p>
        </w:tc>
        <w:tc>
          <w:tcPr>
            <w:tcW w:w="1134" w:type="dxa"/>
            <w:textDirection w:val="btLr"/>
          </w:tcPr>
          <w:p w:rsidR="00BA3501" w:rsidRDefault="002C1285">
            <w:pPr>
              <w:keepNext/>
              <w:keepLines/>
              <w:spacing w:after="200" w:line="276" w:lineRule="auto"/>
              <w:contextualSpacing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Kokku</w:t>
            </w:r>
          </w:p>
        </w:tc>
      </w:tr>
      <w:tr w:rsidR="00BA3501" w:rsidTr="00BA350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Maanteeliiklus</w:t>
            </w:r>
          </w:p>
        </w:tc>
        <w:tc>
          <w:tcPr>
            <w:tcW w:w="709"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131</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2 619</w:t>
            </w:r>
          </w:p>
        </w:tc>
        <w:tc>
          <w:tcPr>
            <w:tcW w:w="914"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11 041</w:t>
            </w:r>
          </w:p>
        </w:tc>
        <w:tc>
          <w:tcPr>
            <w:tcW w:w="1071"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4,5</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w:t>
            </w:r>
          </w:p>
        </w:tc>
        <w:tc>
          <w:tcPr>
            <w:tcW w:w="851"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13,664</w:t>
            </w:r>
          </w:p>
        </w:tc>
        <w:tc>
          <w:tcPr>
            <w:tcW w:w="1134"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13 796</w:t>
            </w:r>
          </w:p>
        </w:tc>
      </w:tr>
      <w:tr w:rsidR="00BA3501" w:rsidTr="00BA3501">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Raudteeliiklus</w:t>
            </w:r>
          </w:p>
        </w:tc>
        <w:tc>
          <w:tcPr>
            <w:tcW w:w="709"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0,0</w:t>
            </w:r>
          </w:p>
        </w:tc>
        <w:tc>
          <w:tcPr>
            <w:tcW w:w="850" w:type="dxa"/>
            <w:noWrap/>
            <w:vAlign w:val="top"/>
          </w:tcPr>
          <w:p w:rsidR="00BA3501" w:rsidRDefault="00BA3501">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p>
        </w:tc>
        <w:tc>
          <w:tcPr>
            <w:tcW w:w="914"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32,9</w:t>
            </w:r>
          </w:p>
        </w:tc>
        <w:tc>
          <w:tcPr>
            <w:tcW w:w="1071"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w:t>
            </w:r>
          </w:p>
        </w:tc>
        <w:tc>
          <w:tcPr>
            <w:tcW w:w="851"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32,9</w:t>
            </w:r>
          </w:p>
        </w:tc>
        <w:tc>
          <w:tcPr>
            <w:tcW w:w="1134"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33,1</w:t>
            </w:r>
          </w:p>
        </w:tc>
      </w:tr>
      <w:tr w:rsidR="00BA3501" w:rsidTr="00BA350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Rahvusvaheline lennundus</w:t>
            </w:r>
          </w:p>
        </w:tc>
        <w:tc>
          <w:tcPr>
            <w:tcW w:w="709"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914"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1071"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1"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0,0</w:t>
            </w:r>
          </w:p>
        </w:tc>
        <w:tc>
          <w:tcPr>
            <w:tcW w:w="1134"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0</w:t>
            </w:r>
          </w:p>
        </w:tc>
      </w:tr>
      <w:tr w:rsidR="00BA3501" w:rsidTr="00BA3501">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Riigisisesed õhuveod</w:t>
            </w:r>
          </w:p>
        </w:tc>
        <w:tc>
          <w:tcPr>
            <w:tcW w:w="709"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w:t>
            </w:r>
          </w:p>
        </w:tc>
        <w:tc>
          <w:tcPr>
            <w:tcW w:w="850"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914"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1071"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1"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0,0</w:t>
            </w:r>
          </w:p>
        </w:tc>
        <w:tc>
          <w:tcPr>
            <w:tcW w:w="1134"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0</w:t>
            </w:r>
          </w:p>
        </w:tc>
      </w:tr>
      <w:tr w:rsidR="00BA3501" w:rsidTr="00BA350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Sisemaine transport</w:t>
            </w:r>
          </w:p>
        </w:tc>
        <w:tc>
          <w:tcPr>
            <w:tcW w:w="709"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1,4</w:t>
            </w:r>
          </w:p>
        </w:tc>
        <w:tc>
          <w:tcPr>
            <w:tcW w:w="914"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3,5</w:t>
            </w:r>
          </w:p>
        </w:tc>
        <w:tc>
          <w:tcPr>
            <w:tcW w:w="1071"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w:t>
            </w:r>
          </w:p>
        </w:tc>
        <w:tc>
          <w:tcPr>
            <w:tcW w:w="851"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5,0</w:t>
            </w:r>
          </w:p>
        </w:tc>
        <w:tc>
          <w:tcPr>
            <w:tcW w:w="1134"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5,0</w:t>
            </w:r>
          </w:p>
        </w:tc>
      </w:tr>
      <w:tr w:rsidR="00BA3501" w:rsidTr="00BA3501">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noProof/>
                <w:sz w:val="22"/>
                <w:szCs w:val="22"/>
              </w:rPr>
            </w:pPr>
            <w:r>
              <w:rPr>
                <w:rFonts w:ascii="Times New Roman" w:eastAsiaTheme="minorHAnsi" w:hAnsi="Times New Roman" w:cstheme="minorBidi"/>
                <w:noProof/>
                <w:sz w:val="22"/>
              </w:rPr>
              <w:t>Määratlemata transport</w:t>
            </w:r>
          </w:p>
        </w:tc>
        <w:tc>
          <w:tcPr>
            <w:tcW w:w="709"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0,5</w:t>
            </w:r>
          </w:p>
        </w:tc>
        <w:tc>
          <w:tcPr>
            <w:tcW w:w="850"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914"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6,2</w:t>
            </w:r>
          </w:p>
        </w:tc>
        <w:tc>
          <w:tcPr>
            <w:tcW w:w="1071"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0" w:type="dxa"/>
            <w:noWrap/>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i/>
                <w:noProof/>
                <w:sz w:val="22"/>
                <w:szCs w:val="22"/>
              </w:rPr>
            </w:pPr>
            <w:r>
              <w:rPr>
                <w:rFonts w:ascii="Times New Roman" w:eastAsiaTheme="minorHAnsi" w:hAnsi="Times New Roman" w:cstheme="minorBidi"/>
                <w:i/>
                <w:noProof/>
                <w:sz w:val="22"/>
              </w:rPr>
              <w:t>0,0</w:t>
            </w:r>
          </w:p>
        </w:tc>
        <w:tc>
          <w:tcPr>
            <w:tcW w:w="851"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noProof/>
                <w:sz w:val="22"/>
                <w:szCs w:val="22"/>
              </w:rPr>
            </w:pPr>
            <w:r>
              <w:rPr>
                <w:rFonts w:ascii="Times New Roman" w:eastAsiaTheme="minorHAnsi" w:hAnsi="Times New Roman" w:cstheme="minorBidi"/>
                <w:noProof/>
                <w:sz w:val="22"/>
              </w:rPr>
              <w:t>6,2</w:t>
            </w:r>
          </w:p>
        </w:tc>
        <w:tc>
          <w:tcPr>
            <w:tcW w:w="1134" w:type="dxa"/>
            <w:vAlign w:val="top"/>
          </w:tcPr>
          <w:p w:rsidR="00BA3501" w:rsidRDefault="002C1285">
            <w:pPr>
              <w:keepNext/>
              <w:keepLines/>
              <w:tabs>
                <w:tab w:val="decimal" w:pos="493"/>
              </w:tabs>
              <w:spacing w:after="200" w:line="276" w:lineRule="auto"/>
              <w:contextualSpacing w:val="0"/>
              <w:jc w:val="right"/>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6,7</w:t>
            </w:r>
          </w:p>
        </w:tc>
      </w:tr>
      <w:tr w:rsidR="00BA3501" w:rsidTr="00BA350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79" w:type="dxa"/>
            <w:noWrap/>
          </w:tcPr>
          <w:p w:rsidR="00BA3501" w:rsidRDefault="002C1285">
            <w:pPr>
              <w:keepNext/>
              <w:keepLines/>
              <w:spacing w:after="200" w:line="276" w:lineRule="auto"/>
              <w:contextualSpacing w:val="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Kokku</w:t>
            </w:r>
          </w:p>
        </w:tc>
        <w:tc>
          <w:tcPr>
            <w:tcW w:w="709"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132</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i/>
                <w:noProof/>
                <w:sz w:val="22"/>
                <w:szCs w:val="22"/>
              </w:rPr>
            </w:pPr>
            <w:r>
              <w:rPr>
                <w:rFonts w:ascii="Times New Roman" w:eastAsiaTheme="minorHAnsi" w:hAnsi="Times New Roman" w:cstheme="minorBidi"/>
                <w:b/>
                <w:i/>
                <w:noProof/>
                <w:sz w:val="22"/>
              </w:rPr>
              <w:t>2 620</w:t>
            </w:r>
          </w:p>
        </w:tc>
        <w:tc>
          <w:tcPr>
            <w:tcW w:w="914"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i/>
                <w:noProof/>
                <w:sz w:val="22"/>
                <w:szCs w:val="22"/>
              </w:rPr>
            </w:pPr>
            <w:r>
              <w:rPr>
                <w:rFonts w:ascii="Times New Roman" w:eastAsiaTheme="minorHAnsi" w:hAnsi="Times New Roman" w:cstheme="minorBidi"/>
                <w:b/>
                <w:i/>
                <w:noProof/>
                <w:sz w:val="22"/>
              </w:rPr>
              <w:t>11 083</w:t>
            </w:r>
          </w:p>
        </w:tc>
        <w:tc>
          <w:tcPr>
            <w:tcW w:w="1071"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i/>
                <w:noProof/>
                <w:sz w:val="22"/>
                <w:szCs w:val="22"/>
              </w:rPr>
            </w:pPr>
            <w:r>
              <w:rPr>
                <w:rFonts w:ascii="Times New Roman" w:eastAsiaTheme="minorHAnsi" w:hAnsi="Times New Roman" w:cstheme="minorBidi"/>
                <w:b/>
                <w:i/>
                <w:noProof/>
                <w:sz w:val="22"/>
              </w:rPr>
              <w:t>4,5</w:t>
            </w:r>
          </w:p>
        </w:tc>
        <w:tc>
          <w:tcPr>
            <w:tcW w:w="850" w:type="dxa"/>
            <w:noWrap/>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i/>
                <w:noProof/>
                <w:sz w:val="22"/>
                <w:szCs w:val="22"/>
              </w:rPr>
            </w:pPr>
            <w:r>
              <w:rPr>
                <w:rFonts w:ascii="Times New Roman" w:eastAsiaTheme="minorHAnsi" w:hAnsi="Times New Roman" w:cstheme="minorBidi"/>
                <w:b/>
                <w:i/>
                <w:noProof/>
                <w:sz w:val="22"/>
              </w:rPr>
              <w:t>0,0</w:t>
            </w:r>
          </w:p>
        </w:tc>
        <w:tc>
          <w:tcPr>
            <w:tcW w:w="851"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13 708</w:t>
            </w:r>
          </w:p>
        </w:tc>
        <w:tc>
          <w:tcPr>
            <w:tcW w:w="1134" w:type="dxa"/>
            <w:vAlign w:val="top"/>
          </w:tcPr>
          <w:p w:rsidR="00BA3501" w:rsidRDefault="002C1285">
            <w:pPr>
              <w:keepNext/>
              <w:keepLines/>
              <w:tabs>
                <w:tab w:val="decimal" w:pos="493"/>
              </w:tabs>
              <w:spacing w:after="200" w:line="276" w:lineRule="auto"/>
              <w:contextualSpacing w:val="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noProof/>
                <w:sz w:val="22"/>
                <w:szCs w:val="22"/>
              </w:rPr>
            </w:pPr>
            <w:r>
              <w:rPr>
                <w:rFonts w:ascii="Times New Roman" w:eastAsiaTheme="minorHAnsi" w:hAnsi="Times New Roman" w:cstheme="minorBidi"/>
                <w:b/>
                <w:noProof/>
                <w:sz w:val="22"/>
              </w:rPr>
              <w:t>13 840</w:t>
            </w:r>
          </w:p>
        </w:tc>
      </w:tr>
    </w:tbl>
    <w:p w:rsidR="00BA3501" w:rsidRDefault="002C1285">
      <w:pPr>
        <w:jc w:val="both"/>
        <w:rPr>
          <w:rFonts w:ascii="Times New Roman" w:hAnsi="Times New Roman" w:cs="Times New Roman"/>
          <w:i/>
          <w:noProof/>
          <w:sz w:val="24"/>
          <w:szCs w:val="24"/>
        </w:rPr>
      </w:pPr>
      <w:r>
        <w:rPr>
          <w:rFonts w:ascii="Times New Roman" w:hAnsi="Times New Roman"/>
          <w:b/>
          <w:noProof/>
          <w:sz w:val="24"/>
        </w:rPr>
        <w:t>Tabel 2.</w:t>
      </w:r>
      <w:r>
        <w:rPr>
          <w:rFonts w:ascii="Times New Roman" w:hAnsi="Times New Roman"/>
          <w:noProof/>
          <w:sz w:val="24"/>
        </w:rPr>
        <w:t xml:space="preserve"> </w:t>
      </w:r>
      <w:r>
        <w:rPr>
          <w:rFonts w:ascii="Times New Roman" w:hAnsi="Times New Roman"/>
          <w:i/>
          <w:noProof/>
          <w:sz w:val="24"/>
        </w:rPr>
        <w:t>Bioenergia lõpptarbimine ELi transpordisektoris (2016, ktoe). Allikas: Eurostat.</w:t>
      </w:r>
    </w:p>
    <w:p w:rsidR="00BA3501" w:rsidRDefault="002C1285">
      <w:pPr>
        <w:pStyle w:val="Heading2"/>
        <w:numPr>
          <w:ilvl w:val="0"/>
          <w:numId w:val="28"/>
        </w:numPr>
        <w:spacing w:after="120"/>
        <w:rPr>
          <w:noProof/>
        </w:rPr>
      </w:pPr>
      <w:r>
        <w:rPr>
          <w:noProof/>
        </w:rPr>
        <w:t xml:space="preserve">ELis tarbitud biokütuste mõju </w:t>
      </w:r>
    </w:p>
    <w:p w:rsidR="00BA3501" w:rsidRDefault="002C1285">
      <w:pPr>
        <w:spacing w:before="240"/>
        <w:jc w:val="both"/>
        <w:rPr>
          <w:rFonts w:ascii="Times New Roman" w:eastAsia="Calibri" w:hAnsi="Times New Roman" w:cs="Times New Roman"/>
          <w:noProof/>
          <w:sz w:val="24"/>
          <w:szCs w:val="24"/>
        </w:rPr>
      </w:pPr>
      <w:r>
        <w:rPr>
          <w:rFonts w:ascii="Times New Roman" w:hAnsi="Times New Roman"/>
          <w:noProof/>
          <w:sz w:val="24"/>
        </w:rPr>
        <w:t>2016. aastal ELis tarbitud biokütuse tootmiseks kasutatud taimekasvatussaaduste kasvatamiseks vajati hinnanguliselt 4,9 miljonit ha maad, nagu n</w:t>
      </w:r>
      <w:r>
        <w:rPr>
          <w:rFonts w:ascii="Times New Roman" w:hAnsi="Times New Roman"/>
          <w:noProof/>
          <w:sz w:val="24"/>
        </w:rPr>
        <w:t>äitas biokütuse lähteaine päritolu analüüs</w:t>
      </w:r>
      <w:r>
        <w:rPr>
          <w:rFonts w:ascii="Times New Roman" w:hAnsi="Times New Roman"/>
          <w:noProof/>
          <w:sz w:val="24"/>
          <w:vertAlign w:val="superscript"/>
        </w:rPr>
        <w:footnoteReference w:id="35"/>
      </w:r>
      <w:r>
        <w:rPr>
          <w:rFonts w:ascii="Times New Roman" w:hAnsi="Times New Roman"/>
          <w:noProof/>
          <w:sz w:val="24"/>
        </w:rPr>
        <w:t>. Sellest 3,6 miljonit ha (73%) asub ELis ja ülejäänud 1,3 miljonit ha (26%) kolmandates riikides. Kogu ELi põllumaast kasutati biokütuse tootmiseks 3,1% (võttes aluseks hinnangu, et ELi põllumaa kogupindala on 11</w:t>
      </w:r>
      <w:r>
        <w:rPr>
          <w:rFonts w:ascii="Times New Roman" w:hAnsi="Times New Roman"/>
          <w:noProof/>
          <w:sz w:val="24"/>
        </w:rPr>
        <w:t xml:space="preserve">5 miljonit ha) ning biokütuse tootmiseks kasutatud kogupindalast moodustas raps 56%. Neljas peamises väljaspool ELi asuvas riigis, kust tarniti taimekasvatussaadusi ELis tarbitava biokütuse tootmiseks (Ukraina, Brasiilia, Indoneesia ja Malaisia), kasutati </w:t>
      </w:r>
      <w:r>
        <w:rPr>
          <w:rFonts w:ascii="Times New Roman" w:hAnsi="Times New Roman"/>
          <w:noProof/>
          <w:sz w:val="24"/>
        </w:rPr>
        <w:t xml:space="preserve">selleks vähem kui 0,5% kogu põllumaa pindalast.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Liikmesriikide esitatud teabe kohaselt vähenes 2016. aastal kasvuhoonegaaside heide ELi transpordis biokütuste tarbimise mõjul hinnanguliselt 33,2 miljonit CO</w:t>
      </w:r>
      <w:r>
        <w:rPr>
          <w:rFonts w:ascii="Times New Roman" w:hAnsi="Times New Roman"/>
          <w:noProof/>
          <w:sz w:val="24"/>
          <w:vertAlign w:val="subscript"/>
        </w:rPr>
        <w:t>2</w:t>
      </w:r>
      <w:r>
        <w:rPr>
          <w:rFonts w:ascii="Times New Roman" w:hAnsi="Times New Roman"/>
          <w:noProof/>
          <w:sz w:val="24"/>
        </w:rPr>
        <w:t xml:space="preserve"> ekvivalenttonni. Arvestades maakasutuse kaudsest muutusest tingitud heiteid, mille hindamiseks kasutati 2016. aasta lähteaine mahtusid, mis korrutati maakasutuse kaudse muutuse direktiivist saadud vastava keskmise heiteväärtusega, alanes ELi transpordisek</w:t>
      </w:r>
      <w:r>
        <w:rPr>
          <w:rFonts w:ascii="Times New Roman" w:hAnsi="Times New Roman"/>
          <w:noProof/>
          <w:sz w:val="24"/>
        </w:rPr>
        <w:t>toris biokütuste tarbimisest saadud heite vähenemine 11,8 miljonile CO</w:t>
      </w:r>
      <w:r>
        <w:rPr>
          <w:rFonts w:ascii="Times New Roman" w:hAnsi="Times New Roman"/>
          <w:noProof/>
          <w:sz w:val="24"/>
          <w:vertAlign w:val="subscript"/>
        </w:rPr>
        <w:t>2</w:t>
      </w:r>
      <w:r>
        <w:rPr>
          <w:rFonts w:ascii="Times New Roman" w:hAnsi="Times New Roman"/>
          <w:noProof/>
          <w:sz w:val="24"/>
        </w:rPr>
        <w:t xml:space="preserve"> ekvivalenttonnile (heite vähenemine jääb seega vahemikku 7,4–20,4 miljonit CO</w:t>
      </w:r>
      <w:r>
        <w:rPr>
          <w:rFonts w:ascii="Times New Roman" w:hAnsi="Times New Roman"/>
          <w:noProof/>
          <w:sz w:val="24"/>
          <w:vertAlign w:val="subscript"/>
        </w:rPr>
        <w:t>2</w:t>
      </w:r>
      <w:r>
        <w:rPr>
          <w:rFonts w:ascii="Times New Roman" w:hAnsi="Times New Roman"/>
          <w:noProof/>
          <w:sz w:val="24"/>
        </w:rPr>
        <w:t xml:space="preserve"> ekvivalenttonni)</w:t>
      </w:r>
      <w:r>
        <w:rPr>
          <w:rFonts w:ascii="Times New Roman" w:hAnsi="Times New Roman"/>
          <w:noProof/>
          <w:sz w:val="24"/>
          <w:vertAlign w:val="superscript"/>
        </w:rPr>
        <w:footnoteReference w:id="36"/>
      </w:r>
      <w:r>
        <w:rPr>
          <w:rFonts w:ascii="Times New Roman" w:hAnsi="Times New Roman"/>
          <w:noProof/>
          <w:sz w:val="24"/>
        </w:rPr>
        <w:t xml:space="preserve">.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Hiljuti komisjonile koostatud põhjalikust värske teaduskirjanduse ülevaatest</w:t>
      </w:r>
      <w:r>
        <w:rPr>
          <w:rFonts w:ascii="Times New Roman" w:hAnsi="Times New Roman"/>
          <w:noProof/>
          <w:sz w:val="24"/>
          <w:vertAlign w:val="superscript"/>
        </w:rPr>
        <w:footnoteReference w:id="37"/>
      </w:r>
      <w:r>
        <w:rPr>
          <w:rFonts w:ascii="Times New Roman" w:hAnsi="Times New Roman"/>
          <w:noProof/>
          <w:sz w:val="24"/>
        </w:rPr>
        <w:t xml:space="preserve"> selgub,</w:t>
      </w:r>
      <w:r>
        <w:rPr>
          <w:rFonts w:ascii="Times New Roman" w:hAnsi="Times New Roman"/>
          <w:noProof/>
          <w:sz w:val="24"/>
        </w:rPr>
        <w:t xml:space="preserve"> et biodiislikütus on seotud kõige suurema maakasutuse kaudse muutuse mõjuga (maakasutuse kaudse muutusega seotud heite mediaan on 52 CO</w:t>
      </w:r>
      <w:r>
        <w:rPr>
          <w:rFonts w:ascii="Times New Roman" w:hAnsi="Times New Roman"/>
          <w:noProof/>
          <w:sz w:val="24"/>
          <w:vertAlign w:val="subscript"/>
        </w:rPr>
        <w:t>2</w:t>
      </w:r>
      <w:r>
        <w:rPr>
          <w:rFonts w:ascii="Times New Roman" w:hAnsi="Times New Roman"/>
          <w:noProof/>
          <w:sz w:val="24"/>
        </w:rPr>
        <w:t xml:space="preserve"> ekvivalentgrammi/MJ) ning selles kategoorias on suurim mõju palmiõlist toodetud biodiislikütusel, mille osas on ka tul</w:t>
      </w:r>
      <w:r>
        <w:rPr>
          <w:rFonts w:ascii="Times New Roman" w:hAnsi="Times New Roman"/>
          <w:noProof/>
          <w:sz w:val="24"/>
        </w:rPr>
        <w:t>emuste kõikuvus suurim. Toidu- ja söödakultuuridel põhineva etanooli puhul on maakasutuse kaudse muutusega seotud heite mediaan 21 CO</w:t>
      </w:r>
      <w:r>
        <w:rPr>
          <w:rFonts w:ascii="Times New Roman" w:hAnsi="Times New Roman"/>
          <w:noProof/>
          <w:sz w:val="24"/>
          <w:vertAlign w:val="subscript"/>
        </w:rPr>
        <w:t>2</w:t>
      </w:r>
      <w:r>
        <w:rPr>
          <w:rFonts w:ascii="Times New Roman" w:hAnsi="Times New Roman"/>
          <w:noProof/>
          <w:sz w:val="24"/>
        </w:rPr>
        <w:t xml:space="preserve"> ekvivalentgrammi/MJ. </w:t>
      </w:r>
      <w:r>
        <w:rPr>
          <w:rFonts w:ascii="Times New Roman" w:hAnsi="Times New Roman"/>
          <w:noProof/>
          <w:color w:val="000000"/>
          <w:sz w:val="24"/>
        </w:rPr>
        <w:t>Võrdluseks on esitatud uuesti sõnastatud taastuvenergia direktiivi VIII lisas toodud esialgne hinnan</w:t>
      </w:r>
      <w:r>
        <w:rPr>
          <w:rFonts w:ascii="Times New Roman" w:hAnsi="Times New Roman"/>
          <w:noProof/>
          <w:color w:val="000000"/>
          <w:sz w:val="24"/>
        </w:rPr>
        <w:t>guline maakasutuse kaudsest muutusest tingitud heide õlikultuuride puhul 55 </w:t>
      </w:r>
      <w:r>
        <w:rPr>
          <w:rFonts w:ascii="Times New Roman" w:hAnsi="Times New Roman"/>
          <w:noProof/>
          <w:sz w:val="24"/>
        </w:rPr>
        <w:t>CO</w:t>
      </w:r>
      <w:r>
        <w:rPr>
          <w:rFonts w:ascii="Times New Roman" w:hAnsi="Times New Roman"/>
          <w:noProof/>
          <w:sz w:val="24"/>
          <w:vertAlign w:val="subscript"/>
        </w:rPr>
        <w:t>2</w:t>
      </w:r>
      <w:r>
        <w:rPr>
          <w:rFonts w:ascii="Times New Roman" w:hAnsi="Times New Roman"/>
          <w:noProof/>
          <w:sz w:val="24"/>
        </w:rPr>
        <w:t xml:space="preserve"> ekvivalentgrammi</w:t>
      </w:r>
      <w:r>
        <w:rPr>
          <w:rFonts w:ascii="Times New Roman" w:hAnsi="Times New Roman"/>
          <w:noProof/>
          <w:color w:val="000000"/>
          <w:sz w:val="24"/>
        </w:rPr>
        <w:t xml:space="preserve"> /MJ, teravilja jm tärkliserikaste põllukultuuride puhul 12 </w:t>
      </w:r>
      <w:r>
        <w:rPr>
          <w:rFonts w:ascii="Times New Roman" w:hAnsi="Times New Roman"/>
          <w:noProof/>
          <w:sz w:val="24"/>
        </w:rPr>
        <w:t>CO</w:t>
      </w:r>
      <w:r>
        <w:rPr>
          <w:rFonts w:ascii="Times New Roman" w:hAnsi="Times New Roman"/>
          <w:noProof/>
          <w:sz w:val="24"/>
          <w:vertAlign w:val="subscript"/>
        </w:rPr>
        <w:t>2</w:t>
      </w:r>
      <w:r>
        <w:rPr>
          <w:rFonts w:ascii="Times New Roman" w:hAnsi="Times New Roman"/>
          <w:noProof/>
          <w:sz w:val="24"/>
        </w:rPr>
        <w:t xml:space="preserve"> ekvivalentgrammi</w:t>
      </w:r>
      <w:r>
        <w:rPr>
          <w:rFonts w:ascii="Times New Roman" w:hAnsi="Times New Roman"/>
          <w:noProof/>
          <w:color w:val="000000"/>
          <w:sz w:val="24"/>
        </w:rPr>
        <w:t>/MJ ja suhkrute puhul 13 CO</w:t>
      </w:r>
      <w:r>
        <w:rPr>
          <w:rFonts w:ascii="Times New Roman" w:hAnsi="Times New Roman"/>
          <w:noProof/>
          <w:color w:val="000000"/>
          <w:sz w:val="24"/>
          <w:vertAlign w:val="subscript"/>
        </w:rPr>
        <w:t>2</w:t>
      </w:r>
      <w:r>
        <w:rPr>
          <w:rFonts w:ascii="Times New Roman" w:hAnsi="Times New Roman"/>
          <w:noProof/>
          <w:color w:val="000000"/>
          <w:sz w:val="24"/>
        </w:rPr>
        <w:t xml:space="preserve"> ekvivalentgrammi/MJ. Ülevaates on esitatud täiendav</w:t>
      </w:r>
      <w:r>
        <w:rPr>
          <w:rFonts w:ascii="Times New Roman" w:hAnsi="Times New Roman"/>
          <w:noProof/>
          <w:color w:val="000000"/>
          <w:sz w:val="24"/>
        </w:rPr>
        <w:t xml:space="preserve">at teavet biokütuste kaudse mõju kohta.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ELis tarbitava biokütuse lähteaine kasvatamisel võib olla kahjulik keskkonnamõju, mis oleneb konkreetsest kohast ja kasutatavatest põllumajandusvõtetest</w:t>
      </w:r>
      <w:r>
        <w:rPr>
          <w:rStyle w:val="FootnoteReference"/>
          <w:rFonts w:ascii="Times New Roman" w:hAnsi="Times New Roman"/>
          <w:noProof/>
          <w:sz w:val="24"/>
        </w:rPr>
        <w:footnoteReference w:id="38"/>
      </w:r>
      <w:r>
        <w:rPr>
          <w:rFonts w:ascii="Times New Roman" w:hAnsi="Times New Roman"/>
          <w:noProof/>
          <w:sz w:val="24"/>
        </w:rPr>
        <w:t>. Enamik liikmesriike osutab oma arenguaruannetes biokütuste l</w:t>
      </w:r>
      <w:r>
        <w:rPr>
          <w:rFonts w:ascii="Times New Roman" w:hAnsi="Times New Roman"/>
          <w:noProof/>
          <w:sz w:val="24"/>
        </w:rPr>
        <w:t>ähteaine kasvatamise piiratud mahule võrreldes kogu põllumajandustegevusega ja leiab seetõttu, et asjaomane keskkonnamõju on vähene. Mitu liikmesriiki rõhutavad, et kogu põllumajandustootmise keskkonnamõju on reguleeritud, ning seetõttu ei peaks nende arva</w:t>
      </w:r>
      <w:r>
        <w:rPr>
          <w:rFonts w:ascii="Times New Roman" w:hAnsi="Times New Roman"/>
          <w:noProof/>
          <w:sz w:val="24"/>
        </w:rPr>
        <w:t>tes eeldama, et biokütuste põllumajanduskultuuride tootmisel on mingeid lisakeskkonnamõjusid võrreldes muude põllumajanduskultuuride tootmisega</w:t>
      </w:r>
      <w:r>
        <w:rPr>
          <w:rStyle w:val="FootnoteReference"/>
          <w:rFonts w:ascii="Times New Roman" w:hAnsi="Times New Roman"/>
          <w:noProof/>
          <w:sz w:val="24"/>
        </w:rPr>
        <w:footnoteReference w:id="39"/>
      </w:r>
      <w:r>
        <w:rPr>
          <w:rFonts w:ascii="Times New Roman" w:hAnsi="Times New Roman"/>
          <w:noProof/>
          <w:sz w:val="24"/>
        </w:rPr>
        <w:t>. ELis tarbitava biokütuse tootmisest tuleneva mõju üksikasjalik hinnang on esitatud välisuuringus</w:t>
      </w:r>
      <w:r>
        <w:rPr>
          <w:rStyle w:val="FootnoteReference"/>
          <w:rFonts w:ascii="Times New Roman" w:hAnsi="Times New Roman"/>
          <w:noProof/>
          <w:sz w:val="24"/>
        </w:rPr>
        <w:footnoteReference w:id="40"/>
      </w:r>
      <w:r>
        <w:rPr>
          <w:rFonts w:ascii="Times New Roman" w:hAnsi="Times New Roman"/>
          <w:noProof/>
          <w:sz w:val="24"/>
        </w:rPr>
        <w:t>. Komisjon av</w:t>
      </w:r>
      <w:r>
        <w:rPr>
          <w:rFonts w:ascii="Times New Roman" w:hAnsi="Times New Roman"/>
          <w:noProof/>
          <w:sz w:val="24"/>
        </w:rPr>
        <w:t>aldas hiljuti põhjaliku aruande värskeimate kättesaadavate andmetega ja hinnanguga toidu- ja söödakultuuride tootmise üleilmse laienemise kohta</w:t>
      </w:r>
      <w:r>
        <w:rPr>
          <w:rStyle w:val="FootnoteReference"/>
          <w:rFonts w:ascii="Times New Roman" w:hAnsi="Times New Roman"/>
          <w:noProof/>
          <w:sz w:val="24"/>
        </w:rPr>
        <w:footnoteReference w:id="41"/>
      </w:r>
      <w:r>
        <w:rPr>
          <w:rFonts w:ascii="Times New Roman" w:hAnsi="Times New Roman"/>
          <w:noProof/>
          <w:sz w:val="24"/>
        </w:rPr>
        <w:t>.</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ELi bioenergia jätkusuutlikkuse raamistikku on tugevdatud uuesti sõnastatud taastuvenergia direktiiviga. Nimel</w:t>
      </w:r>
      <w:r>
        <w:rPr>
          <w:rFonts w:ascii="Times New Roman" w:hAnsi="Times New Roman"/>
          <w:noProof/>
          <w:sz w:val="24"/>
        </w:rPr>
        <w:t>t on direktiivis sätestatud riiklikud piirnormid selliste toidu- või söödakultuuridest toodetavate, maakasutuse kaudse muutuse suure riskiga biokütuste, vedelate biokütuste ja biomasskütuste jaoks, mille puhul täheldatakse tootmisala märkimisväärset laiene</w:t>
      </w:r>
      <w:r>
        <w:rPr>
          <w:rFonts w:ascii="Times New Roman" w:hAnsi="Times New Roman"/>
          <w:noProof/>
          <w:sz w:val="24"/>
        </w:rPr>
        <w:t>mist suure süsinikuvaruga maadele; kõnealused piirnormid vähendatakse aastaks 2030 järk-järgult nullini. Need piirnormid mõjutavad seda, millist osa nendest kütustest võib arvesse võtta riigis üldiselt kasutatava taastuvenergia osa ning transpordis kasutat</w:t>
      </w:r>
      <w:r>
        <w:rPr>
          <w:rFonts w:ascii="Times New Roman" w:hAnsi="Times New Roman"/>
          <w:noProof/>
          <w:sz w:val="24"/>
        </w:rPr>
        <w:t xml:space="preserve">ava taastuvenergia osa arvutamisel. Direktiivis antakse siiski võimalus kõnealusest lähteainest toodetud biokütused, vedelad biokütused ja biomasskütused riikliku piirmäära alt välja arvata, tingimusel, et nende maakasutuse kaudse muutuse sertifitseeritud </w:t>
      </w:r>
      <w:r>
        <w:rPr>
          <w:rFonts w:ascii="Times New Roman" w:hAnsi="Times New Roman"/>
          <w:noProof/>
          <w:sz w:val="24"/>
        </w:rPr>
        <w:t>risk on väike</w:t>
      </w:r>
      <w:r>
        <w:rPr>
          <w:noProof/>
        </w:rPr>
        <w:t>.</w:t>
      </w:r>
      <w:r>
        <w:rPr>
          <w:rFonts w:ascii="Times New Roman" w:hAnsi="Times New Roman"/>
          <w:noProof/>
          <w:sz w:val="24"/>
        </w:rPr>
        <w:t xml:space="preserve">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Selle lähenemisviisi rakendamiseks võttis komisjon 13. märtsil 2019 vastu delegeeritud määruse</w:t>
      </w:r>
      <w:r>
        <w:rPr>
          <w:rStyle w:val="FootnoteReference"/>
          <w:rFonts w:ascii="Times New Roman" w:hAnsi="Times New Roman"/>
          <w:noProof/>
          <w:sz w:val="24"/>
        </w:rPr>
        <w:footnoteReference w:id="42"/>
      </w:r>
      <w:r>
        <w:rPr>
          <w:rFonts w:ascii="Times New Roman" w:hAnsi="Times New Roman"/>
          <w:noProof/>
          <w:sz w:val="24"/>
        </w:rPr>
        <w:t xml:space="preserve"> maakasutuse kaudse muutuse suure ja väikese riskiga biokütuste kohta; kõnealune akt on edastatud läbivaatamiseks Euroopa Parlamendile ja nõukogu</w:t>
      </w:r>
      <w:r>
        <w:rPr>
          <w:rFonts w:ascii="Times New Roman" w:hAnsi="Times New Roman"/>
          <w:noProof/>
          <w:sz w:val="24"/>
        </w:rPr>
        <w:t>le. Üldiselt otsustas EL tulevikus keskenduda teise põlvkonna biokütuste ja muude väikese süsihappegaasiheitega kütuste, nagu taastuvelektri ning taastuvatest mittebioloogilise päritoluga allikatest vedelate või gaasiliste transpordikütuste edendamisele. T</w:t>
      </w:r>
      <w:r>
        <w:rPr>
          <w:rFonts w:ascii="Times New Roman" w:hAnsi="Times New Roman"/>
          <w:noProof/>
          <w:sz w:val="24"/>
        </w:rPr>
        <w:t>eise põlvkonna biokütuste turuosa on praegu väga väike, kuid neil on märkimisväärne potentsiaal tootmismahu suurendamiseks. Komisjon jätkab teise põlvkonna biokütuste arenduse edendamist, sh uurides võimalikke uusi lähteaineid. Kuigi praeguses etapis ei ol</w:t>
      </w:r>
      <w:r>
        <w:rPr>
          <w:rFonts w:ascii="Times New Roman" w:hAnsi="Times New Roman"/>
          <w:noProof/>
          <w:sz w:val="24"/>
        </w:rPr>
        <w:t>e piisavaid teaduspõhiseid tõendeid, mis õigustaksid II taastuvenergia direktiivi IX lisas esitatud teise põlvkonna biokütuste lähteainete baasi laiendamist, hindab komisjon, kas tulevikus saaks kasutada teise põlvkonna biokütuste tootmiseks uusi lähteaine</w:t>
      </w:r>
      <w:r>
        <w:rPr>
          <w:rFonts w:ascii="Times New Roman" w:hAnsi="Times New Roman"/>
          <w:noProof/>
          <w:sz w:val="24"/>
        </w:rPr>
        <w:t>id</w:t>
      </w:r>
      <w:r>
        <w:rPr>
          <w:rStyle w:val="FootnoteReference"/>
          <w:rFonts w:ascii="Times New Roman" w:hAnsi="Times New Roman"/>
          <w:noProof/>
          <w:sz w:val="24"/>
        </w:rPr>
        <w:footnoteReference w:id="43"/>
      </w:r>
      <w:r>
        <w:rPr>
          <w:rFonts w:ascii="Times New Roman" w:hAnsi="Times New Roman"/>
          <w:noProof/>
          <w:sz w:val="24"/>
        </w:rPr>
        <w:t>.</w:t>
      </w:r>
    </w:p>
    <w:p w:rsidR="00BA3501" w:rsidRDefault="002C1285">
      <w:pPr>
        <w:pStyle w:val="Heading2"/>
        <w:numPr>
          <w:ilvl w:val="0"/>
          <w:numId w:val="28"/>
        </w:numPr>
        <w:spacing w:after="120"/>
        <w:rPr>
          <w:noProof/>
        </w:rPr>
      </w:pPr>
      <w:r>
        <w:rPr>
          <w:noProof/>
        </w:rPr>
        <w:t xml:space="preserve">Komisjoni poolt tunnustatud vabatahtlike kavade toimimine </w:t>
      </w:r>
    </w:p>
    <w:p w:rsidR="00BA3501" w:rsidRDefault="002C1285">
      <w:pPr>
        <w:spacing w:before="240"/>
        <w:jc w:val="both"/>
        <w:rPr>
          <w:rFonts w:ascii="Times New Roman" w:eastAsia="Calibri" w:hAnsi="Times New Roman" w:cs="Times New Roman"/>
          <w:noProof/>
          <w:sz w:val="24"/>
          <w:szCs w:val="24"/>
        </w:rPr>
      </w:pPr>
      <w:r>
        <w:rPr>
          <w:rFonts w:ascii="Times New Roman" w:hAnsi="Times New Roman"/>
          <w:noProof/>
          <w:sz w:val="24"/>
        </w:rPr>
        <w:t xml:space="preserve">I taastuvenergia direktiiv annab komisjonile volituse tunnustada rahvusvahelisi või riiklikke sertifitseerimiskavasid, mida nimetatakse vabatahtlikeks kavadeks ja mille abil ettevõtjad saavad </w:t>
      </w:r>
      <w:r>
        <w:rPr>
          <w:rFonts w:ascii="Times New Roman" w:hAnsi="Times New Roman"/>
          <w:noProof/>
          <w:sz w:val="24"/>
        </w:rPr>
        <w:t>tõendada biokütuste ja vedelate biokütuste vastavust direktiivis sätestatud säästlikkuse ja kasvuhoonegaaside heite vähendamise kriteeriumidele. Praeguseks on sel eesmärgil tunnustatud 14 vabatahtlikku kava</w:t>
      </w:r>
      <w:r>
        <w:rPr>
          <w:noProof/>
          <w:vertAlign w:val="superscript"/>
        </w:rPr>
        <w:footnoteReference w:id="44"/>
      </w:r>
      <w:r>
        <w:rPr>
          <w:rFonts w:ascii="Times New Roman" w:hAnsi="Times New Roman"/>
          <w:noProof/>
          <w:sz w:val="24"/>
        </w:rPr>
        <w:t>. Liikmesriigid peavad aktsepteerima nendes kavad</w:t>
      </w:r>
      <w:r>
        <w:rPr>
          <w:rFonts w:ascii="Times New Roman" w:hAnsi="Times New Roman"/>
          <w:noProof/>
          <w:sz w:val="24"/>
        </w:rPr>
        <w:t>es osalevate ettevõtjate tõendeid säästlikkuse kriteeriumide kohta. See säte hõlbustab tuntavalt säästlikkuse kriteeriumide rakendamist, sest see võimaldab ettevõtjatel esitada nõutavad tõendid kõikides liikmesriikides ühtse haldusmenetluse kohaselt</w:t>
      </w:r>
      <w:r>
        <w:rPr>
          <w:noProof/>
          <w:vertAlign w:val="superscript"/>
        </w:rPr>
        <w:footnoteReference w:id="45"/>
      </w:r>
      <w:r>
        <w:rPr>
          <w:rFonts w:ascii="Times New Roman" w:hAnsi="Times New Roman"/>
          <w:noProof/>
          <w:sz w:val="24"/>
        </w:rPr>
        <w:t xml:space="preserve">. Iga </w:t>
      </w:r>
      <w:r>
        <w:rPr>
          <w:rFonts w:ascii="Times New Roman" w:hAnsi="Times New Roman"/>
          <w:noProof/>
          <w:sz w:val="24"/>
        </w:rPr>
        <w:t>vabatahtliku kava puhul, mille kohta otsus on tehtud ja mis on toiminud viimased kaksteist kuud, tuleb esitada komisjonile aastaaruanne</w:t>
      </w:r>
      <w:r>
        <w:rPr>
          <w:rStyle w:val="FootnoteReference"/>
          <w:rFonts w:ascii="Times New Roman" w:hAnsi="Times New Roman"/>
          <w:noProof/>
          <w:sz w:val="24"/>
        </w:rPr>
        <w:footnoteReference w:id="46"/>
      </w:r>
      <w:r>
        <w:rPr>
          <w:rFonts w:ascii="Times New Roman" w:hAnsi="Times New Roman"/>
          <w:noProof/>
          <w:sz w:val="24"/>
        </w:rPr>
        <w:t xml:space="preserve">.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 xml:space="preserve">Viimastel aastatel on vabatahtlikest kavadest saanud peamised töövahendid, mille abil tõendatakse vastavust ELi </w:t>
      </w:r>
      <w:r>
        <w:rPr>
          <w:rFonts w:ascii="Times New Roman" w:hAnsi="Times New Roman"/>
          <w:noProof/>
          <w:sz w:val="24"/>
        </w:rPr>
        <w:t>biokütuste säästlikkuse kriteeriumidele. Kalendriaastal 2017 sertifitseeriti 21 429 kilotonni (kt) vedela biokütuse (sh puhas taimeõli), 140 045 m</w:t>
      </w:r>
      <w:r>
        <w:rPr>
          <w:rFonts w:ascii="Times New Roman" w:hAnsi="Times New Roman"/>
          <w:noProof/>
          <w:sz w:val="24"/>
          <w:vertAlign w:val="superscript"/>
        </w:rPr>
        <w:t>3</w:t>
      </w:r>
      <w:r>
        <w:rPr>
          <w:rFonts w:ascii="Times New Roman" w:hAnsi="Times New Roman"/>
          <w:noProof/>
          <w:sz w:val="24"/>
        </w:rPr>
        <w:t xml:space="preserve"> biometaani (vastab ligikaudu 100,8 kt-le) ja 119 119 kt lähteaine vastavus taastuvenergia direktiivi artikli 17 lõigetes 2–5 sätestatud kriteeriumidele. Sertifitseeritud vedelast biokütusest oli 12 198 kt (57% koguhulgast) biodiislikütus ja 6224 kt (29%) </w:t>
      </w:r>
      <w:r>
        <w:rPr>
          <w:rFonts w:ascii="Times New Roman" w:hAnsi="Times New Roman"/>
          <w:noProof/>
          <w:sz w:val="24"/>
        </w:rPr>
        <w:t>bioetanool. Ülejäänu moodustas hüdrogeenitud taimeõli (1784 kt, 8%), puhas taimeõli (1053 kt, 5%) ja muu kütus. Biokütuse tootmise sertifitseeritud lähteainest moodustasid kõige suurema osa raps (27%), palmiõli (16%), kasutatud toiduõli (13%) ja mais (12%)</w:t>
      </w:r>
      <w:r>
        <w:rPr>
          <w:rFonts w:ascii="Times New Roman" w:hAnsi="Times New Roman"/>
          <w:noProof/>
          <w:sz w:val="24"/>
        </w:rPr>
        <w:t xml:space="preserve">. </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Komisjon tunnustab ainult kavasid, mis vastavad piisavatele usaldusväärsuse, läbipaistvuse ja sõltumatu auditeerimise standarditele. Selleks korraldab komisjon tunnustust taotlevate vabatahtlike kavade põhjaliku hindamise</w:t>
      </w:r>
      <w:r>
        <w:rPr>
          <w:rStyle w:val="FootnoteReference"/>
          <w:rFonts w:ascii="Times New Roman" w:hAnsi="Times New Roman"/>
          <w:noProof/>
          <w:sz w:val="24"/>
        </w:rPr>
        <w:footnoteReference w:id="47"/>
      </w:r>
      <w:r>
        <w:rPr>
          <w:rFonts w:ascii="Times New Roman" w:hAnsi="Times New Roman"/>
          <w:noProof/>
          <w:sz w:val="24"/>
        </w:rPr>
        <w:t>. See tagab muu hulgas, et: läh</w:t>
      </w:r>
      <w:r>
        <w:rPr>
          <w:rFonts w:ascii="Times New Roman" w:hAnsi="Times New Roman"/>
          <w:noProof/>
          <w:sz w:val="24"/>
        </w:rPr>
        <w:t>teaine tootjad järgivad I taastuvenergia direktiivi säästlikkuse kriteeriume, teave säästlikkuse näitajate kohta on jälgitav kuni lähteaine päritolukohani, ettevõtjaid auditeeritakse enne, kui nad alustavad kavas osalemist, korrapäraselt toimuvad tagasiula</w:t>
      </w:r>
      <w:r>
        <w:rPr>
          <w:rFonts w:ascii="Times New Roman" w:hAnsi="Times New Roman"/>
          <w:noProof/>
          <w:sz w:val="24"/>
        </w:rPr>
        <w:t>tuvad auditid ning audiitorid on väljastpoolt organisatsiooni ja sõltumatud.</w:t>
      </w:r>
    </w:p>
    <w:p w:rsidR="00BA3501" w:rsidRDefault="002C1285">
      <w:pPr>
        <w:jc w:val="both"/>
        <w:rPr>
          <w:rFonts w:ascii="Times New Roman" w:eastAsia="Calibri" w:hAnsi="Times New Roman" w:cs="Times New Roman"/>
          <w:noProof/>
          <w:sz w:val="24"/>
          <w:szCs w:val="24"/>
        </w:rPr>
      </w:pPr>
      <w:r>
        <w:rPr>
          <w:rFonts w:ascii="Times New Roman" w:hAnsi="Times New Roman"/>
          <w:noProof/>
          <w:sz w:val="24"/>
        </w:rPr>
        <w:t>Viimastel aastatel on vabatahtlike kavade juhtimine muutunud üha tihedama avaliku kontrolli objektiks</w:t>
      </w:r>
      <w:r>
        <w:rPr>
          <w:rStyle w:val="FootnoteReference"/>
          <w:rFonts w:ascii="Times New Roman" w:hAnsi="Times New Roman"/>
          <w:noProof/>
          <w:sz w:val="24"/>
        </w:rPr>
        <w:footnoteReference w:id="48"/>
      </w:r>
      <w:r>
        <w:rPr>
          <w:rFonts w:ascii="Times New Roman" w:hAnsi="Times New Roman"/>
          <w:noProof/>
          <w:sz w:val="24"/>
        </w:rPr>
        <w:t>. Nende probleemide lahendamiseks ja usaldusväärse rakendamise tagamiseks sis</w:t>
      </w:r>
      <w:r>
        <w:rPr>
          <w:rFonts w:ascii="Times New Roman" w:hAnsi="Times New Roman"/>
          <w:noProof/>
          <w:sz w:val="24"/>
        </w:rPr>
        <w:t>aldab II taastuvenergia direktiivi artikkel 30 rangemaid reegleid bioenergia säästlikkuse kriteeriumide kontrolli kohta, sh vabatahtlike kavade tugevam riigi- ja liidupoolne järelevalve ja välisauditeerimine. Lisaks peab komisjon vastu võtma üksikasjalikud</w:t>
      </w:r>
      <w:r>
        <w:rPr>
          <w:rFonts w:ascii="Times New Roman" w:hAnsi="Times New Roman"/>
          <w:noProof/>
          <w:sz w:val="24"/>
        </w:rPr>
        <w:t xml:space="preserve"> rakendussätted piisavate usaldusväärsuse, läbipaistvuse ja sõltumatu auditeerimise standardite kohta ning nõudma tunnustatud vabatahtlikelt kavadelt nende järgimist. Viimaks peab komisjon looma Euroopa andmebaasi, et parandada säästva biokütuse päritolu k</w:t>
      </w:r>
      <w:r>
        <w:rPr>
          <w:rFonts w:ascii="Times New Roman" w:hAnsi="Times New Roman"/>
          <w:noProof/>
          <w:sz w:val="24"/>
        </w:rPr>
        <w:t xml:space="preserve">indlakstegemist. </w:t>
      </w:r>
    </w:p>
    <w:p w:rsidR="00BA3501" w:rsidRDefault="00BA3501">
      <w:pPr>
        <w:jc w:val="both"/>
        <w:rPr>
          <w:rFonts w:ascii="Times New Roman" w:eastAsia="Calibri" w:hAnsi="Times New Roman" w:cs="Times New Roman"/>
          <w:noProof/>
          <w:sz w:val="24"/>
          <w:szCs w:val="24"/>
        </w:rPr>
      </w:pPr>
    </w:p>
    <w:tbl>
      <w:tblPr>
        <w:tblStyle w:val="TableGrid"/>
        <w:tblW w:w="0" w:type="auto"/>
        <w:tblLook w:val="04A0" w:firstRow="1" w:lastRow="0" w:firstColumn="1" w:lastColumn="0" w:noHBand="0" w:noVBand="1"/>
      </w:tblPr>
      <w:tblGrid>
        <w:gridCol w:w="2660"/>
        <w:gridCol w:w="2126"/>
        <w:gridCol w:w="1843"/>
        <w:gridCol w:w="2613"/>
      </w:tblGrid>
      <w:tr w:rsidR="00BA3501">
        <w:trPr>
          <w:trHeight w:val="435"/>
        </w:trPr>
        <w:tc>
          <w:tcPr>
            <w:tcW w:w="2660" w:type="dxa"/>
          </w:tcPr>
          <w:p w:rsidR="00BA3501" w:rsidRDefault="002C1285">
            <w:pPr>
              <w:keepNext/>
              <w:jc w:val="center"/>
              <w:rPr>
                <w:rFonts w:ascii="Times New Roman" w:eastAsia="Calibri" w:hAnsi="Times New Roman" w:cs="Times New Roman"/>
                <w:b/>
                <w:bCs/>
                <w:noProof/>
                <w:sz w:val="20"/>
                <w:szCs w:val="20"/>
              </w:rPr>
            </w:pPr>
            <w:bookmarkStart w:id="12" w:name="RANGE!B1:E16"/>
            <w:r>
              <w:rPr>
                <w:rFonts w:ascii="Times New Roman" w:hAnsi="Times New Roman"/>
                <w:b/>
                <w:noProof/>
                <w:sz w:val="20"/>
              </w:rPr>
              <w:t>Vabatahtlik kava</w:t>
            </w:r>
            <w:bookmarkEnd w:id="12"/>
          </w:p>
        </w:tc>
        <w:tc>
          <w:tcPr>
            <w:tcW w:w="6582" w:type="dxa"/>
            <w:gridSpan w:val="3"/>
          </w:tcPr>
          <w:p w:rsidR="00BA3501" w:rsidRDefault="002C1285">
            <w:pPr>
              <w:keepNext/>
              <w:jc w:val="center"/>
              <w:rPr>
                <w:rFonts w:ascii="Times New Roman" w:eastAsia="Calibri" w:hAnsi="Times New Roman" w:cs="Times New Roman"/>
                <w:b/>
                <w:bCs/>
                <w:noProof/>
                <w:sz w:val="20"/>
                <w:szCs w:val="20"/>
              </w:rPr>
            </w:pPr>
            <w:r>
              <w:rPr>
                <w:rFonts w:ascii="Times New Roman" w:hAnsi="Times New Roman"/>
                <w:b/>
                <w:noProof/>
                <w:sz w:val="20"/>
              </w:rPr>
              <w:t>Ulatus</w:t>
            </w:r>
          </w:p>
        </w:tc>
      </w:tr>
      <w:tr w:rsidR="00BA3501">
        <w:trPr>
          <w:trHeight w:val="265"/>
        </w:trPr>
        <w:tc>
          <w:tcPr>
            <w:tcW w:w="2660" w:type="dxa"/>
          </w:tcPr>
          <w:p w:rsidR="00BA3501" w:rsidRDefault="002C1285">
            <w:pPr>
              <w:keepNext/>
              <w:jc w:val="center"/>
              <w:rPr>
                <w:rFonts w:ascii="Times New Roman" w:eastAsia="Calibri" w:hAnsi="Times New Roman"/>
                <w:i/>
                <w:noProof/>
                <w:sz w:val="20"/>
              </w:rPr>
            </w:pPr>
            <w:r>
              <w:rPr>
                <w:rFonts w:ascii="Times New Roman" w:hAnsi="Times New Roman"/>
                <w:i/>
                <w:noProof/>
                <w:sz w:val="20"/>
              </w:rPr>
              <w:t>Nimi</w:t>
            </w:r>
          </w:p>
        </w:tc>
        <w:tc>
          <w:tcPr>
            <w:tcW w:w="2126" w:type="dxa"/>
          </w:tcPr>
          <w:p w:rsidR="00BA3501" w:rsidRDefault="002C1285">
            <w:pPr>
              <w:keepNext/>
              <w:jc w:val="center"/>
              <w:rPr>
                <w:rFonts w:ascii="Times New Roman" w:eastAsia="Calibri" w:hAnsi="Times New Roman"/>
                <w:i/>
                <w:noProof/>
                <w:sz w:val="20"/>
              </w:rPr>
            </w:pPr>
            <w:r>
              <w:rPr>
                <w:rFonts w:ascii="Times New Roman" w:hAnsi="Times New Roman"/>
                <w:i/>
                <w:noProof/>
                <w:sz w:val="20"/>
              </w:rPr>
              <w:t>Lähteaine liik</w:t>
            </w:r>
          </w:p>
        </w:tc>
        <w:tc>
          <w:tcPr>
            <w:tcW w:w="1843" w:type="dxa"/>
          </w:tcPr>
          <w:p w:rsidR="00BA3501" w:rsidRDefault="002C1285">
            <w:pPr>
              <w:keepNext/>
              <w:jc w:val="center"/>
              <w:rPr>
                <w:rFonts w:ascii="Times New Roman" w:eastAsia="Calibri" w:hAnsi="Times New Roman"/>
                <w:i/>
                <w:noProof/>
                <w:sz w:val="20"/>
              </w:rPr>
            </w:pPr>
            <w:r>
              <w:rPr>
                <w:rFonts w:ascii="Times New Roman" w:hAnsi="Times New Roman"/>
                <w:i/>
                <w:noProof/>
                <w:sz w:val="20"/>
              </w:rPr>
              <w:t>Lähteaine päritolu</w:t>
            </w:r>
          </w:p>
        </w:tc>
        <w:tc>
          <w:tcPr>
            <w:tcW w:w="2613" w:type="dxa"/>
          </w:tcPr>
          <w:p w:rsidR="00BA3501" w:rsidRDefault="002C1285">
            <w:pPr>
              <w:keepNext/>
              <w:jc w:val="center"/>
              <w:rPr>
                <w:rFonts w:ascii="Times New Roman" w:eastAsia="Calibri" w:hAnsi="Times New Roman"/>
                <w:i/>
                <w:noProof/>
                <w:sz w:val="20"/>
              </w:rPr>
            </w:pPr>
            <w:r>
              <w:rPr>
                <w:rFonts w:ascii="Times New Roman" w:hAnsi="Times New Roman"/>
                <w:i/>
                <w:noProof/>
                <w:sz w:val="20"/>
              </w:rPr>
              <w:t xml:space="preserve">Tarneahela hõlmatud osa </w:t>
            </w:r>
          </w:p>
        </w:tc>
      </w:tr>
      <w:tr w:rsidR="00BA3501">
        <w:trPr>
          <w:trHeight w:val="555"/>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International Sustainability and Carbon Certification (ISCC)</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Mitmesugused lähteained</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Bonsucro EU</w:t>
            </w:r>
          </w:p>
        </w:tc>
        <w:tc>
          <w:tcPr>
            <w:tcW w:w="2126" w:type="dxa"/>
            <w:noWrap/>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Suhkruroog</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555"/>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Roundtable on Sustainable Biomaterial EU RED (RSB EU RED)</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Mitmesugused lähteained</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RTRS EU RED</w:t>
            </w:r>
          </w:p>
        </w:tc>
        <w:tc>
          <w:tcPr>
            <w:tcW w:w="2126" w:type="dxa"/>
            <w:noWrap/>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Soja</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72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U.S. Soybean Sustainability Assurance Protocol (SSAP)</w:t>
            </w:r>
          </w:p>
        </w:tc>
        <w:tc>
          <w:tcPr>
            <w:tcW w:w="2126" w:type="dxa"/>
            <w:noWrap/>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 xml:space="preserve">Soja </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USA</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 xml:space="preserve">Kasvatamisest kuni </w:t>
            </w:r>
            <w:r>
              <w:rPr>
                <w:rFonts w:ascii="Times New Roman" w:hAnsi="Times New Roman"/>
                <w:noProof/>
                <w:sz w:val="20"/>
              </w:rPr>
              <w:t>ekspordikohani</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Biomass Biofuels voluntary scheme (2BSvs)</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Mitmesugused lähteained</w:t>
            </w:r>
          </w:p>
        </w:tc>
        <w:tc>
          <w:tcPr>
            <w:tcW w:w="1843" w:type="dxa"/>
            <w:noWrap/>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69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Scottish Quality Farm Assured Combinable Crops Limited (SQC)</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Kõik teraviljad ja õliseemned</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Suurbritannia põhjaosa</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 xml:space="preserve">Lähteaine esimese </w:t>
            </w:r>
            <w:r>
              <w:rPr>
                <w:rFonts w:ascii="Times New Roman" w:hAnsi="Times New Roman"/>
                <w:noProof/>
                <w:sz w:val="20"/>
              </w:rPr>
              <w:t>loovutamiskohani</w:t>
            </w:r>
          </w:p>
        </w:tc>
      </w:tr>
      <w:tr w:rsidR="00BA3501">
        <w:trPr>
          <w:trHeight w:val="555"/>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Red Tractor Farm Assurance Combinable Crops &amp; Sugar Beet (Red Tractor)</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Teravili, õliseeme, suhkrupeet</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Ühendkuningriik</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Lähteaine esimese loovutamiskohani</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REDcert</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Mitmesugused lähteained</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Euroopa</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Better Biomass</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 xml:space="preserve">Mitmesugused </w:t>
            </w:r>
            <w:r>
              <w:rPr>
                <w:rFonts w:ascii="Times New Roman" w:hAnsi="Times New Roman"/>
                <w:noProof/>
                <w:sz w:val="18"/>
              </w:rPr>
              <w:t>lähteained</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538"/>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Gafta Trade Assurance Scheme</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 xml:space="preserve">Mitmesugused lähteained </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maailm</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Järelevalveahel põllumajandusettevõttest väljumise kohast kuni esimese töötlejani</w:t>
            </w:r>
          </w:p>
        </w:tc>
      </w:tr>
      <w:tr w:rsidR="00BA3501">
        <w:trPr>
          <w:trHeight w:val="360"/>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KZR INiG System</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Mitmesugused lähteained</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Euroopa</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Kogu tarneahel</w:t>
            </w:r>
          </w:p>
        </w:tc>
      </w:tr>
      <w:tr w:rsidR="00BA3501">
        <w:trPr>
          <w:trHeight w:val="766"/>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Trade Assurance Scheme for Combinable Crops (TASC)</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Seguna kasvatamiseks sobivad põllumajanduskultuurid, nagu teravili, õliseeme ja suhkrupeet</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Ühendkuningriik</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Järelevalveahel põllumajandusettevõttest väljumise kohast kuni esimese töötlejani</w:t>
            </w:r>
          </w:p>
        </w:tc>
      </w:tr>
      <w:tr w:rsidR="00BA3501">
        <w:trPr>
          <w:trHeight w:val="738"/>
        </w:trPr>
        <w:tc>
          <w:tcPr>
            <w:tcW w:w="2660"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 xml:space="preserve">Universal Feed </w:t>
            </w:r>
            <w:r>
              <w:rPr>
                <w:rFonts w:ascii="Times New Roman" w:hAnsi="Times New Roman"/>
                <w:noProof/>
                <w:sz w:val="20"/>
              </w:rPr>
              <w:t>Assurance Scheme(UFAS)</w:t>
            </w:r>
          </w:p>
        </w:tc>
        <w:tc>
          <w:tcPr>
            <w:tcW w:w="2126" w:type="dxa"/>
          </w:tcPr>
          <w:p w:rsidR="00BA3501" w:rsidRDefault="002C1285">
            <w:pPr>
              <w:keepNext/>
              <w:rPr>
                <w:rFonts w:ascii="Times New Roman" w:eastAsia="Calibri" w:hAnsi="Times New Roman" w:cs="Times New Roman"/>
                <w:noProof/>
                <w:sz w:val="18"/>
                <w:szCs w:val="20"/>
              </w:rPr>
            </w:pPr>
            <w:r>
              <w:rPr>
                <w:rFonts w:ascii="Times New Roman" w:hAnsi="Times New Roman"/>
                <w:noProof/>
                <w:sz w:val="18"/>
              </w:rPr>
              <w:t>Sööda koostisosad ja segasööt ning seguna kasvatamiseks sobivad põllumajanduskultuurid</w:t>
            </w:r>
          </w:p>
        </w:tc>
        <w:tc>
          <w:tcPr>
            <w:tcW w:w="184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Ühendkuningriik</w:t>
            </w:r>
          </w:p>
        </w:tc>
        <w:tc>
          <w:tcPr>
            <w:tcW w:w="2613" w:type="dxa"/>
          </w:tcPr>
          <w:p w:rsidR="00BA3501" w:rsidRDefault="002C1285">
            <w:pPr>
              <w:keepNext/>
              <w:rPr>
                <w:rFonts w:ascii="Times New Roman" w:eastAsia="Calibri" w:hAnsi="Times New Roman" w:cs="Times New Roman"/>
                <w:noProof/>
                <w:sz w:val="20"/>
                <w:szCs w:val="20"/>
              </w:rPr>
            </w:pPr>
            <w:r>
              <w:rPr>
                <w:rFonts w:ascii="Times New Roman" w:hAnsi="Times New Roman"/>
                <w:noProof/>
                <w:sz w:val="20"/>
              </w:rPr>
              <w:t>Järelevalveahel põllumajandusettevõttest väljumise kohast kuni esimese töötlejani</w:t>
            </w:r>
          </w:p>
        </w:tc>
      </w:tr>
    </w:tbl>
    <w:p w:rsidR="00BA3501" w:rsidRDefault="002C1285">
      <w:pPr>
        <w:keepNext/>
        <w:jc w:val="both"/>
        <w:rPr>
          <w:rFonts w:ascii="Times New Roman" w:eastAsia="Calibri" w:hAnsi="Times New Roman" w:cs="Times New Roman"/>
          <w:i/>
          <w:noProof/>
          <w:sz w:val="24"/>
          <w:szCs w:val="24"/>
        </w:rPr>
      </w:pPr>
      <w:r>
        <w:rPr>
          <w:b/>
          <w:i/>
          <w:noProof/>
        </w:rPr>
        <w:t xml:space="preserve"> </w:t>
      </w:r>
      <w:r>
        <w:rPr>
          <w:rFonts w:ascii="Times New Roman" w:hAnsi="Times New Roman"/>
          <w:b/>
          <w:i/>
          <w:noProof/>
          <w:sz w:val="24"/>
        </w:rPr>
        <w:t>Tabel 3</w:t>
      </w:r>
      <w:r>
        <w:rPr>
          <w:rFonts w:ascii="Times New Roman" w:hAnsi="Times New Roman"/>
          <w:i/>
          <w:noProof/>
          <w:sz w:val="24"/>
        </w:rPr>
        <w:t>. Vabatahtlikud kavad, mis on saanud ko</w:t>
      </w:r>
      <w:r>
        <w:rPr>
          <w:rFonts w:ascii="Times New Roman" w:hAnsi="Times New Roman"/>
          <w:i/>
          <w:noProof/>
          <w:sz w:val="24"/>
        </w:rPr>
        <w:t>misjoni tunnustuse.</w:t>
      </w:r>
    </w:p>
    <w:p w:rsidR="00BA3501" w:rsidRDefault="002C1285">
      <w:pPr>
        <w:rPr>
          <w:rFonts w:ascii="Times New Roman" w:eastAsia="Calibri" w:hAnsi="Times New Roman" w:cs="Times New Roman"/>
          <w:b/>
          <w:noProof/>
          <w:sz w:val="24"/>
          <w:szCs w:val="24"/>
        </w:rPr>
      </w:pPr>
      <w:r>
        <w:rPr>
          <w:noProof/>
        </w:rPr>
        <w:br w:type="page"/>
      </w:r>
    </w:p>
    <w:p w:rsidR="00BA3501" w:rsidRDefault="002C1285">
      <w:pPr>
        <w:pStyle w:val="Heading1"/>
        <w:rPr>
          <w:noProof/>
          <w:sz w:val="22"/>
        </w:rPr>
      </w:pPr>
      <w:bookmarkStart w:id="13" w:name="_Toc1149228"/>
      <w:r>
        <w:rPr>
          <w:noProof/>
        </w:rPr>
        <w:t>5. JÄRELDUSED</w:t>
      </w:r>
      <w:bookmarkEnd w:id="13"/>
    </w:p>
    <w:p w:rsidR="00BA3501" w:rsidRDefault="002C1285">
      <w:pPr>
        <w:spacing w:after="120"/>
        <w:jc w:val="both"/>
        <w:rPr>
          <w:rFonts w:ascii="Times New Roman" w:hAnsi="Times New Roman" w:cs="Times New Roman"/>
          <w:noProof/>
          <w:sz w:val="24"/>
          <w:szCs w:val="24"/>
        </w:rPr>
      </w:pPr>
      <w:r>
        <w:rPr>
          <w:rFonts w:ascii="Times New Roman" w:hAnsi="Times New Roman"/>
          <w:noProof/>
          <w:sz w:val="24"/>
        </w:rPr>
        <w:t xml:space="preserve">Euroopa Liit on 2020. aasta taastuvenergia eesmärgi saavutamisel graafikus. 2017. aastal kasvas taastuvenergia osa ELi energiaallikate jaotuses 17,52 protsendini. Investeeringud taastuvenergeetikasse on üha rohkem </w:t>
      </w:r>
      <w:r>
        <w:rPr>
          <w:rFonts w:ascii="Times New Roman" w:hAnsi="Times New Roman"/>
          <w:noProof/>
          <w:sz w:val="24"/>
        </w:rPr>
        <w:t>turupõhised ja avaliku sektori toetuse osa väheneb. Selle on võimalikuks teinud taastuvenergia tehnoloogia kulude märkimisväärne vähenemine ja subsiidiumide vähenemine tänu konkurentsi soodustavatele toetuskavadele ning selle tõenduseks on null- või väikes</w:t>
      </w:r>
      <w:r>
        <w:rPr>
          <w:rFonts w:ascii="Times New Roman" w:hAnsi="Times New Roman"/>
          <w:noProof/>
          <w:sz w:val="24"/>
        </w:rPr>
        <w:t>e toetusega lõppenud enampakkumised mitmes Euroopa riigis.</w:t>
      </w:r>
    </w:p>
    <w:p w:rsidR="00BA3501" w:rsidRDefault="002C1285">
      <w:pPr>
        <w:spacing w:after="120"/>
        <w:jc w:val="both"/>
        <w:rPr>
          <w:rFonts w:ascii="Times New Roman" w:hAnsi="Times New Roman" w:cs="Times New Roman"/>
          <w:noProof/>
          <w:sz w:val="24"/>
          <w:szCs w:val="24"/>
        </w:rPr>
      </w:pPr>
      <w:r>
        <w:rPr>
          <w:rFonts w:ascii="Times New Roman" w:hAnsi="Times New Roman"/>
          <w:noProof/>
          <w:sz w:val="24"/>
        </w:rPr>
        <w:t xml:space="preserve">Taastuvenergia osa suurenemise tempo on alates 2014. aastast siiski vähenenud. Kuigi EL püsib siiski oma 2020. aasta taastuvenergia eesmärgi saavutamise graafikus, tuleks 2020. aastani jäänud ajal </w:t>
      </w:r>
      <w:r>
        <w:rPr>
          <w:rFonts w:ascii="Times New Roman" w:hAnsi="Times New Roman"/>
          <w:noProof/>
          <w:sz w:val="24"/>
        </w:rPr>
        <w:t>jõupingutusi suurendada, et eesmärgid kindlasti saavutada, arvestades tulevikus eeldatavat energiatarbimise kasvu. 2017. aastal oli 11 liikmesriigis taastuvatest energiaallikatest toodetud energia osa juba ületanud vastava 2020. aasta sihttaseme. Lisaks se</w:t>
      </w:r>
      <w:r>
        <w:rPr>
          <w:rFonts w:ascii="Times New Roman" w:hAnsi="Times New Roman"/>
          <w:noProof/>
          <w:sz w:val="24"/>
        </w:rPr>
        <w:t>llele on kümme liikmesriiki saavutanud või ületanud oma taastuvenergia direktiivi kohased soovituslikud keskmised vahetulemused kaheaastaseks perioodiks 2017–2018. Ent seitse liikmesriiki (Belgia, Prantsusmaa, Iirimaa, Luksemburg, Madalmaad, Poola ja Slove</w:t>
      </w:r>
      <w:r>
        <w:rPr>
          <w:rFonts w:ascii="Times New Roman" w:hAnsi="Times New Roman"/>
          <w:noProof/>
          <w:sz w:val="24"/>
        </w:rPr>
        <w:t xml:space="preserve">enia), peaksid jõupingutusi tõhustama, et saavutada aastate 2017–2018 soovituslik keskmine arengujoon 2020. aasta eesmärgi täitmiseks. </w:t>
      </w:r>
    </w:p>
    <w:p w:rsidR="00BA3501" w:rsidRDefault="002C1285">
      <w:pPr>
        <w:jc w:val="both"/>
        <w:rPr>
          <w:rFonts w:ascii="Times New Roman" w:hAnsi="Times New Roman" w:cs="Times New Roman"/>
          <w:noProof/>
          <w:sz w:val="24"/>
          <w:szCs w:val="24"/>
        </w:rPr>
      </w:pPr>
      <w:r>
        <w:rPr>
          <w:rFonts w:ascii="Times New Roman" w:hAnsi="Times New Roman"/>
          <w:noProof/>
          <w:sz w:val="24"/>
        </w:rPr>
        <w:t>2020. aasta taastuvenergia eesmärkide täitmiseks ja saavutatud taseme hoidmiseks, et sealt 2021. aastal edasi liikuda, j</w:t>
      </w:r>
      <w:r>
        <w:rPr>
          <w:rFonts w:ascii="Times New Roman" w:hAnsi="Times New Roman"/>
          <w:noProof/>
          <w:sz w:val="24"/>
        </w:rPr>
        <w:t>ulgustatakse enamikku liikmesriike tõhustama jõupingutusi taastuvate energiaallikate kasutamiseks kõigis kolmes sektoris ning vähendama samal ajal energiatarbimist. Hiljutise mudeluuringu tulemused näitavad, et praegu rakendatavad taastuvenergia poliitikad</w:t>
      </w:r>
      <w:r>
        <w:rPr>
          <w:rFonts w:ascii="Times New Roman" w:hAnsi="Times New Roman"/>
          <w:noProof/>
          <w:sz w:val="24"/>
        </w:rPr>
        <w:t xml:space="preserve"> ja selles valdkonnas juba kavandatud algatused võivad olla mitmes liikmesriigis ebapiisavad, et saavutada riiklikud siduvad sihttasemed õigeks ajaks, kui tuleb tugineda üksnes kodumaisele pakkumisele ilma koostöömehhanisme kasutamata. Lisaks peaksid liikm</w:t>
      </w:r>
      <w:r>
        <w:rPr>
          <w:rFonts w:ascii="Times New Roman" w:hAnsi="Times New Roman"/>
          <w:noProof/>
          <w:sz w:val="24"/>
        </w:rPr>
        <w:t>esriigid kaaluma statistiliste ülekannete võimalust, mida näeb ette taastuvenergia direktiiv, kas selleks, et tagada puudujäägi korral sihttaseme saavutamine või müüa võimalik ülejääk teistele liikmesriikidele. Komisjon on valmis liikmesriike selles aktiiv</w:t>
      </w:r>
      <w:r>
        <w:rPr>
          <w:rFonts w:ascii="Times New Roman" w:hAnsi="Times New Roman"/>
          <w:noProof/>
          <w:sz w:val="24"/>
        </w:rPr>
        <w:t xml:space="preserve">selt toetama ja vajalikule koostööle kaasa aitama. </w:t>
      </w:r>
    </w:p>
    <w:p w:rsidR="00BA3501" w:rsidRDefault="002C1285">
      <w:pPr>
        <w:spacing w:after="120"/>
        <w:jc w:val="both"/>
        <w:rPr>
          <w:rFonts w:ascii="Times New Roman" w:hAnsi="Times New Roman" w:cs="Times New Roman"/>
          <w:noProof/>
          <w:sz w:val="24"/>
          <w:szCs w:val="24"/>
        </w:rPr>
      </w:pPr>
      <w:r>
        <w:rPr>
          <w:rFonts w:ascii="Times New Roman" w:hAnsi="Times New Roman"/>
          <w:noProof/>
          <w:sz w:val="24"/>
        </w:rPr>
        <w:t xml:space="preserve">Sellega seoses jätkuvad pingutused kõigil tasanditel ja kõikjal Euroopa Liidus. Selleks kasutatakse muu hulgas komisjoni moodustatud energiatõhususe töörühma, mitmes liikmesriigis, nt Prantsusmaal, </w:t>
      </w:r>
      <w:r>
        <w:rPr>
          <w:rFonts w:ascii="Times New Roman" w:hAnsi="Times New Roman"/>
          <w:noProof/>
          <w:sz w:val="24"/>
        </w:rPr>
        <w:t>Madalmaades ja Portugalis, juba välja kuulutatud taastuvenergia enampakkumisi ning äritarbijate energiaostu lepingute laialdasemat kasutamist, mille abil Euroopa ettevõtjad ostsid 2018. aastal rekordilises mahus tuuleenergiat. Need meetmed peaksid lähiaast</w:t>
      </w:r>
      <w:r>
        <w:rPr>
          <w:rFonts w:ascii="Times New Roman" w:hAnsi="Times New Roman"/>
          <w:noProof/>
          <w:sz w:val="24"/>
        </w:rPr>
        <w:t>atel tulemusi andma.</w:t>
      </w:r>
    </w:p>
    <w:p w:rsidR="00BA3501" w:rsidRDefault="002C1285">
      <w:pPr>
        <w:jc w:val="both"/>
        <w:rPr>
          <w:rFonts w:ascii="Times New Roman" w:hAnsi="Times New Roman" w:cs="Times New Roman"/>
          <w:noProof/>
          <w:sz w:val="24"/>
          <w:szCs w:val="24"/>
        </w:rPr>
      </w:pPr>
      <w:r>
        <w:rPr>
          <w:rFonts w:ascii="Times New Roman" w:hAnsi="Times New Roman"/>
          <w:noProof/>
          <w:sz w:val="24"/>
        </w:rPr>
        <w:t xml:space="preserve">Liidus tarbitavat biokütust toodetakse jätkuvalt suures osas kodumaisest lähteainest. Liidu säästlikkuse kriteeriumid on hästi maandanud biokütusega seotud otsese suurema keskkonnamõju riski olenemata sellest, kas biokütus on toodetud </w:t>
      </w:r>
      <w:r>
        <w:rPr>
          <w:rFonts w:ascii="Times New Roman" w:hAnsi="Times New Roman"/>
          <w:noProof/>
          <w:sz w:val="24"/>
        </w:rPr>
        <w:t>liidus või imporditud kolmandatest riikidest. Viimastel aastatel on Euroopa Komisjoni tunnustatud vabatahtlikest kavadest saanud peamised töövahendid, mille abil tõendatakse vastavust ELi biokütuste säästlikkuse kriteeriumidele, ja seetõttu on need üha tih</w:t>
      </w:r>
      <w:r>
        <w:rPr>
          <w:rFonts w:ascii="Times New Roman" w:hAnsi="Times New Roman"/>
          <w:noProof/>
          <w:sz w:val="24"/>
        </w:rPr>
        <w:t xml:space="preserve">edama avaliku kontrolli objektiks. Selliste küsimuste lahendamiseks sisaldab II taastuvenergia direktiiv tugevdatud säästlikkuse raamistikku kõigi bioenergia kasutusvaldkondade jaoks (mis ei piirdu ainult biokütustega, vaid hõlmavad ka biogaasi kasutamist </w:t>
      </w:r>
      <w:r>
        <w:rPr>
          <w:rFonts w:ascii="Times New Roman" w:hAnsi="Times New Roman"/>
          <w:noProof/>
          <w:sz w:val="24"/>
        </w:rPr>
        <w:t>soojuse ja elektri tootmiseks), sealhulgas uus lähenemine, mis piirab maakasutuse kaudse muutuse suure riskiga biokütuste osa. Lisaks on tugevdatud vabatahtlike kavade juhtimist, muu hulgas kolmanda isiku tehtud auditeerimise usaldusväärsuse osas.</w:t>
      </w:r>
    </w:p>
    <w:sectPr w:rsidR="00BA350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01" w:rsidRDefault="002C1285">
      <w:pPr>
        <w:spacing w:after="0" w:line="240" w:lineRule="auto"/>
      </w:pPr>
      <w:r>
        <w:separator/>
      </w:r>
    </w:p>
  </w:endnote>
  <w:endnote w:type="continuationSeparator" w:id="0">
    <w:p w:rsidR="00BA3501" w:rsidRDefault="002C1285">
      <w:pPr>
        <w:spacing w:after="0" w:line="240" w:lineRule="auto"/>
      </w:pPr>
      <w:r>
        <w:continuationSeparator/>
      </w:r>
    </w:p>
  </w:endnote>
  <w:endnote w:type="continuationNotice" w:id="1">
    <w:p w:rsidR="00BA3501" w:rsidRDefault="00BA3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2C1285">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018997"/>
      <w:docPartObj>
        <w:docPartGallery w:val="Page Numbers (Bottom of Page)"/>
        <w:docPartUnique/>
      </w:docPartObj>
    </w:sdtPr>
    <w:sdtEndPr>
      <w:rPr>
        <w:noProof/>
      </w:rPr>
    </w:sdtEndPr>
    <w:sdtContent>
      <w:p w:rsidR="00BA3501" w:rsidRDefault="002C1285">
        <w:pPr>
          <w:pStyle w:val="Footer"/>
          <w:jc w:val="center"/>
        </w:pPr>
        <w:r>
          <w:fldChar w:fldCharType="begin"/>
        </w:r>
        <w:r>
          <w:instrText xml:space="preserve"> P</w:instrText>
        </w:r>
        <w:r>
          <w:instrText xml:space="preserve">AGE   \* MERGEFORMAT </w:instrText>
        </w:r>
        <w:r>
          <w:fldChar w:fldCharType="separate"/>
        </w:r>
        <w:r>
          <w:rPr>
            <w:noProof/>
          </w:rPr>
          <w:t>1</w:t>
        </w:r>
        <w:r>
          <w:rPr>
            <w:noProof/>
          </w:rPr>
          <w:fldChar w:fldCharType="end"/>
        </w:r>
      </w:p>
    </w:sdtContent>
  </w:sdt>
  <w:p w:rsidR="00BA3501" w:rsidRDefault="00BA3501">
    <w:pPr>
      <w:pStyle w:val="Footer"/>
      <w:tabs>
        <w:tab w:val="center" w:pos="4638"/>
      </w:tabs>
      <w:rPr>
        <w:rFonts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01" w:rsidRDefault="002C1285">
      <w:pPr>
        <w:spacing w:after="0" w:line="240" w:lineRule="auto"/>
      </w:pPr>
      <w:r>
        <w:separator/>
      </w:r>
    </w:p>
  </w:footnote>
  <w:footnote w:type="continuationSeparator" w:id="0">
    <w:p w:rsidR="00BA3501" w:rsidRDefault="002C1285">
      <w:pPr>
        <w:spacing w:after="0" w:line="240" w:lineRule="auto"/>
      </w:pPr>
      <w:r>
        <w:continuationSeparator/>
      </w:r>
    </w:p>
  </w:footnote>
  <w:footnote w:type="continuationNotice" w:id="1">
    <w:p w:rsidR="00BA3501" w:rsidRDefault="00BA3501">
      <w:pPr>
        <w:spacing w:after="0" w:line="240" w:lineRule="auto"/>
      </w:pPr>
    </w:p>
  </w:footnote>
  <w:footnote w:id="2">
    <w:p w:rsidR="00BA3501" w:rsidRDefault="002C1285">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hyperlink r:id="rId1">
        <w:r>
          <w:rPr>
            <w:rStyle w:val="Hyperlink"/>
          </w:rPr>
          <w:t>https://ec.europa.eu/energy/en/topics/energy-strategy-and-energy-union/clean-energy-all-europeans</w:t>
        </w:r>
      </w:hyperlink>
      <w:r>
        <w:rPr>
          <w:rFonts w:ascii="Times New Roman" w:hAnsi="Times New Roman"/>
        </w:rPr>
        <w:t xml:space="preserve"> </w:t>
      </w:r>
    </w:p>
  </w:footnote>
  <w:footnote w:id="3">
    <w:p w:rsidR="00BA3501" w:rsidRDefault="002C1285">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Euroopa Parlamendi ja nõukogu 23. aprilli 2009. aasta direktiiv 2009/28/EÜ taastuvatest energiaallikatest toodetud energia kasutamise edendamise kohta (ELT L 140, 5.6.2009, lk 16–62). </w:t>
      </w:r>
    </w:p>
  </w:footnote>
  <w:footnote w:id="4">
    <w:p w:rsidR="00BA3501" w:rsidRDefault="002C1285">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https://www.eea.europa.eu/publications/renewable-energy-in-europe-2018</w:t>
        </w:r>
      </w:hyperlink>
      <w:r>
        <w:rPr>
          <w:rFonts w:ascii="Times New Roman" w:hAnsi="Times New Roman"/>
        </w:rPr>
        <w:t xml:space="preserve"> </w:t>
      </w:r>
    </w:p>
  </w:footnote>
  <w:footnote w:id="5">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773: Puhas planeet kõigi jaoks. Euroopa pikaajaline strateegiline visioon, et jõuda </w:t>
      </w:r>
      <w:r>
        <w:rPr>
          <w:rFonts w:ascii="Times New Roman" w:hAnsi="Times New Roman"/>
        </w:rPr>
        <w:t>jõuka, nüüdisaegse, konkurentsivõimelise ja kliimaneutraalse majanduseni.</w:t>
      </w:r>
    </w:p>
  </w:footnote>
  <w:footnote w:id="6">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Eurostat.</w:t>
      </w:r>
    </w:p>
  </w:footnote>
  <w:footnote w:id="7">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News release, Energinet.dk, 31. august 2018.</w:t>
      </w:r>
    </w:p>
  </w:footnote>
  <w:footnote w:id="8">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hyperlink r:id="rId3">
        <w:r>
          <w:rPr>
            <w:rStyle w:val="Hyperlink"/>
            <w:rFonts w:ascii="Times New Roman" w:hAnsi="Times New Roman"/>
            <w:color w:val="000000" w:themeColor="text1"/>
          </w:rPr>
          <w:t>https://www.eea.europa.eu/publ</w:t>
        </w:r>
        <w:r>
          <w:rPr>
            <w:rStyle w:val="Hyperlink"/>
            <w:rFonts w:ascii="Times New Roman" w:hAnsi="Times New Roman"/>
            <w:color w:val="000000" w:themeColor="text1"/>
          </w:rPr>
          <w:t>ications/renewable-energy-in-europe-2018/</w:t>
        </w:r>
      </w:hyperlink>
      <w:r>
        <w:rPr>
          <w:rFonts w:ascii="Times New Roman" w:hAnsi="Times New Roman"/>
          <w:color w:val="000000" w:themeColor="text1"/>
        </w:rPr>
        <w:t xml:space="preserve"> </w:t>
      </w:r>
    </w:p>
  </w:footnote>
  <w:footnote w:id="9">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EEA hinnangud 2017. aastaks.</w:t>
      </w:r>
    </w:p>
  </w:footnote>
  <w:footnote w:id="10">
    <w:p w:rsidR="00BA3501" w:rsidRDefault="002C1285">
      <w:pPr>
        <w:pStyle w:val="FootnoteText"/>
        <w:rPr>
          <w:rFonts w:ascii="Times New Roman" w:hAnsi="Times New Roman" w:cs="Times New Roman"/>
        </w:rPr>
      </w:pPr>
      <w:r>
        <w:rPr>
          <w:rStyle w:val="FootnoteReference"/>
          <w:rFonts w:ascii="Times New Roman" w:hAnsi="Times New Roman"/>
          <w:color w:val="000000" w:themeColor="text1"/>
        </w:rPr>
        <w:footnoteRef/>
      </w:r>
      <w:r>
        <w:rPr>
          <w:rFonts w:ascii="Times New Roman" w:hAnsi="Times New Roman"/>
          <w:color w:val="000000" w:themeColor="text1"/>
        </w:rPr>
        <w:t xml:space="preserve"> JRC (2017), Monitoring R&amp;I in Low-Carbon Energy Technologies, </w:t>
      </w:r>
      <w:hyperlink r:id="rId4">
        <w:r>
          <w:rPr>
            <w:rStyle w:val="Hyperlink"/>
            <w:rFonts w:ascii="Times New Roman" w:hAnsi="Times New Roman"/>
            <w:color w:val="auto"/>
          </w:rPr>
          <w:t>http://publications.jrc.ec.europa.</w:t>
        </w:r>
        <w:r>
          <w:rPr>
            <w:rStyle w:val="Hyperlink"/>
            <w:rFonts w:ascii="Times New Roman" w:hAnsi="Times New Roman"/>
            <w:color w:val="auto"/>
          </w:rPr>
          <w:t>eu/repository/handle/JRC105642</w:t>
        </w:r>
      </w:hyperlink>
      <w:r>
        <w:rPr>
          <w:rFonts w:ascii="Times New Roman" w:hAnsi="Times New Roman"/>
        </w:rPr>
        <w:t xml:space="preserve">   </w:t>
      </w:r>
    </w:p>
  </w:footnote>
  <w:footnote w:id="11">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USA, Jaapan, Lõuna-Korea, Hiina.</w:t>
      </w:r>
    </w:p>
  </w:footnote>
  <w:footnote w:id="12">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IRENA (2019), aruanne „</w:t>
      </w:r>
      <w:hyperlink r:id="rId5">
        <w:r>
          <w:rPr>
            <w:rStyle w:val="Hyperlink"/>
            <w:rFonts w:ascii="Times New Roman" w:hAnsi="Times New Roman"/>
            <w:color w:val="auto"/>
            <w:u w:val="none"/>
          </w:rPr>
          <w:t>Innovation landscape for a renewable-powered future</w:t>
        </w:r>
        <w:r>
          <w:rPr>
            <w:rStyle w:val="Hyperlink"/>
            <w:rFonts w:ascii="Times New Roman" w:hAnsi="Times New Roman"/>
            <w:color w:val="auto"/>
            <w:u w:val="none"/>
          </w:rPr>
          <w:t>: Solutions to integrate variable renewables</w:t>
        </w:r>
      </w:hyperlink>
      <w:r>
        <w:rPr>
          <w:rStyle w:val="Hyperlink"/>
          <w:rFonts w:ascii="Times New Roman" w:hAnsi="Times New Roman"/>
          <w:color w:val="auto"/>
          <w:u w:val="none"/>
        </w:rPr>
        <w:t xml:space="preserve">“, </w:t>
      </w:r>
      <w:r>
        <w:rPr>
          <w:rStyle w:val="Emphasis"/>
          <w:rFonts w:ascii="Times New Roman" w:hAnsi="Times New Roman"/>
          <w:i w:val="0"/>
        </w:rPr>
        <w:t>Brüssel, 19. veebruar 2019.</w:t>
      </w:r>
    </w:p>
  </w:footnote>
  <w:footnote w:id="13">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JRC (2017), Supply chain of renewable energy technologies in Europe.</w:t>
      </w:r>
    </w:p>
  </w:footnote>
  <w:footnote w:id="14">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Hoogland O., Van der Lijn, N., Rademaekers, K., Gentili, P., Colozza, P., Morichi, C., 2017, Assessment of Photovoltaics (PV) Task F Strategies to rebuild the European PV sector, Trinomics.</w:t>
      </w:r>
    </w:p>
  </w:footnote>
  <w:footnote w:id="15">
    <w:p w:rsidR="00BA3501" w:rsidRDefault="002C1285">
      <w:pPr>
        <w:pStyle w:val="FootnoteText"/>
      </w:pPr>
      <w:r>
        <w:rPr>
          <w:rStyle w:val="FootnoteReference"/>
        </w:rPr>
        <w:footnoteRef/>
      </w:r>
      <w:r>
        <w:t xml:space="preserve"> </w:t>
      </w:r>
      <w:hyperlink r:id="rId6">
        <w:r>
          <w:rPr>
            <w:rStyle w:val="Hyperlink"/>
            <w:rFonts w:ascii="Times New Roman" w:hAnsi="Times New Roman"/>
          </w:rPr>
          <w:t>https://ec.europa.eu/energy/en/topics/technology-and-innovation/strategic-energy-technology-plan</w:t>
        </w:r>
      </w:hyperlink>
      <w:r>
        <w:t xml:space="preserve"> </w:t>
      </w:r>
    </w:p>
  </w:footnote>
  <w:footnote w:id="16">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EurObserv’ER (2019), 2018 barometer. https://www.eurobserv-er.org/18th-annual-overview-barometer/</w:t>
      </w:r>
    </w:p>
  </w:footnote>
  <w:footnote w:id="17">
    <w:p w:rsidR="00BA3501" w:rsidRDefault="002C1285">
      <w:pPr>
        <w:pStyle w:val="FootnoteText"/>
        <w:rPr>
          <w:rFonts w:ascii="Times New Roman" w:hAnsi="Times New Roman" w:cs="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htt</w:t>
      </w:r>
      <w:r>
        <w:rPr>
          <w:rFonts w:ascii="Times New Roman" w:hAnsi="Times New Roman"/>
          <w:color w:val="000000" w:themeColor="text1"/>
        </w:rPr>
        <w:t>ps://ec.europa.eu/energy/en/data-analysis/energy-prices-and-costs</w:t>
      </w:r>
    </w:p>
  </w:footnote>
  <w:footnote w:id="18">
    <w:p w:rsidR="00BA3501" w:rsidRDefault="002C1285">
      <w:pPr>
        <w:pStyle w:val="FootnoteText"/>
        <w:rPr>
          <w:lang w:val="en-US"/>
        </w:rPr>
      </w:pPr>
      <w:r>
        <w:rPr>
          <w:rStyle w:val="FootnoteReference"/>
          <w:rFonts w:ascii="Times New Roman" w:hAnsi="Times New Roman"/>
        </w:rPr>
        <w:footnoteRef/>
      </w:r>
      <w:r>
        <w:rPr>
          <w:rFonts w:ascii="Times New Roman" w:hAnsi="Times New Roman"/>
        </w:rPr>
        <w:t xml:space="preserve"> IRENA (2019). </w:t>
      </w:r>
      <w:r>
        <w:rPr>
          <w:rFonts w:ascii="Times New Roman" w:hAnsi="Times New Roman"/>
          <w:color w:val="333333"/>
        </w:rPr>
        <w:t>A New World: the geopolitics of the energy transformation.</w:t>
      </w:r>
    </w:p>
  </w:footnote>
  <w:footnote w:id="19">
    <w:p w:rsidR="00BA3501" w:rsidRDefault="002C1285">
      <w:pPr>
        <w:autoSpaceDE w:val="0"/>
        <w:autoSpaceDN w:val="0"/>
        <w:adjustRightInd w:val="0"/>
        <w:spacing w:after="0" w:line="240" w:lineRule="auto"/>
        <w:rPr>
          <w:rFonts w:ascii="Times New Roman" w:hAnsi="Times New Roman" w:cs="Times New Roman"/>
        </w:rPr>
      </w:pPr>
      <w:r>
        <w:rPr>
          <w:rStyle w:val="FootnoteReference"/>
          <w:rFonts w:ascii="Times New Roman" w:hAnsi="Times New Roman"/>
          <w:color w:val="000000" w:themeColor="text1"/>
          <w:sz w:val="20"/>
        </w:rPr>
        <w:footnoteRef/>
      </w:r>
      <w:r>
        <w:rPr>
          <w:rFonts w:ascii="Times New Roman" w:hAnsi="Times New Roman"/>
          <w:color w:val="000000" w:themeColor="text1"/>
          <w:sz w:val="20"/>
        </w:rPr>
        <w:t xml:space="preserve"> IRENA (2018), Off-grid Renewable Energy Solutions: Global and Regional Status and Trends.</w:t>
      </w:r>
    </w:p>
  </w:footnote>
  <w:footnote w:id="20">
    <w:p w:rsidR="00BA3501" w:rsidRDefault="002C1285">
      <w:pPr>
        <w:pStyle w:val="FootnoteText"/>
        <w:rPr>
          <w:rFonts w:ascii="Times New Roman" w:hAnsi="Times New Roman" w:cs="Times New Roman"/>
        </w:rPr>
      </w:pPr>
      <w:r>
        <w:rPr>
          <w:rStyle w:val="FootnoteReference"/>
          <w:rFonts w:ascii="Times New Roman" w:hAnsi="Times New Roman"/>
          <w:color w:val="000000" w:themeColor="text1"/>
        </w:rPr>
        <w:footnoteRef/>
      </w:r>
      <w:r>
        <w:rPr>
          <w:rFonts w:ascii="Times New Roman" w:hAnsi="Times New Roman"/>
          <w:color w:val="000000" w:themeColor="text1"/>
        </w:rPr>
        <w:t xml:space="preserve"> IEA (2017), World Ene</w:t>
      </w:r>
      <w:r>
        <w:rPr>
          <w:rFonts w:ascii="Times New Roman" w:hAnsi="Times New Roman"/>
          <w:color w:val="000000" w:themeColor="text1"/>
        </w:rPr>
        <w:t>rgy Outlook Special Report: Energy Access Outlook 2017.</w:t>
      </w:r>
    </w:p>
  </w:footnote>
  <w:footnote w:id="21">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 (EL) 2015/1513.</w:t>
      </w:r>
    </w:p>
  </w:footnote>
  <w:footnote w:id="22">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https://ec.europa.eu/energy/en/topics/renewable-energy/progress-reports</w:t>
        </w:r>
      </w:hyperlink>
      <w:r>
        <w:rPr>
          <w:rFonts w:ascii="Times New Roman" w:hAnsi="Times New Roman"/>
        </w:rPr>
        <w:t xml:space="preserve"> </w:t>
      </w:r>
    </w:p>
  </w:footnote>
  <w:footnote w:id="23">
    <w:p w:rsidR="00BA3501" w:rsidRDefault="002C1285">
      <w:pPr>
        <w:pStyle w:val="FootnoteText"/>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https://ec.europa.eu/energy/en/topics/renewable-energy/national-action-plans</w:t>
        </w:r>
      </w:hyperlink>
      <w:r>
        <w:rPr>
          <w:rFonts w:ascii="Times New Roman" w:hAnsi="Times New Roman"/>
        </w:rPr>
        <w:t xml:space="preserve">   </w:t>
      </w:r>
    </w:p>
  </w:footnote>
  <w:footnote w:id="24">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Eurostat SHARES 2017. Kasutatakse I taastuvenergia direktiivis sätestatud kordajaid.</w:t>
      </w:r>
    </w:p>
  </w:footnote>
  <w:footnote w:id="25">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Sealhulgas Norra.</w:t>
      </w:r>
    </w:p>
  </w:footnote>
  <w:footnote w:id="26">
    <w:p w:rsidR="00BA3501" w:rsidRDefault="002C1285">
      <w:pPr>
        <w:pStyle w:val="FootnoteText"/>
        <w:rPr>
          <w:lang w:val="en-IE"/>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https://ec.europa.eu/energy/en/topics/renewable-energy/pr</w:t>
        </w:r>
        <w:r>
          <w:rPr>
            <w:rStyle w:val="Hyperlink"/>
            <w:rFonts w:ascii="Times New Roman" w:hAnsi="Times New Roman"/>
          </w:rPr>
          <w:t>ogress-reports</w:t>
        </w:r>
      </w:hyperlink>
      <w:r>
        <w:rPr>
          <w:rFonts w:ascii="Times New Roman" w:hAnsi="Times New Roman"/>
        </w:rPr>
        <w:t xml:space="preserve"> </w:t>
      </w:r>
    </w:p>
  </w:footnote>
  <w:footnote w:id="27">
    <w:p w:rsidR="00BA3501" w:rsidRDefault="002C1285">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Navigant 2019: </w:t>
      </w:r>
      <w:hyperlink r:id="rId10">
        <w:r>
          <w:rPr>
            <w:rStyle w:val="Hyperlink"/>
            <w:rFonts w:ascii="Times New Roman" w:hAnsi="Times New Roman"/>
          </w:rPr>
          <w:t xml:space="preserve">Technical assistance in realisation </w:t>
        </w:r>
        <w:r>
          <w:rPr>
            <w:rStyle w:val="Hyperlink"/>
            <w:rFonts w:ascii="Times New Roman" w:hAnsi="Times New Roman"/>
          </w:rPr>
          <w:t>of the 4th report on progress of renewable energy in the EU, lõpparuanne.</w:t>
        </w:r>
      </w:hyperlink>
      <w:r>
        <w:rPr>
          <w:rFonts w:ascii="Times New Roman" w:hAnsi="Times New Roman"/>
        </w:rPr>
        <w:t xml:space="preserve"> </w:t>
      </w:r>
    </w:p>
  </w:footnote>
  <w:footnote w:id="28">
    <w:p w:rsidR="00BA3501" w:rsidRDefault="002C1285">
      <w:pPr>
        <w:pStyle w:val="FootnoteText"/>
      </w:pPr>
      <w:r>
        <w:rPr>
          <w:rStyle w:val="FootnoteReference"/>
        </w:rPr>
        <w:footnoteRef/>
      </w:r>
      <w:r>
        <w:t xml:space="preserve"> </w:t>
      </w:r>
      <w:r>
        <w:rPr>
          <w:rFonts w:ascii="Times New Roman" w:hAnsi="Times New Roman"/>
        </w:rPr>
        <w:t>Tabelisse on lisatud vaid liikmesriigid, kes esitasid asjakohase teabe oma arenguaruandes.</w:t>
      </w:r>
    </w:p>
  </w:footnote>
  <w:footnote w:id="29">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Modelleerimisarvutused tehti mudeli Green-X abil – see on Euroopa taastuvenergia meetm</w:t>
      </w:r>
      <w:r>
        <w:rPr>
          <w:rFonts w:ascii="Times New Roman" w:hAnsi="Times New Roman"/>
        </w:rPr>
        <w:t xml:space="preserve">ete puhul kasutatav modelleerimisvahend </w:t>
      </w:r>
      <w:hyperlink r:id="rId11">
        <w:r>
          <w:rPr>
            <w:rStyle w:val="Hyperlink"/>
            <w:rFonts w:ascii="Times New Roman" w:hAnsi="Times New Roman"/>
          </w:rPr>
          <w:t>https://green-x.at/</w:t>
        </w:r>
      </w:hyperlink>
      <w:r>
        <w:rPr>
          <w:rStyle w:val="Hyperlink"/>
          <w:rFonts w:ascii="Times New Roman" w:hAnsi="Times New Roman"/>
        </w:rPr>
        <w:t>.</w:t>
      </w:r>
    </w:p>
  </w:footnote>
  <w:footnote w:id="30">
    <w:p w:rsidR="00BA3501" w:rsidRDefault="002C1285">
      <w:pPr>
        <w:pStyle w:val="FootnoteText"/>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Esitatud vahemik osutab ebakindlusele, mis on seotud peamise sisendparameetriga taastuvenergia tulevikuarengu mudelipõhiseks hindamiseks. Selles suhtes on</w:t>
      </w:r>
      <w:r>
        <w:rPr>
          <w:rFonts w:ascii="Times New Roman" w:hAnsi="Times New Roman"/>
        </w:rPr>
        <w:t xml:space="preserve"> otsustav osa tuleviku energianõudlusel (kasv) ja poliitika rakendamisel.</w:t>
      </w:r>
    </w:p>
  </w:footnote>
  <w:footnote w:id="31">
    <w:p w:rsidR="00BA3501" w:rsidRDefault="002C1285">
      <w:pPr>
        <w:pStyle w:val="FootnoteText"/>
      </w:pPr>
      <w:r>
        <w:rPr>
          <w:rStyle w:val="FootnoteReference"/>
        </w:rPr>
        <w:footnoteRef/>
      </w:r>
      <w:r>
        <w:t xml:space="preserve"> </w:t>
      </w:r>
      <w:r>
        <w:rPr>
          <w:rFonts w:ascii="Times New Roman" w:hAnsi="Times New Roman"/>
        </w:rPr>
        <w:t xml:space="preserve">Navigant 2019: </w:t>
      </w:r>
      <w:hyperlink r:id="rId12">
        <w:r>
          <w:rPr>
            <w:rStyle w:val="Hyperlink"/>
            <w:rFonts w:ascii="Times New Roman" w:hAnsi="Times New Roman"/>
          </w:rPr>
          <w:t>Technical assistance in realisation of the 4th report on progress of renewable energy in the EU, lõpparuanne.</w:t>
        </w:r>
      </w:hyperlink>
    </w:p>
  </w:footnote>
  <w:footnote w:id="32">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https://ec.europa.eu/energy/en/topics/energy-strategy-and-energy-union/governance-energy-union/national-energy-climate-pla</w:t>
      </w:r>
      <w:r>
        <w:rPr>
          <w:rFonts w:ascii="Times New Roman" w:hAnsi="Times New Roman"/>
        </w:rPr>
        <w:t>ns</w:t>
      </w:r>
    </w:p>
  </w:footnote>
  <w:footnote w:id="33">
    <w:p w:rsidR="00BA3501" w:rsidRDefault="002C1285">
      <w:pPr>
        <w:pStyle w:val="FootnoteText"/>
        <w:rPr>
          <w:lang w:val="fi-FI"/>
        </w:rPr>
      </w:pPr>
      <w:r>
        <w:rPr>
          <w:rStyle w:val="FootnoteReference"/>
          <w:rFonts w:ascii="Times New Roman" w:hAnsi="Times New Roman"/>
        </w:rPr>
        <w:footnoteRef/>
      </w:r>
      <w:r>
        <w:rPr>
          <w:rFonts w:ascii="Times New Roman" w:hAnsi="Times New Roman"/>
        </w:rPr>
        <w:t xml:space="preserve"> Navigant 2019.</w:t>
      </w:r>
    </w:p>
  </w:footnote>
  <w:footnote w:id="34">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Peamine andmete ja hinnangute allikas on järgmine: Navigant, 2019. Technical assistance in realisation of the 2018 report on biofuels sustainability.</w:t>
      </w:r>
    </w:p>
  </w:footnote>
  <w:footnote w:id="35">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Biokütuste lähteaine analüüsis võetakse arvesse rahvusvahelist kauplemist biokütus</w:t>
      </w:r>
      <w:r>
        <w:rPr>
          <w:rFonts w:ascii="Times New Roman" w:hAnsi="Times New Roman"/>
        </w:rPr>
        <w:t>te ja nende lähteainetega ning muundamise kasutegurit.</w:t>
      </w:r>
    </w:p>
  </w:footnote>
  <w:footnote w:id="36">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Arvutatakse biokütuste, vedelate biokütuste ja biomasskütuste lähteainetega seotud hinnanguliste maakasutuse kaudsest muutusest tingitud heitkoguste alusel (CO</w:t>
      </w:r>
      <w:r>
        <w:rPr>
          <w:rFonts w:ascii="Times New Roman" w:hAnsi="Times New Roman"/>
          <w:vertAlign w:val="subscript"/>
        </w:rPr>
        <w:t>2</w:t>
      </w:r>
      <w:r>
        <w:rPr>
          <w:rFonts w:ascii="Times New Roman" w:hAnsi="Times New Roman"/>
          <w:sz w:val="24"/>
        </w:rPr>
        <w:t xml:space="preserve"> </w:t>
      </w:r>
      <w:r>
        <w:rPr>
          <w:rFonts w:ascii="Times New Roman" w:hAnsi="Times New Roman"/>
        </w:rPr>
        <w:t>ekvivalentgrammi/miljon) vastavalt dir</w:t>
      </w:r>
      <w:r>
        <w:rPr>
          <w:rFonts w:ascii="Times New Roman" w:hAnsi="Times New Roman"/>
        </w:rPr>
        <w:t>ektiivi (EL) 2018/2001 VIII lisale. Täpsem teave on kättesaadav teoses Navigant 2019.</w:t>
      </w:r>
    </w:p>
  </w:footnote>
  <w:footnote w:id="37">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Wageningen Research, Netherlands Environmental Assessment Agency and CENER, 2017, Study on reporting requirements on biofuels and bioliquids stemming from the Directive</w:t>
      </w:r>
      <w:r>
        <w:rPr>
          <w:rFonts w:ascii="Times New Roman" w:hAnsi="Times New Roman"/>
        </w:rPr>
        <w:t xml:space="preserve"> (EU) 2015/1513.</w:t>
      </w:r>
    </w:p>
  </w:footnote>
  <w:footnote w:id="38">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Tuleb siiski märkida, et konkreetsete alade andmed ega andmed, mis käsitlevad konkreetseid biokütuste lähteainete kasvatamise kohalikke keskkonnamõjusid, ei ole kättesaadavad.</w:t>
      </w:r>
    </w:p>
  </w:footnote>
  <w:footnote w:id="39">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Tuleb märkida, et kehtiv ühine põllumajanduspoliitika (ÜPP) annab olulise panuse, et soodustada bioloogilist mitmekesisust ja edendada säästva põllumajanduse süsteeme mitmesuguste vahendite vastastikku täiendavate meetmete abil. ÜPP tulevikuga pärast aast</w:t>
      </w:r>
      <w:r>
        <w:rPr>
          <w:rFonts w:ascii="Times New Roman" w:hAnsi="Times New Roman"/>
        </w:rPr>
        <w:t>at 2020 on seotud üheksa konkreetset ÜPP eesmärki, millest üks on panustada bioloogilise mitmekesisuse kaitsesse, edendada ökosüsteemi teenuseid ning säilitada elupaiku ja maastikke. Poliitikasuuna eesmärk on suurendada keskkonna- ja kliimaalaste ambitsioo</w:t>
      </w:r>
      <w:r>
        <w:rPr>
          <w:rFonts w:ascii="Times New Roman" w:hAnsi="Times New Roman"/>
        </w:rPr>
        <w:t>nide taset.</w:t>
      </w:r>
    </w:p>
  </w:footnote>
  <w:footnote w:id="40">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Navigant 2019.</w:t>
      </w:r>
    </w:p>
  </w:footnote>
  <w:footnote w:id="41">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Komisjoni aruanne Euroopa Parlamendile, nõukogule, Euroopa Majandus- ja Sotsiaalkomiteele ning Regioonide Komiteele asjaomaste toidu- ja söödakultuuride tootmise üleilmse laienemise kohta (2019).</w:t>
      </w:r>
    </w:p>
  </w:footnote>
  <w:footnote w:id="42">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C(2019) 2055 final.</w:t>
      </w:r>
    </w:p>
  </w:footnote>
  <w:footnote w:id="43">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 IX lisa A ja B osas esitatud lähteainete loetelu ülevaatamine rangetele kriteeriumidele vastavate lähteainete lisamiseks toimub hiljemalt juunis 2021.</w:t>
      </w:r>
    </w:p>
  </w:footnote>
  <w:footnote w:id="44">
    <w:p w:rsidR="00BA3501" w:rsidRDefault="002C1285">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https://ec.europa.eu/energy/sites/ener/files/documents/voluntary_schemes_overview_february_</w:t>
      </w:r>
      <w:r>
        <w:rPr>
          <w:rFonts w:ascii="Times New Roman" w:hAnsi="Times New Roman"/>
        </w:rPr>
        <w:t>2019.pdf</w:t>
      </w:r>
    </w:p>
  </w:footnote>
  <w:footnote w:id="45">
    <w:p w:rsidR="00BA3501" w:rsidRDefault="002C128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Komisjoni teatises vabatahtlike kavade ja vaikeväärtuste kohta vedelaid jm biokütuseid käsitlevas ELi säästlikkuskavas (2010/C 160/01) on kirjeldatud põhimõtteid, mille alusel komisjon nende otsuste tegemisega seotud kohustusi täidab. Nimetatud </w:t>
      </w:r>
      <w:r>
        <w:rPr>
          <w:rFonts w:ascii="Times New Roman" w:hAnsi="Times New Roman"/>
        </w:rPr>
        <w:t>dokumenti on täiendatud teatisega ELi biokütuste ja vedelate biokütuste säästlikkuskava ja biokütuste arvestuseeskirjade praktilise rakendamise kohta (2010/C 160/02).</w:t>
      </w:r>
    </w:p>
  </w:footnote>
  <w:footnote w:id="46">
    <w:p w:rsidR="00BA3501" w:rsidRDefault="002C1285">
      <w:pPr>
        <w:pStyle w:val="FootnoteText"/>
        <w:jc w:val="both"/>
      </w:pPr>
      <w:r>
        <w:rPr>
          <w:rStyle w:val="FootnoteReference"/>
          <w:rFonts w:ascii="Times New Roman" w:hAnsi="Times New Roman"/>
        </w:rPr>
        <w:footnoteRef/>
      </w:r>
      <w:r>
        <w:rPr>
          <w:rFonts w:ascii="Times New Roman" w:hAnsi="Times New Roman"/>
        </w:rPr>
        <w:t xml:space="preserve"> Navigant 2019. Review of voluntary scheme annual reports.</w:t>
      </w:r>
    </w:p>
  </w:footnote>
  <w:footnote w:id="47">
    <w:p w:rsidR="00BA3501" w:rsidRDefault="002C1285">
      <w:pPr>
        <w:pStyle w:val="FootnoteText"/>
      </w:pPr>
      <w:r>
        <w:rPr>
          <w:rStyle w:val="FootnoteReference"/>
        </w:rPr>
        <w:footnoteRef/>
      </w:r>
      <w:r>
        <w:t xml:space="preserve"> </w:t>
      </w:r>
      <w:r>
        <w:rPr>
          <w:rFonts w:ascii="Times New Roman" w:hAnsi="Times New Roman"/>
        </w:rPr>
        <w:t xml:space="preserve">Üksikasjadega vabatahtlike </w:t>
      </w:r>
      <w:r>
        <w:rPr>
          <w:rFonts w:ascii="Times New Roman" w:hAnsi="Times New Roman"/>
        </w:rPr>
        <w:t>kavad tunnustamise kohta saab tutvuda komisjoni veebisaidil:</w:t>
      </w:r>
      <w:r>
        <w:rPr>
          <w:rStyle w:val="Hyperlink"/>
          <w:rFonts w:ascii="Times New Roman" w:hAnsi="Times New Roman"/>
          <w:sz w:val="16"/>
        </w:rPr>
        <w:t xml:space="preserve"> </w:t>
      </w:r>
      <w:hyperlink r:id="rId13">
        <w:r>
          <w:rPr>
            <w:rStyle w:val="Hyperlink"/>
            <w:rFonts w:ascii="Times New Roman" w:hAnsi="Times New Roman"/>
          </w:rPr>
          <w:t>https://ec.europa.eu/energy/en/topics/renewable-energy/biofuels/voluntary-schemes</w:t>
        </w:r>
      </w:hyperlink>
      <w:r>
        <w:rPr>
          <w:rStyle w:val="Hyperlink"/>
          <w:rFonts w:ascii="Times New Roman" w:hAnsi="Times New Roman"/>
        </w:rPr>
        <w:t>.</w:t>
      </w:r>
    </w:p>
  </w:footnote>
  <w:footnote w:id="48">
    <w:p w:rsidR="00BA3501" w:rsidRDefault="002C1285">
      <w:pPr>
        <w:pStyle w:val="FootnoteText"/>
        <w:jc w:val="both"/>
      </w:pPr>
      <w:r>
        <w:rPr>
          <w:rStyle w:val="FootnoteReference"/>
          <w:rFonts w:ascii="Times New Roman" w:hAnsi="Times New Roman"/>
        </w:rPr>
        <w:footnoteRef/>
      </w:r>
      <w:r>
        <w:rPr>
          <w:rFonts w:ascii="Times New Roman" w:hAnsi="Times New Roman"/>
        </w:rPr>
        <w:t xml:space="preserve"> Euroopa K</w:t>
      </w:r>
      <w:r>
        <w:rPr>
          <w:rFonts w:ascii="Times New Roman" w:hAnsi="Times New Roman"/>
        </w:rPr>
        <w:t>ontrollikoda, eriaruanne nr 18/2016: Säästvate biokütuste sertifitseerimise süsteem Euroopa Liidus.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BA35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2C1285">
    <w:pPr>
      <w:pStyle w:val="Header"/>
    </w:pPr>
    <w:r>
      <w:rPr>
        <w:noProof/>
        <w:lang w:val="fr-BE" w:eastAsia="fr-BE" w:bidi="ar-SA"/>
      </w:rPr>
      <w:drawing>
        <wp:anchor distT="0" distB="0" distL="114300" distR="114300" simplePos="0" relativeHeight="251658242" behindDoc="0" locked="1" layoutInCell="1" allowOverlap="1">
          <wp:simplePos x="0" y="0"/>
          <wp:positionH relativeFrom="page">
            <wp:posOffset>3625850</wp:posOffset>
          </wp:positionH>
          <wp:positionV relativeFrom="page">
            <wp:posOffset>395605</wp:posOffset>
          </wp:positionV>
          <wp:extent cx="2520000" cy="576000"/>
          <wp:effectExtent l="0" t="0" r="0" b="0"/>
          <wp:wrapNone/>
          <wp:docPr id="3" name="Bild 109" descr="ECOFYS Logo WTTS Colou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ECOFYS Logo WTTS Colou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0000" cy="576000"/>
                  </a:xfrm>
                  <a:prstGeom prst="rect">
                    <a:avLst/>
                  </a:prstGeom>
                  <a:noFill/>
                  <a:ln>
                    <a:noFill/>
                  </a:ln>
                </pic:spPr>
              </pic:pic>
            </a:graphicData>
          </a:graphic>
        </wp:anchor>
      </w:drawing>
    </w:r>
    <w:r>
      <w:rPr>
        <w:noProof/>
        <w:lang w:val="fr-BE" w:eastAsia="fr-BE" w:bidi="ar-SA"/>
      </w:rPr>
      <w:drawing>
        <wp:anchor distT="0" distB="0" distL="114300" distR="114300" simplePos="0" relativeHeight="251658241" behindDoc="0" locked="1" layoutInCell="1" allowOverlap="1">
          <wp:simplePos x="0" y="0"/>
          <wp:positionH relativeFrom="page">
            <wp:posOffset>3625850</wp:posOffset>
          </wp:positionH>
          <wp:positionV relativeFrom="page">
            <wp:posOffset>395605</wp:posOffset>
          </wp:positionV>
          <wp:extent cx="2520000" cy="575122"/>
          <wp:effectExtent l="0" t="0" r="0" b="0"/>
          <wp:wrapNone/>
          <wp:docPr id="4" name="Bild 102" descr="ECOFYS Logo WTTS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COFYS Logo WTTS b/w" hidden="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520000" cy="575122"/>
                  </a:xfrm>
                  <a:prstGeom prst="rect">
                    <a:avLst/>
                  </a:prstGeom>
                  <a:noFill/>
                  <a:ln>
                    <a:noFill/>
                  </a:ln>
                </pic:spPr>
              </pic:pic>
            </a:graphicData>
          </a:graphic>
        </wp:anchor>
      </w:drawing>
    </w:r>
    <w:r>
      <w:rPr>
        <w:noProof/>
        <w:lang w:val="fr-BE" w:eastAsia="fr-BE" w:bidi="ar-SA"/>
      </w:rPr>
      <w:drawing>
        <wp:anchor distT="0" distB="0" distL="114300" distR="114300" simplePos="0" relativeHeight="251658240" behindDoc="0" locked="1" layoutInCell="1" allowOverlap="1">
          <wp:simplePos x="0" y="0"/>
          <wp:positionH relativeFrom="page">
            <wp:posOffset>4086225</wp:posOffset>
          </wp:positionH>
          <wp:positionV relativeFrom="page">
            <wp:posOffset>450215</wp:posOffset>
          </wp:positionV>
          <wp:extent cx="1969200" cy="723600"/>
          <wp:effectExtent l="0" t="0" r="0" b="635"/>
          <wp:wrapNone/>
          <wp:docPr id="5" name="Bild 99" descr="ECOFYS Logo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ECOFYS Logo b/w" hidden="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969200" cy="72360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01" w:rsidRDefault="002C1285">
    <w:pPr>
      <w:pStyle w:val="Header"/>
    </w:pPr>
    <w:r>
      <w:rPr>
        <w:noProof/>
        <w:lang w:val="fr-BE" w:eastAsia="fr-BE" w:bidi="ar-SA"/>
      </w:rPr>
      <w:drawing>
        <wp:anchor distT="0" distB="0" distL="114300" distR="114300" simplePos="0" relativeHeight="251658244" behindDoc="0" locked="1" layoutInCell="1" allowOverlap="1">
          <wp:simplePos x="0" y="0"/>
          <wp:positionH relativeFrom="page">
            <wp:posOffset>4087495</wp:posOffset>
          </wp:positionH>
          <wp:positionV relativeFrom="page">
            <wp:posOffset>450215</wp:posOffset>
          </wp:positionV>
          <wp:extent cx="2514600" cy="723900"/>
          <wp:effectExtent l="0" t="0" r="0" b="0"/>
          <wp:wrapNone/>
          <wp:docPr id="6" name="Bild 80" descr="ECOFYS Logo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COFYS Logo b/w" hidden="1"/>
                  <pic:cNvPicPr>
                    <a:picLocks noChangeAspect="1" noChangeArrowheads="1"/>
                  </pic:cNvPicPr>
                </pic:nvPicPr>
                <pic:blipFill>
                  <a:blip r:embed="rId1">
                    <a:extLst>
                      <a:ext uri="{28A0092B-C50C-407E-A947-70E740481C1C}">
                        <a14:useLocalDpi xmlns:a14="http://schemas.microsoft.com/office/drawing/2010/main" val="0"/>
                      </a:ext>
                    </a:extLst>
                  </a:blip>
                  <a:srcRect l="1335" t="4370" r="1335" b="4370"/>
                  <a:stretch>
                    <a:fillRect/>
                  </a:stretch>
                </pic:blipFill>
                <pic:spPr bwMode="auto">
                  <a:xfrm>
                    <a:off x="0" y="0"/>
                    <a:ext cx="2514600" cy="723900"/>
                  </a:xfrm>
                  <a:prstGeom prst="rect">
                    <a:avLst/>
                  </a:prstGeom>
                  <a:noFill/>
                  <a:ln>
                    <a:noFill/>
                  </a:ln>
                </pic:spPr>
              </pic:pic>
            </a:graphicData>
          </a:graphic>
        </wp:anchor>
      </w:drawing>
    </w:r>
    <w:r>
      <w:rPr>
        <w:noProof/>
        <w:lang w:val="fr-BE" w:eastAsia="fr-BE" w:bidi="ar-SA"/>
      </w:rPr>
      <w:drawing>
        <wp:anchor distT="0" distB="0" distL="114300" distR="114300" simplePos="0" relativeHeight="251658243" behindDoc="0" locked="1" layoutInCell="1" allowOverlap="1">
          <wp:simplePos x="0" y="0"/>
          <wp:positionH relativeFrom="page">
            <wp:posOffset>4086225</wp:posOffset>
          </wp:positionH>
          <wp:positionV relativeFrom="page">
            <wp:posOffset>450215</wp:posOffset>
          </wp:positionV>
          <wp:extent cx="2516505" cy="717550"/>
          <wp:effectExtent l="0" t="0" r="0" b="6350"/>
          <wp:wrapNone/>
          <wp:docPr id="7" name="Bild 79" descr="ECOFY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COFYS Logo Colour" hidden="1"/>
                  <pic:cNvPicPr>
                    <a:picLocks noChangeAspect="1" noChangeArrowheads="1"/>
                  </pic:cNvPicPr>
                </pic:nvPicPr>
                <pic:blipFill>
                  <a:blip r:embed="rId2">
                    <a:extLst>
                      <a:ext uri="{28A0092B-C50C-407E-A947-70E740481C1C}">
                        <a14:useLocalDpi xmlns:a14="http://schemas.microsoft.com/office/drawing/2010/main" val="0"/>
                      </a:ext>
                    </a:extLst>
                  </a:blip>
                  <a:srcRect l="1335" t="4370" r="1335" b="4370"/>
                  <a:stretch>
                    <a:fillRect/>
                  </a:stretch>
                </pic:blipFill>
                <pic:spPr bwMode="auto">
                  <a:xfrm>
                    <a:off x="0" y="0"/>
                    <a:ext cx="2516505" cy="717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18AF"/>
    <w:multiLevelType w:val="hybridMultilevel"/>
    <w:tmpl w:val="B464EC0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6D9715E"/>
    <w:multiLevelType w:val="hybridMultilevel"/>
    <w:tmpl w:val="980221A2"/>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6C21EE"/>
    <w:multiLevelType w:val="hybridMultilevel"/>
    <w:tmpl w:val="C7606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D33CB"/>
    <w:multiLevelType w:val="hybridMultilevel"/>
    <w:tmpl w:val="6CC41F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B41578"/>
    <w:multiLevelType w:val="hybridMultilevel"/>
    <w:tmpl w:val="AB90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43A39"/>
    <w:multiLevelType w:val="hybridMultilevel"/>
    <w:tmpl w:val="A6FC826A"/>
    <w:lvl w:ilvl="0" w:tplc="D8642F3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513306"/>
    <w:multiLevelType w:val="hybridMultilevel"/>
    <w:tmpl w:val="5064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30E6AF9"/>
    <w:multiLevelType w:val="hybridMultilevel"/>
    <w:tmpl w:val="5D76CBDE"/>
    <w:lvl w:ilvl="0" w:tplc="04090001">
      <w:start w:val="1"/>
      <w:numFmt w:val="bullet"/>
      <w:lvlText w:val=""/>
      <w:lvlJc w:val="left"/>
      <w:pPr>
        <w:ind w:left="720" w:hanging="360"/>
      </w:pPr>
      <w:rPr>
        <w:rFonts w:ascii="Symbol" w:hAnsi="Symbol" w:hint="default"/>
        <w:lang w:val="en-US"/>
      </w:rPr>
    </w:lvl>
    <w:lvl w:ilvl="1" w:tplc="4EDA8508">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94BAA"/>
    <w:multiLevelType w:val="hybridMultilevel"/>
    <w:tmpl w:val="115667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967031"/>
    <w:multiLevelType w:val="hybridMultilevel"/>
    <w:tmpl w:val="D4C4DE1A"/>
    <w:lvl w:ilvl="0" w:tplc="04090001">
      <w:start w:val="1"/>
      <w:numFmt w:val="bullet"/>
      <w:lvlText w:val=""/>
      <w:lvlJc w:val="left"/>
      <w:pPr>
        <w:ind w:left="720" w:hanging="360"/>
      </w:pPr>
      <w:rPr>
        <w:rFonts w:ascii="Symbol" w:hAnsi="Symbol" w:hint="default"/>
        <w:lang w:val="en-US"/>
      </w:rPr>
    </w:lvl>
    <w:lvl w:ilvl="1" w:tplc="4EDA8508">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66EAB"/>
    <w:multiLevelType w:val="hybridMultilevel"/>
    <w:tmpl w:val="E30840D4"/>
    <w:lvl w:ilvl="0" w:tplc="8EC0EF94">
      <w:start w:val="1"/>
      <w:numFmt w:val="bullet"/>
      <w:lvlText w:val=""/>
      <w:lvlJc w:val="left"/>
      <w:pPr>
        <w:tabs>
          <w:tab w:val="num" w:pos="720"/>
        </w:tabs>
        <w:ind w:left="720" w:hanging="360"/>
      </w:pPr>
      <w:rPr>
        <w:rFonts w:ascii="Wingdings" w:hAnsi="Wingdings" w:hint="default"/>
      </w:rPr>
    </w:lvl>
    <w:lvl w:ilvl="1" w:tplc="81A05D08">
      <w:start w:val="244"/>
      <w:numFmt w:val="bullet"/>
      <w:lvlText w:val="•"/>
      <w:lvlJc w:val="left"/>
      <w:pPr>
        <w:tabs>
          <w:tab w:val="num" w:pos="1440"/>
        </w:tabs>
        <w:ind w:left="1440" w:hanging="360"/>
      </w:pPr>
      <w:rPr>
        <w:rFonts w:ascii="Arial" w:hAnsi="Arial" w:hint="default"/>
      </w:rPr>
    </w:lvl>
    <w:lvl w:ilvl="2" w:tplc="6CFA2202" w:tentative="1">
      <w:start w:val="1"/>
      <w:numFmt w:val="bullet"/>
      <w:lvlText w:val=""/>
      <w:lvlJc w:val="left"/>
      <w:pPr>
        <w:tabs>
          <w:tab w:val="num" w:pos="2160"/>
        </w:tabs>
        <w:ind w:left="2160" w:hanging="360"/>
      </w:pPr>
      <w:rPr>
        <w:rFonts w:ascii="Wingdings" w:hAnsi="Wingdings" w:hint="default"/>
      </w:rPr>
    </w:lvl>
    <w:lvl w:ilvl="3" w:tplc="0E0091D2" w:tentative="1">
      <w:start w:val="1"/>
      <w:numFmt w:val="bullet"/>
      <w:lvlText w:val=""/>
      <w:lvlJc w:val="left"/>
      <w:pPr>
        <w:tabs>
          <w:tab w:val="num" w:pos="2880"/>
        </w:tabs>
        <w:ind w:left="2880" w:hanging="360"/>
      </w:pPr>
      <w:rPr>
        <w:rFonts w:ascii="Wingdings" w:hAnsi="Wingdings" w:hint="default"/>
      </w:rPr>
    </w:lvl>
    <w:lvl w:ilvl="4" w:tplc="CED67C7A" w:tentative="1">
      <w:start w:val="1"/>
      <w:numFmt w:val="bullet"/>
      <w:lvlText w:val=""/>
      <w:lvlJc w:val="left"/>
      <w:pPr>
        <w:tabs>
          <w:tab w:val="num" w:pos="3600"/>
        </w:tabs>
        <w:ind w:left="3600" w:hanging="360"/>
      </w:pPr>
      <w:rPr>
        <w:rFonts w:ascii="Wingdings" w:hAnsi="Wingdings" w:hint="default"/>
      </w:rPr>
    </w:lvl>
    <w:lvl w:ilvl="5" w:tplc="DCFA0DDE" w:tentative="1">
      <w:start w:val="1"/>
      <w:numFmt w:val="bullet"/>
      <w:lvlText w:val=""/>
      <w:lvlJc w:val="left"/>
      <w:pPr>
        <w:tabs>
          <w:tab w:val="num" w:pos="4320"/>
        </w:tabs>
        <w:ind w:left="4320" w:hanging="360"/>
      </w:pPr>
      <w:rPr>
        <w:rFonts w:ascii="Wingdings" w:hAnsi="Wingdings" w:hint="default"/>
      </w:rPr>
    </w:lvl>
    <w:lvl w:ilvl="6" w:tplc="6E66DE3E" w:tentative="1">
      <w:start w:val="1"/>
      <w:numFmt w:val="bullet"/>
      <w:lvlText w:val=""/>
      <w:lvlJc w:val="left"/>
      <w:pPr>
        <w:tabs>
          <w:tab w:val="num" w:pos="5040"/>
        </w:tabs>
        <w:ind w:left="5040" w:hanging="360"/>
      </w:pPr>
      <w:rPr>
        <w:rFonts w:ascii="Wingdings" w:hAnsi="Wingdings" w:hint="default"/>
      </w:rPr>
    </w:lvl>
    <w:lvl w:ilvl="7" w:tplc="82D6BF40" w:tentative="1">
      <w:start w:val="1"/>
      <w:numFmt w:val="bullet"/>
      <w:lvlText w:val=""/>
      <w:lvlJc w:val="left"/>
      <w:pPr>
        <w:tabs>
          <w:tab w:val="num" w:pos="5760"/>
        </w:tabs>
        <w:ind w:left="5760" w:hanging="360"/>
      </w:pPr>
      <w:rPr>
        <w:rFonts w:ascii="Wingdings" w:hAnsi="Wingdings" w:hint="default"/>
      </w:rPr>
    </w:lvl>
    <w:lvl w:ilvl="8" w:tplc="819810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C4C9A"/>
    <w:multiLevelType w:val="hybridMultilevel"/>
    <w:tmpl w:val="8EEA27E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33260FC"/>
    <w:multiLevelType w:val="hybridMultilevel"/>
    <w:tmpl w:val="E3086BCC"/>
    <w:lvl w:ilvl="0" w:tplc="08090017">
      <w:start w:val="1"/>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5B3F5C66"/>
    <w:multiLevelType w:val="hybridMultilevel"/>
    <w:tmpl w:val="212856A8"/>
    <w:lvl w:ilvl="0" w:tplc="08090003">
      <w:start w:val="1"/>
      <w:numFmt w:val="bullet"/>
      <w:lvlText w:val="o"/>
      <w:lvlJc w:val="left"/>
      <w:pPr>
        <w:ind w:left="360" w:hanging="360"/>
      </w:pPr>
      <w:rPr>
        <w:rFonts w:ascii="Courier New" w:hAnsi="Courier New" w:cs="Courier New"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3DC31C9"/>
    <w:multiLevelType w:val="hybridMultilevel"/>
    <w:tmpl w:val="4B5451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7E016EB"/>
    <w:multiLevelType w:val="hybridMultilevel"/>
    <w:tmpl w:val="D4D6AEFE"/>
    <w:lvl w:ilvl="0" w:tplc="EE12E508">
      <w:start w:val="1"/>
      <w:numFmt w:val="decimal"/>
      <w:pStyle w:val="Heading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1C7667"/>
    <w:multiLevelType w:val="hybridMultilevel"/>
    <w:tmpl w:val="4F086370"/>
    <w:lvl w:ilvl="0" w:tplc="0809000F">
      <w:start w:val="1"/>
      <w:numFmt w:val="decimal"/>
      <w:lvlText w:val="%1."/>
      <w:lvlJc w:val="left"/>
      <w:pPr>
        <w:ind w:left="720" w:hanging="360"/>
      </w:pPr>
      <w:rPr>
        <w:rFonts w:hint="default"/>
      </w:rPr>
    </w:lvl>
    <w:lvl w:ilvl="1" w:tplc="E9421FA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EE29AA"/>
    <w:multiLevelType w:val="hybridMultilevel"/>
    <w:tmpl w:val="275EC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1"/>
  </w:num>
  <w:num w:numId="5">
    <w:abstractNumId w:val="15"/>
  </w:num>
  <w:num w:numId="6">
    <w:abstractNumId w:val="15"/>
  </w:num>
  <w:num w:numId="7">
    <w:abstractNumId w:val="15"/>
  </w:num>
  <w:num w:numId="8">
    <w:abstractNumId w:val="15"/>
  </w:num>
  <w:num w:numId="9">
    <w:abstractNumId w:val="15"/>
    <w:lvlOverride w:ilvl="0">
      <w:startOverride w:val="1"/>
    </w:lvlOverride>
  </w:num>
  <w:num w:numId="10">
    <w:abstractNumId w:val="0"/>
  </w:num>
  <w:num w:numId="11">
    <w:abstractNumId w:val="4"/>
  </w:num>
  <w:num w:numId="12">
    <w:abstractNumId w:val="13"/>
  </w:num>
  <w:num w:numId="13">
    <w:abstractNumId w:val="12"/>
  </w:num>
  <w:num w:numId="14">
    <w:abstractNumId w:val="10"/>
  </w:num>
  <w:num w:numId="15">
    <w:abstractNumId w:val="16"/>
  </w:num>
  <w:num w:numId="16">
    <w:abstractNumId w:val="17"/>
  </w:num>
  <w:num w:numId="17">
    <w:abstractNumId w:val="8"/>
  </w:num>
  <w:num w:numId="18">
    <w:abstractNumId w:val="6"/>
  </w:num>
  <w:num w:numId="19">
    <w:abstractNumId w:val="3"/>
  </w:num>
  <w:num w:numId="20">
    <w:abstractNumId w:val="2"/>
  </w:num>
  <w:num w:numId="21">
    <w:abstractNumId w:val="15"/>
  </w:num>
  <w:num w:numId="22">
    <w:abstractNumId w:val="15"/>
  </w:num>
  <w:num w:numId="23">
    <w:abstractNumId w:val="15"/>
  </w:num>
  <w:num w:numId="24">
    <w:abstractNumId w:val="1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5"/>
    <w:lvlOverride w:ilvl="0">
      <w:startOverride w:val="1"/>
    </w:lvlOverride>
  </w:num>
  <w:num w:numId="29">
    <w:abstractNumId w:val="1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DFE0C4C-0699-436A-BD13-A4E0075DE7A7"/>
    <w:docVar w:name="LW_COVERPAGE_TYPE" w:val="1"/>
    <w:docVar w:name="LW_CROSSREFERENCE" w:val="&lt;UNUSED&gt;"/>
    <w:docVar w:name="LW_DocType" w:val="NORMAL"/>
    <w:docVar w:name="LW_EMISSION" w:val="9.4.2019"/>
    <w:docVar w:name="LW_EMISSION_ISODATE" w:val="2019-04-09"/>
    <w:docVar w:name="LW_EMISSION_LOCATION" w:val="BRX"/>
    <w:docVar w:name="LW_EMISSION_PREFIX" w:val="Brüssel,"/>
    <w:docVar w:name="LW_EMISSION_SUFFIX" w:val=" "/>
    <w:docVar w:name="LW_ID_DOCTYPE_NONLW" w:val="CP-008"/>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9) 2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aastuvenergia arenguaruanne"/>
    <w:docVar w:name="LW_TYPE.DOC.CP" w:val="KOMISJONI ARUANNE EUROOPA PARLAMENDILE, NÕUKOGULE, EUROOPA MAJANDUS- JA SOTSIAALKOMITEELE NING REGIOONIDE KOMITEELE"/>
  </w:docVars>
  <w:rsids>
    <w:rsidRoot w:val="00BA3501"/>
    <w:rsid w:val="002C1285"/>
    <w:rsid w:val="00BA3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1FA03D2-1090-4DF4-AD92-DE5584E2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et-E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pPr>
      <w:keepNext/>
      <w:keepLines/>
      <w:numPr>
        <w:numId w:val="5"/>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fn,Fußnote,Fotnotstext1,Footnote text,Footnote Text Char2,Footnote Text Char1 Char,Footnote Text Char Char Char,Footnote Text Char Char1,Footnote Text Char1 Char1,Footnote Text Char Char"/>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fn Char,Fußnote Char,Fotnotstext1 Char,Footnote text Char,Footnote Text Char2 Char,Footnote Text Char1 Char Char,Footnote Text Char Char Char Char"/>
    <w:basedOn w:val="DefaultParagraphFont"/>
    <w:link w:val="FootnoteText"/>
    <w:rPr>
      <w:sz w:val="20"/>
      <w:szCs w:val="20"/>
    </w:rPr>
  </w:style>
  <w:style w:type="character" w:styleId="FootnoteReference">
    <w:name w:val="footnote reference"/>
    <w:aliases w:val="number,SUPERS,Footnote Reference Superscript,stylish,Footnote symbol,Footnote Reference Number,Footnote reference number,note TESI,-E Fußnotenzeichen,ftref,EN Footnote Reference,(Diplomarbeit FZ),(Diplomarbeit FZ)1,(Diplomarbeit FZ)2"/>
    <w:basedOn w:val="DefaultParagraphFont"/>
    <w:uiPriority w:val="99"/>
    <w:unhideWhenUsed/>
    <w:qFormat/>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customStyle="1" w:styleId="Tablestylegreen2">
    <w:name w:val="Tablestyle_green2"/>
    <w:basedOn w:val="TableNormal"/>
    <w:pPr>
      <w:spacing w:before="100" w:beforeAutospacing="1" w:after="100" w:afterAutospacing="1" w:line="240" w:lineRule="auto"/>
      <w:contextualSpacing/>
    </w:pPr>
    <w:rPr>
      <w:rFonts w:ascii="Arial" w:eastAsia="Times New Roman" w:hAnsi="Arial" w:cs="Times New Roman"/>
      <w:color w:val="000000"/>
      <w:sz w:val="16"/>
      <w:szCs w:val="18"/>
    </w:rPr>
    <w:tblPr>
      <w:tblStyleRowBandSize w:val="1"/>
      <w:tblStyleColBandSize w:val="1"/>
      <w:tblInd w:w="108" w:type="dxa"/>
      <w:tblBorders>
        <w:bottom w:val="single" w:sz="18" w:space="0" w:color="648C1A"/>
      </w:tblBorders>
    </w:tblPr>
    <w:tcPr>
      <w:vAlign w:val="center"/>
    </w:tcPr>
    <w:tblStylePr w:type="firstRow">
      <w:rPr>
        <w:rFonts w:ascii="Arial" w:hAnsi="Arial"/>
        <w:b w:val="0"/>
        <w:color w:val="000000"/>
        <w:sz w:val="16"/>
      </w:rPr>
      <w:tblPr/>
      <w:tcPr>
        <w:tcBorders>
          <w:top w:val="single" w:sz="4" w:space="0" w:color="8B8D8E"/>
          <w:left w:val="single" w:sz="4" w:space="0" w:color="8B8D8E"/>
          <w:bottom w:val="single" w:sz="4" w:space="0" w:color="8B8D8E"/>
          <w:right w:val="single" w:sz="4" w:space="0" w:color="8B8D8E"/>
          <w:insideH w:val="single" w:sz="4" w:space="0" w:color="8B8D8E"/>
          <w:insideV w:val="single" w:sz="4" w:space="0" w:color="8B8D8E"/>
          <w:tl2br w:val="nil"/>
          <w:tr2bl w:val="nil"/>
        </w:tcBorders>
      </w:tcPr>
    </w:tblStylePr>
    <w:tblStylePr w:type="lastRow">
      <w:rPr>
        <w:rFonts w:ascii="Arial" w:hAnsi="Arial"/>
        <w:sz w:val="16"/>
      </w:rPr>
      <w:tblPr/>
      <w:tcPr>
        <w:tcBorders>
          <w:top w:val="nil"/>
          <w:left w:val="single" w:sz="4" w:space="0" w:color="8B8D8E"/>
          <w:bottom w:val="single" w:sz="18" w:space="0" w:color="648C1A"/>
          <w:right w:val="single" w:sz="4" w:space="0" w:color="8B8D8E"/>
          <w:insideH w:val="nil"/>
          <w:insideV w:val="single" w:sz="4" w:space="0" w:color="8B8D8E"/>
          <w:tl2br w:val="nil"/>
          <w:tr2bl w:val="nil"/>
        </w:tcBorders>
      </w:tcPr>
    </w:tblStylePr>
    <w:tblStylePr w:type="firstCol">
      <w:rPr>
        <w:rFonts w:ascii="Arial" w:hAnsi="Arial"/>
        <w:b/>
        <w:i w:val="0"/>
        <w:color w:val="FFFFFF"/>
        <w:sz w:val="16"/>
      </w:rPr>
      <w:tblPr/>
      <w:tcPr>
        <w:tcBorders>
          <w:bottom w:val="nil"/>
          <w:insideH w:val="single" w:sz="4" w:space="0" w:color="FFFFFF" w:themeColor="background1"/>
        </w:tcBorders>
        <w:shd w:val="clear" w:color="auto" w:fill="648C1A"/>
      </w:tc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Arial" w:hAnsi="Arial"/>
      </w:rPr>
    </w:tblStylePr>
    <w:tblStylePr w:type="nwCell">
      <w:rPr>
        <w:rFonts w:ascii="Arial" w:hAnsi="Arial"/>
        <w:b/>
        <w:color w:val="FFFFFF"/>
        <w:sz w:val="16"/>
      </w:rPr>
      <w:tblPr/>
      <w:tcPr>
        <w:tcBorders>
          <w:top w:val="single" w:sz="4" w:space="0" w:color="7AB800"/>
          <w:left w:val="single" w:sz="4" w:space="0" w:color="7AB800"/>
          <w:bottom w:val="single" w:sz="4" w:space="0" w:color="FFFFFF"/>
          <w:right w:val="single" w:sz="4" w:space="0" w:color="7AB800"/>
          <w:insideH w:val="nil"/>
          <w:insideV w:val="nil"/>
          <w:tl2br w:val="nil"/>
          <w:tr2bl w:val="nil"/>
        </w:tcBorders>
      </w:tcPr>
    </w:tblStylePr>
    <w:tblStylePr w:type="seCell">
      <w:rPr>
        <w:rFonts w:ascii="Arial" w:hAnsi="Arial"/>
      </w:rPr>
    </w:tblStylePr>
    <w:tblStylePr w:type="swCell">
      <w:rPr>
        <w:rFonts w:ascii="Arial" w:hAnsi="Arial"/>
      </w:rPr>
      <w:tblPr/>
      <w:tcPr>
        <w:tcBorders>
          <w:top w:val="single" w:sz="4" w:space="0" w:color="FFFFFF"/>
          <w:left w:val="single" w:sz="4" w:space="0" w:color="7AB800"/>
          <w:bottom w:val="single" w:sz="18" w:space="0" w:color="648C1A"/>
          <w:right w:val="single" w:sz="4" w:space="0" w:color="7AB800"/>
          <w:insideH w:val="nil"/>
          <w:insideV w:val="nil"/>
          <w:tl2br w:val="nil"/>
          <w:tr2bl w:val="nil"/>
        </w:tcBorders>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
    <w:name w:val="m"/>
    <w:basedOn w:val="Normal"/>
    <w:pPr>
      <w:jc w:val="both"/>
    </w:pPr>
    <w:rPr>
      <w:rFonts w:ascii="Times New Roman" w:hAnsi="Times New Roman" w:cs="Times New Roman"/>
      <w:b/>
      <w:sz w:val="24"/>
      <w:szCs w:val="24"/>
      <w:u w:val="single"/>
    </w:rPr>
  </w:style>
  <w:style w:type="character" w:customStyle="1" w:styleId="Heading1Char">
    <w:name w:val="Heading 1 Char"/>
    <w:basedOn w:val="DefaultParagraphFont"/>
    <w:link w:val="Heading1"/>
    <w:rPr>
      <w:rFonts w:ascii="Times New Roman" w:hAnsi="Times New Roman" w:cs="Times New Roman"/>
      <w:b/>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eastAsiaTheme="majorEastAsia" w:hAnsi="Times New Roman" w:cs="Times New Roman"/>
      <w:spacing w:val="-10"/>
      <w:kern w:val="28"/>
      <w:sz w:val="24"/>
      <w:szCs w:val="56"/>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eastAsiaTheme="majorEastAsia" w:hAnsi="Times New Roman" w:cs="Times New Roman"/>
      <w:b/>
      <w:spacing w:val="-10"/>
      <w:kern w:val="28"/>
      <w:sz w:val="32"/>
      <w:szCs w:val="56"/>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eastAsiaTheme="majorEastAsia" w:hAnsi="Times New Roman" w:cs="Times New Roman"/>
      <w:spacing w:val="-10"/>
      <w:kern w:val="28"/>
      <w:sz w:val="24"/>
      <w:szCs w:val="56"/>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eastAsiaTheme="majorEastAsia" w:hAnsi="Times New Roman" w:cs="Times New Roman"/>
      <w:b/>
      <w:spacing w:val="-10"/>
      <w:kern w:val="28"/>
      <w:sz w:val="32"/>
      <w:szCs w:val="56"/>
    </w:rPr>
  </w:style>
  <w:style w:type="table" w:customStyle="1" w:styleId="Tablestylegreen">
    <w:name w:val="Tablestyle_green"/>
    <w:basedOn w:val="TableNormal"/>
    <w:pPr>
      <w:spacing w:before="100" w:beforeAutospacing="1" w:after="100" w:afterAutospacing="1" w:line="283" w:lineRule="atLeast"/>
      <w:contextualSpacing/>
    </w:pPr>
    <w:rPr>
      <w:rFonts w:ascii="Verdana" w:eastAsia="Times New Roman" w:hAnsi="Verdana" w:cs="Times New Roman"/>
      <w:color w:val="000000"/>
      <w:sz w:val="16"/>
      <w:szCs w:val="20"/>
    </w:rPr>
    <w:tblPr>
      <w:tblStyleRowBandSize w:val="1"/>
      <w:tblStyleColBandSize w:val="1"/>
      <w:tblInd w:w="108" w:type="dxa"/>
    </w:tblPr>
    <w:tcPr>
      <w:vAlign w:val="center"/>
    </w:tcPr>
    <w:tblStylePr w:type="firstRow">
      <w:rPr>
        <w:rFonts w:ascii="Cambria" w:hAnsi="Cambria"/>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Cambria" w:hAnsi="Cambria"/>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firstCol">
      <w:rPr>
        <w:rFonts w:ascii="Cambria" w:hAnsi="Cambria"/>
        <w:sz w:val="16"/>
      </w:rPr>
    </w:tblStylePr>
    <w:tblStylePr w:type="lastCol">
      <w:rPr>
        <w:rFonts w:ascii="Cambria" w:hAnsi="Cambria"/>
        <w:sz w:val="16"/>
      </w:rPr>
    </w:tblStylePr>
    <w:tblStylePr w:type="band1Vert">
      <w:rPr>
        <w:rFonts w:ascii="Cambria" w:hAnsi="Cambria"/>
        <w:sz w:val="16"/>
      </w:rPr>
    </w:tblStylePr>
    <w:tblStylePr w:type="band2Vert">
      <w:rPr>
        <w:rFonts w:ascii="Cambria" w:hAnsi="Cambria"/>
        <w:sz w:val="16"/>
      </w:rPr>
    </w:tblStylePr>
    <w:tblStylePr w:type="band1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Cambria" w:hAnsi="Cambria"/>
        <w:sz w:val="16"/>
      </w:rPr>
    </w:tblStylePr>
    <w:tblStylePr w:type="nwCell">
      <w:rPr>
        <w:rFonts w:ascii="Cambria" w:hAnsi="Cambria"/>
        <w:sz w:val="16"/>
      </w:rPr>
    </w:tblStylePr>
    <w:tblStylePr w:type="seCell">
      <w:rPr>
        <w:rFonts w:ascii="Cambria" w:hAnsi="Cambria"/>
        <w:sz w:val="16"/>
      </w:rPr>
    </w:tblStylePr>
    <w:tblStylePr w:type="swCell">
      <w:rPr>
        <w:rFonts w:ascii="Cambria" w:hAnsi="Cambria"/>
        <w:sz w:val="16"/>
      </w:rPr>
    </w:tblStyle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basedOn w:val="DefaultParagraphFont"/>
    <w:link w:val="ListParagraph"/>
    <w:uiPriority w:val="34"/>
    <w:qFormat/>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645">
      <w:bodyDiv w:val="1"/>
      <w:marLeft w:val="0"/>
      <w:marRight w:val="0"/>
      <w:marTop w:val="0"/>
      <w:marBottom w:val="0"/>
      <w:divBdr>
        <w:top w:val="none" w:sz="0" w:space="0" w:color="auto"/>
        <w:left w:val="none" w:sz="0" w:space="0" w:color="auto"/>
        <w:bottom w:val="none" w:sz="0" w:space="0" w:color="auto"/>
        <w:right w:val="none" w:sz="0" w:space="0" w:color="auto"/>
      </w:divBdr>
    </w:div>
    <w:div w:id="164974368">
      <w:bodyDiv w:val="1"/>
      <w:marLeft w:val="0"/>
      <w:marRight w:val="0"/>
      <w:marTop w:val="0"/>
      <w:marBottom w:val="0"/>
      <w:divBdr>
        <w:top w:val="none" w:sz="0" w:space="0" w:color="auto"/>
        <w:left w:val="none" w:sz="0" w:space="0" w:color="auto"/>
        <w:bottom w:val="none" w:sz="0" w:space="0" w:color="auto"/>
        <w:right w:val="none" w:sz="0" w:space="0" w:color="auto"/>
      </w:divBdr>
    </w:div>
    <w:div w:id="225191113">
      <w:bodyDiv w:val="1"/>
      <w:marLeft w:val="0"/>
      <w:marRight w:val="0"/>
      <w:marTop w:val="0"/>
      <w:marBottom w:val="0"/>
      <w:divBdr>
        <w:top w:val="none" w:sz="0" w:space="0" w:color="auto"/>
        <w:left w:val="none" w:sz="0" w:space="0" w:color="auto"/>
        <w:bottom w:val="none" w:sz="0" w:space="0" w:color="auto"/>
        <w:right w:val="none" w:sz="0" w:space="0" w:color="auto"/>
      </w:divBdr>
    </w:div>
    <w:div w:id="320473223">
      <w:bodyDiv w:val="1"/>
      <w:marLeft w:val="0"/>
      <w:marRight w:val="0"/>
      <w:marTop w:val="0"/>
      <w:marBottom w:val="0"/>
      <w:divBdr>
        <w:top w:val="none" w:sz="0" w:space="0" w:color="auto"/>
        <w:left w:val="none" w:sz="0" w:space="0" w:color="auto"/>
        <w:bottom w:val="none" w:sz="0" w:space="0" w:color="auto"/>
        <w:right w:val="none" w:sz="0" w:space="0" w:color="auto"/>
      </w:divBdr>
    </w:div>
    <w:div w:id="394857189">
      <w:bodyDiv w:val="1"/>
      <w:marLeft w:val="0"/>
      <w:marRight w:val="0"/>
      <w:marTop w:val="0"/>
      <w:marBottom w:val="0"/>
      <w:divBdr>
        <w:top w:val="none" w:sz="0" w:space="0" w:color="auto"/>
        <w:left w:val="none" w:sz="0" w:space="0" w:color="auto"/>
        <w:bottom w:val="none" w:sz="0" w:space="0" w:color="auto"/>
        <w:right w:val="none" w:sz="0" w:space="0" w:color="auto"/>
      </w:divBdr>
      <w:divsChild>
        <w:div w:id="902058367">
          <w:marLeft w:val="446"/>
          <w:marRight w:val="0"/>
          <w:marTop w:val="0"/>
          <w:marBottom w:val="0"/>
          <w:divBdr>
            <w:top w:val="none" w:sz="0" w:space="0" w:color="auto"/>
            <w:left w:val="none" w:sz="0" w:space="0" w:color="auto"/>
            <w:bottom w:val="none" w:sz="0" w:space="0" w:color="auto"/>
            <w:right w:val="none" w:sz="0" w:space="0" w:color="auto"/>
          </w:divBdr>
        </w:div>
        <w:div w:id="1232037879">
          <w:marLeft w:val="1166"/>
          <w:marRight w:val="0"/>
          <w:marTop w:val="120"/>
          <w:marBottom w:val="0"/>
          <w:divBdr>
            <w:top w:val="none" w:sz="0" w:space="0" w:color="auto"/>
            <w:left w:val="none" w:sz="0" w:space="0" w:color="auto"/>
            <w:bottom w:val="none" w:sz="0" w:space="0" w:color="auto"/>
            <w:right w:val="none" w:sz="0" w:space="0" w:color="auto"/>
          </w:divBdr>
        </w:div>
        <w:div w:id="1272587569">
          <w:marLeft w:val="1166"/>
          <w:marRight w:val="0"/>
          <w:marTop w:val="120"/>
          <w:marBottom w:val="0"/>
          <w:divBdr>
            <w:top w:val="none" w:sz="0" w:space="0" w:color="auto"/>
            <w:left w:val="none" w:sz="0" w:space="0" w:color="auto"/>
            <w:bottom w:val="none" w:sz="0" w:space="0" w:color="auto"/>
            <w:right w:val="none" w:sz="0" w:space="0" w:color="auto"/>
          </w:divBdr>
        </w:div>
        <w:div w:id="1600016838">
          <w:marLeft w:val="1166"/>
          <w:marRight w:val="0"/>
          <w:marTop w:val="120"/>
          <w:marBottom w:val="0"/>
          <w:divBdr>
            <w:top w:val="none" w:sz="0" w:space="0" w:color="auto"/>
            <w:left w:val="none" w:sz="0" w:space="0" w:color="auto"/>
            <w:bottom w:val="none" w:sz="0" w:space="0" w:color="auto"/>
            <w:right w:val="none" w:sz="0" w:space="0" w:color="auto"/>
          </w:divBdr>
        </w:div>
        <w:div w:id="1443575271">
          <w:marLeft w:val="1166"/>
          <w:marRight w:val="0"/>
          <w:marTop w:val="120"/>
          <w:marBottom w:val="0"/>
          <w:divBdr>
            <w:top w:val="none" w:sz="0" w:space="0" w:color="auto"/>
            <w:left w:val="none" w:sz="0" w:space="0" w:color="auto"/>
            <w:bottom w:val="none" w:sz="0" w:space="0" w:color="auto"/>
            <w:right w:val="none" w:sz="0" w:space="0" w:color="auto"/>
          </w:divBdr>
        </w:div>
        <w:div w:id="2097700191">
          <w:marLeft w:val="446"/>
          <w:marRight w:val="0"/>
          <w:marTop w:val="0"/>
          <w:marBottom w:val="0"/>
          <w:divBdr>
            <w:top w:val="none" w:sz="0" w:space="0" w:color="auto"/>
            <w:left w:val="none" w:sz="0" w:space="0" w:color="auto"/>
            <w:bottom w:val="none" w:sz="0" w:space="0" w:color="auto"/>
            <w:right w:val="none" w:sz="0" w:space="0" w:color="auto"/>
          </w:divBdr>
        </w:div>
        <w:div w:id="346250767">
          <w:marLeft w:val="446"/>
          <w:marRight w:val="0"/>
          <w:marTop w:val="0"/>
          <w:marBottom w:val="0"/>
          <w:divBdr>
            <w:top w:val="none" w:sz="0" w:space="0" w:color="auto"/>
            <w:left w:val="none" w:sz="0" w:space="0" w:color="auto"/>
            <w:bottom w:val="none" w:sz="0" w:space="0" w:color="auto"/>
            <w:right w:val="none" w:sz="0" w:space="0" w:color="auto"/>
          </w:divBdr>
        </w:div>
        <w:div w:id="593049214">
          <w:marLeft w:val="446"/>
          <w:marRight w:val="0"/>
          <w:marTop w:val="0"/>
          <w:marBottom w:val="0"/>
          <w:divBdr>
            <w:top w:val="none" w:sz="0" w:space="0" w:color="auto"/>
            <w:left w:val="none" w:sz="0" w:space="0" w:color="auto"/>
            <w:bottom w:val="none" w:sz="0" w:space="0" w:color="auto"/>
            <w:right w:val="none" w:sz="0" w:space="0" w:color="auto"/>
          </w:divBdr>
        </w:div>
      </w:divsChild>
    </w:div>
    <w:div w:id="461772440">
      <w:bodyDiv w:val="1"/>
      <w:marLeft w:val="0"/>
      <w:marRight w:val="0"/>
      <w:marTop w:val="0"/>
      <w:marBottom w:val="0"/>
      <w:divBdr>
        <w:top w:val="none" w:sz="0" w:space="0" w:color="auto"/>
        <w:left w:val="none" w:sz="0" w:space="0" w:color="auto"/>
        <w:bottom w:val="none" w:sz="0" w:space="0" w:color="auto"/>
        <w:right w:val="none" w:sz="0" w:space="0" w:color="auto"/>
      </w:divBdr>
    </w:div>
    <w:div w:id="657808420">
      <w:bodyDiv w:val="1"/>
      <w:marLeft w:val="0"/>
      <w:marRight w:val="0"/>
      <w:marTop w:val="0"/>
      <w:marBottom w:val="0"/>
      <w:divBdr>
        <w:top w:val="none" w:sz="0" w:space="0" w:color="auto"/>
        <w:left w:val="none" w:sz="0" w:space="0" w:color="auto"/>
        <w:bottom w:val="none" w:sz="0" w:space="0" w:color="auto"/>
        <w:right w:val="none" w:sz="0" w:space="0" w:color="auto"/>
      </w:divBdr>
    </w:div>
    <w:div w:id="790173814">
      <w:bodyDiv w:val="1"/>
      <w:marLeft w:val="0"/>
      <w:marRight w:val="0"/>
      <w:marTop w:val="0"/>
      <w:marBottom w:val="0"/>
      <w:divBdr>
        <w:top w:val="none" w:sz="0" w:space="0" w:color="auto"/>
        <w:left w:val="none" w:sz="0" w:space="0" w:color="auto"/>
        <w:bottom w:val="none" w:sz="0" w:space="0" w:color="auto"/>
        <w:right w:val="none" w:sz="0" w:space="0" w:color="auto"/>
      </w:divBdr>
      <w:divsChild>
        <w:div w:id="105933229">
          <w:marLeft w:val="0"/>
          <w:marRight w:val="0"/>
          <w:marTop w:val="0"/>
          <w:marBottom w:val="0"/>
          <w:divBdr>
            <w:top w:val="none" w:sz="0" w:space="0" w:color="auto"/>
            <w:left w:val="none" w:sz="0" w:space="0" w:color="auto"/>
            <w:bottom w:val="none" w:sz="0" w:space="0" w:color="auto"/>
            <w:right w:val="none" w:sz="0" w:space="0" w:color="auto"/>
          </w:divBdr>
        </w:div>
        <w:div w:id="723679239">
          <w:marLeft w:val="0"/>
          <w:marRight w:val="0"/>
          <w:marTop w:val="0"/>
          <w:marBottom w:val="0"/>
          <w:divBdr>
            <w:top w:val="none" w:sz="0" w:space="0" w:color="auto"/>
            <w:left w:val="none" w:sz="0" w:space="0" w:color="auto"/>
            <w:bottom w:val="none" w:sz="0" w:space="0" w:color="auto"/>
            <w:right w:val="none" w:sz="0" w:space="0" w:color="auto"/>
          </w:divBdr>
        </w:div>
        <w:div w:id="1353192411">
          <w:marLeft w:val="0"/>
          <w:marRight w:val="0"/>
          <w:marTop w:val="0"/>
          <w:marBottom w:val="0"/>
          <w:divBdr>
            <w:top w:val="none" w:sz="0" w:space="0" w:color="auto"/>
            <w:left w:val="none" w:sz="0" w:space="0" w:color="auto"/>
            <w:bottom w:val="none" w:sz="0" w:space="0" w:color="auto"/>
            <w:right w:val="none" w:sz="0" w:space="0" w:color="auto"/>
          </w:divBdr>
        </w:div>
        <w:div w:id="1339038297">
          <w:marLeft w:val="0"/>
          <w:marRight w:val="0"/>
          <w:marTop w:val="0"/>
          <w:marBottom w:val="0"/>
          <w:divBdr>
            <w:top w:val="none" w:sz="0" w:space="0" w:color="auto"/>
            <w:left w:val="none" w:sz="0" w:space="0" w:color="auto"/>
            <w:bottom w:val="none" w:sz="0" w:space="0" w:color="auto"/>
            <w:right w:val="none" w:sz="0" w:space="0" w:color="auto"/>
          </w:divBdr>
        </w:div>
        <w:div w:id="1463038868">
          <w:marLeft w:val="0"/>
          <w:marRight w:val="0"/>
          <w:marTop w:val="0"/>
          <w:marBottom w:val="0"/>
          <w:divBdr>
            <w:top w:val="none" w:sz="0" w:space="0" w:color="auto"/>
            <w:left w:val="none" w:sz="0" w:space="0" w:color="auto"/>
            <w:bottom w:val="none" w:sz="0" w:space="0" w:color="auto"/>
            <w:right w:val="none" w:sz="0" w:space="0" w:color="auto"/>
          </w:divBdr>
        </w:div>
        <w:div w:id="1090080788">
          <w:marLeft w:val="0"/>
          <w:marRight w:val="0"/>
          <w:marTop w:val="0"/>
          <w:marBottom w:val="0"/>
          <w:divBdr>
            <w:top w:val="none" w:sz="0" w:space="0" w:color="auto"/>
            <w:left w:val="none" w:sz="0" w:space="0" w:color="auto"/>
            <w:bottom w:val="none" w:sz="0" w:space="0" w:color="auto"/>
            <w:right w:val="none" w:sz="0" w:space="0" w:color="auto"/>
          </w:divBdr>
        </w:div>
      </w:divsChild>
    </w:div>
    <w:div w:id="870532033">
      <w:bodyDiv w:val="1"/>
      <w:marLeft w:val="0"/>
      <w:marRight w:val="0"/>
      <w:marTop w:val="0"/>
      <w:marBottom w:val="0"/>
      <w:divBdr>
        <w:top w:val="none" w:sz="0" w:space="0" w:color="auto"/>
        <w:left w:val="none" w:sz="0" w:space="0" w:color="auto"/>
        <w:bottom w:val="none" w:sz="0" w:space="0" w:color="auto"/>
        <w:right w:val="none" w:sz="0" w:space="0" w:color="auto"/>
      </w:divBdr>
    </w:div>
    <w:div w:id="892428815">
      <w:bodyDiv w:val="1"/>
      <w:marLeft w:val="0"/>
      <w:marRight w:val="0"/>
      <w:marTop w:val="0"/>
      <w:marBottom w:val="0"/>
      <w:divBdr>
        <w:top w:val="none" w:sz="0" w:space="0" w:color="auto"/>
        <w:left w:val="none" w:sz="0" w:space="0" w:color="auto"/>
        <w:bottom w:val="none" w:sz="0" w:space="0" w:color="auto"/>
        <w:right w:val="none" w:sz="0" w:space="0" w:color="auto"/>
      </w:divBdr>
    </w:div>
    <w:div w:id="902184038">
      <w:bodyDiv w:val="1"/>
      <w:marLeft w:val="0"/>
      <w:marRight w:val="0"/>
      <w:marTop w:val="0"/>
      <w:marBottom w:val="0"/>
      <w:divBdr>
        <w:top w:val="none" w:sz="0" w:space="0" w:color="auto"/>
        <w:left w:val="none" w:sz="0" w:space="0" w:color="auto"/>
        <w:bottom w:val="none" w:sz="0" w:space="0" w:color="auto"/>
        <w:right w:val="none" w:sz="0" w:space="0" w:color="auto"/>
      </w:divBdr>
    </w:div>
    <w:div w:id="1181815246">
      <w:bodyDiv w:val="1"/>
      <w:marLeft w:val="0"/>
      <w:marRight w:val="0"/>
      <w:marTop w:val="0"/>
      <w:marBottom w:val="0"/>
      <w:divBdr>
        <w:top w:val="none" w:sz="0" w:space="0" w:color="auto"/>
        <w:left w:val="none" w:sz="0" w:space="0" w:color="auto"/>
        <w:bottom w:val="none" w:sz="0" w:space="0" w:color="auto"/>
        <w:right w:val="none" w:sz="0" w:space="0" w:color="auto"/>
      </w:divBdr>
    </w:div>
    <w:div w:id="1253509040">
      <w:bodyDiv w:val="1"/>
      <w:marLeft w:val="0"/>
      <w:marRight w:val="0"/>
      <w:marTop w:val="0"/>
      <w:marBottom w:val="0"/>
      <w:divBdr>
        <w:top w:val="none" w:sz="0" w:space="0" w:color="auto"/>
        <w:left w:val="none" w:sz="0" w:space="0" w:color="auto"/>
        <w:bottom w:val="none" w:sz="0" w:space="0" w:color="auto"/>
        <w:right w:val="none" w:sz="0" w:space="0" w:color="auto"/>
      </w:divBdr>
    </w:div>
    <w:div w:id="1385910443">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9651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nergy/en/topics/renewable-energy/national-action-plans" TargetMode="External"/><Relationship Id="rId13" Type="http://schemas.openxmlformats.org/officeDocument/2006/relationships/hyperlink" Target="https://ec.europa.eu/energy/en/topics/renewable-energy/biofuels/voluntary-schemes" TargetMode="External"/><Relationship Id="rId3" Type="http://schemas.openxmlformats.org/officeDocument/2006/relationships/hyperlink" Target="https://www.eea.europa.eu/publications/renewable-energy-in-europe-2018/" TargetMode="External"/><Relationship Id="rId7" Type="http://schemas.openxmlformats.org/officeDocument/2006/relationships/hyperlink" Target="https://ec.europa.eu/energy/en/topics/renewable-energy/progress-reports" TargetMode="External"/><Relationship Id="rId12" Type="http://schemas.openxmlformats.org/officeDocument/2006/relationships/hyperlink" Target="https://ec.europa.eu/energy/sites/ener/files/documents/technical_assistance_in_realisation_of_the_4th_report_on_progress_of_renewable_energy_in_the_eu-final_report.pdf" TargetMode="External"/><Relationship Id="rId2" Type="http://schemas.openxmlformats.org/officeDocument/2006/relationships/hyperlink" Target="https://www.eea.europa.eu/publications/renewable-energy-in-europe-2018" TargetMode="External"/><Relationship Id="rId1" Type="http://schemas.openxmlformats.org/officeDocument/2006/relationships/hyperlink" Target="https://ec.europa.eu/energy/en/topics/energy-strategy-and-energy-union/clean-energy-all-europeans" TargetMode="External"/><Relationship Id="rId6" Type="http://schemas.openxmlformats.org/officeDocument/2006/relationships/hyperlink" Target="https://ec.europa.eu/energy/en/topics/technology-and-innovation/strategic-energy-technology-plan" TargetMode="External"/><Relationship Id="rId11" Type="http://schemas.openxmlformats.org/officeDocument/2006/relationships/hyperlink" Target="https://green-x.at/" TargetMode="External"/><Relationship Id="rId5" Type="http://schemas.openxmlformats.org/officeDocument/2006/relationships/hyperlink" Target="https://irena.org/publications/2019/Feb/Innovation-landscape-for-a-renewable-powered-future" TargetMode="External"/><Relationship Id="rId10" Type="http://schemas.openxmlformats.org/officeDocument/2006/relationships/hyperlink" Target="https://ec.europa.eu/energy/sites/ener/files/documents/technical_assistance_in_realisation_of_the_4th_report_on_progress_of_renewable_energy_in_the_eu-final_report.pdf" TargetMode="External"/><Relationship Id="rId4" Type="http://schemas.openxmlformats.org/officeDocument/2006/relationships/hyperlink" Target="http://publications.jrc.ec.europa.eu/repository/handle/JRC105642" TargetMode="External"/><Relationship Id="rId9" Type="http://schemas.openxmlformats.org/officeDocument/2006/relationships/hyperlink" Target="https://ec.europa.eu/energy/en/topics/renewable-energy/progress-reports"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201b05e8-1b4f-451b-82dc-925fd82222d6" xsi:nil="true"/>
    <EC_Collab_Status xmlns="201b05e8-1b4f-451b-82dc-925fd82222d6">Not Started</EC_Collab_Status>
    <EC_Collab_DocumentLanguage xmlns="201b05e8-1b4f-451b-82dc-925fd82222d6">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4F0F68B67CF1945B8B4A078243B88F3" ma:contentTypeVersion="1" ma:contentTypeDescription="Create a new document in this library." ma:contentTypeScope="" ma:versionID="37c2f5fd27b3e91ad37b4e6c7f736fd8">
  <xsd:schema xmlns:xsd="http://www.w3.org/2001/XMLSchema" xmlns:xs="http://www.w3.org/2001/XMLSchema" xmlns:p="http://schemas.microsoft.com/office/2006/metadata/properties" xmlns:ns3="201b05e8-1b4f-451b-82dc-925fd82222d6" targetNamespace="http://schemas.microsoft.com/office/2006/metadata/properties" ma:root="true" ma:fieldsID="16ef9ff56465373dd39a16ec5d63ee94" ns3:_="">
    <xsd:import namespace="201b05e8-1b4f-451b-82dc-925fd82222d6"/>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05e8-1b4f-451b-82dc-925fd82222d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13D722-B8B6-49F5-8C14-46C143A28125}">
  <ds:schemaRefs>
    <ds:schemaRef ds:uri="http://schemas.microsoft.com/sharepoint/v3/contenttype/forms"/>
  </ds:schemaRefs>
</ds:datastoreItem>
</file>

<file path=customXml/itemProps2.xml><?xml version="1.0" encoding="utf-8"?>
<ds:datastoreItem xmlns:ds="http://schemas.openxmlformats.org/officeDocument/2006/customXml" ds:itemID="{BCF53A68-698E-46B4-9BA1-4254F2386410}">
  <ds:schemaRefs>
    <ds:schemaRef ds:uri="http://purl.org/dc/terms/"/>
    <ds:schemaRef ds:uri="http://schemas.openxmlformats.org/package/2006/metadata/core-properties"/>
    <ds:schemaRef ds:uri="201b05e8-1b4f-451b-82dc-925fd82222d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DE0A63-2D4F-4242-96BD-7AE45F24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05e8-1b4f-451b-82dc-925fd822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663AB-9D1A-403F-AFBD-385CD3A1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19</Pages>
  <Words>4518</Words>
  <Characters>32806</Characters>
  <Application>Microsoft Office Word</Application>
  <DocSecurity>0</DocSecurity>
  <Lines>964</Lines>
  <Paragraphs>540</Paragraphs>
  <ScaleCrop>false</ScaleCrop>
  <HeadingPairs>
    <vt:vector size="2" baseType="variant">
      <vt:variant>
        <vt:lpstr>Title</vt:lpstr>
      </vt:variant>
      <vt:variant>
        <vt:i4>1</vt:i4>
      </vt:variant>
    </vt:vector>
  </HeadingPairs>
  <TitlesOfParts>
    <vt:vector size="1" baseType="lpstr">
      <vt:lpstr>RES progress report</vt:lpstr>
    </vt:vector>
  </TitlesOfParts>
  <Manager/>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progress report</dc:title>
  <dc:creator/>
  <cp:lastModifiedBy>KITRIMI Efstathia (SG)</cp:lastModifiedBy>
  <cp:revision>35</cp:revision>
  <cp:lastPrinted>2019-03-13T15:57:00Z</cp:lastPrinted>
  <dcterms:created xsi:type="dcterms:W3CDTF">2019-03-28T10:38:00Z</dcterms:created>
  <dcterms:modified xsi:type="dcterms:W3CDTF">2019-04-08T08:20:00Z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0x010100258AA79CEB83498886A3A086811232500084F0F68B67CF1945B8B4A078243B88F3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y fmtid="{D5CDD505-2E9C-101B-9397-08002B2CF9AE}" pid="8" name="Last edited using">
    <vt:lpwstr>LW 6.0.1, Build 20180503</vt:lpwstr>
  </property>
</Properties>
</file>