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ro-RO"/>
        </w:rPr>
      </w:pPr>
      <w:bookmarkStart w:id="0" w:name="LW_BM_COVERPAGE"/>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2F24820-7F15-4994-997C-B65BE857111E" style="width:450.65pt;height:333.75pt">
            <v:imagedata r:id="rId9" o:title=""/>
          </v:shape>
        </w:pict>
      </w:r>
    </w:p>
    <w:bookmarkEnd w:id="0"/>
    <w:p>
      <w:pPr>
        <w:rPr>
          <w:noProof/>
          <w:lang w:val="ro-RO"/>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fmt="numberInDash" w:start="0"/>
          <w:cols w:space="720"/>
          <w:docGrid w:linePitch="360"/>
        </w:sectPr>
      </w:pPr>
    </w:p>
    <w:p>
      <w:pPr>
        <w:pStyle w:val="Typedudocument"/>
        <w:rPr>
          <w:noProof/>
          <w:lang w:val="ro-RO"/>
        </w:rPr>
      </w:pPr>
      <w:bookmarkStart w:id="1" w:name="_GoBack"/>
      <w:bookmarkEnd w:id="1"/>
      <w:r>
        <w:rPr>
          <w:noProof/>
          <w:lang w:val="ro-RO"/>
        </w:rPr>
        <w:lastRenderedPageBreak/>
        <w:t>COMUNICARE A COMISIEI CĂTRE PARLAMENTUL EUROPEAN, CONSILIU, COMITETUL ECONOMIC ȘI SOCIAL EUROPEAN, COMITETUL REGIUNILOR ȘI CURTEA DE CONTURI</w:t>
      </w:r>
    </w:p>
    <w:p>
      <w:pPr>
        <w:pStyle w:val="Titreobjet"/>
        <w:rPr>
          <w:noProof/>
          <w:lang w:val="it-IT"/>
        </w:rPr>
      </w:pPr>
      <w:r>
        <w:rPr>
          <w:noProof/>
          <w:lang w:val="it-IT"/>
        </w:rPr>
        <w:t>Strategia antifraudă a Comisiei: acțiuni intensificate pentru protecția bugetului UE</w:t>
      </w:r>
    </w:p>
    <w:p>
      <w:pPr>
        <w:rPr>
          <w:noProof/>
          <w:lang w:val="ro-RO"/>
        </w:rPr>
      </w:pPr>
    </w:p>
    <w:p>
      <w:pPr>
        <w:rPr>
          <w:noProof/>
          <w:lang w:val="ro-RO"/>
        </w:rPr>
      </w:pPr>
    </w:p>
    <w:p>
      <w:pPr>
        <w:rPr>
          <w:noProof/>
          <w:lang w:val="ro-RO"/>
        </w:rPr>
      </w:pPr>
    </w:p>
    <w:p>
      <w:pPr>
        <w:rPr>
          <w:noProof/>
          <w:lang w:val="ro-RO"/>
        </w:rPr>
      </w:pPr>
    </w:p>
    <w:p>
      <w:pPr>
        <w:rPr>
          <w:noProof/>
          <w:lang w:val="ro-RO"/>
        </w:rPr>
      </w:pPr>
    </w:p>
    <w:p>
      <w:pPr>
        <w:rPr>
          <w:noProof/>
          <w:lang w:val="ro-RO"/>
        </w:rPr>
      </w:pPr>
    </w:p>
    <w:p>
      <w:pPr>
        <w:rPr>
          <w:noProof/>
          <w:lang w:val="ro-RO"/>
        </w:rPr>
      </w:pPr>
    </w:p>
    <w:p>
      <w:pPr>
        <w:pStyle w:val="Heading1"/>
        <w:numPr>
          <w:ilvl w:val="0"/>
          <w:numId w:val="0"/>
        </w:numPr>
        <w:ind w:left="432" w:hanging="432"/>
        <w:rPr>
          <w:noProof/>
          <w:lang w:val="ro-RO"/>
        </w:rPr>
      </w:pPr>
    </w:p>
    <w:p>
      <w:pPr>
        <w:rPr>
          <w:rFonts w:ascii="Times New Roman" w:hAnsi="Times New Roman" w:cs="Times New Roman"/>
          <w:b/>
          <w:noProof/>
          <w:sz w:val="28"/>
          <w:szCs w:val="28"/>
          <w:lang w:val="ro-RO"/>
        </w:rPr>
      </w:pPr>
      <w:r>
        <w:rPr>
          <w:rFonts w:ascii="Times New Roman" w:hAnsi="Times New Roman"/>
          <w:b/>
          <w:noProof/>
          <w:sz w:val="28"/>
          <w:lang w:val="ro-RO"/>
        </w:rPr>
        <w:t>CUPRINS</w:t>
      </w:r>
    </w:p>
    <w:p>
      <w:pPr>
        <w:pStyle w:val="TOC1"/>
        <w:rPr>
          <w:rFonts w:ascii="Times New Roman" w:hAnsi="Times New Roman" w:cs="Times New Roman"/>
          <w:noProof/>
          <w:sz w:val="24"/>
          <w:szCs w:val="24"/>
          <w:lang w:val="ro-RO"/>
        </w:rPr>
      </w:pPr>
      <w:r>
        <w:rPr>
          <w:rFonts w:ascii="Times New Roman" w:hAnsi="Times New Roman"/>
          <w:noProof/>
          <w:sz w:val="24"/>
          <w:lang w:val="ro-RO"/>
        </w:rPr>
        <w:t>Abrevieri principale</w:t>
      </w:r>
      <w:r>
        <w:rPr>
          <w:noProof/>
          <w:lang w:val="ro-RO"/>
        </w:rPr>
        <w:tab/>
      </w:r>
      <w:r>
        <w:rPr>
          <w:rFonts w:ascii="Times New Roman" w:hAnsi="Times New Roman"/>
          <w:noProof/>
          <w:sz w:val="24"/>
          <w:lang w:val="ro-RO"/>
        </w:rPr>
        <w:t>2</w:t>
      </w:r>
    </w:p>
    <w:p>
      <w:pPr>
        <w:pStyle w:val="TOC1"/>
        <w:rPr>
          <w:rFonts w:ascii="Times New Roman" w:eastAsiaTheme="minorEastAsia" w:hAnsi="Times New Roman" w:cs="Times New Roman"/>
          <w:noProof/>
          <w:sz w:val="24"/>
          <w:szCs w:val="24"/>
          <w:lang w:val="ro-RO" w:eastAsia="en-GB"/>
        </w:rPr>
      </w:pPr>
      <w:r>
        <w:rPr>
          <w:rFonts w:ascii="Times New Roman" w:hAnsi="Times New Roman" w:cs="Times New Roman"/>
          <w:noProof/>
          <w:sz w:val="24"/>
          <w:szCs w:val="24"/>
          <w:lang w:val="ro-RO"/>
        </w:rPr>
        <w:fldChar w:fldCharType="begin"/>
      </w:r>
      <w:r>
        <w:rPr>
          <w:rFonts w:ascii="Times New Roman" w:hAnsi="Times New Roman" w:cs="Times New Roman"/>
          <w:noProof/>
          <w:sz w:val="24"/>
          <w:szCs w:val="24"/>
          <w:lang w:val="ro-RO"/>
        </w:rPr>
        <w:instrText xml:space="preserve"> TOC \o "1-5" \h \z \u </w:instrText>
      </w:r>
      <w:r>
        <w:rPr>
          <w:rFonts w:ascii="Times New Roman" w:hAnsi="Times New Roman" w:cs="Times New Roman"/>
          <w:noProof/>
          <w:sz w:val="24"/>
          <w:szCs w:val="24"/>
          <w:lang w:val="ro-RO"/>
        </w:rPr>
        <w:fldChar w:fldCharType="separate"/>
      </w:r>
      <w:hyperlink w:anchor="_Toc6414608" w:history="1">
        <w:r>
          <w:rPr>
            <w:rStyle w:val="Hyperlink"/>
            <w:rFonts w:ascii="Times New Roman" w:hAnsi="Times New Roman" w:cs="Times New Roman"/>
            <w:noProof/>
            <w:sz w:val="24"/>
            <w:szCs w:val="24"/>
            <w:lang w:val="ro-RO"/>
          </w:rPr>
          <w:t>1.</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Rezumat</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_Toc6414608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4</w:t>
        </w:r>
        <w:r>
          <w:rPr>
            <w:rFonts w:ascii="Times New Roman" w:hAnsi="Times New Roman" w:cs="Times New Roman"/>
            <w:noProof/>
            <w:webHidden/>
            <w:sz w:val="24"/>
            <w:szCs w:val="24"/>
            <w:lang w:val="ro-RO"/>
          </w:rPr>
          <w:fldChar w:fldCharType="end"/>
        </w:r>
      </w:hyperlink>
    </w:p>
    <w:p>
      <w:pPr>
        <w:pStyle w:val="TOC1"/>
        <w:rPr>
          <w:rFonts w:ascii="Times New Roman" w:eastAsiaTheme="minorEastAsia" w:hAnsi="Times New Roman" w:cs="Times New Roman"/>
          <w:noProof/>
          <w:sz w:val="24"/>
          <w:szCs w:val="24"/>
          <w:lang w:val="ro-RO" w:eastAsia="en-GB"/>
        </w:rPr>
      </w:pPr>
      <w:hyperlink w:anchor="_Toc6414609" w:history="1">
        <w:r>
          <w:rPr>
            <w:rStyle w:val="Hyperlink"/>
            <w:rFonts w:ascii="Times New Roman" w:hAnsi="Times New Roman" w:cs="Times New Roman"/>
            <w:noProof/>
            <w:sz w:val="24"/>
            <w:szCs w:val="24"/>
            <w:lang w:val="ro-RO"/>
          </w:rPr>
          <w:t>2.</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Introducere</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_Toc6414609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5</w:t>
        </w:r>
        <w:r>
          <w:rPr>
            <w:rFonts w:ascii="Times New Roman" w:hAnsi="Times New Roman" w:cs="Times New Roman"/>
            <w:noProof/>
            <w:webHidden/>
            <w:sz w:val="24"/>
            <w:szCs w:val="24"/>
            <w:lang w:val="ro-RO"/>
          </w:rPr>
          <w:fldChar w:fldCharType="end"/>
        </w:r>
      </w:hyperlink>
    </w:p>
    <w:p>
      <w:pPr>
        <w:pStyle w:val="TOC2"/>
        <w:tabs>
          <w:tab w:val="left" w:pos="880"/>
          <w:tab w:val="right" w:leader="dot" w:pos="9016"/>
        </w:tabs>
        <w:rPr>
          <w:rFonts w:ascii="Times New Roman" w:eastAsiaTheme="minorEastAsia" w:hAnsi="Times New Roman" w:cs="Times New Roman"/>
          <w:noProof/>
          <w:sz w:val="24"/>
          <w:szCs w:val="24"/>
          <w:lang w:val="ro-RO" w:eastAsia="en-GB"/>
        </w:rPr>
      </w:pPr>
      <w:hyperlink w:anchor="_Toc6414610" w:history="1">
        <w:r>
          <w:rPr>
            <w:rStyle w:val="Hyperlink"/>
            <w:rFonts w:ascii="Times New Roman" w:hAnsi="Times New Roman" w:cs="Times New Roman"/>
            <w:noProof/>
            <w:sz w:val="24"/>
            <w:szCs w:val="24"/>
            <w:lang w:val="ro-RO"/>
          </w:rPr>
          <w:t>2.1.</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Lupta Uniunii Europene împotriva fraudei</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_Toc6414610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5</w:t>
        </w:r>
        <w:r>
          <w:rPr>
            <w:rFonts w:ascii="Times New Roman" w:hAnsi="Times New Roman" w:cs="Times New Roman"/>
            <w:noProof/>
            <w:webHidden/>
            <w:sz w:val="24"/>
            <w:szCs w:val="24"/>
            <w:lang w:val="ro-RO"/>
          </w:rPr>
          <w:fldChar w:fldCharType="end"/>
        </w:r>
      </w:hyperlink>
    </w:p>
    <w:p>
      <w:pPr>
        <w:pStyle w:val="TOC2"/>
        <w:tabs>
          <w:tab w:val="left" w:pos="880"/>
          <w:tab w:val="right" w:leader="dot" w:pos="9016"/>
        </w:tabs>
        <w:rPr>
          <w:rFonts w:ascii="Times New Roman" w:eastAsiaTheme="minorEastAsia" w:hAnsi="Times New Roman" w:cs="Times New Roman"/>
          <w:noProof/>
          <w:sz w:val="24"/>
          <w:szCs w:val="24"/>
          <w:lang w:val="ro-RO" w:eastAsia="en-GB"/>
        </w:rPr>
      </w:pPr>
      <w:hyperlink w:anchor="_Toc6414611" w:history="1">
        <w:r>
          <w:rPr>
            <w:rStyle w:val="Hyperlink"/>
            <w:rFonts w:ascii="Times New Roman" w:hAnsi="Times New Roman" w:cs="Times New Roman"/>
            <w:noProof/>
            <w:sz w:val="24"/>
            <w:szCs w:val="24"/>
            <w:lang w:val="ro-RO"/>
          </w:rPr>
          <w:t>2.2.</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Strategia antifraudă a Comisiei (SAFC) 2011</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_Toc6414611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6</w:t>
        </w:r>
        <w:r>
          <w:rPr>
            <w:rFonts w:ascii="Times New Roman" w:hAnsi="Times New Roman" w:cs="Times New Roman"/>
            <w:noProof/>
            <w:webHidden/>
            <w:sz w:val="24"/>
            <w:szCs w:val="24"/>
            <w:lang w:val="ro-RO"/>
          </w:rPr>
          <w:fldChar w:fldCharType="end"/>
        </w:r>
      </w:hyperlink>
    </w:p>
    <w:p>
      <w:pPr>
        <w:pStyle w:val="TOC2"/>
        <w:tabs>
          <w:tab w:val="left" w:pos="880"/>
          <w:tab w:val="right" w:leader="dot" w:pos="9016"/>
        </w:tabs>
        <w:rPr>
          <w:rFonts w:ascii="Times New Roman" w:eastAsiaTheme="minorEastAsia" w:hAnsi="Times New Roman" w:cs="Times New Roman"/>
          <w:noProof/>
          <w:sz w:val="24"/>
          <w:szCs w:val="24"/>
          <w:lang w:val="ro-RO" w:eastAsia="en-GB"/>
        </w:rPr>
      </w:pPr>
      <w:hyperlink w:anchor="_Toc6414612" w:history="1">
        <w:r>
          <w:rPr>
            <w:rStyle w:val="Hyperlink"/>
            <w:rFonts w:ascii="Times New Roman" w:hAnsi="Times New Roman" w:cs="Times New Roman"/>
            <w:noProof/>
            <w:sz w:val="24"/>
            <w:szCs w:val="24"/>
            <w:lang w:val="ro-RO"/>
          </w:rPr>
          <w:t>2.3.</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Punerea în aplicare și evaluarea SAFC</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_Toc6414612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7</w:t>
        </w:r>
        <w:r>
          <w:rPr>
            <w:rFonts w:ascii="Times New Roman" w:hAnsi="Times New Roman" w:cs="Times New Roman"/>
            <w:noProof/>
            <w:webHidden/>
            <w:sz w:val="24"/>
            <w:szCs w:val="24"/>
            <w:lang w:val="ro-RO"/>
          </w:rPr>
          <w:fldChar w:fldCharType="end"/>
        </w:r>
      </w:hyperlink>
    </w:p>
    <w:p>
      <w:pPr>
        <w:pStyle w:val="TOC2"/>
        <w:tabs>
          <w:tab w:val="left" w:pos="880"/>
          <w:tab w:val="right" w:leader="dot" w:pos="9016"/>
        </w:tabs>
        <w:rPr>
          <w:rFonts w:ascii="Times New Roman" w:eastAsiaTheme="minorEastAsia" w:hAnsi="Times New Roman" w:cs="Times New Roman"/>
          <w:noProof/>
          <w:sz w:val="24"/>
          <w:szCs w:val="24"/>
          <w:lang w:val="ro-RO" w:eastAsia="en-GB"/>
        </w:rPr>
      </w:pPr>
      <w:hyperlink w:anchor="_Toc6414613" w:history="1">
        <w:r>
          <w:rPr>
            <w:rStyle w:val="Hyperlink"/>
            <w:rFonts w:ascii="Times New Roman" w:hAnsi="Times New Roman" w:cs="Times New Roman"/>
            <w:noProof/>
            <w:sz w:val="24"/>
            <w:szCs w:val="24"/>
            <w:lang w:val="ro-RO"/>
          </w:rPr>
          <w:t>2.4.</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Argumente pentru o nouă SAFC</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_Toc6414613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7</w:t>
        </w:r>
        <w:r>
          <w:rPr>
            <w:rFonts w:ascii="Times New Roman" w:hAnsi="Times New Roman" w:cs="Times New Roman"/>
            <w:noProof/>
            <w:webHidden/>
            <w:sz w:val="24"/>
            <w:szCs w:val="24"/>
            <w:lang w:val="ro-RO"/>
          </w:rPr>
          <w:fldChar w:fldCharType="end"/>
        </w:r>
      </w:hyperlink>
    </w:p>
    <w:p>
      <w:pPr>
        <w:pStyle w:val="TOC2"/>
        <w:tabs>
          <w:tab w:val="left" w:pos="880"/>
          <w:tab w:val="right" w:leader="dot" w:pos="9016"/>
        </w:tabs>
        <w:rPr>
          <w:rFonts w:ascii="Times New Roman" w:eastAsiaTheme="minorEastAsia" w:hAnsi="Times New Roman" w:cs="Times New Roman"/>
          <w:noProof/>
          <w:sz w:val="24"/>
          <w:szCs w:val="24"/>
          <w:lang w:val="ro-RO" w:eastAsia="en-GB"/>
        </w:rPr>
      </w:pPr>
      <w:hyperlink w:anchor="_Toc6414614" w:history="1">
        <w:r>
          <w:rPr>
            <w:rStyle w:val="Hyperlink"/>
            <w:rFonts w:ascii="Times New Roman" w:hAnsi="Times New Roman" w:cs="Times New Roman"/>
            <w:noProof/>
            <w:sz w:val="24"/>
            <w:szCs w:val="24"/>
            <w:lang w:val="ro-RO"/>
          </w:rPr>
          <w:t>2.5.</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Sfera SAFC 2019</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_Toc6414614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8</w:t>
        </w:r>
        <w:r>
          <w:rPr>
            <w:rFonts w:ascii="Times New Roman" w:hAnsi="Times New Roman" w:cs="Times New Roman"/>
            <w:noProof/>
            <w:webHidden/>
            <w:sz w:val="24"/>
            <w:szCs w:val="24"/>
            <w:lang w:val="ro-RO"/>
          </w:rPr>
          <w:fldChar w:fldCharType="end"/>
        </w:r>
      </w:hyperlink>
    </w:p>
    <w:p>
      <w:pPr>
        <w:pStyle w:val="TOC1"/>
        <w:rPr>
          <w:rFonts w:ascii="Times New Roman" w:eastAsiaTheme="minorEastAsia" w:hAnsi="Times New Roman" w:cs="Times New Roman"/>
          <w:noProof/>
          <w:sz w:val="24"/>
          <w:szCs w:val="24"/>
          <w:lang w:val="ro-RO" w:eastAsia="en-GB"/>
        </w:rPr>
      </w:pPr>
      <w:hyperlink w:anchor="_Toc6414615" w:history="1">
        <w:r>
          <w:rPr>
            <w:rStyle w:val="Hyperlink"/>
            <w:rFonts w:ascii="Times New Roman" w:hAnsi="Times New Roman" w:cs="Times New Roman"/>
            <w:noProof/>
            <w:sz w:val="24"/>
            <w:szCs w:val="24"/>
            <w:lang w:val="ro-RO"/>
          </w:rPr>
          <w:t>3.</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Evaluarea riscului de fraudă</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_Toc6414615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9</w:t>
        </w:r>
        <w:r>
          <w:rPr>
            <w:rFonts w:ascii="Times New Roman" w:hAnsi="Times New Roman" w:cs="Times New Roman"/>
            <w:noProof/>
            <w:webHidden/>
            <w:sz w:val="24"/>
            <w:szCs w:val="24"/>
            <w:lang w:val="ro-RO"/>
          </w:rPr>
          <w:fldChar w:fldCharType="end"/>
        </w:r>
      </w:hyperlink>
    </w:p>
    <w:p>
      <w:pPr>
        <w:pStyle w:val="TOC1"/>
        <w:rPr>
          <w:rFonts w:ascii="Times New Roman" w:eastAsiaTheme="minorEastAsia" w:hAnsi="Times New Roman" w:cs="Times New Roman"/>
          <w:noProof/>
          <w:sz w:val="24"/>
          <w:szCs w:val="24"/>
          <w:lang w:val="ro-RO" w:eastAsia="en-GB"/>
        </w:rPr>
      </w:pPr>
      <w:hyperlink w:anchor="_Toc6414616" w:history="1">
        <w:r>
          <w:rPr>
            <w:rStyle w:val="Hyperlink"/>
            <w:rFonts w:ascii="Times New Roman" w:hAnsi="Times New Roman" w:cs="Times New Roman"/>
            <w:noProof/>
            <w:sz w:val="24"/>
            <w:szCs w:val="24"/>
            <w:lang w:val="ro-RO"/>
          </w:rPr>
          <w:t>4.</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Principii și priorități</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_Toc6414616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11</w:t>
        </w:r>
        <w:r>
          <w:rPr>
            <w:rFonts w:ascii="Times New Roman" w:hAnsi="Times New Roman" w:cs="Times New Roman"/>
            <w:noProof/>
            <w:webHidden/>
            <w:sz w:val="24"/>
            <w:szCs w:val="24"/>
            <w:lang w:val="ro-RO"/>
          </w:rPr>
          <w:fldChar w:fldCharType="end"/>
        </w:r>
      </w:hyperlink>
    </w:p>
    <w:p>
      <w:pPr>
        <w:pStyle w:val="TOC2"/>
        <w:tabs>
          <w:tab w:val="left" w:pos="880"/>
          <w:tab w:val="right" w:leader="dot" w:pos="9016"/>
        </w:tabs>
        <w:rPr>
          <w:rFonts w:ascii="Times New Roman" w:eastAsiaTheme="minorEastAsia" w:hAnsi="Times New Roman" w:cs="Times New Roman"/>
          <w:noProof/>
          <w:sz w:val="24"/>
          <w:szCs w:val="24"/>
          <w:lang w:val="ro-RO" w:eastAsia="en-GB"/>
        </w:rPr>
      </w:pPr>
      <w:hyperlink w:anchor="_Toc6414617" w:history="1">
        <w:r>
          <w:rPr>
            <w:rStyle w:val="Hyperlink"/>
            <w:rFonts w:ascii="Times New Roman" w:hAnsi="Times New Roman" w:cs="Times New Roman"/>
            <w:noProof/>
            <w:sz w:val="24"/>
            <w:szCs w:val="24"/>
            <w:lang w:val="ro-RO"/>
          </w:rPr>
          <w:t>4.1.</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Principiile SAFC 2011 și SAFC 2019</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_Toc6414617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11</w:t>
        </w:r>
        <w:r>
          <w:rPr>
            <w:rFonts w:ascii="Times New Roman" w:hAnsi="Times New Roman" w:cs="Times New Roman"/>
            <w:noProof/>
            <w:webHidden/>
            <w:sz w:val="24"/>
            <w:szCs w:val="24"/>
            <w:lang w:val="ro-RO"/>
          </w:rPr>
          <w:fldChar w:fldCharType="end"/>
        </w:r>
      </w:hyperlink>
    </w:p>
    <w:p>
      <w:pPr>
        <w:pStyle w:val="TOC2"/>
        <w:tabs>
          <w:tab w:val="left" w:pos="880"/>
          <w:tab w:val="right" w:leader="dot" w:pos="9016"/>
        </w:tabs>
        <w:rPr>
          <w:rFonts w:ascii="Times New Roman" w:eastAsiaTheme="minorEastAsia" w:hAnsi="Times New Roman" w:cs="Times New Roman"/>
          <w:noProof/>
          <w:sz w:val="24"/>
          <w:szCs w:val="24"/>
          <w:lang w:val="ro-RO" w:eastAsia="en-GB"/>
        </w:rPr>
      </w:pPr>
      <w:hyperlink w:anchor="_Toc6414618" w:history="1">
        <w:r>
          <w:rPr>
            <w:rStyle w:val="Hyperlink"/>
            <w:rFonts w:ascii="Times New Roman" w:hAnsi="Times New Roman" w:cs="Times New Roman"/>
            <w:noProof/>
            <w:sz w:val="24"/>
            <w:szCs w:val="24"/>
            <w:lang w:val="ro-RO"/>
          </w:rPr>
          <w:t>4.2.</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Prioritățile noii SAFC</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_Toc6414618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13</w:t>
        </w:r>
        <w:r>
          <w:rPr>
            <w:rFonts w:ascii="Times New Roman" w:hAnsi="Times New Roman" w:cs="Times New Roman"/>
            <w:noProof/>
            <w:webHidden/>
            <w:sz w:val="24"/>
            <w:szCs w:val="24"/>
            <w:lang w:val="ro-RO"/>
          </w:rPr>
          <w:fldChar w:fldCharType="end"/>
        </w:r>
      </w:hyperlink>
    </w:p>
    <w:p>
      <w:pPr>
        <w:pStyle w:val="TOC2"/>
        <w:tabs>
          <w:tab w:val="left" w:pos="1100"/>
          <w:tab w:val="right" w:leader="dot" w:pos="9016"/>
        </w:tabs>
        <w:rPr>
          <w:rFonts w:ascii="Times New Roman" w:eastAsiaTheme="minorEastAsia" w:hAnsi="Times New Roman" w:cs="Times New Roman"/>
          <w:noProof/>
          <w:sz w:val="24"/>
          <w:szCs w:val="24"/>
          <w:lang w:val="ro-RO" w:eastAsia="en-GB"/>
        </w:rPr>
      </w:pPr>
      <w:hyperlink w:anchor="_Toc6414619" w:history="1">
        <w:r>
          <w:rPr>
            <w:rStyle w:val="Hyperlink"/>
            <w:rFonts w:ascii="Times New Roman" w:hAnsi="Times New Roman" w:cs="Times New Roman"/>
            <w:noProof/>
            <w:sz w:val="24"/>
            <w:szCs w:val="24"/>
            <w:lang w:val="ro-RO"/>
          </w:rPr>
          <w:t>4.2.1.</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Obiectivul nr. 1: colectarea și analizarea datelor</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_Toc6414619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13</w:t>
        </w:r>
        <w:r>
          <w:rPr>
            <w:rFonts w:ascii="Times New Roman" w:hAnsi="Times New Roman" w:cs="Times New Roman"/>
            <w:noProof/>
            <w:webHidden/>
            <w:sz w:val="24"/>
            <w:szCs w:val="24"/>
            <w:lang w:val="ro-RO"/>
          </w:rPr>
          <w:fldChar w:fldCharType="end"/>
        </w:r>
      </w:hyperlink>
    </w:p>
    <w:p>
      <w:pPr>
        <w:pStyle w:val="TOC2"/>
        <w:tabs>
          <w:tab w:val="right" w:leader="dot" w:pos="9016"/>
        </w:tabs>
        <w:rPr>
          <w:rFonts w:ascii="Times New Roman" w:eastAsiaTheme="minorEastAsia" w:hAnsi="Times New Roman" w:cs="Times New Roman"/>
          <w:noProof/>
          <w:sz w:val="24"/>
          <w:szCs w:val="24"/>
          <w:lang w:val="ro-RO" w:eastAsia="en-GB"/>
        </w:rPr>
      </w:pPr>
      <w:hyperlink w:anchor="_Toc6414620" w:history="1">
        <w:r>
          <w:rPr>
            <w:rStyle w:val="Hyperlink"/>
            <w:rFonts w:ascii="Times New Roman" w:hAnsi="Times New Roman" w:cs="Times New Roman"/>
            <w:noProof/>
            <w:sz w:val="24"/>
            <w:szCs w:val="24"/>
            <w:lang w:val="ro-RO"/>
          </w:rPr>
          <w:t>4.2.2.</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_Toc6414620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17</w:t>
        </w:r>
        <w:r>
          <w:rPr>
            <w:rFonts w:ascii="Times New Roman" w:hAnsi="Times New Roman" w:cs="Times New Roman"/>
            <w:noProof/>
            <w:webHidden/>
            <w:sz w:val="24"/>
            <w:szCs w:val="24"/>
            <w:lang w:val="ro-RO"/>
          </w:rPr>
          <w:fldChar w:fldCharType="end"/>
        </w:r>
      </w:hyperlink>
    </w:p>
    <w:p>
      <w:pPr>
        <w:pStyle w:val="TOC1"/>
        <w:rPr>
          <w:rFonts w:ascii="Times New Roman" w:eastAsiaTheme="minorEastAsia" w:hAnsi="Times New Roman" w:cs="Times New Roman"/>
          <w:noProof/>
          <w:sz w:val="24"/>
          <w:szCs w:val="24"/>
          <w:lang w:val="ro-RO" w:eastAsia="en-GB"/>
        </w:rPr>
      </w:pPr>
      <w:hyperlink w:anchor="_Toc6414621" w:history="1">
        <w:r>
          <w:rPr>
            <w:rStyle w:val="Hyperlink"/>
            <w:rFonts w:ascii="Times New Roman" w:hAnsi="Times New Roman" w:cs="Times New Roman"/>
            <w:noProof/>
            <w:sz w:val="24"/>
            <w:szCs w:val="24"/>
            <w:lang w:val="ro-RO"/>
          </w:rPr>
          <w:t>5.</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Obiective suplimentare</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_Toc6414621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19</w:t>
        </w:r>
        <w:r>
          <w:rPr>
            <w:rFonts w:ascii="Times New Roman" w:hAnsi="Times New Roman" w:cs="Times New Roman"/>
            <w:noProof/>
            <w:webHidden/>
            <w:sz w:val="24"/>
            <w:szCs w:val="24"/>
            <w:lang w:val="ro-RO"/>
          </w:rPr>
          <w:fldChar w:fldCharType="end"/>
        </w:r>
      </w:hyperlink>
    </w:p>
    <w:p>
      <w:pPr>
        <w:pStyle w:val="TOC1"/>
        <w:rPr>
          <w:rFonts w:eastAsiaTheme="minorEastAsia"/>
          <w:noProof/>
          <w:lang w:val="ro-RO" w:eastAsia="en-GB"/>
        </w:rPr>
      </w:pPr>
      <w:hyperlink w:anchor="_Toc6414622" w:history="1">
        <w:r>
          <w:rPr>
            <w:rStyle w:val="Hyperlink"/>
            <w:rFonts w:ascii="Times New Roman" w:hAnsi="Times New Roman" w:cs="Times New Roman"/>
            <w:noProof/>
            <w:sz w:val="24"/>
            <w:szCs w:val="24"/>
            <w:lang w:val="ro-RO"/>
          </w:rPr>
          <w:t>6.</w:t>
        </w:r>
        <w:r>
          <w:rPr>
            <w:rFonts w:ascii="Times New Roman" w:eastAsiaTheme="minorEastAsia" w:hAnsi="Times New Roman" w:cs="Times New Roman"/>
            <w:noProof/>
            <w:sz w:val="24"/>
            <w:szCs w:val="24"/>
            <w:lang w:val="ro-RO" w:eastAsia="en-GB"/>
          </w:rPr>
          <w:tab/>
        </w:r>
        <w:r>
          <w:rPr>
            <w:rStyle w:val="Hyperlink"/>
            <w:rFonts w:ascii="Times New Roman" w:hAnsi="Times New Roman" w:cs="Times New Roman"/>
            <w:noProof/>
            <w:sz w:val="24"/>
            <w:szCs w:val="24"/>
            <w:lang w:val="ro-RO"/>
          </w:rPr>
          <w:t>Monitorizare și raportare</w:t>
        </w:r>
        <w:r>
          <w:rPr>
            <w:rFonts w:ascii="Times New Roman" w:hAnsi="Times New Roman" w:cs="Times New Roman"/>
            <w:noProof/>
            <w:webHidden/>
            <w:sz w:val="24"/>
            <w:szCs w:val="24"/>
            <w:lang w:val="ro-RO"/>
          </w:rPr>
          <w:tab/>
        </w:r>
        <w:r>
          <w:rPr>
            <w:rFonts w:ascii="Times New Roman" w:hAnsi="Times New Roman" w:cs="Times New Roman"/>
            <w:noProof/>
            <w:webHidden/>
            <w:sz w:val="24"/>
            <w:szCs w:val="24"/>
            <w:lang w:val="ro-RO"/>
          </w:rPr>
          <w:fldChar w:fldCharType="begin"/>
        </w:r>
        <w:r>
          <w:rPr>
            <w:rFonts w:ascii="Times New Roman" w:hAnsi="Times New Roman" w:cs="Times New Roman"/>
            <w:noProof/>
            <w:webHidden/>
            <w:sz w:val="24"/>
            <w:szCs w:val="24"/>
            <w:lang w:val="ro-RO"/>
          </w:rPr>
          <w:instrText xml:space="preserve"> PAGEREF _Toc6414622 \h </w:instrText>
        </w:r>
        <w:r>
          <w:rPr>
            <w:rFonts w:ascii="Times New Roman" w:hAnsi="Times New Roman" w:cs="Times New Roman"/>
            <w:noProof/>
            <w:webHidden/>
            <w:sz w:val="24"/>
            <w:szCs w:val="24"/>
            <w:lang w:val="ro-RO"/>
          </w:rPr>
        </w:r>
        <w:r>
          <w:rPr>
            <w:rFonts w:ascii="Times New Roman" w:hAnsi="Times New Roman" w:cs="Times New Roman"/>
            <w:noProof/>
            <w:webHidden/>
            <w:sz w:val="24"/>
            <w:szCs w:val="24"/>
            <w:lang w:val="ro-RO"/>
          </w:rPr>
          <w:fldChar w:fldCharType="separate"/>
        </w:r>
        <w:r>
          <w:rPr>
            <w:rFonts w:ascii="Times New Roman" w:hAnsi="Times New Roman" w:cs="Times New Roman"/>
            <w:noProof/>
            <w:webHidden/>
            <w:sz w:val="24"/>
            <w:szCs w:val="24"/>
            <w:lang w:val="ro-RO"/>
          </w:rPr>
          <w:t>20</w:t>
        </w:r>
        <w:r>
          <w:rPr>
            <w:rFonts w:ascii="Times New Roman" w:hAnsi="Times New Roman" w:cs="Times New Roman"/>
            <w:noProof/>
            <w:webHidden/>
            <w:sz w:val="24"/>
            <w:szCs w:val="24"/>
            <w:lang w:val="ro-RO"/>
          </w:rPr>
          <w:fldChar w:fldCharType="end"/>
        </w:r>
      </w:hyperlink>
    </w:p>
    <w:p>
      <w:pPr>
        <w:pStyle w:val="TOC1"/>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fldChar w:fldCharType="end"/>
      </w:r>
    </w:p>
    <w:p>
      <w:pPr>
        <w:tabs>
          <w:tab w:val="left" w:pos="720"/>
        </w:tabs>
        <w:jc w:val="center"/>
        <w:rPr>
          <w:rFonts w:ascii="Times New Roman" w:hAnsi="Times New Roman" w:cs="Times New Roman"/>
          <w:b/>
          <w:noProof/>
          <w:sz w:val="28"/>
          <w:szCs w:val="28"/>
          <w:lang w:val="ro-RO"/>
        </w:rPr>
      </w:pPr>
      <w:r>
        <w:rPr>
          <w:rFonts w:ascii="Times New Roman" w:hAnsi="Times New Roman"/>
          <w:b/>
          <w:noProof/>
          <w:sz w:val="28"/>
          <w:lang w:val="ro-RO"/>
        </w:rPr>
        <w:lastRenderedPageBreak/>
        <w:t>Abrevieri principale</w:t>
      </w:r>
    </w:p>
    <w:tbl>
      <w:tblPr>
        <w:tblStyle w:val="TableGrid"/>
        <w:tblW w:w="9463" w:type="dxa"/>
        <w:tblLook w:val="04A0" w:firstRow="1" w:lastRow="0" w:firstColumn="1" w:lastColumn="0" w:noHBand="0" w:noVBand="1"/>
      </w:tblPr>
      <w:tblGrid>
        <w:gridCol w:w="3227"/>
        <w:gridCol w:w="6236"/>
      </w:tblGrid>
      <w:tr>
        <w:trPr>
          <w:trHeight w:val="57"/>
        </w:trPr>
        <w:tc>
          <w:tcPr>
            <w:tcW w:w="3227" w:type="dxa"/>
            <w:tcBorders>
              <w:bottom w:val="double" w:sz="4" w:space="0" w:color="auto"/>
            </w:tcBorders>
            <w:shd w:val="clear" w:color="auto" w:fill="F2F2F2" w:themeFill="background1" w:themeFillShade="F2"/>
          </w:tcPr>
          <w:p>
            <w:pPr>
              <w:spacing w:before="120" w:after="120"/>
              <w:jc w:val="center"/>
              <w:rPr>
                <w:b/>
                <w:i/>
                <w:noProof/>
                <w:sz w:val="24"/>
                <w:szCs w:val="24"/>
                <w:lang w:val="ro-RO"/>
              </w:rPr>
            </w:pPr>
            <w:r>
              <w:rPr>
                <w:b/>
                <w:i/>
                <w:noProof/>
                <w:sz w:val="24"/>
                <w:lang w:val="ro-RO"/>
              </w:rPr>
              <w:t>Abreviere</w:t>
            </w:r>
          </w:p>
        </w:tc>
        <w:tc>
          <w:tcPr>
            <w:tcW w:w="6236" w:type="dxa"/>
            <w:tcBorders>
              <w:bottom w:val="double" w:sz="4" w:space="0" w:color="auto"/>
            </w:tcBorders>
            <w:shd w:val="clear" w:color="auto" w:fill="F2F2F2" w:themeFill="background1" w:themeFillShade="F2"/>
          </w:tcPr>
          <w:p>
            <w:pPr>
              <w:spacing w:before="120" w:after="120"/>
              <w:jc w:val="center"/>
              <w:rPr>
                <w:b/>
                <w:i/>
                <w:noProof/>
                <w:sz w:val="24"/>
                <w:szCs w:val="24"/>
                <w:lang w:val="ro-RO"/>
              </w:rPr>
            </w:pPr>
            <w:r>
              <w:rPr>
                <w:b/>
                <w:i/>
                <w:noProof/>
                <w:sz w:val="24"/>
                <w:lang w:val="ro-RO"/>
              </w:rPr>
              <w:t>Sens</w:t>
            </w:r>
          </w:p>
        </w:tc>
      </w:tr>
      <w:tr>
        <w:trPr>
          <w:trHeight w:val="57"/>
        </w:trPr>
        <w:tc>
          <w:tcPr>
            <w:tcW w:w="3227" w:type="dxa"/>
            <w:tcMar>
              <w:top w:w="113" w:type="dxa"/>
              <w:bottom w:w="113" w:type="dxa"/>
            </w:tcMar>
          </w:tcPr>
          <w:p>
            <w:pPr>
              <w:rPr>
                <w:noProof/>
                <w:sz w:val="24"/>
                <w:szCs w:val="24"/>
                <w:lang w:val="ro-RO"/>
              </w:rPr>
            </w:pPr>
            <w:r>
              <w:rPr>
                <w:noProof/>
                <w:sz w:val="24"/>
                <w:lang w:val="ro-RO"/>
              </w:rPr>
              <w:t>AOD</w:t>
            </w:r>
          </w:p>
        </w:tc>
        <w:tc>
          <w:tcPr>
            <w:tcW w:w="6236" w:type="dxa"/>
            <w:tcMar>
              <w:top w:w="113" w:type="dxa"/>
              <w:bottom w:w="113" w:type="dxa"/>
            </w:tcMar>
          </w:tcPr>
          <w:p>
            <w:pPr>
              <w:rPr>
                <w:noProof/>
                <w:sz w:val="24"/>
                <w:szCs w:val="24"/>
                <w:lang w:val="ro-RO"/>
              </w:rPr>
            </w:pPr>
            <w:r>
              <w:rPr>
                <w:noProof/>
                <w:sz w:val="24"/>
                <w:lang w:val="ro-RO"/>
              </w:rPr>
              <w:t>Ordonator de credite delegat</w:t>
            </w:r>
          </w:p>
        </w:tc>
      </w:tr>
      <w:tr>
        <w:trPr>
          <w:trHeight w:val="57"/>
        </w:trPr>
        <w:tc>
          <w:tcPr>
            <w:tcW w:w="3227" w:type="dxa"/>
            <w:tcMar>
              <w:top w:w="113" w:type="dxa"/>
              <w:bottom w:w="113" w:type="dxa"/>
            </w:tcMar>
          </w:tcPr>
          <w:p>
            <w:pPr>
              <w:rPr>
                <w:noProof/>
                <w:sz w:val="24"/>
                <w:szCs w:val="24"/>
                <w:lang w:val="ro-RO"/>
              </w:rPr>
            </w:pPr>
            <w:r>
              <w:rPr>
                <w:noProof/>
                <w:sz w:val="24"/>
                <w:lang w:val="ro-RO"/>
              </w:rPr>
              <w:t>SAFC</w:t>
            </w:r>
          </w:p>
        </w:tc>
        <w:tc>
          <w:tcPr>
            <w:tcW w:w="6236" w:type="dxa"/>
            <w:tcMar>
              <w:top w:w="113" w:type="dxa"/>
              <w:bottom w:w="113" w:type="dxa"/>
            </w:tcMar>
          </w:tcPr>
          <w:p>
            <w:pPr>
              <w:rPr>
                <w:noProof/>
                <w:sz w:val="24"/>
                <w:szCs w:val="24"/>
                <w:lang w:val="ro-RO"/>
              </w:rPr>
            </w:pPr>
            <w:r>
              <w:rPr>
                <w:noProof/>
                <w:sz w:val="24"/>
                <w:lang w:val="ro-RO"/>
              </w:rPr>
              <w:t>Strategia antifraudă a Comisiei</w:t>
            </w:r>
          </w:p>
        </w:tc>
      </w:tr>
      <w:tr>
        <w:trPr>
          <w:trHeight w:val="57"/>
        </w:trPr>
        <w:tc>
          <w:tcPr>
            <w:tcW w:w="3227" w:type="dxa"/>
            <w:tcMar>
              <w:top w:w="113" w:type="dxa"/>
              <w:bottom w:w="113" w:type="dxa"/>
            </w:tcMar>
          </w:tcPr>
          <w:p>
            <w:pPr>
              <w:rPr>
                <w:noProof/>
                <w:sz w:val="24"/>
                <w:szCs w:val="24"/>
                <w:lang w:val="ro-RO"/>
              </w:rPr>
            </w:pPr>
            <w:r>
              <w:rPr>
                <w:noProof/>
                <w:sz w:val="24"/>
                <w:lang w:val="ro-RO"/>
              </w:rPr>
              <w:t>DG</w:t>
            </w:r>
          </w:p>
        </w:tc>
        <w:tc>
          <w:tcPr>
            <w:tcW w:w="6236" w:type="dxa"/>
            <w:tcMar>
              <w:top w:w="113" w:type="dxa"/>
              <w:bottom w:w="113" w:type="dxa"/>
            </w:tcMar>
          </w:tcPr>
          <w:p>
            <w:pPr>
              <w:rPr>
                <w:noProof/>
                <w:sz w:val="24"/>
                <w:szCs w:val="24"/>
                <w:lang w:val="ro-RO"/>
              </w:rPr>
            </w:pPr>
            <w:r>
              <w:rPr>
                <w:noProof/>
                <w:sz w:val="24"/>
                <w:lang w:val="ro-RO"/>
              </w:rPr>
              <w:t>Direcția(Direcțiile) Generală(Generale)</w:t>
            </w:r>
          </w:p>
        </w:tc>
      </w:tr>
      <w:tr>
        <w:trPr>
          <w:trHeight w:val="57"/>
        </w:trPr>
        <w:tc>
          <w:tcPr>
            <w:tcW w:w="3227" w:type="dxa"/>
            <w:tcMar>
              <w:top w:w="113" w:type="dxa"/>
              <w:bottom w:w="113" w:type="dxa"/>
            </w:tcMar>
          </w:tcPr>
          <w:p>
            <w:pPr>
              <w:rPr>
                <w:noProof/>
                <w:sz w:val="24"/>
                <w:szCs w:val="24"/>
                <w:lang w:val="ro-RO"/>
              </w:rPr>
            </w:pPr>
            <w:r>
              <w:rPr>
                <w:noProof/>
                <w:sz w:val="24"/>
                <w:lang w:val="ro-RO"/>
              </w:rPr>
              <w:t>DG Buget</w:t>
            </w:r>
          </w:p>
        </w:tc>
        <w:tc>
          <w:tcPr>
            <w:tcW w:w="6236" w:type="dxa"/>
            <w:tcMar>
              <w:top w:w="113" w:type="dxa"/>
              <w:bottom w:w="113" w:type="dxa"/>
            </w:tcMar>
          </w:tcPr>
          <w:p>
            <w:pPr>
              <w:rPr>
                <w:noProof/>
                <w:sz w:val="24"/>
                <w:szCs w:val="24"/>
                <w:lang w:val="ro-RO"/>
              </w:rPr>
            </w:pPr>
            <w:r>
              <w:rPr>
                <w:noProof/>
                <w:sz w:val="24"/>
                <w:lang w:val="ro-RO"/>
              </w:rPr>
              <w:t>Direcția Generală Buget</w:t>
            </w:r>
          </w:p>
        </w:tc>
      </w:tr>
      <w:tr>
        <w:trPr>
          <w:trHeight w:val="57"/>
        </w:trPr>
        <w:tc>
          <w:tcPr>
            <w:tcW w:w="3227" w:type="dxa"/>
            <w:tcMar>
              <w:top w:w="113" w:type="dxa"/>
              <w:bottom w:w="113" w:type="dxa"/>
            </w:tcMar>
          </w:tcPr>
          <w:p>
            <w:pPr>
              <w:rPr>
                <w:noProof/>
                <w:sz w:val="24"/>
                <w:szCs w:val="24"/>
                <w:lang w:val="ro-RO"/>
              </w:rPr>
            </w:pPr>
            <w:r>
              <w:rPr>
                <w:noProof/>
                <w:sz w:val="24"/>
                <w:lang w:val="ro-RO"/>
              </w:rPr>
              <w:t>DG HR</w:t>
            </w:r>
          </w:p>
        </w:tc>
        <w:tc>
          <w:tcPr>
            <w:tcW w:w="6236" w:type="dxa"/>
            <w:tcMar>
              <w:top w:w="113" w:type="dxa"/>
              <w:bottom w:w="113" w:type="dxa"/>
            </w:tcMar>
          </w:tcPr>
          <w:p>
            <w:pPr>
              <w:rPr>
                <w:noProof/>
                <w:sz w:val="24"/>
                <w:szCs w:val="24"/>
                <w:lang w:val="ro-RO"/>
              </w:rPr>
            </w:pPr>
            <w:r>
              <w:rPr>
                <w:noProof/>
                <w:sz w:val="24"/>
                <w:lang w:val="ro-RO"/>
              </w:rPr>
              <w:t>Direcția Generală Resurse Umane și Securitate</w:t>
            </w:r>
          </w:p>
        </w:tc>
      </w:tr>
      <w:tr>
        <w:trPr>
          <w:trHeight w:val="57"/>
        </w:trPr>
        <w:tc>
          <w:tcPr>
            <w:tcW w:w="3227" w:type="dxa"/>
            <w:tcMar>
              <w:top w:w="113" w:type="dxa"/>
              <w:bottom w:w="113" w:type="dxa"/>
            </w:tcMar>
          </w:tcPr>
          <w:p>
            <w:pPr>
              <w:rPr>
                <w:noProof/>
                <w:sz w:val="24"/>
                <w:szCs w:val="24"/>
                <w:lang w:val="ro-RO"/>
              </w:rPr>
            </w:pPr>
            <w:r>
              <w:rPr>
                <w:noProof/>
                <w:sz w:val="24"/>
                <w:lang w:val="ro-RO"/>
              </w:rPr>
              <w:t>DG TAXUD</w:t>
            </w:r>
          </w:p>
        </w:tc>
        <w:tc>
          <w:tcPr>
            <w:tcW w:w="6236" w:type="dxa"/>
            <w:tcMar>
              <w:top w:w="113" w:type="dxa"/>
              <w:bottom w:w="113" w:type="dxa"/>
            </w:tcMar>
          </w:tcPr>
          <w:p>
            <w:pPr>
              <w:rPr>
                <w:noProof/>
                <w:sz w:val="24"/>
                <w:szCs w:val="24"/>
                <w:lang w:val="ro-RO"/>
              </w:rPr>
            </w:pPr>
            <w:r>
              <w:rPr>
                <w:noProof/>
                <w:sz w:val="24"/>
                <w:lang w:val="ro-RO"/>
              </w:rPr>
              <w:t>Direcția Generală Impozitare și Uniune Vamală</w:t>
            </w:r>
          </w:p>
        </w:tc>
      </w:tr>
      <w:tr>
        <w:trPr>
          <w:trHeight w:val="57"/>
        </w:trPr>
        <w:tc>
          <w:tcPr>
            <w:tcW w:w="3227" w:type="dxa"/>
            <w:tcMar>
              <w:top w:w="113" w:type="dxa"/>
              <w:bottom w:w="113" w:type="dxa"/>
            </w:tcMar>
          </w:tcPr>
          <w:p>
            <w:pPr>
              <w:rPr>
                <w:noProof/>
                <w:sz w:val="24"/>
                <w:szCs w:val="24"/>
                <w:lang w:val="ro-RO"/>
              </w:rPr>
            </w:pPr>
            <w:r>
              <w:rPr>
                <w:noProof/>
                <w:sz w:val="24"/>
                <w:lang w:val="ro-RO"/>
              </w:rPr>
              <w:t>CCE</w:t>
            </w:r>
          </w:p>
        </w:tc>
        <w:tc>
          <w:tcPr>
            <w:tcW w:w="6236" w:type="dxa"/>
            <w:tcMar>
              <w:top w:w="113" w:type="dxa"/>
              <w:bottom w:w="113" w:type="dxa"/>
            </w:tcMar>
          </w:tcPr>
          <w:p>
            <w:pPr>
              <w:rPr>
                <w:noProof/>
                <w:sz w:val="24"/>
                <w:szCs w:val="24"/>
                <w:lang w:val="ro-RO"/>
              </w:rPr>
            </w:pPr>
            <w:r>
              <w:rPr>
                <w:noProof/>
                <w:sz w:val="24"/>
                <w:lang w:val="ro-RO"/>
              </w:rPr>
              <w:t>Curtea de Conturi Europeană</w:t>
            </w:r>
          </w:p>
        </w:tc>
      </w:tr>
      <w:tr>
        <w:trPr>
          <w:trHeight w:val="57"/>
        </w:trPr>
        <w:tc>
          <w:tcPr>
            <w:tcW w:w="3227" w:type="dxa"/>
            <w:tcMar>
              <w:top w:w="113" w:type="dxa"/>
              <w:bottom w:w="113" w:type="dxa"/>
            </w:tcMar>
          </w:tcPr>
          <w:p>
            <w:pPr>
              <w:rPr>
                <w:noProof/>
                <w:sz w:val="24"/>
                <w:szCs w:val="24"/>
                <w:lang w:val="ro-RO"/>
              </w:rPr>
            </w:pPr>
            <w:r>
              <w:rPr>
                <w:noProof/>
                <w:sz w:val="24"/>
                <w:lang w:val="ro-RO"/>
              </w:rPr>
              <w:t>EPPO</w:t>
            </w:r>
          </w:p>
        </w:tc>
        <w:tc>
          <w:tcPr>
            <w:tcW w:w="6236" w:type="dxa"/>
            <w:tcMar>
              <w:top w:w="113" w:type="dxa"/>
              <w:bottom w:w="113" w:type="dxa"/>
            </w:tcMar>
          </w:tcPr>
          <w:p>
            <w:pPr>
              <w:rPr>
                <w:noProof/>
                <w:sz w:val="24"/>
                <w:szCs w:val="24"/>
                <w:lang w:val="ro-RO"/>
              </w:rPr>
            </w:pPr>
            <w:r>
              <w:rPr>
                <w:noProof/>
                <w:sz w:val="24"/>
                <w:lang w:val="ro-RO"/>
              </w:rPr>
              <w:t>Parchetul European</w:t>
            </w:r>
          </w:p>
        </w:tc>
      </w:tr>
      <w:tr>
        <w:trPr>
          <w:trHeight w:val="57"/>
        </w:trPr>
        <w:tc>
          <w:tcPr>
            <w:tcW w:w="3227" w:type="dxa"/>
            <w:tcMar>
              <w:top w:w="113" w:type="dxa"/>
              <w:bottom w:w="113" w:type="dxa"/>
            </w:tcMar>
          </w:tcPr>
          <w:p>
            <w:pPr>
              <w:rPr>
                <w:noProof/>
                <w:sz w:val="24"/>
                <w:szCs w:val="24"/>
                <w:lang w:val="ro-RO"/>
              </w:rPr>
            </w:pPr>
            <w:r>
              <w:rPr>
                <w:noProof/>
                <w:sz w:val="24"/>
                <w:lang w:val="ro-RO"/>
              </w:rPr>
              <w:t>Eurojust</w:t>
            </w:r>
          </w:p>
        </w:tc>
        <w:tc>
          <w:tcPr>
            <w:tcW w:w="6236" w:type="dxa"/>
            <w:tcMar>
              <w:top w:w="113" w:type="dxa"/>
              <w:bottom w:w="113" w:type="dxa"/>
            </w:tcMar>
          </w:tcPr>
          <w:p>
            <w:pPr>
              <w:rPr>
                <w:noProof/>
                <w:sz w:val="24"/>
                <w:szCs w:val="24"/>
                <w:lang w:val="ro-RO"/>
              </w:rPr>
            </w:pPr>
            <w:r>
              <w:rPr>
                <w:noProof/>
                <w:sz w:val="24"/>
                <w:lang w:val="ro-RO"/>
              </w:rPr>
              <w:t>Agenția Uniunii Europene pentru Cooperare în Materie de Justiție Penală</w:t>
            </w:r>
          </w:p>
        </w:tc>
      </w:tr>
      <w:tr>
        <w:trPr>
          <w:trHeight w:val="57"/>
        </w:trPr>
        <w:tc>
          <w:tcPr>
            <w:tcW w:w="3227" w:type="dxa"/>
            <w:tcMar>
              <w:top w:w="113" w:type="dxa"/>
              <w:bottom w:w="113" w:type="dxa"/>
            </w:tcMar>
          </w:tcPr>
          <w:p>
            <w:pPr>
              <w:rPr>
                <w:noProof/>
                <w:sz w:val="24"/>
                <w:szCs w:val="24"/>
                <w:lang w:val="ro-RO"/>
              </w:rPr>
            </w:pPr>
            <w:r>
              <w:rPr>
                <w:noProof/>
                <w:sz w:val="24"/>
                <w:lang w:val="ro-RO"/>
              </w:rPr>
              <w:t>Europol</w:t>
            </w:r>
          </w:p>
        </w:tc>
        <w:tc>
          <w:tcPr>
            <w:tcW w:w="6236" w:type="dxa"/>
            <w:tcMar>
              <w:top w:w="113" w:type="dxa"/>
              <w:bottom w:w="113" w:type="dxa"/>
            </w:tcMar>
          </w:tcPr>
          <w:p>
            <w:pPr>
              <w:rPr>
                <w:noProof/>
                <w:sz w:val="24"/>
                <w:szCs w:val="24"/>
                <w:lang w:val="ro-RO"/>
              </w:rPr>
            </w:pPr>
            <w:r>
              <w:rPr>
                <w:noProof/>
                <w:sz w:val="24"/>
                <w:lang w:val="ro-RO"/>
              </w:rPr>
              <w:t>Agenția Uniunii Europene pentru Cooperare în Materie de Aplicare a Legii</w:t>
            </w:r>
          </w:p>
        </w:tc>
      </w:tr>
      <w:tr>
        <w:trPr>
          <w:trHeight w:val="57"/>
        </w:trPr>
        <w:tc>
          <w:tcPr>
            <w:tcW w:w="3227" w:type="dxa"/>
            <w:tcMar>
              <w:top w:w="113" w:type="dxa"/>
              <w:bottom w:w="113" w:type="dxa"/>
            </w:tcMar>
          </w:tcPr>
          <w:p>
            <w:pPr>
              <w:rPr>
                <w:noProof/>
                <w:sz w:val="24"/>
                <w:szCs w:val="24"/>
                <w:lang w:val="ro-RO"/>
              </w:rPr>
            </w:pPr>
            <w:r>
              <w:rPr>
                <w:noProof/>
                <w:sz w:val="24"/>
                <w:lang w:val="ro-RO"/>
              </w:rPr>
              <w:t>FPDNet</w:t>
            </w:r>
          </w:p>
        </w:tc>
        <w:tc>
          <w:tcPr>
            <w:tcW w:w="6236" w:type="dxa"/>
            <w:tcMar>
              <w:top w:w="113" w:type="dxa"/>
              <w:bottom w:w="113" w:type="dxa"/>
            </w:tcMar>
          </w:tcPr>
          <w:p>
            <w:pPr>
              <w:rPr>
                <w:noProof/>
                <w:sz w:val="24"/>
                <w:szCs w:val="24"/>
                <w:lang w:val="ro-RO"/>
              </w:rPr>
            </w:pPr>
            <w:r>
              <w:rPr>
                <w:noProof/>
                <w:sz w:val="24"/>
                <w:lang w:val="ro-RO"/>
              </w:rPr>
              <w:t>Rețeaua de prevenire și detectare a fraudei</w:t>
            </w:r>
          </w:p>
        </w:tc>
      </w:tr>
      <w:tr>
        <w:trPr>
          <w:trHeight w:val="57"/>
        </w:trPr>
        <w:tc>
          <w:tcPr>
            <w:tcW w:w="3227" w:type="dxa"/>
            <w:tcMar>
              <w:top w:w="113" w:type="dxa"/>
              <w:bottom w:w="113" w:type="dxa"/>
            </w:tcMar>
          </w:tcPr>
          <w:p>
            <w:pPr>
              <w:rPr>
                <w:noProof/>
                <w:sz w:val="24"/>
                <w:szCs w:val="24"/>
                <w:lang w:val="ro-RO"/>
              </w:rPr>
            </w:pPr>
            <w:r>
              <w:rPr>
                <w:noProof/>
                <w:sz w:val="24"/>
                <w:lang w:val="ro-RO"/>
              </w:rPr>
              <w:t>Notă de subsol</w:t>
            </w:r>
          </w:p>
        </w:tc>
        <w:tc>
          <w:tcPr>
            <w:tcW w:w="6236" w:type="dxa"/>
            <w:tcMar>
              <w:top w:w="113" w:type="dxa"/>
              <w:bottom w:w="113" w:type="dxa"/>
            </w:tcMar>
          </w:tcPr>
          <w:p>
            <w:pPr>
              <w:rPr>
                <w:noProof/>
                <w:sz w:val="24"/>
                <w:szCs w:val="24"/>
                <w:lang w:val="ro-RO"/>
              </w:rPr>
            </w:pPr>
            <w:r>
              <w:rPr>
                <w:noProof/>
                <w:sz w:val="24"/>
                <w:lang w:val="ro-RO"/>
              </w:rPr>
              <w:t>Notă de subsol</w:t>
            </w:r>
          </w:p>
        </w:tc>
      </w:tr>
      <w:tr>
        <w:trPr>
          <w:trHeight w:val="57"/>
        </w:trPr>
        <w:tc>
          <w:tcPr>
            <w:tcW w:w="3227" w:type="dxa"/>
            <w:tcMar>
              <w:top w:w="113" w:type="dxa"/>
              <w:bottom w:w="113" w:type="dxa"/>
            </w:tcMar>
          </w:tcPr>
          <w:p>
            <w:pPr>
              <w:rPr>
                <w:noProof/>
                <w:sz w:val="24"/>
                <w:szCs w:val="24"/>
                <w:lang w:val="ro-RO"/>
              </w:rPr>
            </w:pPr>
            <w:r>
              <w:rPr>
                <w:noProof/>
                <w:sz w:val="24"/>
                <w:lang w:val="ro-RO"/>
              </w:rPr>
              <w:t>RF</w:t>
            </w:r>
          </w:p>
        </w:tc>
        <w:tc>
          <w:tcPr>
            <w:tcW w:w="6236" w:type="dxa"/>
            <w:tcMar>
              <w:top w:w="113" w:type="dxa"/>
              <w:bottom w:w="113" w:type="dxa"/>
            </w:tcMar>
          </w:tcPr>
          <w:p>
            <w:pPr>
              <w:rPr>
                <w:noProof/>
                <w:sz w:val="24"/>
                <w:szCs w:val="24"/>
                <w:lang w:val="ro-RO"/>
              </w:rPr>
            </w:pPr>
            <w:r>
              <w:rPr>
                <w:noProof/>
                <w:sz w:val="24"/>
                <w:lang w:val="ro-RO"/>
              </w:rPr>
              <w:t>Regulamentul financiar</w:t>
            </w:r>
            <w:r>
              <w:rPr>
                <w:rStyle w:val="FootnoteReference"/>
                <w:noProof/>
                <w:sz w:val="24"/>
                <w:lang w:val="ro-RO"/>
              </w:rPr>
              <w:footnoteReference w:id="1"/>
            </w:r>
          </w:p>
        </w:tc>
      </w:tr>
      <w:tr>
        <w:trPr>
          <w:trHeight w:val="57"/>
        </w:trPr>
        <w:tc>
          <w:tcPr>
            <w:tcW w:w="3227" w:type="dxa"/>
            <w:tcMar>
              <w:top w:w="113" w:type="dxa"/>
              <w:bottom w:w="113" w:type="dxa"/>
            </w:tcMar>
          </w:tcPr>
          <w:p>
            <w:pPr>
              <w:rPr>
                <w:noProof/>
                <w:sz w:val="24"/>
                <w:szCs w:val="24"/>
                <w:lang w:val="ro-RO"/>
              </w:rPr>
            </w:pPr>
            <w:r>
              <w:rPr>
                <w:noProof/>
                <w:sz w:val="24"/>
                <w:lang w:val="ro-RO"/>
              </w:rPr>
              <w:t>IAS</w:t>
            </w:r>
          </w:p>
        </w:tc>
        <w:tc>
          <w:tcPr>
            <w:tcW w:w="6236" w:type="dxa"/>
            <w:tcMar>
              <w:top w:w="113" w:type="dxa"/>
              <w:bottom w:w="113" w:type="dxa"/>
            </w:tcMar>
          </w:tcPr>
          <w:p>
            <w:pPr>
              <w:rPr>
                <w:noProof/>
                <w:sz w:val="24"/>
                <w:szCs w:val="24"/>
                <w:lang w:val="ro-RO"/>
              </w:rPr>
            </w:pPr>
            <w:r>
              <w:rPr>
                <w:noProof/>
                <w:sz w:val="24"/>
                <w:lang w:val="ro-RO"/>
              </w:rPr>
              <w:t>Serviciul de Audit Intern</w:t>
            </w:r>
          </w:p>
        </w:tc>
      </w:tr>
      <w:tr>
        <w:trPr>
          <w:trHeight w:val="57"/>
        </w:trPr>
        <w:tc>
          <w:tcPr>
            <w:tcW w:w="3227" w:type="dxa"/>
            <w:tcMar>
              <w:top w:w="113" w:type="dxa"/>
              <w:bottom w:w="113" w:type="dxa"/>
            </w:tcMar>
          </w:tcPr>
          <w:p>
            <w:pPr>
              <w:rPr>
                <w:noProof/>
                <w:sz w:val="24"/>
                <w:szCs w:val="24"/>
                <w:lang w:val="ro-RO"/>
              </w:rPr>
            </w:pPr>
            <w:r>
              <w:rPr>
                <w:noProof/>
                <w:sz w:val="24"/>
                <w:lang w:val="ro-RO"/>
              </w:rPr>
              <w:t>Instituții, organisme, oficii și agenții</w:t>
            </w:r>
          </w:p>
        </w:tc>
        <w:tc>
          <w:tcPr>
            <w:tcW w:w="6236" w:type="dxa"/>
            <w:tcMar>
              <w:top w:w="113" w:type="dxa"/>
              <w:bottom w:w="113" w:type="dxa"/>
            </w:tcMar>
          </w:tcPr>
          <w:p>
            <w:pPr>
              <w:rPr>
                <w:noProof/>
                <w:sz w:val="24"/>
                <w:szCs w:val="24"/>
                <w:lang w:val="ro-RO"/>
              </w:rPr>
            </w:pPr>
            <w:r>
              <w:rPr>
                <w:noProof/>
                <w:sz w:val="24"/>
                <w:lang w:val="ro-RO"/>
              </w:rPr>
              <w:t>Instituțiile, organismele, oficiile și agențiile UE</w:t>
            </w:r>
          </w:p>
        </w:tc>
      </w:tr>
      <w:tr>
        <w:trPr>
          <w:trHeight w:val="57"/>
        </w:trPr>
        <w:tc>
          <w:tcPr>
            <w:tcW w:w="3227" w:type="dxa"/>
            <w:tcMar>
              <w:top w:w="113" w:type="dxa"/>
              <w:bottom w:w="113" w:type="dxa"/>
            </w:tcMar>
          </w:tcPr>
          <w:p>
            <w:pPr>
              <w:rPr>
                <w:noProof/>
                <w:sz w:val="24"/>
                <w:szCs w:val="24"/>
                <w:lang w:val="ro-RO"/>
              </w:rPr>
            </w:pPr>
            <w:r>
              <w:rPr>
                <w:noProof/>
                <w:sz w:val="24"/>
                <w:lang w:val="ro-RO"/>
              </w:rPr>
              <w:t>IMS</w:t>
            </w:r>
          </w:p>
        </w:tc>
        <w:tc>
          <w:tcPr>
            <w:tcW w:w="6236" w:type="dxa"/>
            <w:tcMar>
              <w:top w:w="113" w:type="dxa"/>
              <w:bottom w:w="113" w:type="dxa"/>
            </w:tcMar>
          </w:tcPr>
          <w:p>
            <w:pPr>
              <w:rPr>
                <w:noProof/>
                <w:sz w:val="24"/>
                <w:szCs w:val="24"/>
                <w:lang w:val="ro-RO"/>
              </w:rPr>
            </w:pPr>
            <w:r>
              <w:rPr>
                <w:noProof/>
                <w:sz w:val="24"/>
                <w:lang w:val="ro-RO"/>
              </w:rPr>
              <w:t>Sistemul de gestionare a neregulilor</w:t>
            </w:r>
          </w:p>
        </w:tc>
      </w:tr>
      <w:tr>
        <w:trPr>
          <w:trHeight w:val="57"/>
        </w:trPr>
        <w:tc>
          <w:tcPr>
            <w:tcW w:w="3227" w:type="dxa"/>
            <w:tcMar>
              <w:top w:w="113" w:type="dxa"/>
              <w:bottom w:w="113" w:type="dxa"/>
            </w:tcMar>
          </w:tcPr>
          <w:p>
            <w:pPr>
              <w:rPr>
                <w:noProof/>
                <w:sz w:val="24"/>
                <w:szCs w:val="24"/>
                <w:lang w:val="ro-RO"/>
              </w:rPr>
            </w:pPr>
            <w:r>
              <w:rPr>
                <w:noProof/>
                <w:sz w:val="24"/>
                <w:lang w:val="ro-RO"/>
              </w:rPr>
              <w:t>CFM</w:t>
            </w:r>
          </w:p>
        </w:tc>
        <w:tc>
          <w:tcPr>
            <w:tcW w:w="6236" w:type="dxa"/>
            <w:tcMar>
              <w:top w:w="113" w:type="dxa"/>
              <w:bottom w:w="113" w:type="dxa"/>
            </w:tcMar>
          </w:tcPr>
          <w:p>
            <w:pPr>
              <w:rPr>
                <w:noProof/>
                <w:sz w:val="24"/>
                <w:szCs w:val="24"/>
                <w:lang w:val="ro-RO"/>
              </w:rPr>
            </w:pPr>
            <w:r>
              <w:rPr>
                <w:noProof/>
                <w:sz w:val="24"/>
                <w:lang w:val="ro-RO"/>
              </w:rPr>
              <w:t>Cadrul financiar multianual</w:t>
            </w:r>
          </w:p>
        </w:tc>
      </w:tr>
      <w:tr>
        <w:trPr>
          <w:trHeight w:val="57"/>
        </w:trPr>
        <w:tc>
          <w:tcPr>
            <w:tcW w:w="3227" w:type="dxa"/>
            <w:tcMar>
              <w:top w:w="113" w:type="dxa"/>
              <w:bottom w:w="113" w:type="dxa"/>
            </w:tcMar>
          </w:tcPr>
          <w:p>
            <w:pPr>
              <w:rPr>
                <w:noProof/>
                <w:sz w:val="24"/>
                <w:szCs w:val="24"/>
                <w:lang w:val="ro-RO"/>
              </w:rPr>
            </w:pPr>
            <w:r>
              <w:rPr>
                <w:noProof/>
                <w:sz w:val="24"/>
                <w:lang w:val="ro-RO"/>
              </w:rPr>
              <w:t>SM</w:t>
            </w:r>
          </w:p>
        </w:tc>
        <w:tc>
          <w:tcPr>
            <w:tcW w:w="6236" w:type="dxa"/>
            <w:tcMar>
              <w:top w:w="113" w:type="dxa"/>
              <w:bottom w:w="113" w:type="dxa"/>
            </w:tcMar>
          </w:tcPr>
          <w:p>
            <w:pPr>
              <w:rPr>
                <w:noProof/>
                <w:sz w:val="24"/>
                <w:szCs w:val="24"/>
                <w:lang w:val="ro-RO"/>
              </w:rPr>
            </w:pPr>
            <w:r>
              <w:rPr>
                <w:noProof/>
                <w:sz w:val="24"/>
                <w:lang w:val="ro-RO"/>
              </w:rPr>
              <w:t>State membre</w:t>
            </w:r>
          </w:p>
        </w:tc>
      </w:tr>
      <w:tr>
        <w:trPr>
          <w:trHeight w:val="57"/>
        </w:trPr>
        <w:tc>
          <w:tcPr>
            <w:tcW w:w="3227" w:type="dxa"/>
            <w:tcMar>
              <w:top w:w="113" w:type="dxa"/>
              <w:bottom w:w="113" w:type="dxa"/>
            </w:tcMar>
          </w:tcPr>
          <w:p>
            <w:pPr>
              <w:rPr>
                <w:noProof/>
                <w:sz w:val="24"/>
                <w:szCs w:val="24"/>
                <w:lang w:val="ro-RO"/>
              </w:rPr>
            </w:pPr>
            <w:r>
              <w:rPr>
                <w:noProof/>
                <w:sz w:val="24"/>
                <w:lang w:val="ro-RO"/>
              </w:rPr>
              <w:t>OLAF</w:t>
            </w:r>
          </w:p>
        </w:tc>
        <w:tc>
          <w:tcPr>
            <w:tcW w:w="6236" w:type="dxa"/>
            <w:tcMar>
              <w:top w:w="113" w:type="dxa"/>
              <w:bottom w:w="113" w:type="dxa"/>
            </w:tcMar>
          </w:tcPr>
          <w:p>
            <w:pPr>
              <w:rPr>
                <w:noProof/>
                <w:sz w:val="24"/>
                <w:szCs w:val="24"/>
                <w:lang w:val="ro-RO"/>
              </w:rPr>
            </w:pPr>
            <w:r>
              <w:rPr>
                <w:noProof/>
                <w:sz w:val="24"/>
                <w:lang w:val="ro-RO"/>
              </w:rPr>
              <w:t>Oficiul European de Luptă Antifraudă</w:t>
            </w:r>
          </w:p>
        </w:tc>
      </w:tr>
      <w:tr>
        <w:trPr>
          <w:trHeight w:val="57"/>
        </w:trPr>
        <w:tc>
          <w:tcPr>
            <w:tcW w:w="3227" w:type="dxa"/>
            <w:tcMar>
              <w:top w:w="113" w:type="dxa"/>
              <w:bottom w:w="113" w:type="dxa"/>
            </w:tcMar>
          </w:tcPr>
          <w:p>
            <w:pPr>
              <w:rPr>
                <w:noProof/>
                <w:sz w:val="24"/>
                <w:szCs w:val="24"/>
                <w:lang w:val="ro-RO"/>
              </w:rPr>
            </w:pPr>
            <w:r>
              <w:rPr>
                <w:noProof/>
                <w:sz w:val="24"/>
                <w:lang w:val="ro-RO"/>
              </w:rPr>
              <w:t>Regulamentul OLAF</w:t>
            </w:r>
          </w:p>
        </w:tc>
        <w:tc>
          <w:tcPr>
            <w:tcW w:w="6236" w:type="dxa"/>
            <w:tcMar>
              <w:top w:w="113" w:type="dxa"/>
              <w:bottom w:w="113" w:type="dxa"/>
            </w:tcMar>
          </w:tcPr>
          <w:p>
            <w:pPr>
              <w:rPr>
                <w:noProof/>
                <w:sz w:val="24"/>
                <w:szCs w:val="24"/>
                <w:lang w:val="ro-RO"/>
              </w:rPr>
            </w:pPr>
            <w:r>
              <w:rPr>
                <w:noProof/>
                <w:sz w:val="24"/>
                <w:lang w:val="ro-RO"/>
              </w:rPr>
              <w:t>Regulamentul (UE, Euratom) nr. 883/2013</w:t>
            </w:r>
            <w:r>
              <w:rPr>
                <w:rStyle w:val="FootnoteReference"/>
                <w:noProof/>
                <w:sz w:val="24"/>
                <w:lang w:val="ro-RO"/>
              </w:rPr>
              <w:footnoteReference w:id="2"/>
            </w:r>
          </w:p>
        </w:tc>
      </w:tr>
      <w:tr>
        <w:trPr>
          <w:trHeight w:val="57"/>
        </w:trPr>
        <w:tc>
          <w:tcPr>
            <w:tcW w:w="3227" w:type="dxa"/>
            <w:tcMar>
              <w:top w:w="113" w:type="dxa"/>
              <w:bottom w:w="113" w:type="dxa"/>
            </w:tcMar>
          </w:tcPr>
          <w:p>
            <w:pPr>
              <w:rPr>
                <w:noProof/>
                <w:sz w:val="24"/>
                <w:szCs w:val="24"/>
                <w:lang w:val="ro-RO"/>
              </w:rPr>
            </w:pPr>
            <w:r>
              <w:rPr>
                <w:noProof/>
                <w:sz w:val="24"/>
                <w:lang w:val="ro-RO"/>
              </w:rPr>
              <w:t>PIF</w:t>
            </w:r>
            <w:r>
              <w:rPr>
                <w:noProof/>
                <w:sz w:val="24"/>
                <w:vertAlign w:val="superscript"/>
                <w:lang w:val="ro-RO"/>
              </w:rPr>
              <w:footnoteReference w:id="3"/>
            </w:r>
          </w:p>
        </w:tc>
        <w:tc>
          <w:tcPr>
            <w:tcW w:w="6236" w:type="dxa"/>
            <w:tcMar>
              <w:top w:w="113" w:type="dxa"/>
              <w:bottom w:w="113" w:type="dxa"/>
            </w:tcMar>
          </w:tcPr>
          <w:p>
            <w:pPr>
              <w:rPr>
                <w:noProof/>
                <w:sz w:val="24"/>
                <w:szCs w:val="24"/>
                <w:lang w:val="ro-RO"/>
              </w:rPr>
            </w:pPr>
            <w:r>
              <w:rPr>
                <w:noProof/>
                <w:sz w:val="24"/>
                <w:lang w:val="ro-RO"/>
              </w:rPr>
              <w:t>Protecția intereselor financiare ale UE</w:t>
            </w:r>
          </w:p>
        </w:tc>
      </w:tr>
      <w:tr>
        <w:trPr>
          <w:trHeight w:val="57"/>
        </w:trPr>
        <w:tc>
          <w:tcPr>
            <w:tcW w:w="3227" w:type="dxa"/>
            <w:tcMar>
              <w:top w:w="113" w:type="dxa"/>
              <w:bottom w:w="113" w:type="dxa"/>
            </w:tcMar>
          </w:tcPr>
          <w:p>
            <w:pPr>
              <w:rPr>
                <w:noProof/>
                <w:sz w:val="24"/>
                <w:szCs w:val="24"/>
                <w:lang w:val="ro-RO"/>
              </w:rPr>
            </w:pPr>
            <w:r>
              <w:rPr>
                <w:noProof/>
                <w:sz w:val="24"/>
                <w:lang w:val="ro-RO"/>
              </w:rPr>
              <w:t>Directiva PIF</w:t>
            </w:r>
          </w:p>
        </w:tc>
        <w:tc>
          <w:tcPr>
            <w:tcW w:w="6236" w:type="dxa"/>
            <w:tcMar>
              <w:top w:w="113" w:type="dxa"/>
              <w:bottom w:w="113" w:type="dxa"/>
            </w:tcMar>
          </w:tcPr>
          <w:p>
            <w:pPr>
              <w:rPr>
                <w:noProof/>
                <w:sz w:val="24"/>
                <w:szCs w:val="24"/>
                <w:lang w:val="ro-RO"/>
              </w:rPr>
            </w:pPr>
            <w:r>
              <w:rPr>
                <w:noProof/>
                <w:sz w:val="24"/>
                <w:lang w:val="ro-RO"/>
              </w:rPr>
              <w:t>Directiva (UE) 2017/1371</w:t>
            </w:r>
            <w:r>
              <w:rPr>
                <w:rStyle w:val="FootnoteReference"/>
                <w:noProof/>
                <w:sz w:val="24"/>
                <w:lang w:val="ro-RO"/>
              </w:rPr>
              <w:footnoteReference w:id="4"/>
            </w:r>
          </w:p>
        </w:tc>
      </w:tr>
      <w:tr>
        <w:trPr>
          <w:trHeight w:val="57"/>
        </w:trPr>
        <w:tc>
          <w:tcPr>
            <w:tcW w:w="3227" w:type="dxa"/>
            <w:tcMar>
              <w:top w:w="113" w:type="dxa"/>
              <w:bottom w:w="113" w:type="dxa"/>
            </w:tcMar>
          </w:tcPr>
          <w:p>
            <w:pPr>
              <w:rPr>
                <w:noProof/>
                <w:sz w:val="24"/>
                <w:szCs w:val="24"/>
                <w:lang w:val="ro-RO"/>
              </w:rPr>
            </w:pPr>
            <w:r>
              <w:rPr>
                <w:noProof/>
                <w:sz w:val="24"/>
                <w:lang w:val="ro-RO"/>
              </w:rPr>
              <w:t>SG</w:t>
            </w:r>
          </w:p>
        </w:tc>
        <w:tc>
          <w:tcPr>
            <w:tcW w:w="6236" w:type="dxa"/>
            <w:tcMar>
              <w:top w:w="113" w:type="dxa"/>
              <w:bottom w:w="113" w:type="dxa"/>
            </w:tcMar>
          </w:tcPr>
          <w:p>
            <w:pPr>
              <w:rPr>
                <w:noProof/>
                <w:sz w:val="24"/>
                <w:szCs w:val="24"/>
                <w:lang w:val="ro-RO"/>
              </w:rPr>
            </w:pPr>
            <w:r>
              <w:rPr>
                <w:noProof/>
                <w:sz w:val="24"/>
                <w:lang w:val="ro-RO"/>
              </w:rPr>
              <w:t>Secretariatul General</w:t>
            </w:r>
          </w:p>
        </w:tc>
      </w:tr>
      <w:tr>
        <w:trPr>
          <w:trHeight w:val="57"/>
        </w:trPr>
        <w:tc>
          <w:tcPr>
            <w:tcW w:w="3227" w:type="dxa"/>
            <w:tcMar>
              <w:top w:w="113" w:type="dxa"/>
              <w:bottom w:w="113" w:type="dxa"/>
            </w:tcMar>
          </w:tcPr>
          <w:p>
            <w:pPr>
              <w:rPr>
                <w:noProof/>
                <w:sz w:val="24"/>
                <w:szCs w:val="24"/>
                <w:lang w:val="ro-RO"/>
              </w:rPr>
            </w:pPr>
            <w:r>
              <w:rPr>
                <w:noProof/>
                <w:sz w:val="24"/>
                <w:lang w:val="ro-RO"/>
              </w:rPr>
              <w:t>SJ</w:t>
            </w:r>
          </w:p>
        </w:tc>
        <w:tc>
          <w:tcPr>
            <w:tcW w:w="6236" w:type="dxa"/>
            <w:tcMar>
              <w:top w:w="113" w:type="dxa"/>
              <w:bottom w:w="113" w:type="dxa"/>
            </w:tcMar>
          </w:tcPr>
          <w:p>
            <w:pPr>
              <w:rPr>
                <w:noProof/>
                <w:sz w:val="24"/>
                <w:szCs w:val="24"/>
                <w:lang w:val="ro-RO"/>
              </w:rPr>
            </w:pPr>
            <w:r>
              <w:rPr>
                <w:noProof/>
                <w:sz w:val="24"/>
                <w:lang w:val="ro-RO"/>
              </w:rPr>
              <w:t>Serviciul Juridic</w:t>
            </w:r>
          </w:p>
        </w:tc>
      </w:tr>
      <w:tr>
        <w:trPr>
          <w:trHeight w:val="57"/>
        </w:trPr>
        <w:tc>
          <w:tcPr>
            <w:tcW w:w="3227" w:type="dxa"/>
            <w:tcMar>
              <w:top w:w="113" w:type="dxa"/>
              <w:bottom w:w="113" w:type="dxa"/>
            </w:tcMar>
          </w:tcPr>
          <w:p>
            <w:pPr>
              <w:rPr>
                <w:noProof/>
                <w:sz w:val="24"/>
                <w:szCs w:val="24"/>
                <w:lang w:val="ro-RO"/>
              </w:rPr>
            </w:pPr>
            <w:r>
              <w:rPr>
                <w:noProof/>
                <w:sz w:val="24"/>
                <w:lang w:val="ro-RO"/>
              </w:rPr>
              <w:t>SOCTA</w:t>
            </w:r>
          </w:p>
        </w:tc>
        <w:tc>
          <w:tcPr>
            <w:tcW w:w="6236" w:type="dxa"/>
            <w:tcMar>
              <w:top w:w="113" w:type="dxa"/>
              <w:bottom w:w="113" w:type="dxa"/>
            </w:tcMar>
          </w:tcPr>
          <w:p>
            <w:pPr>
              <w:rPr>
                <w:noProof/>
                <w:sz w:val="24"/>
                <w:szCs w:val="24"/>
                <w:lang w:val="ro-RO"/>
              </w:rPr>
            </w:pPr>
            <w:r>
              <w:rPr>
                <w:noProof/>
                <w:sz w:val="24"/>
                <w:lang w:val="ro-RO"/>
              </w:rPr>
              <w:t>Evaluarea amenințării pe care o reprezintă formele grave de criminalitate și criminalitatea organizată</w:t>
            </w:r>
          </w:p>
        </w:tc>
      </w:tr>
      <w:tr>
        <w:trPr>
          <w:trHeight w:val="57"/>
        </w:trPr>
        <w:tc>
          <w:tcPr>
            <w:tcW w:w="3227" w:type="dxa"/>
            <w:tcMar>
              <w:top w:w="113" w:type="dxa"/>
              <w:bottom w:w="113" w:type="dxa"/>
            </w:tcMar>
          </w:tcPr>
          <w:p>
            <w:pPr>
              <w:rPr>
                <w:noProof/>
                <w:sz w:val="24"/>
                <w:szCs w:val="24"/>
                <w:lang w:val="ro-RO"/>
              </w:rPr>
            </w:pPr>
            <w:r>
              <w:rPr>
                <w:noProof/>
                <w:sz w:val="24"/>
                <w:lang w:val="ro-RO"/>
              </w:rPr>
              <w:t>PSP</w:t>
            </w:r>
          </w:p>
        </w:tc>
        <w:tc>
          <w:tcPr>
            <w:tcW w:w="6236" w:type="dxa"/>
            <w:tcMar>
              <w:top w:w="113" w:type="dxa"/>
              <w:bottom w:w="113" w:type="dxa"/>
            </w:tcMar>
          </w:tcPr>
          <w:p>
            <w:pPr>
              <w:rPr>
                <w:noProof/>
                <w:sz w:val="24"/>
                <w:szCs w:val="24"/>
                <w:lang w:val="ro-RO"/>
              </w:rPr>
            </w:pPr>
            <w:r>
              <w:rPr>
                <w:noProof/>
                <w:sz w:val="24"/>
                <w:lang w:val="ro-RO"/>
              </w:rPr>
              <w:t>Planificare strategică și programare</w:t>
            </w:r>
          </w:p>
        </w:tc>
      </w:tr>
      <w:tr>
        <w:trPr>
          <w:trHeight w:val="57"/>
        </w:trPr>
        <w:tc>
          <w:tcPr>
            <w:tcW w:w="3227" w:type="dxa"/>
            <w:tcMar>
              <w:top w:w="113" w:type="dxa"/>
              <w:bottom w:w="113" w:type="dxa"/>
            </w:tcMar>
          </w:tcPr>
          <w:p>
            <w:pPr>
              <w:rPr>
                <w:noProof/>
                <w:sz w:val="24"/>
                <w:szCs w:val="24"/>
                <w:lang w:val="ro-RO"/>
              </w:rPr>
            </w:pPr>
            <w:r>
              <w:rPr>
                <w:noProof/>
                <w:sz w:val="24"/>
                <w:lang w:val="ro-RO"/>
              </w:rPr>
              <w:t>TFUE</w:t>
            </w:r>
          </w:p>
        </w:tc>
        <w:tc>
          <w:tcPr>
            <w:tcW w:w="6236" w:type="dxa"/>
            <w:tcMar>
              <w:top w:w="113" w:type="dxa"/>
              <w:bottom w:w="113" w:type="dxa"/>
            </w:tcMar>
          </w:tcPr>
          <w:p>
            <w:pPr>
              <w:rPr>
                <w:noProof/>
                <w:sz w:val="24"/>
                <w:szCs w:val="24"/>
                <w:lang w:val="ro-RO"/>
              </w:rPr>
            </w:pPr>
            <w:r>
              <w:rPr>
                <w:noProof/>
                <w:sz w:val="24"/>
                <w:lang w:val="ro-RO"/>
              </w:rPr>
              <w:t>Tratatul privind funcționarea Uniunii Europene</w:t>
            </w:r>
          </w:p>
        </w:tc>
      </w:tr>
      <w:tr>
        <w:trPr>
          <w:trHeight w:val="57"/>
        </w:trPr>
        <w:tc>
          <w:tcPr>
            <w:tcW w:w="3227" w:type="dxa"/>
            <w:tcMar>
              <w:top w:w="113" w:type="dxa"/>
              <w:bottom w:w="113" w:type="dxa"/>
            </w:tcMar>
          </w:tcPr>
          <w:p>
            <w:pPr>
              <w:rPr>
                <w:noProof/>
                <w:sz w:val="24"/>
                <w:szCs w:val="24"/>
                <w:lang w:val="ro-RO"/>
              </w:rPr>
            </w:pPr>
            <w:r>
              <w:rPr>
                <w:noProof/>
                <w:sz w:val="24"/>
                <w:lang w:val="ro-RO"/>
              </w:rPr>
              <w:t>TOR</w:t>
            </w:r>
          </w:p>
        </w:tc>
        <w:tc>
          <w:tcPr>
            <w:tcW w:w="6236" w:type="dxa"/>
            <w:tcMar>
              <w:top w:w="113" w:type="dxa"/>
              <w:bottom w:w="113" w:type="dxa"/>
            </w:tcMar>
          </w:tcPr>
          <w:p>
            <w:pPr>
              <w:rPr>
                <w:noProof/>
                <w:sz w:val="24"/>
                <w:szCs w:val="24"/>
                <w:lang w:val="ro-RO"/>
              </w:rPr>
            </w:pPr>
            <w:r>
              <w:rPr>
                <w:noProof/>
                <w:sz w:val="24"/>
                <w:lang w:val="ro-RO"/>
              </w:rPr>
              <w:t>Resurse proprii tradiționale</w:t>
            </w:r>
          </w:p>
        </w:tc>
      </w:tr>
      <w:tr>
        <w:trPr>
          <w:trHeight w:val="57"/>
        </w:trPr>
        <w:tc>
          <w:tcPr>
            <w:tcW w:w="3227" w:type="dxa"/>
            <w:tcMar>
              <w:top w:w="113" w:type="dxa"/>
              <w:bottom w:w="113" w:type="dxa"/>
            </w:tcMar>
          </w:tcPr>
          <w:p>
            <w:pPr>
              <w:rPr>
                <w:noProof/>
                <w:sz w:val="24"/>
                <w:szCs w:val="24"/>
                <w:lang w:val="ro-RO"/>
              </w:rPr>
            </w:pPr>
            <w:r>
              <w:rPr>
                <w:noProof/>
                <w:sz w:val="24"/>
                <w:lang w:val="ro-RO"/>
              </w:rPr>
              <w:t>TVA</w:t>
            </w:r>
          </w:p>
        </w:tc>
        <w:tc>
          <w:tcPr>
            <w:tcW w:w="6236" w:type="dxa"/>
            <w:tcMar>
              <w:top w:w="113" w:type="dxa"/>
              <w:bottom w:w="113" w:type="dxa"/>
            </w:tcMar>
          </w:tcPr>
          <w:p>
            <w:pPr>
              <w:rPr>
                <w:noProof/>
                <w:sz w:val="24"/>
                <w:szCs w:val="24"/>
                <w:lang w:val="ro-RO"/>
              </w:rPr>
            </w:pPr>
            <w:r>
              <w:rPr>
                <w:noProof/>
                <w:sz w:val="24"/>
                <w:lang w:val="ro-RO"/>
              </w:rPr>
              <w:t>Taxa pe valoarea adăugată</w:t>
            </w:r>
          </w:p>
        </w:tc>
      </w:tr>
    </w:tbl>
    <w:p>
      <w:pPr>
        <w:pStyle w:val="Heading1"/>
        <w:numPr>
          <w:ilvl w:val="0"/>
          <w:numId w:val="0"/>
        </w:numPr>
        <w:spacing w:before="0" w:after="180"/>
        <w:ind w:left="432"/>
        <w:rPr>
          <w:rFonts w:ascii="Times New Roman" w:hAnsi="Times New Roman" w:cs="Times New Roman"/>
          <w:noProof/>
          <w:color w:val="auto"/>
          <w:lang w:val="ro-RO"/>
        </w:rPr>
      </w:pPr>
    </w:p>
    <w:p>
      <w:pPr>
        <w:rPr>
          <w:rFonts w:eastAsiaTheme="majorEastAsia"/>
          <w:noProof/>
          <w:sz w:val="28"/>
          <w:szCs w:val="28"/>
          <w:lang w:val="ro-RO"/>
        </w:rPr>
      </w:pPr>
      <w:r>
        <w:rPr>
          <w:noProof/>
          <w:lang w:val="ro-RO"/>
        </w:rPr>
        <w:br w:type="page"/>
      </w:r>
    </w:p>
    <w:p>
      <w:pPr>
        <w:pStyle w:val="Heading1"/>
        <w:numPr>
          <w:ilvl w:val="0"/>
          <w:numId w:val="0"/>
        </w:numPr>
        <w:spacing w:before="0" w:after="180"/>
        <w:ind w:left="432" w:hanging="432"/>
        <w:rPr>
          <w:rFonts w:ascii="Times New Roman" w:hAnsi="Times New Roman" w:cs="Times New Roman"/>
          <w:noProof/>
          <w:color w:val="auto"/>
          <w:lang w:val="ro-RO"/>
        </w:rPr>
      </w:pPr>
      <w:bookmarkStart w:id="2" w:name="_Toc6414608"/>
      <w:r>
        <w:rPr>
          <w:rFonts w:ascii="Times New Roman" w:hAnsi="Times New Roman"/>
          <w:noProof/>
          <w:color w:val="auto"/>
          <w:lang w:val="ro-RO"/>
        </w:rPr>
        <w:t>1.</w:t>
      </w:r>
      <w:r>
        <w:rPr>
          <w:noProof/>
          <w:lang w:val="ro-RO"/>
        </w:rPr>
        <w:tab/>
      </w:r>
      <w:r>
        <w:rPr>
          <w:rFonts w:ascii="Times New Roman" w:hAnsi="Times New Roman"/>
          <w:noProof/>
          <w:color w:val="auto"/>
          <w:lang w:val="ro-RO"/>
        </w:rPr>
        <w:t>Rezumat</w:t>
      </w:r>
      <w:bookmarkEnd w:id="2"/>
      <w:r>
        <w:rPr>
          <w:rFonts w:ascii="Times New Roman" w:hAnsi="Times New Roman"/>
          <w:noProof/>
          <w:color w:val="auto"/>
          <w:lang w:val="ro-RO"/>
        </w:rPr>
        <w:t xml:space="preserve"> </w:t>
      </w:r>
    </w:p>
    <w:p>
      <w:pPr>
        <w:jc w:val="both"/>
        <w:rPr>
          <w:rFonts w:ascii="Times New Roman" w:hAnsi="Times New Roman" w:cs="Times New Roman"/>
          <w:noProof/>
          <w:sz w:val="24"/>
          <w:szCs w:val="24"/>
          <w:lang w:val="ro-RO"/>
        </w:rPr>
      </w:pPr>
      <w:r>
        <w:rPr>
          <w:rFonts w:ascii="Times New Roman" w:hAnsi="Times New Roman"/>
          <w:noProof/>
          <w:sz w:val="24"/>
          <w:lang w:val="ro-RO"/>
        </w:rPr>
        <w:t>Cetățenii și contribuabilii din UE merită să aibă instituții care să funcționeze cu cea mai mare integritate. Contribuțiile lor la bugetul UE, aferente activității desfășurate, ar trebui să fie cheltuite în mod corect și eficient și protejate împotriva fraudei. În 2017, UE a intensificat în mod decisiv lupta împotriva fraudei, prin adoptarea Directivei privind combaterea fraudelor îndreptate împotriva intereselor financiare ale Uniunii prin mijloace de drept penal și a Regulamentului de instituire a Parchetului European (EPPO). Pentru a continua aceste evoluții pozitive după 2018 și a se pregăti pentru o nouă generație de programe de cheltuieli în contextul cadrului financiar multianual (CFM) 2021-2027, Comisia actualizează, prin prezenta comunicare, „Strategia antifraudă a Comisiei” (SAFC) din 2011. SAFC este un document de politică internă, obligatoriu pentru serviciile și agențiile executive ale Comisiei implicate în lupta împotriva fraudei și a corupției care afectează interesele financiare ale UE.</w:t>
      </w:r>
    </w:p>
    <w:p>
      <w:pPr>
        <w:jc w:val="both"/>
        <w:rPr>
          <w:rFonts w:ascii="Times New Roman" w:hAnsi="Times New Roman" w:cs="Times New Roman"/>
          <w:noProof/>
          <w:sz w:val="24"/>
          <w:szCs w:val="24"/>
          <w:lang w:val="ro-RO"/>
        </w:rPr>
      </w:pPr>
      <w:r>
        <w:rPr>
          <w:rFonts w:ascii="Times New Roman" w:hAnsi="Times New Roman"/>
          <w:noProof/>
          <w:sz w:val="24"/>
          <w:lang w:val="ro-RO"/>
        </w:rPr>
        <w:t>Evaluarea SAFC 2011 a concluzionat că SAFC este în continuare relevantă și eficientă în calitate de cadru de politică al Comisiei pentru protecția bugetului UE, însă trebuie adaptată la evoluția continuă a situației (noi scheme de finanțare și tendințe în materie de fraudă, dezvoltarea instrumentelor TI etc.).</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Serviciile Comisiei au efectuat, de asemenea, evaluarea riscului de fraudă, care a implicat și agențiile executive. Au fost identificate două vulnerabilități principale: (i) analiza insuficientă a datelor referitoare la fraude, care limitează înțelegerea fraudei de către Comisie și (ii) unele lacune în supravegherea de către Comisie a gestionării riscului de fraudă la nivel de departament. Aceste deficiențe au fost abordate, de asemenea, în recomandările unui Raport special recent al Curții de Conturi Europene, intitulat „Combaterea fraudei legate de cheltuielile UE: este necesar să se acționeze”.</w:t>
      </w:r>
    </w:p>
    <w:p>
      <w:pPr>
        <w:jc w:val="both"/>
        <w:rPr>
          <w:rFonts w:ascii="Times New Roman" w:hAnsi="Times New Roman" w:cs="Times New Roman"/>
          <w:noProof/>
          <w:sz w:val="24"/>
          <w:szCs w:val="24"/>
          <w:lang w:val="ro-RO"/>
        </w:rPr>
      </w:pPr>
      <w:r>
        <w:rPr>
          <w:rFonts w:ascii="Times New Roman" w:hAnsi="Times New Roman"/>
          <w:noProof/>
          <w:sz w:val="24"/>
          <w:lang w:val="ro-RO"/>
        </w:rPr>
        <w:t xml:space="preserve">Prin urmare, obiectivele prioritare ale prezentei SAFC 2019 constau în dotarea Comisiei cu o mai mare capacitate analitică de prevenire și detectare și cu un sistem de supraveghere mai centralizat pentru acțiunile sale antifraudă. În plus, Planul de acțiune care însoțește SAFC, adresat serviciilor Comisiei și agențiilor executive, are scopul de a îmbunătăți cooperarea antifraudă și fluxurile de lucru dintre organisme, de exemplu cooperarea Comisiei și a altor organisme ale UE cu OLAF și cu EPPO, acesta din urmă fiind în curs de instituire. De asemenea, Planul de acțiune continuă activitățile prevăzute de SAFC 2011, în special în ceea ce privește asigurarea solidității achizițiilor publice și încurajarea cooperării internaționale. </w:t>
      </w:r>
    </w:p>
    <w:p>
      <w:pPr>
        <w:jc w:val="both"/>
        <w:rPr>
          <w:rFonts w:ascii="Times New Roman" w:hAnsi="Times New Roman" w:cs="Times New Roman"/>
          <w:noProof/>
          <w:sz w:val="24"/>
          <w:szCs w:val="24"/>
          <w:lang w:val="ro-RO"/>
        </w:rPr>
      </w:pPr>
      <w:r>
        <w:rPr>
          <w:rFonts w:ascii="Times New Roman" w:hAnsi="Times New Roman"/>
          <w:noProof/>
          <w:sz w:val="24"/>
          <w:lang w:val="ro-RO"/>
        </w:rPr>
        <w:t>Comisia intenționează să își perfecționeze sistemele de monitorizare internă a SAFC 2019 și a Planului de acțiune care însoțește SAFC și să elaboreze indicatori pentru măsurarea mai ușoară a acțiunilor antifraudă. Acest lucru se va reflecta în rapoartele anuale privind protecția intereselor financiare ale UE, în care Comisia prezintă cu regularitate situația punerii în aplicare a SAFC.</w:t>
      </w:r>
    </w:p>
    <w:p>
      <w:pPr>
        <w:jc w:val="both"/>
        <w:rPr>
          <w:rFonts w:ascii="Times New Roman" w:hAnsi="Times New Roman" w:cs="Times New Roman"/>
          <w:noProof/>
          <w:sz w:val="24"/>
          <w:szCs w:val="24"/>
          <w:lang w:val="ro-RO"/>
        </w:rPr>
      </w:pPr>
      <w:r>
        <w:rPr>
          <w:rFonts w:ascii="Times New Roman" w:hAnsi="Times New Roman"/>
          <w:noProof/>
          <w:sz w:val="24"/>
          <w:lang w:val="ro-RO"/>
        </w:rPr>
        <w:t xml:space="preserve">Obiectivele SAFC 2019 sunt indicate în anexa la prezenta comunicare. Comunicarea este însoțită de două documente de lucru ale serviciilor Comisiei, care prezintă rezultatele evaluării riscului de fraudă și, respectiv, Planul de acțiune actualizat. Evaluarea SAFC 2011 este publicată simultan, într-un document de lucru separat al serviciilor Comisiei. </w:t>
      </w:r>
    </w:p>
    <w:p>
      <w:pPr>
        <w:pStyle w:val="Heading1"/>
        <w:numPr>
          <w:ilvl w:val="0"/>
          <w:numId w:val="0"/>
        </w:numPr>
        <w:spacing w:before="0" w:after="180"/>
        <w:ind w:left="432" w:hanging="432"/>
        <w:rPr>
          <w:rFonts w:ascii="Times New Roman" w:hAnsi="Times New Roman" w:cs="Times New Roman"/>
          <w:noProof/>
          <w:color w:val="auto"/>
          <w:lang w:val="ro-RO"/>
        </w:rPr>
      </w:pPr>
      <w:bookmarkStart w:id="3" w:name="_Toc6414609"/>
      <w:r>
        <w:rPr>
          <w:rFonts w:ascii="Times New Roman" w:hAnsi="Times New Roman"/>
          <w:noProof/>
          <w:color w:val="auto"/>
          <w:lang w:val="ro-RO"/>
        </w:rPr>
        <w:t>2.</w:t>
      </w:r>
      <w:r>
        <w:rPr>
          <w:noProof/>
          <w:lang w:val="ro-RO"/>
        </w:rPr>
        <w:tab/>
      </w:r>
      <w:r>
        <w:rPr>
          <w:rFonts w:ascii="Times New Roman" w:hAnsi="Times New Roman"/>
          <w:noProof/>
          <w:color w:val="auto"/>
          <w:lang w:val="ro-RO"/>
        </w:rPr>
        <w:t>Introducere</w:t>
      </w:r>
      <w:bookmarkEnd w:id="3"/>
    </w:p>
    <w:p>
      <w:pPr>
        <w:pStyle w:val="Heading2"/>
        <w:numPr>
          <w:ilvl w:val="0"/>
          <w:numId w:val="0"/>
        </w:numPr>
        <w:ind w:left="576" w:hanging="576"/>
        <w:rPr>
          <w:noProof/>
          <w:lang w:val="ro-RO"/>
        </w:rPr>
      </w:pPr>
      <w:bookmarkStart w:id="4" w:name="_Toc6414610"/>
      <w:r>
        <w:rPr>
          <w:noProof/>
          <w:lang w:val="ro-RO"/>
        </w:rPr>
        <w:t>2.1.</w:t>
      </w:r>
      <w:r>
        <w:rPr>
          <w:noProof/>
          <w:lang w:val="ro-RO"/>
        </w:rPr>
        <w:tab/>
        <w:t>Lupta Uniunii Europene împotriva fraudei</w:t>
      </w:r>
      <w:bookmarkEnd w:id="4"/>
    </w:p>
    <w:p>
      <w:pPr>
        <w:jc w:val="both"/>
        <w:rPr>
          <w:rFonts w:ascii="Times New Roman" w:hAnsi="Times New Roman" w:cs="Times New Roman"/>
          <w:noProof/>
          <w:sz w:val="24"/>
          <w:szCs w:val="24"/>
          <w:lang w:val="ro-RO"/>
        </w:rPr>
      </w:pPr>
      <w:r>
        <w:rPr>
          <w:rFonts w:ascii="Times New Roman" w:hAnsi="Times New Roman"/>
          <w:noProof/>
          <w:sz w:val="24"/>
          <w:lang w:val="ro-RO"/>
        </w:rPr>
        <w:t>Frauda care afectează bugetul UE poate cauza deturnarea fondurilor UE de la scopurile lor legitime și, astfel, poate compromite eficacitatea măsurilor UE. Atunci când autorii fraudelor au succes, aceștia pun sub semnul întrebării integritatea acțiunilor UE și subminează încrederea publicului în politicile UE.</w:t>
      </w:r>
    </w:p>
    <w:p>
      <w:pPr>
        <w:jc w:val="both"/>
        <w:rPr>
          <w:rFonts w:ascii="Times New Roman" w:hAnsi="Times New Roman" w:cs="Times New Roman"/>
          <w:noProof/>
          <w:sz w:val="24"/>
          <w:szCs w:val="24"/>
          <w:lang w:val="ro-RO"/>
        </w:rPr>
      </w:pPr>
      <w:r>
        <w:rPr>
          <w:rFonts w:ascii="Times New Roman" w:hAnsi="Times New Roman"/>
          <w:noProof/>
          <w:sz w:val="24"/>
          <w:lang w:val="ro-RO"/>
        </w:rPr>
        <w:t>Conform articolului 317 din Tratatul privind funcționarea Uniunii Europene (TFUE) și articolului 36 din Regulamentul financiar (RF)</w:t>
      </w:r>
      <w:r>
        <w:rPr>
          <w:rFonts w:ascii="Times New Roman" w:hAnsi="Times New Roman"/>
          <w:noProof/>
          <w:sz w:val="24"/>
          <w:vertAlign w:val="superscript"/>
          <w:lang w:val="ro-RO"/>
        </w:rPr>
        <w:footnoteReference w:id="5"/>
      </w:r>
      <w:r>
        <w:rPr>
          <w:rFonts w:ascii="Times New Roman" w:hAnsi="Times New Roman"/>
          <w:noProof/>
          <w:sz w:val="24"/>
          <w:lang w:val="ro-RO"/>
        </w:rPr>
        <w:t>, Comisia execută bugetul UE, respectând principiile bunei gestiuni financiare și aplicând un control intern eficace și eficient, care include prevenirea, detectarea, corectarea</w:t>
      </w:r>
      <w:r>
        <w:rPr>
          <w:rFonts w:ascii="Times New Roman" w:hAnsi="Times New Roman"/>
          <w:noProof/>
          <w:sz w:val="24"/>
          <w:vertAlign w:val="superscript"/>
          <w:lang w:val="ro-RO"/>
        </w:rPr>
        <w:footnoteReference w:id="6"/>
      </w:r>
      <w:r>
        <w:rPr>
          <w:rFonts w:ascii="Times New Roman" w:hAnsi="Times New Roman"/>
          <w:noProof/>
          <w:sz w:val="24"/>
          <w:lang w:val="ro-RO"/>
        </w:rPr>
        <w:t xml:space="preserve"> și monitorizarea fraudei și a altor nereguli. Comisia acționează astfel în cooperare cu statele membre, care încasează și cheltuiesc până la 80 % din bugetul UE. În consecință, în temeiul articolului 325 alineatul (1) din TFUE, atât Uniunea Europeană, cât și statele membre au obligația de a combate frauda și orice alte activități ilegale care aduc atingere intereselor financiare ale UE.</w:t>
      </w:r>
    </w:p>
    <w:p>
      <w:pPr>
        <w:jc w:val="both"/>
        <w:rPr>
          <w:rFonts w:ascii="Times New Roman" w:hAnsi="Times New Roman" w:cs="Times New Roman"/>
          <w:noProof/>
          <w:sz w:val="24"/>
          <w:szCs w:val="24"/>
          <w:lang w:val="ro-RO"/>
        </w:rPr>
      </w:pPr>
      <w:r>
        <w:rPr>
          <w:rFonts w:ascii="Times New Roman" w:hAnsi="Times New Roman"/>
          <w:noProof/>
          <w:sz w:val="24"/>
          <w:lang w:val="ro-RO"/>
        </w:rPr>
        <w:t>În fiecare an, raportul Comisiei privind protecția intereselor financiare ale UE - Raportul PIF</w:t>
      </w:r>
      <w:r>
        <w:rPr>
          <w:rFonts w:ascii="Times New Roman" w:hAnsi="Times New Roman"/>
          <w:noProof/>
          <w:sz w:val="24"/>
          <w:vertAlign w:val="superscript"/>
          <w:lang w:val="ro-RO"/>
        </w:rPr>
        <w:footnoteReference w:id="7"/>
      </w:r>
      <w:r>
        <w:rPr>
          <w:rFonts w:ascii="Times New Roman" w:hAnsi="Times New Roman"/>
          <w:noProof/>
          <w:sz w:val="24"/>
          <w:lang w:val="ro-RO"/>
        </w:rPr>
        <w:t> - oferă o imagine de ansamblu a modului în care bugetul UE este afectat de neregulile detectate, inclusiv de fraudă. Deși sumele și cifrele fluctuează de la un an la altul, este clar că nivelul fraudei cunoscute și raportate</w:t>
      </w:r>
      <w:r>
        <w:rPr>
          <w:rFonts w:ascii="Times New Roman" w:hAnsi="Times New Roman"/>
          <w:noProof/>
          <w:sz w:val="24"/>
          <w:vertAlign w:val="superscript"/>
          <w:lang w:val="ro-RO"/>
        </w:rPr>
        <w:footnoteReference w:id="8"/>
      </w:r>
      <w:r>
        <w:rPr>
          <w:rFonts w:ascii="Times New Roman" w:hAnsi="Times New Roman"/>
          <w:noProof/>
          <w:sz w:val="24"/>
          <w:lang w:val="ro-RO"/>
        </w:rPr>
        <w:t xml:space="preserve"> reclamă acțiuni constante din partea UE.</w:t>
      </w:r>
    </w:p>
    <w:p>
      <w:pPr>
        <w:keepNext/>
        <w:spacing w:after="120"/>
        <w:jc w:val="both"/>
        <w:rPr>
          <w:rFonts w:ascii="Times New Roman" w:hAnsi="Times New Roman" w:cs="Times New Roman"/>
          <w:b/>
          <w:noProof/>
          <w:sz w:val="24"/>
          <w:szCs w:val="24"/>
          <w:lang w:val="ro-RO"/>
        </w:rPr>
      </w:pPr>
      <w:r>
        <w:rPr>
          <w:rFonts w:ascii="Times New Roman" w:hAnsi="Times New Roman"/>
          <w:b/>
          <w:noProof/>
          <w:sz w:val="24"/>
          <w:lang w:val="ro-RO"/>
        </w:rPr>
        <w:t>Nereguli raportate ca fiind frauduloase, 2014-2017</w:t>
      </w:r>
    </w:p>
    <w:tbl>
      <w:tblPr>
        <w:tblStyle w:val="TableGrid11"/>
        <w:tblW w:w="9038" w:type="dxa"/>
        <w:tblLayout w:type="fixed"/>
        <w:tblLook w:val="04A0" w:firstRow="1" w:lastRow="0" w:firstColumn="1" w:lastColumn="0" w:noHBand="0" w:noVBand="1"/>
      </w:tblPr>
      <w:tblGrid>
        <w:gridCol w:w="1240"/>
        <w:gridCol w:w="993"/>
        <w:gridCol w:w="992"/>
        <w:gridCol w:w="992"/>
        <w:gridCol w:w="992"/>
        <w:gridCol w:w="992"/>
        <w:gridCol w:w="993"/>
        <w:gridCol w:w="993"/>
        <w:gridCol w:w="851"/>
      </w:tblGrid>
      <w:tr>
        <w:tc>
          <w:tcPr>
            <w:tcW w:w="1240" w:type="dxa"/>
          </w:tcPr>
          <w:p>
            <w:pPr>
              <w:keepNext/>
              <w:jc w:val="both"/>
              <w:rPr>
                <w:rFonts w:cs="Times New Roman"/>
                <w:noProof/>
                <w:sz w:val="14"/>
                <w:szCs w:val="20"/>
                <w:lang w:val="ro-RO"/>
              </w:rPr>
            </w:pPr>
          </w:p>
        </w:tc>
        <w:tc>
          <w:tcPr>
            <w:tcW w:w="1985" w:type="dxa"/>
            <w:gridSpan w:val="2"/>
          </w:tcPr>
          <w:p>
            <w:pPr>
              <w:keepNext/>
              <w:jc w:val="center"/>
              <w:rPr>
                <w:rFonts w:cs="Times New Roman"/>
                <w:b/>
                <w:noProof/>
                <w:sz w:val="14"/>
                <w:szCs w:val="20"/>
                <w:lang w:val="ro-RO"/>
              </w:rPr>
            </w:pPr>
            <w:r>
              <w:rPr>
                <w:b/>
                <w:noProof/>
                <w:sz w:val="14"/>
                <w:lang w:val="ro-RO"/>
              </w:rPr>
              <w:t>2014</w:t>
            </w:r>
          </w:p>
        </w:tc>
        <w:tc>
          <w:tcPr>
            <w:tcW w:w="1984" w:type="dxa"/>
            <w:gridSpan w:val="2"/>
          </w:tcPr>
          <w:p>
            <w:pPr>
              <w:keepNext/>
              <w:jc w:val="center"/>
              <w:rPr>
                <w:rFonts w:cs="Times New Roman"/>
                <w:b/>
                <w:noProof/>
                <w:sz w:val="14"/>
                <w:szCs w:val="20"/>
                <w:lang w:val="ro-RO"/>
              </w:rPr>
            </w:pPr>
            <w:r>
              <w:rPr>
                <w:b/>
                <w:noProof/>
                <w:sz w:val="14"/>
                <w:lang w:val="ro-RO"/>
              </w:rPr>
              <w:t>2015</w:t>
            </w:r>
          </w:p>
        </w:tc>
        <w:tc>
          <w:tcPr>
            <w:tcW w:w="1985" w:type="dxa"/>
            <w:gridSpan w:val="2"/>
          </w:tcPr>
          <w:p>
            <w:pPr>
              <w:keepNext/>
              <w:jc w:val="center"/>
              <w:rPr>
                <w:rFonts w:cs="Times New Roman"/>
                <w:b/>
                <w:noProof/>
                <w:sz w:val="14"/>
                <w:szCs w:val="20"/>
                <w:lang w:val="ro-RO"/>
              </w:rPr>
            </w:pPr>
            <w:r>
              <w:rPr>
                <w:b/>
                <w:noProof/>
                <w:sz w:val="14"/>
                <w:lang w:val="ro-RO"/>
              </w:rPr>
              <w:t>2016</w:t>
            </w:r>
          </w:p>
        </w:tc>
        <w:tc>
          <w:tcPr>
            <w:tcW w:w="1844" w:type="dxa"/>
            <w:gridSpan w:val="2"/>
          </w:tcPr>
          <w:p>
            <w:pPr>
              <w:keepNext/>
              <w:jc w:val="center"/>
              <w:rPr>
                <w:rFonts w:cs="Times New Roman"/>
                <w:b/>
                <w:noProof/>
                <w:sz w:val="14"/>
                <w:szCs w:val="20"/>
                <w:lang w:val="ro-RO"/>
              </w:rPr>
            </w:pPr>
            <w:r>
              <w:rPr>
                <w:b/>
                <w:noProof/>
                <w:sz w:val="14"/>
                <w:lang w:val="ro-RO"/>
              </w:rPr>
              <w:t>2017</w:t>
            </w:r>
          </w:p>
        </w:tc>
      </w:tr>
      <w:tr>
        <w:tc>
          <w:tcPr>
            <w:tcW w:w="1240" w:type="dxa"/>
          </w:tcPr>
          <w:p>
            <w:pPr>
              <w:keepNext/>
              <w:jc w:val="both"/>
              <w:rPr>
                <w:rFonts w:cs="Times New Roman"/>
                <w:noProof/>
                <w:sz w:val="14"/>
                <w:szCs w:val="20"/>
                <w:lang w:val="ro-RO"/>
              </w:rPr>
            </w:pPr>
            <w:r>
              <w:rPr>
                <w:noProof/>
                <w:sz w:val="14"/>
                <w:lang w:val="ro-RO"/>
              </w:rPr>
              <w:t>Sectorul bugetar</w:t>
            </w:r>
          </w:p>
        </w:tc>
        <w:tc>
          <w:tcPr>
            <w:tcW w:w="993" w:type="dxa"/>
          </w:tcPr>
          <w:p>
            <w:pPr>
              <w:keepNext/>
              <w:jc w:val="center"/>
              <w:rPr>
                <w:rFonts w:cs="Times New Roman"/>
                <w:noProof/>
                <w:sz w:val="14"/>
                <w:szCs w:val="20"/>
                <w:lang w:val="ro-RO"/>
              </w:rPr>
            </w:pPr>
            <w:r>
              <w:rPr>
                <w:noProof/>
                <w:sz w:val="14"/>
                <w:lang w:val="ro-RO"/>
              </w:rPr>
              <w:t>Numărul de nereguli frauduloase</w:t>
            </w:r>
          </w:p>
        </w:tc>
        <w:tc>
          <w:tcPr>
            <w:tcW w:w="992" w:type="dxa"/>
          </w:tcPr>
          <w:p>
            <w:pPr>
              <w:keepNext/>
              <w:jc w:val="center"/>
              <w:rPr>
                <w:rFonts w:cs="Times New Roman"/>
                <w:noProof/>
                <w:sz w:val="14"/>
                <w:szCs w:val="20"/>
                <w:lang w:val="ro-RO"/>
              </w:rPr>
            </w:pPr>
            <w:r>
              <w:rPr>
                <w:noProof/>
                <w:sz w:val="14"/>
                <w:lang w:val="ro-RO"/>
              </w:rPr>
              <w:t>Sumele implicate (milioane EUR)</w:t>
            </w:r>
          </w:p>
        </w:tc>
        <w:tc>
          <w:tcPr>
            <w:tcW w:w="992" w:type="dxa"/>
          </w:tcPr>
          <w:p>
            <w:pPr>
              <w:keepNext/>
              <w:jc w:val="center"/>
              <w:rPr>
                <w:rFonts w:cs="Times New Roman"/>
                <w:noProof/>
                <w:sz w:val="14"/>
                <w:szCs w:val="20"/>
                <w:lang w:val="ro-RO"/>
              </w:rPr>
            </w:pPr>
            <w:r>
              <w:rPr>
                <w:noProof/>
                <w:sz w:val="14"/>
                <w:lang w:val="ro-RO"/>
              </w:rPr>
              <w:t>Numărul de nereguli frauduloase</w:t>
            </w:r>
          </w:p>
        </w:tc>
        <w:tc>
          <w:tcPr>
            <w:tcW w:w="992" w:type="dxa"/>
          </w:tcPr>
          <w:p>
            <w:pPr>
              <w:keepNext/>
              <w:jc w:val="center"/>
              <w:rPr>
                <w:rFonts w:cs="Times New Roman"/>
                <w:noProof/>
                <w:sz w:val="14"/>
                <w:szCs w:val="20"/>
                <w:lang w:val="ro-RO"/>
              </w:rPr>
            </w:pPr>
            <w:r>
              <w:rPr>
                <w:noProof/>
                <w:sz w:val="14"/>
                <w:lang w:val="ro-RO"/>
              </w:rPr>
              <w:t>Sumele implicate</w:t>
            </w:r>
          </w:p>
          <w:p>
            <w:pPr>
              <w:keepNext/>
              <w:jc w:val="center"/>
              <w:rPr>
                <w:rFonts w:cs="Times New Roman"/>
                <w:noProof/>
                <w:sz w:val="14"/>
                <w:szCs w:val="20"/>
                <w:lang w:val="ro-RO"/>
              </w:rPr>
            </w:pPr>
            <w:r>
              <w:rPr>
                <w:noProof/>
                <w:sz w:val="14"/>
                <w:lang w:val="ro-RO"/>
              </w:rPr>
              <w:t>(milioane EUR)</w:t>
            </w:r>
          </w:p>
        </w:tc>
        <w:tc>
          <w:tcPr>
            <w:tcW w:w="992" w:type="dxa"/>
          </w:tcPr>
          <w:p>
            <w:pPr>
              <w:keepNext/>
              <w:jc w:val="center"/>
              <w:rPr>
                <w:rFonts w:cs="Times New Roman"/>
                <w:noProof/>
                <w:sz w:val="14"/>
                <w:szCs w:val="20"/>
                <w:lang w:val="ro-RO"/>
              </w:rPr>
            </w:pPr>
            <w:r>
              <w:rPr>
                <w:noProof/>
                <w:sz w:val="14"/>
                <w:lang w:val="ro-RO"/>
              </w:rPr>
              <w:t>Numărul de nereguli</w:t>
            </w:r>
          </w:p>
          <w:p>
            <w:pPr>
              <w:keepNext/>
              <w:jc w:val="center"/>
              <w:rPr>
                <w:rFonts w:cs="Times New Roman"/>
                <w:noProof/>
                <w:sz w:val="14"/>
                <w:szCs w:val="20"/>
                <w:lang w:val="ro-RO"/>
              </w:rPr>
            </w:pPr>
            <w:r>
              <w:rPr>
                <w:noProof/>
                <w:sz w:val="14"/>
                <w:lang w:val="ro-RO"/>
              </w:rPr>
              <w:t xml:space="preserve">frauduloase </w:t>
            </w:r>
          </w:p>
        </w:tc>
        <w:tc>
          <w:tcPr>
            <w:tcW w:w="993" w:type="dxa"/>
          </w:tcPr>
          <w:p>
            <w:pPr>
              <w:keepNext/>
              <w:jc w:val="center"/>
              <w:rPr>
                <w:rFonts w:cs="Times New Roman"/>
                <w:noProof/>
                <w:sz w:val="14"/>
                <w:szCs w:val="20"/>
                <w:lang w:val="ro-RO"/>
              </w:rPr>
            </w:pPr>
            <w:r>
              <w:rPr>
                <w:noProof/>
                <w:sz w:val="14"/>
                <w:lang w:val="ro-RO"/>
              </w:rPr>
              <w:t>Sumele implicate</w:t>
            </w:r>
            <w:r>
              <w:rPr>
                <w:rFonts w:cs="Times New Roman"/>
                <w:noProof/>
                <w:sz w:val="14"/>
                <w:szCs w:val="20"/>
                <w:lang w:val="ro-RO"/>
              </w:rPr>
              <w:br/>
            </w:r>
            <w:r>
              <w:rPr>
                <w:noProof/>
                <w:sz w:val="14"/>
                <w:lang w:val="ro-RO"/>
              </w:rPr>
              <w:t>(milioane EUR)</w:t>
            </w:r>
          </w:p>
        </w:tc>
        <w:tc>
          <w:tcPr>
            <w:tcW w:w="993" w:type="dxa"/>
          </w:tcPr>
          <w:p>
            <w:pPr>
              <w:keepNext/>
              <w:jc w:val="center"/>
              <w:rPr>
                <w:rFonts w:cs="Times New Roman"/>
                <w:noProof/>
                <w:sz w:val="14"/>
                <w:szCs w:val="20"/>
                <w:lang w:val="ro-RO"/>
              </w:rPr>
            </w:pPr>
            <w:r>
              <w:rPr>
                <w:noProof/>
                <w:sz w:val="14"/>
                <w:lang w:val="ro-RO"/>
              </w:rPr>
              <w:t>Numărul de nereguli frauduloase</w:t>
            </w:r>
          </w:p>
        </w:tc>
        <w:tc>
          <w:tcPr>
            <w:tcW w:w="851" w:type="dxa"/>
          </w:tcPr>
          <w:p>
            <w:pPr>
              <w:keepNext/>
              <w:jc w:val="center"/>
              <w:rPr>
                <w:rFonts w:cs="Times New Roman"/>
                <w:noProof/>
                <w:sz w:val="14"/>
                <w:szCs w:val="20"/>
                <w:lang w:val="ro-RO"/>
              </w:rPr>
            </w:pPr>
            <w:r>
              <w:rPr>
                <w:noProof/>
                <w:sz w:val="14"/>
                <w:lang w:val="ro-RO"/>
              </w:rPr>
              <w:t>Sumele implicate</w:t>
            </w:r>
            <w:r>
              <w:rPr>
                <w:rFonts w:cs="Times New Roman"/>
                <w:noProof/>
                <w:sz w:val="14"/>
                <w:szCs w:val="20"/>
                <w:lang w:val="ro-RO"/>
              </w:rPr>
              <w:br/>
            </w:r>
            <w:r>
              <w:rPr>
                <w:noProof/>
                <w:sz w:val="14"/>
                <w:lang w:val="ro-RO"/>
              </w:rPr>
              <w:t>(milioane EUR)</w:t>
            </w:r>
          </w:p>
        </w:tc>
      </w:tr>
      <w:tr>
        <w:tc>
          <w:tcPr>
            <w:tcW w:w="1240" w:type="dxa"/>
          </w:tcPr>
          <w:p>
            <w:pPr>
              <w:keepNext/>
              <w:jc w:val="both"/>
              <w:rPr>
                <w:rFonts w:cs="Times New Roman"/>
                <w:noProof/>
                <w:sz w:val="14"/>
                <w:szCs w:val="20"/>
                <w:lang w:val="ro-RO"/>
              </w:rPr>
            </w:pPr>
            <w:r>
              <w:rPr>
                <w:noProof/>
                <w:sz w:val="14"/>
                <w:lang w:val="ro-RO"/>
              </w:rPr>
              <w:t>Resurse naturale</w:t>
            </w:r>
          </w:p>
        </w:tc>
        <w:tc>
          <w:tcPr>
            <w:tcW w:w="993" w:type="dxa"/>
          </w:tcPr>
          <w:p>
            <w:pPr>
              <w:keepNext/>
              <w:jc w:val="right"/>
              <w:rPr>
                <w:rFonts w:cs="Times New Roman"/>
                <w:noProof/>
                <w:sz w:val="14"/>
                <w:szCs w:val="20"/>
                <w:lang w:val="ro-RO"/>
              </w:rPr>
            </w:pPr>
            <w:r>
              <w:rPr>
                <w:noProof/>
                <w:sz w:val="14"/>
                <w:lang w:val="ro-RO"/>
              </w:rPr>
              <w:t>519</w:t>
            </w:r>
          </w:p>
        </w:tc>
        <w:tc>
          <w:tcPr>
            <w:tcW w:w="992" w:type="dxa"/>
          </w:tcPr>
          <w:p>
            <w:pPr>
              <w:keepNext/>
              <w:jc w:val="right"/>
              <w:rPr>
                <w:rFonts w:cs="Times New Roman"/>
                <w:noProof/>
                <w:sz w:val="14"/>
                <w:szCs w:val="20"/>
                <w:lang w:val="ro-RO"/>
              </w:rPr>
            </w:pPr>
            <w:r>
              <w:rPr>
                <w:noProof/>
                <w:sz w:val="14"/>
                <w:lang w:val="ro-RO"/>
              </w:rPr>
              <w:t>68,6</w:t>
            </w:r>
          </w:p>
        </w:tc>
        <w:tc>
          <w:tcPr>
            <w:tcW w:w="992" w:type="dxa"/>
          </w:tcPr>
          <w:p>
            <w:pPr>
              <w:keepNext/>
              <w:jc w:val="right"/>
              <w:rPr>
                <w:rFonts w:cs="Times New Roman"/>
                <w:noProof/>
                <w:sz w:val="14"/>
                <w:szCs w:val="20"/>
                <w:lang w:val="ro-RO"/>
              </w:rPr>
            </w:pPr>
            <w:r>
              <w:rPr>
                <w:noProof/>
                <w:sz w:val="14"/>
                <w:lang w:val="ro-RO"/>
              </w:rPr>
              <w:t>444</w:t>
            </w:r>
          </w:p>
        </w:tc>
        <w:tc>
          <w:tcPr>
            <w:tcW w:w="992" w:type="dxa"/>
          </w:tcPr>
          <w:p>
            <w:pPr>
              <w:keepNext/>
              <w:jc w:val="right"/>
              <w:rPr>
                <w:rFonts w:cs="Times New Roman"/>
                <w:noProof/>
                <w:sz w:val="14"/>
                <w:szCs w:val="20"/>
                <w:lang w:val="ro-RO"/>
              </w:rPr>
            </w:pPr>
            <w:r>
              <w:rPr>
                <w:noProof/>
                <w:sz w:val="14"/>
                <w:lang w:val="ro-RO"/>
              </w:rPr>
              <w:t>74,1</w:t>
            </w:r>
          </w:p>
        </w:tc>
        <w:tc>
          <w:tcPr>
            <w:tcW w:w="992" w:type="dxa"/>
          </w:tcPr>
          <w:p>
            <w:pPr>
              <w:keepNext/>
              <w:jc w:val="right"/>
              <w:rPr>
                <w:rFonts w:cs="Times New Roman"/>
                <w:noProof/>
                <w:sz w:val="14"/>
                <w:szCs w:val="20"/>
                <w:lang w:val="ro-RO"/>
              </w:rPr>
            </w:pPr>
            <w:r>
              <w:rPr>
                <w:noProof/>
                <w:sz w:val="14"/>
                <w:lang w:val="ro-RO"/>
              </w:rPr>
              <w:t>413</w:t>
            </w:r>
          </w:p>
        </w:tc>
        <w:tc>
          <w:tcPr>
            <w:tcW w:w="993" w:type="dxa"/>
          </w:tcPr>
          <w:p>
            <w:pPr>
              <w:keepNext/>
              <w:jc w:val="right"/>
              <w:rPr>
                <w:rFonts w:cs="Times New Roman"/>
                <w:noProof/>
                <w:sz w:val="14"/>
                <w:szCs w:val="20"/>
                <w:lang w:val="ro-RO"/>
              </w:rPr>
            </w:pPr>
            <w:r>
              <w:rPr>
                <w:noProof/>
                <w:sz w:val="14"/>
                <w:lang w:val="ro-RO"/>
              </w:rPr>
              <w:t>61,8</w:t>
            </w:r>
          </w:p>
        </w:tc>
        <w:tc>
          <w:tcPr>
            <w:tcW w:w="993" w:type="dxa"/>
          </w:tcPr>
          <w:p>
            <w:pPr>
              <w:keepNext/>
              <w:jc w:val="right"/>
              <w:rPr>
                <w:rFonts w:cs="Times New Roman"/>
                <w:noProof/>
                <w:sz w:val="14"/>
                <w:szCs w:val="20"/>
                <w:lang w:val="ro-RO"/>
              </w:rPr>
            </w:pPr>
            <w:r>
              <w:rPr>
                <w:noProof/>
                <w:sz w:val="14"/>
                <w:lang w:val="ro-RO"/>
              </w:rPr>
              <w:t>276</w:t>
            </w:r>
          </w:p>
        </w:tc>
        <w:tc>
          <w:tcPr>
            <w:tcW w:w="851" w:type="dxa"/>
          </w:tcPr>
          <w:p>
            <w:pPr>
              <w:keepNext/>
              <w:jc w:val="right"/>
              <w:rPr>
                <w:rFonts w:cs="Times New Roman"/>
                <w:noProof/>
                <w:sz w:val="14"/>
                <w:szCs w:val="20"/>
                <w:lang w:val="ro-RO"/>
              </w:rPr>
            </w:pPr>
            <w:r>
              <w:rPr>
                <w:noProof/>
                <w:sz w:val="14"/>
                <w:lang w:val="ro-RO"/>
              </w:rPr>
              <w:t>59,9</w:t>
            </w:r>
          </w:p>
        </w:tc>
      </w:tr>
      <w:tr>
        <w:tc>
          <w:tcPr>
            <w:tcW w:w="1240" w:type="dxa"/>
          </w:tcPr>
          <w:p>
            <w:pPr>
              <w:keepNext/>
              <w:jc w:val="both"/>
              <w:rPr>
                <w:rFonts w:cs="Times New Roman"/>
                <w:noProof/>
                <w:sz w:val="14"/>
                <w:szCs w:val="20"/>
                <w:lang w:val="ro-RO"/>
              </w:rPr>
            </w:pPr>
            <w:r>
              <w:rPr>
                <w:noProof/>
                <w:sz w:val="14"/>
                <w:lang w:val="ro-RO"/>
              </w:rPr>
              <w:t>Politica de coeziune</w:t>
            </w:r>
          </w:p>
        </w:tc>
        <w:tc>
          <w:tcPr>
            <w:tcW w:w="993" w:type="dxa"/>
          </w:tcPr>
          <w:p>
            <w:pPr>
              <w:keepNext/>
              <w:jc w:val="right"/>
              <w:rPr>
                <w:rFonts w:cs="Times New Roman"/>
                <w:noProof/>
                <w:sz w:val="14"/>
                <w:szCs w:val="20"/>
                <w:lang w:val="ro-RO"/>
              </w:rPr>
            </w:pPr>
            <w:r>
              <w:rPr>
                <w:noProof/>
                <w:sz w:val="14"/>
                <w:lang w:val="ro-RO"/>
              </w:rPr>
              <w:t>306</w:t>
            </w:r>
          </w:p>
        </w:tc>
        <w:tc>
          <w:tcPr>
            <w:tcW w:w="992" w:type="dxa"/>
          </w:tcPr>
          <w:p>
            <w:pPr>
              <w:keepNext/>
              <w:jc w:val="right"/>
              <w:rPr>
                <w:rFonts w:cs="Times New Roman"/>
                <w:noProof/>
                <w:sz w:val="14"/>
                <w:szCs w:val="20"/>
                <w:lang w:val="ro-RO"/>
              </w:rPr>
            </w:pPr>
            <w:r>
              <w:rPr>
                <w:noProof/>
                <w:sz w:val="14"/>
                <w:lang w:val="ro-RO"/>
              </w:rPr>
              <w:t>274,2</w:t>
            </w:r>
          </w:p>
        </w:tc>
        <w:tc>
          <w:tcPr>
            <w:tcW w:w="992" w:type="dxa"/>
          </w:tcPr>
          <w:p>
            <w:pPr>
              <w:keepNext/>
              <w:jc w:val="right"/>
              <w:rPr>
                <w:rFonts w:cs="Times New Roman"/>
                <w:noProof/>
                <w:sz w:val="14"/>
                <w:szCs w:val="20"/>
                <w:lang w:val="ro-RO"/>
              </w:rPr>
            </w:pPr>
            <w:r>
              <w:rPr>
                <w:noProof/>
                <w:sz w:val="14"/>
                <w:lang w:val="ro-RO"/>
              </w:rPr>
              <w:t>371</w:t>
            </w:r>
          </w:p>
        </w:tc>
        <w:tc>
          <w:tcPr>
            <w:tcW w:w="992" w:type="dxa"/>
          </w:tcPr>
          <w:p>
            <w:pPr>
              <w:keepNext/>
              <w:jc w:val="right"/>
              <w:rPr>
                <w:rFonts w:cs="Times New Roman"/>
                <w:noProof/>
                <w:sz w:val="14"/>
                <w:szCs w:val="20"/>
                <w:lang w:val="ro-RO"/>
              </w:rPr>
            </w:pPr>
            <w:r>
              <w:rPr>
                <w:noProof/>
                <w:sz w:val="14"/>
                <w:lang w:val="ro-RO"/>
              </w:rPr>
              <w:t>477,5</w:t>
            </w:r>
          </w:p>
        </w:tc>
        <w:tc>
          <w:tcPr>
            <w:tcW w:w="992" w:type="dxa"/>
          </w:tcPr>
          <w:p>
            <w:pPr>
              <w:keepNext/>
              <w:jc w:val="right"/>
              <w:rPr>
                <w:rFonts w:cs="Times New Roman"/>
                <w:noProof/>
                <w:sz w:val="14"/>
                <w:szCs w:val="20"/>
                <w:lang w:val="ro-RO"/>
              </w:rPr>
            </w:pPr>
            <w:r>
              <w:rPr>
                <w:noProof/>
                <w:sz w:val="14"/>
                <w:lang w:val="ro-RO"/>
              </w:rPr>
              <w:t>407</w:t>
            </w:r>
          </w:p>
        </w:tc>
        <w:tc>
          <w:tcPr>
            <w:tcW w:w="993" w:type="dxa"/>
          </w:tcPr>
          <w:p>
            <w:pPr>
              <w:keepNext/>
              <w:jc w:val="right"/>
              <w:rPr>
                <w:rFonts w:cs="Times New Roman"/>
                <w:noProof/>
                <w:sz w:val="14"/>
                <w:szCs w:val="20"/>
                <w:lang w:val="ro-RO"/>
              </w:rPr>
            </w:pPr>
            <w:r>
              <w:rPr>
                <w:noProof/>
                <w:sz w:val="14"/>
                <w:lang w:val="ro-RO"/>
              </w:rPr>
              <w:t>236,9</w:t>
            </w:r>
          </w:p>
        </w:tc>
        <w:tc>
          <w:tcPr>
            <w:tcW w:w="993" w:type="dxa"/>
          </w:tcPr>
          <w:p>
            <w:pPr>
              <w:keepNext/>
              <w:jc w:val="right"/>
              <w:rPr>
                <w:rFonts w:cs="Times New Roman"/>
                <w:noProof/>
                <w:sz w:val="14"/>
                <w:szCs w:val="20"/>
                <w:lang w:val="ro-RO"/>
              </w:rPr>
            </w:pPr>
            <w:r>
              <w:rPr>
                <w:noProof/>
                <w:sz w:val="14"/>
                <w:lang w:val="ro-RO"/>
              </w:rPr>
              <w:t>345</w:t>
            </w:r>
          </w:p>
        </w:tc>
        <w:tc>
          <w:tcPr>
            <w:tcW w:w="851" w:type="dxa"/>
          </w:tcPr>
          <w:p>
            <w:pPr>
              <w:keepNext/>
              <w:jc w:val="right"/>
              <w:rPr>
                <w:rFonts w:cs="Times New Roman"/>
                <w:noProof/>
                <w:sz w:val="14"/>
                <w:szCs w:val="20"/>
                <w:lang w:val="ro-RO"/>
              </w:rPr>
            </w:pPr>
            <w:r>
              <w:rPr>
                <w:noProof/>
                <w:sz w:val="14"/>
                <w:lang w:val="ro-RO"/>
              </w:rPr>
              <w:t>320,4</w:t>
            </w:r>
          </w:p>
        </w:tc>
      </w:tr>
      <w:tr>
        <w:tc>
          <w:tcPr>
            <w:tcW w:w="1240" w:type="dxa"/>
          </w:tcPr>
          <w:p>
            <w:pPr>
              <w:keepNext/>
              <w:jc w:val="both"/>
              <w:rPr>
                <w:rFonts w:cs="Times New Roman"/>
                <w:noProof/>
                <w:sz w:val="14"/>
                <w:szCs w:val="20"/>
                <w:lang w:val="ro-RO"/>
              </w:rPr>
            </w:pPr>
            <w:r>
              <w:rPr>
                <w:noProof/>
                <w:sz w:val="14"/>
                <w:lang w:val="ro-RO"/>
              </w:rPr>
              <w:t>Preaderare</w:t>
            </w:r>
          </w:p>
        </w:tc>
        <w:tc>
          <w:tcPr>
            <w:tcW w:w="993" w:type="dxa"/>
          </w:tcPr>
          <w:p>
            <w:pPr>
              <w:keepNext/>
              <w:jc w:val="right"/>
              <w:rPr>
                <w:rFonts w:cs="Times New Roman"/>
                <w:noProof/>
                <w:sz w:val="14"/>
                <w:szCs w:val="20"/>
                <w:lang w:val="ro-RO"/>
              </w:rPr>
            </w:pPr>
            <w:r>
              <w:rPr>
                <w:noProof/>
                <w:sz w:val="14"/>
                <w:lang w:val="ro-RO"/>
              </w:rPr>
              <w:t>31</w:t>
            </w:r>
          </w:p>
        </w:tc>
        <w:tc>
          <w:tcPr>
            <w:tcW w:w="992" w:type="dxa"/>
          </w:tcPr>
          <w:p>
            <w:pPr>
              <w:keepNext/>
              <w:jc w:val="right"/>
              <w:rPr>
                <w:rFonts w:cs="Times New Roman"/>
                <w:noProof/>
                <w:sz w:val="14"/>
                <w:szCs w:val="20"/>
                <w:lang w:val="ro-RO"/>
              </w:rPr>
            </w:pPr>
            <w:r>
              <w:rPr>
                <w:noProof/>
                <w:sz w:val="14"/>
                <w:lang w:val="ro-RO"/>
              </w:rPr>
              <w:t>14,47</w:t>
            </w:r>
          </w:p>
        </w:tc>
        <w:tc>
          <w:tcPr>
            <w:tcW w:w="992" w:type="dxa"/>
          </w:tcPr>
          <w:p>
            <w:pPr>
              <w:keepNext/>
              <w:jc w:val="right"/>
              <w:rPr>
                <w:rFonts w:cs="Times New Roman"/>
                <w:noProof/>
                <w:sz w:val="14"/>
                <w:szCs w:val="20"/>
                <w:lang w:val="ro-RO"/>
              </w:rPr>
            </w:pPr>
            <w:r>
              <w:rPr>
                <w:noProof/>
                <w:sz w:val="14"/>
                <w:lang w:val="ro-RO"/>
              </w:rPr>
              <w:t>29</w:t>
            </w:r>
          </w:p>
        </w:tc>
        <w:tc>
          <w:tcPr>
            <w:tcW w:w="992" w:type="dxa"/>
          </w:tcPr>
          <w:p>
            <w:pPr>
              <w:keepNext/>
              <w:jc w:val="right"/>
              <w:rPr>
                <w:rFonts w:cs="Times New Roman"/>
                <w:noProof/>
                <w:sz w:val="14"/>
                <w:szCs w:val="20"/>
                <w:lang w:val="ro-RO"/>
              </w:rPr>
            </w:pPr>
            <w:r>
              <w:rPr>
                <w:noProof/>
                <w:sz w:val="14"/>
                <w:lang w:val="ro-RO"/>
              </w:rPr>
              <w:t>7,8</w:t>
            </w:r>
          </w:p>
        </w:tc>
        <w:tc>
          <w:tcPr>
            <w:tcW w:w="992" w:type="dxa"/>
          </w:tcPr>
          <w:p>
            <w:pPr>
              <w:keepNext/>
              <w:jc w:val="right"/>
              <w:rPr>
                <w:rFonts w:cs="Times New Roman"/>
                <w:noProof/>
                <w:sz w:val="14"/>
                <w:szCs w:val="20"/>
                <w:lang w:val="ro-RO"/>
              </w:rPr>
            </w:pPr>
            <w:r>
              <w:rPr>
                <w:noProof/>
                <w:sz w:val="14"/>
                <w:lang w:val="ro-RO"/>
              </w:rPr>
              <w:t>28</w:t>
            </w:r>
          </w:p>
        </w:tc>
        <w:tc>
          <w:tcPr>
            <w:tcW w:w="993" w:type="dxa"/>
          </w:tcPr>
          <w:p>
            <w:pPr>
              <w:keepNext/>
              <w:jc w:val="right"/>
              <w:rPr>
                <w:rFonts w:cs="Times New Roman"/>
                <w:noProof/>
                <w:sz w:val="14"/>
                <w:szCs w:val="20"/>
                <w:lang w:val="ro-RO"/>
              </w:rPr>
            </w:pPr>
            <w:r>
              <w:rPr>
                <w:noProof/>
                <w:sz w:val="14"/>
                <w:lang w:val="ro-RO"/>
              </w:rPr>
              <w:t>3,0</w:t>
            </w:r>
          </w:p>
        </w:tc>
        <w:tc>
          <w:tcPr>
            <w:tcW w:w="993" w:type="dxa"/>
          </w:tcPr>
          <w:p>
            <w:pPr>
              <w:keepNext/>
              <w:jc w:val="right"/>
              <w:rPr>
                <w:rFonts w:cs="Times New Roman"/>
                <w:noProof/>
                <w:sz w:val="14"/>
                <w:szCs w:val="20"/>
                <w:lang w:val="ro-RO"/>
              </w:rPr>
            </w:pPr>
            <w:r>
              <w:rPr>
                <w:noProof/>
                <w:sz w:val="14"/>
                <w:lang w:val="ro-RO"/>
              </w:rPr>
              <w:t>19</w:t>
            </w:r>
          </w:p>
        </w:tc>
        <w:tc>
          <w:tcPr>
            <w:tcW w:w="851" w:type="dxa"/>
          </w:tcPr>
          <w:p>
            <w:pPr>
              <w:keepNext/>
              <w:jc w:val="right"/>
              <w:rPr>
                <w:rFonts w:cs="Times New Roman"/>
                <w:noProof/>
                <w:sz w:val="14"/>
                <w:szCs w:val="20"/>
                <w:lang w:val="ro-RO"/>
              </w:rPr>
            </w:pPr>
            <w:r>
              <w:rPr>
                <w:noProof/>
                <w:sz w:val="14"/>
                <w:lang w:val="ro-RO"/>
              </w:rPr>
              <w:t>3,2</w:t>
            </w:r>
          </w:p>
        </w:tc>
      </w:tr>
      <w:tr>
        <w:tc>
          <w:tcPr>
            <w:tcW w:w="1240" w:type="dxa"/>
          </w:tcPr>
          <w:p>
            <w:pPr>
              <w:keepNext/>
              <w:jc w:val="both"/>
              <w:rPr>
                <w:rFonts w:cs="Times New Roman"/>
                <w:noProof/>
                <w:sz w:val="14"/>
                <w:szCs w:val="20"/>
                <w:lang w:val="ro-RO"/>
              </w:rPr>
            </w:pPr>
            <w:r>
              <w:rPr>
                <w:noProof/>
                <w:sz w:val="14"/>
                <w:lang w:val="ro-RO"/>
              </w:rPr>
              <w:t>Cheltuieli directe</w:t>
            </w:r>
          </w:p>
        </w:tc>
        <w:tc>
          <w:tcPr>
            <w:tcW w:w="993" w:type="dxa"/>
          </w:tcPr>
          <w:p>
            <w:pPr>
              <w:keepNext/>
              <w:jc w:val="right"/>
              <w:rPr>
                <w:rFonts w:cs="Times New Roman"/>
                <w:noProof/>
                <w:sz w:val="14"/>
                <w:szCs w:val="20"/>
                <w:lang w:val="ro-RO"/>
              </w:rPr>
            </w:pPr>
            <w:r>
              <w:rPr>
                <w:noProof/>
                <w:sz w:val="14"/>
                <w:lang w:val="ro-RO"/>
              </w:rPr>
              <w:t>83</w:t>
            </w:r>
          </w:p>
        </w:tc>
        <w:tc>
          <w:tcPr>
            <w:tcW w:w="992" w:type="dxa"/>
          </w:tcPr>
          <w:p>
            <w:pPr>
              <w:keepNext/>
              <w:jc w:val="right"/>
              <w:rPr>
                <w:rFonts w:cs="Times New Roman"/>
                <w:noProof/>
                <w:sz w:val="14"/>
                <w:szCs w:val="20"/>
                <w:lang w:val="ro-RO"/>
              </w:rPr>
            </w:pPr>
            <w:r>
              <w:rPr>
                <w:noProof/>
                <w:sz w:val="14"/>
                <w:lang w:val="ro-RO"/>
              </w:rPr>
              <w:t>4,7</w:t>
            </w:r>
          </w:p>
        </w:tc>
        <w:tc>
          <w:tcPr>
            <w:tcW w:w="992" w:type="dxa"/>
          </w:tcPr>
          <w:p>
            <w:pPr>
              <w:keepNext/>
              <w:jc w:val="right"/>
              <w:rPr>
                <w:rFonts w:cs="Times New Roman"/>
                <w:noProof/>
                <w:sz w:val="14"/>
                <w:szCs w:val="20"/>
                <w:lang w:val="ro-RO"/>
              </w:rPr>
            </w:pPr>
            <w:r>
              <w:rPr>
                <w:noProof/>
                <w:sz w:val="14"/>
                <w:lang w:val="ro-RO"/>
              </w:rPr>
              <w:t>5</w:t>
            </w:r>
          </w:p>
        </w:tc>
        <w:tc>
          <w:tcPr>
            <w:tcW w:w="992" w:type="dxa"/>
          </w:tcPr>
          <w:p>
            <w:pPr>
              <w:keepNext/>
              <w:jc w:val="right"/>
              <w:rPr>
                <w:rFonts w:cs="Times New Roman"/>
                <w:noProof/>
                <w:sz w:val="14"/>
                <w:szCs w:val="20"/>
                <w:lang w:val="ro-RO"/>
              </w:rPr>
            </w:pPr>
            <w:r>
              <w:rPr>
                <w:noProof/>
                <w:sz w:val="14"/>
                <w:lang w:val="ro-RO"/>
              </w:rPr>
              <w:t>0,2</w:t>
            </w:r>
          </w:p>
        </w:tc>
        <w:tc>
          <w:tcPr>
            <w:tcW w:w="992" w:type="dxa"/>
          </w:tcPr>
          <w:p>
            <w:pPr>
              <w:keepNext/>
              <w:jc w:val="right"/>
              <w:rPr>
                <w:rFonts w:cs="Times New Roman"/>
                <w:noProof/>
                <w:sz w:val="14"/>
                <w:szCs w:val="20"/>
                <w:lang w:val="ro-RO"/>
              </w:rPr>
            </w:pPr>
            <w:r>
              <w:rPr>
                <w:noProof/>
                <w:sz w:val="14"/>
                <w:lang w:val="ro-RO"/>
              </w:rPr>
              <w:t>49</w:t>
            </w:r>
          </w:p>
        </w:tc>
        <w:tc>
          <w:tcPr>
            <w:tcW w:w="993" w:type="dxa"/>
          </w:tcPr>
          <w:p>
            <w:pPr>
              <w:keepNext/>
              <w:jc w:val="right"/>
              <w:rPr>
                <w:rFonts w:cs="Times New Roman"/>
                <w:noProof/>
                <w:sz w:val="14"/>
                <w:szCs w:val="20"/>
                <w:lang w:val="ro-RO"/>
              </w:rPr>
            </w:pPr>
            <w:r>
              <w:rPr>
                <w:noProof/>
                <w:sz w:val="14"/>
                <w:lang w:val="ro-RO"/>
              </w:rPr>
              <w:t>6,3</w:t>
            </w:r>
          </w:p>
        </w:tc>
        <w:tc>
          <w:tcPr>
            <w:tcW w:w="993" w:type="dxa"/>
          </w:tcPr>
          <w:p>
            <w:pPr>
              <w:keepNext/>
              <w:jc w:val="right"/>
              <w:rPr>
                <w:rFonts w:cs="Times New Roman"/>
                <w:noProof/>
                <w:sz w:val="14"/>
                <w:szCs w:val="20"/>
                <w:lang w:val="ro-RO"/>
              </w:rPr>
            </w:pPr>
            <w:r>
              <w:rPr>
                <w:noProof/>
                <w:sz w:val="14"/>
                <w:lang w:val="ro-RO"/>
              </w:rPr>
              <w:t>65</w:t>
            </w:r>
          </w:p>
        </w:tc>
        <w:tc>
          <w:tcPr>
            <w:tcW w:w="851" w:type="dxa"/>
          </w:tcPr>
          <w:p>
            <w:pPr>
              <w:keepNext/>
              <w:jc w:val="right"/>
              <w:rPr>
                <w:rFonts w:cs="Times New Roman"/>
                <w:noProof/>
                <w:sz w:val="14"/>
                <w:szCs w:val="20"/>
                <w:lang w:val="ro-RO"/>
              </w:rPr>
            </w:pPr>
            <w:r>
              <w:rPr>
                <w:noProof/>
                <w:sz w:val="14"/>
                <w:lang w:val="ro-RO"/>
              </w:rPr>
              <w:t>7,3</w:t>
            </w:r>
          </w:p>
        </w:tc>
      </w:tr>
      <w:tr>
        <w:tc>
          <w:tcPr>
            <w:tcW w:w="1240" w:type="dxa"/>
          </w:tcPr>
          <w:p>
            <w:pPr>
              <w:keepNext/>
              <w:jc w:val="both"/>
              <w:rPr>
                <w:rFonts w:cs="Times New Roman"/>
                <w:noProof/>
                <w:sz w:val="14"/>
                <w:szCs w:val="20"/>
                <w:lang w:val="ro-RO"/>
              </w:rPr>
            </w:pPr>
            <w:r>
              <w:rPr>
                <w:noProof/>
                <w:sz w:val="14"/>
                <w:lang w:val="ro-RO"/>
              </w:rPr>
              <w:t>Resurse proprii</w:t>
            </w:r>
          </w:p>
        </w:tc>
        <w:tc>
          <w:tcPr>
            <w:tcW w:w="993" w:type="dxa"/>
          </w:tcPr>
          <w:p>
            <w:pPr>
              <w:keepNext/>
              <w:jc w:val="right"/>
              <w:rPr>
                <w:rFonts w:cs="Times New Roman"/>
                <w:noProof/>
                <w:sz w:val="14"/>
                <w:szCs w:val="20"/>
                <w:lang w:val="ro-RO"/>
              </w:rPr>
            </w:pPr>
            <w:r>
              <w:rPr>
                <w:noProof/>
                <w:sz w:val="14"/>
                <w:lang w:val="ro-RO"/>
              </w:rPr>
              <w:t>710</w:t>
            </w:r>
          </w:p>
        </w:tc>
        <w:tc>
          <w:tcPr>
            <w:tcW w:w="992" w:type="dxa"/>
          </w:tcPr>
          <w:p>
            <w:pPr>
              <w:keepNext/>
              <w:jc w:val="right"/>
              <w:rPr>
                <w:rFonts w:cs="Times New Roman"/>
                <w:noProof/>
                <w:sz w:val="14"/>
                <w:szCs w:val="20"/>
                <w:lang w:val="ro-RO"/>
              </w:rPr>
            </w:pPr>
            <w:r>
              <w:rPr>
                <w:noProof/>
                <w:sz w:val="14"/>
                <w:lang w:val="ro-RO"/>
              </w:rPr>
              <w:t>176,2</w:t>
            </w:r>
          </w:p>
        </w:tc>
        <w:tc>
          <w:tcPr>
            <w:tcW w:w="992" w:type="dxa"/>
          </w:tcPr>
          <w:p>
            <w:pPr>
              <w:keepNext/>
              <w:jc w:val="right"/>
              <w:rPr>
                <w:rFonts w:cs="Times New Roman"/>
                <w:noProof/>
                <w:sz w:val="14"/>
                <w:szCs w:val="20"/>
                <w:lang w:val="ro-RO"/>
              </w:rPr>
            </w:pPr>
            <w:r>
              <w:rPr>
                <w:noProof/>
                <w:sz w:val="14"/>
                <w:lang w:val="ro-RO"/>
              </w:rPr>
              <w:t>612</w:t>
            </w:r>
          </w:p>
        </w:tc>
        <w:tc>
          <w:tcPr>
            <w:tcW w:w="992" w:type="dxa"/>
          </w:tcPr>
          <w:p>
            <w:pPr>
              <w:keepNext/>
              <w:jc w:val="right"/>
              <w:rPr>
                <w:rFonts w:cs="Times New Roman"/>
                <w:noProof/>
                <w:sz w:val="14"/>
                <w:szCs w:val="20"/>
                <w:lang w:val="ro-RO"/>
              </w:rPr>
            </w:pPr>
            <w:r>
              <w:rPr>
                <w:noProof/>
                <w:sz w:val="14"/>
                <w:lang w:val="ro-RO"/>
              </w:rPr>
              <w:t>78</w:t>
            </w:r>
          </w:p>
        </w:tc>
        <w:tc>
          <w:tcPr>
            <w:tcW w:w="992" w:type="dxa"/>
          </w:tcPr>
          <w:p>
            <w:pPr>
              <w:keepNext/>
              <w:jc w:val="right"/>
              <w:rPr>
                <w:rFonts w:cs="Times New Roman"/>
                <w:noProof/>
                <w:sz w:val="14"/>
                <w:szCs w:val="20"/>
                <w:lang w:val="ro-RO"/>
              </w:rPr>
            </w:pPr>
            <w:r>
              <w:rPr>
                <w:noProof/>
                <w:sz w:val="14"/>
                <w:lang w:val="ro-RO"/>
              </w:rPr>
              <w:t>513</w:t>
            </w:r>
          </w:p>
        </w:tc>
        <w:tc>
          <w:tcPr>
            <w:tcW w:w="993" w:type="dxa"/>
          </w:tcPr>
          <w:p>
            <w:pPr>
              <w:keepNext/>
              <w:jc w:val="right"/>
              <w:rPr>
                <w:rFonts w:cs="Times New Roman"/>
                <w:noProof/>
                <w:sz w:val="14"/>
                <w:szCs w:val="20"/>
                <w:lang w:val="ro-RO"/>
              </w:rPr>
            </w:pPr>
            <w:r>
              <w:rPr>
                <w:noProof/>
                <w:sz w:val="14"/>
                <w:lang w:val="ro-RO"/>
              </w:rPr>
              <w:t>83</w:t>
            </w:r>
          </w:p>
        </w:tc>
        <w:tc>
          <w:tcPr>
            <w:tcW w:w="993" w:type="dxa"/>
          </w:tcPr>
          <w:p>
            <w:pPr>
              <w:keepNext/>
              <w:jc w:val="right"/>
              <w:rPr>
                <w:rFonts w:cs="Times New Roman"/>
                <w:noProof/>
                <w:sz w:val="14"/>
                <w:szCs w:val="20"/>
                <w:lang w:val="ro-RO"/>
              </w:rPr>
            </w:pPr>
            <w:r>
              <w:rPr>
                <w:noProof/>
                <w:sz w:val="14"/>
                <w:lang w:val="ro-RO"/>
              </w:rPr>
              <w:t>441</w:t>
            </w:r>
          </w:p>
        </w:tc>
        <w:tc>
          <w:tcPr>
            <w:tcW w:w="851" w:type="dxa"/>
          </w:tcPr>
          <w:p>
            <w:pPr>
              <w:keepNext/>
              <w:jc w:val="right"/>
              <w:rPr>
                <w:rFonts w:cs="Times New Roman"/>
                <w:noProof/>
                <w:sz w:val="14"/>
                <w:szCs w:val="20"/>
                <w:lang w:val="ro-RO"/>
              </w:rPr>
            </w:pPr>
            <w:r>
              <w:rPr>
                <w:noProof/>
                <w:sz w:val="14"/>
                <w:lang w:val="ro-RO"/>
              </w:rPr>
              <w:t>76,4</w:t>
            </w:r>
          </w:p>
        </w:tc>
      </w:tr>
      <w:tr>
        <w:tc>
          <w:tcPr>
            <w:tcW w:w="1240" w:type="dxa"/>
          </w:tcPr>
          <w:p>
            <w:pPr>
              <w:keepNext/>
              <w:jc w:val="both"/>
              <w:rPr>
                <w:rFonts w:cs="Times New Roman"/>
                <w:b/>
                <w:noProof/>
                <w:sz w:val="14"/>
                <w:szCs w:val="20"/>
                <w:lang w:val="ro-RO"/>
              </w:rPr>
            </w:pPr>
            <w:r>
              <w:rPr>
                <w:b/>
                <w:noProof/>
                <w:sz w:val="14"/>
                <w:lang w:val="ro-RO"/>
              </w:rPr>
              <w:t>Total</w:t>
            </w:r>
          </w:p>
        </w:tc>
        <w:tc>
          <w:tcPr>
            <w:tcW w:w="993" w:type="dxa"/>
          </w:tcPr>
          <w:p>
            <w:pPr>
              <w:keepNext/>
              <w:jc w:val="right"/>
              <w:rPr>
                <w:rFonts w:cs="Times New Roman"/>
                <w:b/>
                <w:noProof/>
                <w:sz w:val="14"/>
                <w:szCs w:val="20"/>
                <w:lang w:val="ro-RO"/>
              </w:rPr>
            </w:pPr>
            <w:r>
              <w:rPr>
                <w:b/>
                <w:noProof/>
                <w:sz w:val="14"/>
                <w:lang w:val="ro-RO"/>
              </w:rPr>
              <w:t>1 649</w:t>
            </w:r>
          </w:p>
        </w:tc>
        <w:tc>
          <w:tcPr>
            <w:tcW w:w="992" w:type="dxa"/>
          </w:tcPr>
          <w:p>
            <w:pPr>
              <w:keepNext/>
              <w:jc w:val="right"/>
              <w:rPr>
                <w:rFonts w:cs="Times New Roman"/>
                <w:b/>
                <w:noProof/>
                <w:sz w:val="14"/>
                <w:szCs w:val="20"/>
                <w:lang w:val="ro-RO"/>
              </w:rPr>
            </w:pPr>
            <w:r>
              <w:rPr>
                <w:b/>
                <w:noProof/>
                <w:sz w:val="14"/>
                <w:lang w:val="ro-RO"/>
              </w:rPr>
              <w:t>538,2</w:t>
            </w:r>
          </w:p>
        </w:tc>
        <w:tc>
          <w:tcPr>
            <w:tcW w:w="992" w:type="dxa"/>
          </w:tcPr>
          <w:p>
            <w:pPr>
              <w:keepNext/>
              <w:jc w:val="right"/>
              <w:rPr>
                <w:rFonts w:cs="Times New Roman"/>
                <w:b/>
                <w:noProof/>
                <w:sz w:val="14"/>
                <w:szCs w:val="20"/>
                <w:lang w:val="ro-RO"/>
              </w:rPr>
            </w:pPr>
            <w:r>
              <w:rPr>
                <w:b/>
                <w:noProof/>
                <w:sz w:val="14"/>
                <w:lang w:val="ro-RO"/>
              </w:rPr>
              <w:t>1 461</w:t>
            </w:r>
          </w:p>
        </w:tc>
        <w:tc>
          <w:tcPr>
            <w:tcW w:w="992" w:type="dxa"/>
          </w:tcPr>
          <w:p>
            <w:pPr>
              <w:keepNext/>
              <w:jc w:val="right"/>
              <w:rPr>
                <w:rFonts w:cs="Times New Roman"/>
                <w:b/>
                <w:noProof/>
                <w:sz w:val="14"/>
                <w:szCs w:val="20"/>
                <w:lang w:val="ro-RO"/>
              </w:rPr>
            </w:pPr>
            <w:r>
              <w:rPr>
                <w:b/>
                <w:noProof/>
                <w:sz w:val="14"/>
                <w:lang w:val="ro-RO"/>
              </w:rPr>
              <w:t>637,6</w:t>
            </w:r>
          </w:p>
        </w:tc>
        <w:tc>
          <w:tcPr>
            <w:tcW w:w="992" w:type="dxa"/>
          </w:tcPr>
          <w:p>
            <w:pPr>
              <w:keepNext/>
              <w:jc w:val="right"/>
              <w:rPr>
                <w:rFonts w:cs="Times New Roman"/>
                <w:b/>
                <w:noProof/>
                <w:sz w:val="14"/>
                <w:szCs w:val="20"/>
                <w:lang w:val="ro-RO"/>
              </w:rPr>
            </w:pPr>
            <w:r>
              <w:rPr>
                <w:b/>
                <w:noProof/>
                <w:sz w:val="14"/>
                <w:lang w:val="ro-RO"/>
              </w:rPr>
              <w:t>1 410</w:t>
            </w:r>
          </w:p>
        </w:tc>
        <w:tc>
          <w:tcPr>
            <w:tcW w:w="993" w:type="dxa"/>
          </w:tcPr>
          <w:p>
            <w:pPr>
              <w:keepNext/>
              <w:jc w:val="right"/>
              <w:rPr>
                <w:rFonts w:cs="Times New Roman"/>
                <w:b/>
                <w:noProof/>
                <w:sz w:val="14"/>
                <w:szCs w:val="20"/>
                <w:lang w:val="ro-RO"/>
              </w:rPr>
            </w:pPr>
            <w:r>
              <w:rPr>
                <w:b/>
                <w:noProof/>
                <w:sz w:val="14"/>
                <w:lang w:val="ro-RO"/>
              </w:rPr>
              <w:t>391,0</w:t>
            </w:r>
          </w:p>
        </w:tc>
        <w:tc>
          <w:tcPr>
            <w:tcW w:w="993" w:type="dxa"/>
          </w:tcPr>
          <w:p>
            <w:pPr>
              <w:keepNext/>
              <w:jc w:val="right"/>
              <w:rPr>
                <w:rFonts w:cs="Times New Roman"/>
                <w:b/>
                <w:noProof/>
                <w:sz w:val="14"/>
                <w:szCs w:val="20"/>
                <w:lang w:val="ro-RO"/>
              </w:rPr>
            </w:pPr>
            <w:r>
              <w:rPr>
                <w:rFonts w:cs="Times New Roman"/>
                <w:b/>
                <w:noProof/>
                <w:sz w:val="14"/>
                <w:szCs w:val="20"/>
                <w:lang w:val="ro-RO"/>
              </w:rPr>
              <w:fldChar w:fldCharType="begin"/>
            </w:r>
            <w:r>
              <w:rPr>
                <w:rFonts w:cs="Times New Roman"/>
                <w:b/>
                <w:noProof/>
                <w:sz w:val="14"/>
                <w:szCs w:val="20"/>
                <w:lang w:val="ro-RO"/>
              </w:rPr>
              <w:instrText xml:space="preserve"> =SUM(ABOVE) </w:instrText>
            </w:r>
            <w:r>
              <w:rPr>
                <w:rFonts w:cs="Times New Roman"/>
                <w:b/>
                <w:noProof/>
                <w:sz w:val="14"/>
                <w:szCs w:val="20"/>
                <w:lang w:val="ro-RO"/>
              </w:rPr>
              <w:fldChar w:fldCharType="separate"/>
            </w:r>
            <w:r>
              <w:rPr>
                <w:rFonts w:cs="Times New Roman"/>
                <w:b/>
                <w:noProof/>
                <w:sz w:val="14"/>
                <w:szCs w:val="20"/>
                <w:lang w:val="ro-RO"/>
              </w:rPr>
              <w:t>1 14</w:t>
            </w:r>
            <w:r>
              <w:rPr>
                <w:rFonts w:cs="Times New Roman"/>
                <w:b/>
                <w:noProof/>
                <w:sz w:val="14"/>
                <w:szCs w:val="20"/>
                <w:lang w:val="ro-RO"/>
              </w:rPr>
              <w:fldChar w:fldCharType="end"/>
            </w:r>
            <w:r>
              <w:rPr>
                <w:b/>
                <w:noProof/>
                <w:sz w:val="14"/>
                <w:lang w:val="ro-RO"/>
              </w:rPr>
              <w:t>6</w:t>
            </w:r>
          </w:p>
        </w:tc>
        <w:tc>
          <w:tcPr>
            <w:tcW w:w="851" w:type="dxa"/>
          </w:tcPr>
          <w:p>
            <w:pPr>
              <w:keepNext/>
              <w:jc w:val="right"/>
              <w:rPr>
                <w:rFonts w:cs="Times New Roman"/>
                <w:b/>
                <w:noProof/>
                <w:sz w:val="14"/>
                <w:szCs w:val="20"/>
                <w:lang w:val="ro-RO"/>
              </w:rPr>
            </w:pPr>
            <w:r>
              <w:rPr>
                <w:rFonts w:cs="Times New Roman"/>
                <w:b/>
                <w:noProof/>
                <w:sz w:val="14"/>
                <w:szCs w:val="20"/>
                <w:lang w:val="ro-RO"/>
              </w:rPr>
              <w:fldChar w:fldCharType="begin"/>
            </w:r>
            <w:r>
              <w:rPr>
                <w:rFonts w:cs="Times New Roman"/>
                <w:b/>
                <w:noProof/>
                <w:sz w:val="14"/>
                <w:szCs w:val="20"/>
                <w:lang w:val="ro-RO"/>
              </w:rPr>
              <w:instrText xml:space="preserve"> =SUM(ABOVE) </w:instrText>
            </w:r>
            <w:r>
              <w:rPr>
                <w:rFonts w:cs="Times New Roman"/>
                <w:b/>
                <w:noProof/>
                <w:sz w:val="14"/>
                <w:szCs w:val="20"/>
                <w:lang w:val="ro-RO"/>
              </w:rPr>
              <w:fldChar w:fldCharType="separate"/>
            </w:r>
            <w:r>
              <w:rPr>
                <w:rFonts w:cs="Times New Roman"/>
                <w:b/>
                <w:noProof/>
                <w:sz w:val="14"/>
                <w:szCs w:val="20"/>
                <w:lang w:val="ro-RO"/>
              </w:rPr>
              <w:t>467.1</w:t>
            </w:r>
            <w:r>
              <w:rPr>
                <w:rFonts w:cs="Times New Roman"/>
                <w:b/>
                <w:noProof/>
                <w:sz w:val="14"/>
                <w:szCs w:val="20"/>
                <w:lang w:val="ro-RO"/>
              </w:rPr>
              <w:fldChar w:fldCharType="end"/>
            </w:r>
          </w:p>
        </w:tc>
      </w:tr>
    </w:tbl>
    <w:p>
      <w:pPr>
        <w:spacing w:after="240"/>
        <w:jc w:val="both"/>
        <w:rPr>
          <w:rFonts w:cs="Times New Roman"/>
          <w:noProof/>
          <w:sz w:val="18"/>
          <w:szCs w:val="20"/>
          <w:lang w:val="ro-RO"/>
        </w:rPr>
      </w:pPr>
      <w:r>
        <w:rPr>
          <w:noProof/>
          <w:sz w:val="18"/>
          <w:lang w:val="ro-RO"/>
        </w:rPr>
        <w:t>Sursă: Protejarea intereselor financiare ale UE - Rapoartele anuale privind combaterea fraudei 2014-2017</w:t>
      </w:r>
      <w:r>
        <w:rPr>
          <w:rFonts w:ascii="Times New Roman" w:hAnsi="Times New Roman"/>
          <w:noProof/>
          <w:vertAlign w:val="superscript"/>
          <w:lang w:val="ro-RO"/>
        </w:rPr>
        <w:footnoteReference w:id="9"/>
      </w:r>
      <w:r>
        <w:rPr>
          <w:noProof/>
          <w:sz w:val="18"/>
          <w:lang w:val="ro-RO"/>
        </w:rPr>
        <w:t>.</w:t>
      </w:r>
    </w:p>
    <w:p>
      <w:pPr>
        <w:rPr>
          <w:rFonts w:ascii="Times New Roman" w:hAnsi="Times New Roman" w:cs="Times New Roman"/>
          <w:noProof/>
          <w:sz w:val="24"/>
          <w:szCs w:val="24"/>
          <w:lang w:val="ro-RO"/>
        </w:rPr>
      </w:pPr>
      <w:r>
        <w:rPr>
          <w:noProof/>
          <w:lang w:val="ro-RO"/>
        </w:rPr>
        <w:br w:type="page"/>
      </w:r>
    </w:p>
    <w:p>
      <w:pPr>
        <w:spacing w:after="240"/>
        <w:jc w:val="both"/>
        <w:rPr>
          <w:rFonts w:ascii="Times New Roman" w:hAnsi="Times New Roman" w:cs="Times New Roman"/>
          <w:noProof/>
          <w:sz w:val="24"/>
          <w:szCs w:val="24"/>
          <w:lang w:val="ro-RO"/>
        </w:rPr>
      </w:pPr>
      <w:r>
        <w:rPr>
          <w:rFonts w:ascii="Times New Roman" w:hAnsi="Times New Roman"/>
          <w:noProof/>
          <w:sz w:val="24"/>
          <w:lang w:val="ro-RO"/>
        </w:rPr>
        <w:t>În fiecare an, Parlamentul European examinează Raportul PIF și formulează observații cu privire la acesta în rezoluția sa, subliniind importanța luptei împotriva fraudei</w:t>
      </w:r>
      <w:r>
        <w:rPr>
          <w:rFonts w:ascii="Times New Roman" w:hAnsi="Times New Roman"/>
          <w:noProof/>
          <w:sz w:val="24"/>
          <w:vertAlign w:val="superscript"/>
          <w:lang w:val="ro-RO"/>
        </w:rPr>
        <w:footnoteReference w:id="10"/>
      </w:r>
      <w:r>
        <w:rPr>
          <w:rFonts w:ascii="Times New Roman" w:hAnsi="Times New Roman"/>
          <w:noProof/>
          <w:sz w:val="24"/>
          <w:lang w:val="ro-RO"/>
        </w:rPr>
        <w:t>. Recent, Curtea de Conturi Europeană (CCE) a prezentat un raport special</w:t>
      </w:r>
      <w:r>
        <w:rPr>
          <w:rFonts w:ascii="Times New Roman" w:hAnsi="Times New Roman"/>
          <w:noProof/>
          <w:sz w:val="24"/>
          <w:vertAlign w:val="superscript"/>
          <w:lang w:val="ro-RO"/>
        </w:rPr>
        <w:footnoteReference w:id="11"/>
      </w:r>
      <w:r>
        <w:rPr>
          <w:rFonts w:ascii="Times New Roman" w:hAnsi="Times New Roman"/>
          <w:noProof/>
          <w:sz w:val="24"/>
          <w:lang w:val="ro-RO"/>
        </w:rPr>
        <w:t xml:space="preserve"> privind cadrul instituțional și metodele de lucru utilizate de Comisie pentru combaterea fraudei legate de cheltuielile UE. Raportul a subliniat importanța subiectului și a recomandat acțiuni suplimentare.</w:t>
      </w:r>
    </w:p>
    <w:p>
      <w:pPr>
        <w:spacing w:after="240"/>
        <w:jc w:val="both"/>
        <w:rPr>
          <w:rFonts w:ascii="Times New Roman" w:hAnsi="Times New Roman" w:cs="Times New Roman"/>
          <w:noProof/>
          <w:sz w:val="24"/>
          <w:szCs w:val="24"/>
          <w:lang w:val="ro-RO"/>
        </w:rPr>
      </w:pPr>
      <w:r>
        <w:rPr>
          <w:rFonts w:ascii="Times New Roman" w:hAnsi="Times New Roman"/>
          <w:noProof/>
          <w:sz w:val="24"/>
          <w:lang w:val="ro-RO"/>
        </w:rPr>
        <w:t>În acest context, strategia antifraudă revizuită a Comisiei stabilește o abordare cuprinzătoare a combaterii fraudei care afectează interesele financiare ale UE și îndrumă Comisia, departamentele și agențiile executive ale acesteia în îndeplinirea responsabilităților lor legale, politice și de conducere privind protecția intereselor financiare ale UE. Aceasta nu se adresează direct statelor membre, însă Comisia invită statele membre să adopte, de asemenea, măsuri adecvate pentru a preveni, a detecta și a corecta frauda care afectează interesele financiare ale UE, în conformitate cu obligația lor prevăzută de tratat. Departamentele responsabile ale Comisiei și OLAF vor continua să sprijine și să monitorizeze acțiunile întreprinse de statele membre pentru combaterea fraudei.</w:t>
      </w:r>
    </w:p>
    <w:p>
      <w:pPr>
        <w:pStyle w:val="Heading2"/>
        <w:numPr>
          <w:ilvl w:val="0"/>
          <w:numId w:val="0"/>
        </w:numPr>
        <w:ind w:left="576" w:hanging="576"/>
        <w:rPr>
          <w:noProof/>
          <w:lang w:val="ro-RO"/>
        </w:rPr>
      </w:pPr>
      <w:bookmarkStart w:id="5" w:name="_Toc6414611"/>
      <w:r>
        <w:rPr>
          <w:noProof/>
          <w:lang w:val="ro-RO"/>
        </w:rPr>
        <w:t>2.2.</w:t>
      </w:r>
      <w:r>
        <w:rPr>
          <w:noProof/>
          <w:lang w:val="ro-RO"/>
        </w:rPr>
        <w:tab/>
        <w:t>Strategia antifraudă a Comisiei (SAFC) 2011</w:t>
      </w:r>
      <w:bookmarkEnd w:id="5"/>
    </w:p>
    <w:p>
      <w:pPr>
        <w:jc w:val="both"/>
        <w:rPr>
          <w:rFonts w:ascii="Times New Roman" w:hAnsi="Times New Roman" w:cs="Times New Roman"/>
          <w:noProof/>
          <w:sz w:val="24"/>
          <w:szCs w:val="24"/>
          <w:lang w:val="ro-RO"/>
        </w:rPr>
      </w:pPr>
      <w:r>
        <w:rPr>
          <w:rFonts w:ascii="Times New Roman" w:hAnsi="Times New Roman"/>
          <w:noProof/>
          <w:sz w:val="24"/>
          <w:lang w:val="ro-RO"/>
        </w:rPr>
        <w:t>La 24 iunie 2011, Comisia a adoptat actuala sa strategie antifraudă. Aceasta a cuprins: (i) o comunicare a Comisiei</w:t>
      </w:r>
      <w:r>
        <w:rPr>
          <w:rFonts w:ascii="Times New Roman" w:hAnsi="Times New Roman"/>
          <w:noProof/>
          <w:sz w:val="24"/>
          <w:vertAlign w:val="superscript"/>
          <w:lang w:val="ro-RO"/>
        </w:rPr>
        <w:footnoteReference w:id="12"/>
      </w:r>
      <w:r>
        <w:rPr>
          <w:rFonts w:ascii="Times New Roman" w:hAnsi="Times New Roman"/>
          <w:noProof/>
          <w:sz w:val="24"/>
          <w:lang w:val="ro-RO"/>
        </w:rPr>
        <w:t xml:space="preserve"> către celelalte instituții, care descrie obiectivele strategice și etapele operaționale esențiale pentru realizarea acestora și (ii) un plan de acțiune intern mai detaliat al Comisiei</w:t>
      </w:r>
      <w:r>
        <w:rPr>
          <w:rFonts w:ascii="Times New Roman" w:hAnsi="Times New Roman"/>
          <w:noProof/>
          <w:sz w:val="24"/>
          <w:vertAlign w:val="superscript"/>
          <w:lang w:val="ro-RO"/>
        </w:rPr>
        <w:footnoteReference w:id="13"/>
      </w:r>
      <w:r>
        <w:rPr>
          <w:rFonts w:ascii="Times New Roman" w:hAnsi="Times New Roman"/>
          <w:noProof/>
          <w:sz w:val="24"/>
          <w:lang w:val="ro-RO"/>
        </w:rPr>
        <w:t>.</w:t>
      </w:r>
    </w:p>
    <w:p>
      <w:pPr>
        <w:jc w:val="both"/>
        <w:rPr>
          <w:rFonts w:ascii="Times New Roman" w:hAnsi="Times New Roman" w:cs="Times New Roman"/>
          <w:noProof/>
          <w:sz w:val="24"/>
          <w:szCs w:val="24"/>
          <w:lang w:val="ro-RO"/>
        </w:rPr>
      </w:pPr>
      <w:r>
        <w:rPr>
          <w:rFonts w:ascii="Times New Roman" w:hAnsi="Times New Roman"/>
          <w:noProof/>
          <w:sz w:val="24"/>
          <w:lang w:val="ro-RO"/>
        </w:rPr>
        <w:t>SAFC 2011 a stabilit trei priorități: (i) introducerea de dispoziții antifraudă în propunerile Comisiei privind programele de cheltuieli prevăzute de CFM 2014-2020; (ii) punerea în aplicare a unor abordări strategice antifraudă la nivelul serviciilor; și (iii) revizuirea directivelor privind achizițiile publice.</w:t>
      </w:r>
    </w:p>
    <w:p>
      <w:pPr>
        <w:pStyle w:val="Heading2"/>
        <w:numPr>
          <w:ilvl w:val="0"/>
          <w:numId w:val="0"/>
        </w:numPr>
        <w:ind w:left="576" w:hanging="576"/>
        <w:rPr>
          <w:noProof/>
          <w:lang w:val="ro-RO"/>
        </w:rPr>
      </w:pPr>
      <w:bookmarkStart w:id="6" w:name="_Toc6414612"/>
      <w:r>
        <w:rPr>
          <w:noProof/>
          <w:lang w:val="ro-RO"/>
        </w:rPr>
        <w:t>2.3.</w:t>
      </w:r>
      <w:r>
        <w:rPr>
          <w:noProof/>
          <w:lang w:val="ro-RO"/>
        </w:rPr>
        <w:tab/>
        <w:t>Punerea în aplicare și evaluarea SAFC</w:t>
      </w:r>
      <w:bookmarkEnd w:id="6"/>
    </w:p>
    <w:p>
      <w:pPr>
        <w:jc w:val="both"/>
        <w:rPr>
          <w:rFonts w:ascii="Times New Roman" w:hAnsi="Times New Roman" w:cs="Times New Roman"/>
          <w:noProof/>
          <w:sz w:val="24"/>
          <w:szCs w:val="24"/>
          <w:lang w:val="ro-RO"/>
        </w:rPr>
      </w:pPr>
      <w:r>
        <w:rPr>
          <w:rFonts w:ascii="Times New Roman" w:hAnsi="Times New Roman"/>
          <w:noProof/>
          <w:sz w:val="24"/>
          <w:lang w:val="ro-RO"/>
        </w:rPr>
        <w:t>Începând din 2013, Comisia a raportat cu privire la punerea în aplicare a SAFC 2011 în Rapoartele PIF</w:t>
      </w:r>
      <w:r>
        <w:rPr>
          <w:rFonts w:ascii="Times New Roman" w:hAnsi="Times New Roman"/>
          <w:noProof/>
          <w:sz w:val="24"/>
          <w:vertAlign w:val="superscript"/>
          <w:lang w:val="ro-RO"/>
        </w:rPr>
        <w:footnoteReference w:id="14"/>
      </w:r>
      <w:r>
        <w:rPr>
          <w:rFonts w:ascii="Times New Roman" w:hAnsi="Times New Roman"/>
          <w:noProof/>
          <w:sz w:val="24"/>
          <w:lang w:val="ro-RO"/>
        </w:rPr>
        <w:t>. Acțiunile prioritare și toate măsurile prevăzute în planul de acțiune intern au fost finalizate sau continuă în cazul celor de natură repetitivă, de exemplu, formarea.</w:t>
      </w:r>
    </w:p>
    <w:p>
      <w:pPr>
        <w:jc w:val="both"/>
        <w:rPr>
          <w:rFonts w:ascii="Times New Roman" w:hAnsi="Times New Roman" w:cs="Times New Roman"/>
          <w:noProof/>
          <w:sz w:val="24"/>
          <w:szCs w:val="24"/>
          <w:lang w:val="ro-RO"/>
        </w:rPr>
      </w:pPr>
      <w:r>
        <w:rPr>
          <w:rFonts w:ascii="Times New Roman" w:hAnsi="Times New Roman"/>
          <w:noProof/>
          <w:sz w:val="24"/>
          <w:lang w:val="ro-RO"/>
        </w:rPr>
        <w:t>Serviciile Comisiei au efectuat o evaluare pentru a analiza relevanța, eficacitatea, eficiența și coerența SAFC 2011, precum și punerea sa în aplicare. Rezultatele acesteia sunt prezentate în detaliu într-un document de lucru al serviciilor Comisiei, publicat împreună cu prezenta comunicare.</w:t>
      </w:r>
    </w:p>
    <w:p>
      <w:pPr>
        <w:pStyle w:val="Heading2"/>
        <w:numPr>
          <w:ilvl w:val="0"/>
          <w:numId w:val="0"/>
        </w:numPr>
        <w:ind w:left="576" w:hanging="576"/>
        <w:rPr>
          <w:noProof/>
          <w:lang w:val="ro-RO"/>
        </w:rPr>
      </w:pPr>
      <w:bookmarkStart w:id="7" w:name="_Toc6414613"/>
      <w:r>
        <w:rPr>
          <w:noProof/>
          <w:lang w:val="ro-RO"/>
        </w:rPr>
        <w:t>2.4.</w:t>
      </w:r>
      <w:r>
        <w:rPr>
          <w:noProof/>
          <w:lang w:val="ro-RO"/>
        </w:rPr>
        <w:tab/>
        <w:t>Argumente pentru o nouă SAFC</w:t>
      </w:r>
      <w:bookmarkEnd w:id="7"/>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Cadrul antifraudă actual al Comisiei, bazat pe SAFC 2011, asigură deja o bază strategică bună pentru combaterea fraudei. Cu toate acestea, pentru Comisie, elaborarea următorului CFM post-2020 reprezintă momentul potrivit pentru a adapta și a intensifica activitățile sale de combatere a fraudei, dacă este cazul, de exemplu în legătură cu noile modalități de finanțare. În plus, SAFC 2019 intensifică lupta împotriva fraudei care afectează veniturile la buget (de exemplu, prin prevenirea fraudei fiscale și prin combaterea contrabandei)</w:t>
      </w:r>
      <w:r>
        <w:rPr>
          <w:rFonts w:ascii="Times New Roman" w:hAnsi="Times New Roman"/>
          <w:noProof/>
          <w:sz w:val="24"/>
          <w:vertAlign w:val="superscript"/>
          <w:lang w:val="ro-RO"/>
        </w:rPr>
        <w:footnoteReference w:id="15"/>
      </w:r>
      <w:r>
        <w:rPr>
          <w:rFonts w:ascii="Times New Roman" w:hAnsi="Times New Roman"/>
          <w:noProof/>
          <w:sz w:val="24"/>
          <w:lang w:val="ro-RO"/>
        </w:rPr>
        <w:t>.</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Pentru a orienta revizuirea politicilor sale antifraudă, serviciile Comisiei au efectuat o evaluare a riscului de fraudă, care este sintetizată în următorul capitol. De asemenea, SAFC 2019 ține seama de evaluarea SAFC pentru perioada 2011-2017 și de rezultatele auditului recent al performanței efectuat de CCE, „Combaterea fraudei legate de cheltuielile UE: este necesar să se acționeze”</w:t>
      </w:r>
      <w:r>
        <w:rPr>
          <w:rFonts w:ascii="Times New Roman" w:hAnsi="Times New Roman"/>
          <w:noProof/>
          <w:sz w:val="24"/>
          <w:vertAlign w:val="superscript"/>
          <w:lang w:val="ro-RO"/>
        </w:rPr>
        <w:footnoteReference w:id="16"/>
      </w:r>
      <w:r>
        <w:rPr>
          <w:rFonts w:ascii="Times New Roman" w:hAnsi="Times New Roman"/>
          <w:noProof/>
          <w:sz w:val="24"/>
          <w:lang w:val="ro-RO"/>
        </w:rPr>
        <w:t>, printre alte surse.</w:t>
      </w:r>
    </w:p>
    <w:p>
      <w:pPr>
        <w:jc w:val="both"/>
        <w:rPr>
          <w:rFonts w:ascii="Times New Roman" w:hAnsi="Times New Roman" w:cs="Times New Roman"/>
          <w:noProof/>
          <w:sz w:val="24"/>
          <w:szCs w:val="24"/>
          <w:lang w:val="ro-RO"/>
        </w:rPr>
      </w:pPr>
      <w:r>
        <w:rPr>
          <w:rFonts w:ascii="Times New Roman" w:hAnsi="Times New Roman"/>
          <w:noProof/>
          <w:sz w:val="24"/>
          <w:lang w:val="ro-RO"/>
        </w:rPr>
        <w:t>De asemenea, SAFC 2019 se adaptează la două adăugiri semnificative la legislația antifraudă a UE adoptată în 2017. Acestea sunt: (i) Directiva PIF</w:t>
      </w:r>
      <w:r>
        <w:rPr>
          <w:rFonts w:ascii="Times New Roman" w:hAnsi="Times New Roman"/>
          <w:noProof/>
          <w:sz w:val="24"/>
          <w:vertAlign w:val="superscript"/>
          <w:lang w:val="ro-RO"/>
        </w:rPr>
        <w:footnoteReference w:id="17"/>
      </w:r>
      <w:r>
        <w:rPr>
          <w:rFonts w:ascii="Times New Roman" w:hAnsi="Times New Roman"/>
          <w:noProof/>
          <w:sz w:val="24"/>
          <w:lang w:val="ro-RO"/>
        </w:rPr>
        <w:t>, care stabilește standarde comune mai stricte pentru legislațiile penale ale statelor membre cu scopul de a proteja interesele financiare ale UE; și (ii) Regulamentul de instituire a Parchetul European (EPPO)</w:t>
      </w:r>
      <w:r>
        <w:rPr>
          <w:rFonts w:ascii="Times New Roman" w:hAnsi="Times New Roman"/>
          <w:noProof/>
          <w:sz w:val="24"/>
          <w:vertAlign w:val="superscript"/>
          <w:lang w:val="ro-RO"/>
        </w:rPr>
        <w:footnoteReference w:id="18"/>
      </w:r>
      <w:r>
        <w:rPr>
          <w:rFonts w:ascii="Times New Roman" w:hAnsi="Times New Roman"/>
          <w:noProof/>
          <w:sz w:val="24"/>
          <w:lang w:val="ro-RO"/>
        </w:rPr>
        <w:t>, prin intensificarea cooperării între, în această etapă, 22 de state membre. De îndată ce va fi operațional (în 2021), EPPO va urmări penal cu mai multă eficacitate infracțiunile care aduc atingere intereselor financiare ale UE. În final, cadrul privind o politică integrată a anchetelor penale și a celor administrative include o propunere de modificare a Regulamentului OLAF</w:t>
      </w:r>
      <w:r>
        <w:rPr>
          <w:rFonts w:ascii="Times New Roman" w:hAnsi="Times New Roman"/>
          <w:noProof/>
          <w:sz w:val="24"/>
          <w:vertAlign w:val="superscript"/>
          <w:lang w:val="ro-RO"/>
        </w:rPr>
        <w:footnoteReference w:id="19"/>
      </w:r>
      <w:r>
        <w:rPr>
          <w:rFonts w:ascii="Times New Roman" w:hAnsi="Times New Roman"/>
          <w:noProof/>
          <w:sz w:val="24"/>
          <w:lang w:val="ro-RO"/>
        </w:rPr>
        <w:t>. Modificările propuse vor permite OLAF să coopereze îndeaproape cu EPPO și să își desfășoare propriile investigații în mod mai eficace. O bună și strânsă cooperare între EPPO, OLAF, Eurojust, Europol și statele membre este esențială pentru a asigura o sferă cuprinzătoare a investigațiilor și eficacitatea deplină a noii structuri instituționale pentru combaterea fraudei</w:t>
      </w:r>
      <w:r>
        <w:rPr>
          <w:rFonts w:ascii="Times New Roman" w:hAnsi="Times New Roman"/>
          <w:noProof/>
          <w:sz w:val="24"/>
          <w:vertAlign w:val="superscript"/>
          <w:lang w:val="ro-RO"/>
        </w:rPr>
        <w:footnoteReference w:id="20"/>
      </w:r>
      <w:r>
        <w:rPr>
          <w:rFonts w:ascii="Times New Roman" w:hAnsi="Times New Roman"/>
          <w:noProof/>
          <w:sz w:val="24"/>
          <w:lang w:val="ro-RO"/>
        </w:rPr>
        <w:t>. Implicațiile instituirii EPPO pentru departamentele Comisiei sunt reflectate, de asemenea, în Planul de acțiune care însoțește SAFC 2019</w:t>
      </w:r>
      <w:r>
        <w:rPr>
          <w:rFonts w:ascii="Times New Roman" w:hAnsi="Times New Roman"/>
          <w:noProof/>
          <w:sz w:val="24"/>
          <w:vertAlign w:val="superscript"/>
          <w:lang w:val="ro-RO"/>
        </w:rPr>
        <w:footnoteReference w:id="21"/>
      </w:r>
      <w:r>
        <w:rPr>
          <w:rFonts w:ascii="Times New Roman" w:hAnsi="Times New Roman"/>
          <w:noProof/>
          <w:sz w:val="24"/>
          <w:lang w:val="ro-RO"/>
        </w:rPr>
        <w:t>.</w:t>
      </w:r>
    </w:p>
    <w:p>
      <w:pPr>
        <w:pStyle w:val="Heading2"/>
        <w:numPr>
          <w:ilvl w:val="0"/>
          <w:numId w:val="0"/>
        </w:numPr>
        <w:ind w:left="576" w:hanging="576"/>
        <w:rPr>
          <w:noProof/>
          <w:lang w:val="ro-RO"/>
        </w:rPr>
      </w:pPr>
      <w:bookmarkStart w:id="8" w:name="_Toc6414614"/>
      <w:r>
        <w:rPr>
          <w:noProof/>
          <w:lang w:val="ro-RO"/>
        </w:rPr>
        <w:t>2.5.</w:t>
      </w:r>
      <w:r>
        <w:rPr>
          <w:noProof/>
          <w:lang w:val="ro-RO"/>
        </w:rPr>
        <w:tab/>
        <w:t>Sfera SAFC 2019</w:t>
      </w:r>
      <w:bookmarkEnd w:id="8"/>
    </w:p>
    <w:p>
      <w:pPr>
        <w:spacing w:after="120"/>
        <w:jc w:val="both"/>
        <w:rPr>
          <w:rFonts w:ascii="Times New Roman" w:hAnsi="Times New Roman"/>
          <w:noProof/>
          <w:sz w:val="24"/>
          <w:szCs w:val="24"/>
          <w:lang w:val="ro-RO"/>
        </w:rPr>
      </w:pPr>
      <w:r>
        <w:rPr>
          <w:rFonts w:ascii="Times New Roman" w:hAnsi="Times New Roman"/>
          <w:noProof/>
          <w:sz w:val="24"/>
          <w:lang w:val="ro-RO"/>
        </w:rPr>
        <w:t xml:space="preserve">SAFC 2019 pune accentul pe protejarea intereselor financiare ale UE împotriva fraudei, corupției și altor nereguli intenționate și pe riscul de acțiuni ilegale grave în interiorul instituțiilor și organelor UE. </w:t>
      </w:r>
      <w:r>
        <w:rPr>
          <w:noProof/>
          <w:lang w:val="ro-RO"/>
        </w:rPr>
        <w:t>De asemenea, a</w:t>
      </w:r>
      <w:r>
        <w:rPr>
          <w:rFonts w:ascii="Times New Roman" w:hAnsi="Times New Roman"/>
          <w:noProof/>
          <w:sz w:val="24"/>
          <w:lang w:val="ro-RO"/>
        </w:rPr>
        <w:t>ceste domenii sunt esențiale pentru legiuitor în lupta împotriva fraudei</w:t>
      </w:r>
      <w:r>
        <w:rPr>
          <w:rStyle w:val="FootnoteReference"/>
          <w:rFonts w:ascii="Times New Roman" w:hAnsi="Times New Roman"/>
          <w:noProof/>
          <w:sz w:val="24"/>
          <w:lang w:val="ro-RO"/>
        </w:rPr>
        <w:footnoteReference w:id="22"/>
      </w:r>
      <w:r>
        <w:rPr>
          <w:noProof/>
          <w:lang w:val="ro-RO"/>
        </w:rPr>
        <w:t>.</w:t>
      </w:r>
      <w:r>
        <w:rPr>
          <w:rFonts w:ascii="Times New Roman" w:hAnsi="Times New Roman"/>
          <w:noProof/>
          <w:sz w:val="24"/>
          <w:lang w:val="ro-RO"/>
        </w:rPr>
        <w:t xml:space="preserve"> Prin urmare, noua SAFC acoperă:</w:t>
      </w:r>
    </w:p>
    <w:p>
      <w:pPr>
        <w:pStyle w:val="ListParagraph"/>
        <w:numPr>
          <w:ilvl w:val="0"/>
          <w:numId w:val="5"/>
        </w:numPr>
        <w:jc w:val="both"/>
        <w:rPr>
          <w:rFonts w:ascii="Times New Roman" w:hAnsi="Times New Roman"/>
          <w:noProof/>
          <w:sz w:val="24"/>
          <w:szCs w:val="24"/>
          <w:lang w:val="ro-RO"/>
        </w:rPr>
      </w:pPr>
      <w:r>
        <w:rPr>
          <w:rFonts w:ascii="Times New Roman" w:hAnsi="Times New Roman"/>
          <w:noProof/>
          <w:sz w:val="24"/>
          <w:lang w:val="ro-RO"/>
        </w:rPr>
        <w:t>frauda - inclusiv frauda în domeniul TVA -, corupția și deturnarea de fonduri, care afectează interesele financiare ale UE, definite la articolele 3 și 4 din Directiva PIF;</w:t>
      </w:r>
    </w:p>
    <w:p>
      <w:pPr>
        <w:pStyle w:val="ListParagraph"/>
        <w:numPr>
          <w:ilvl w:val="0"/>
          <w:numId w:val="5"/>
        </w:numPr>
        <w:jc w:val="both"/>
        <w:rPr>
          <w:rFonts w:ascii="Times New Roman" w:hAnsi="Times New Roman"/>
          <w:noProof/>
          <w:sz w:val="24"/>
          <w:szCs w:val="24"/>
          <w:lang w:val="ro-RO"/>
        </w:rPr>
      </w:pPr>
      <w:r>
        <w:rPr>
          <w:rFonts w:ascii="Times New Roman" w:hAnsi="Times New Roman"/>
          <w:noProof/>
          <w:sz w:val="24"/>
          <w:lang w:val="ro-RO"/>
        </w:rPr>
        <w:t>alte infracțiuni care afectează interesele financiare ale Uniunii, de exemplu, infracțiunile legate de utilizarea abuzivă a procedurilor de atribuire a contractelor în cazul în care acestea afectează bugetul UE;</w:t>
      </w:r>
    </w:p>
    <w:p>
      <w:pPr>
        <w:pStyle w:val="ListParagraph"/>
        <w:numPr>
          <w:ilvl w:val="0"/>
          <w:numId w:val="5"/>
        </w:numPr>
        <w:jc w:val="both"/>
        <w:rPr>
          <w:rFonts w:ascii="Times New Roman" w:hAnsi="Times New Roman"/>
          <w:noProof/>
          <w:sz w:val="24"/>
          <w:szCs w:val="24"/>
          <w:lang w:val="ro-RO"/>
        </w:rPr>
      </w:pPr>
      <w:r>
        <w:rPr>
          <w:rFonts w:ascii="Times New Roman" w:hAnsi="Times New Roman"/>
          <w:noProof/>
          <w:sz w:val="24"/>
          <w:lang w:val="ro-RO"/>
        </w:rPr>
        <w:t>neregulile definite la articolul 1 alineatul (2) din Regulamentul (CE, Euratom) nr. 2988/95</w:t>
      </w:r>
      <w:r>
        <w:rPr>
          <w:rFonts w:ascii="Times New Roman" w:hAnsi="Times New Roman"/>
          <w:noProof/>
          <w:sz w:val="24"/>
          <w:vertAlign w:val="superscript"/>
          <w:lang w:val="ro-RO"/>
        </w:rPr>
        <w:footnoteReference w:id="23"/>
      </w:r>
      <w:r>
        <w:rPr>
          <w:rFonts w:ascii="Times New Roman" w:hAnsi="Times New Roman"/>
          <w:noProof/>
          <w:sz w:val="24"/>
          <w:lang w:val="ro-RO"/>
        </w:rPr>
        <w:t xml:space="preserve"> (în măsura în care acestea sunt intenționate</w:t>
      </w:r>
      <w:r>
        <w:rPr>
          <w:rStyle w:val="FootnoteReference"/>
          <w:rFonts w:ascii="Times New Roman" w:hAnsi="Times New Roman"/>
          <w:noProof/>
          <w:sz w:val="24"/>
          <w:lang w:val="ro-RO"/>
        </w:rPr>
        <w:footnoteReference w:id="24"/>
      </w:r>
      <w:r>
        <w:rPr>
          <w:rFonts w:ascii="Times New Roman" w:hAnsi="Times New Roman"/>
          <w:noProof/>
          <w:sz w:val="24"/>
          <w:lang w:val="ro-RO"/>
        </w:rPr>
        <w:t>, dar nu sunt incluse deja în infracțiunile menționate mai sus);</w:t>
      </w:r>
    </w:p>
    <w:p>
      <w:pPr>
        <w:pStyle w:val="ListParagraph"/>
        <w:numPr>
          <w:ilvl w:val="0"/>
          <w:numId w:val="5"/>
        </w:numPr>
        <w:spacing w:after="120"/>
        <w:ind w:left="714" w:hanging="357"/>
        <w:jc w:val="both"/>
        <w:rPr>
          <w:rFonts w:ascii="Times New Roman" w:hAnsi="Times New Roman"/>
          <w:noProof/>
          <w:sz w:val="24"/>
          <w:szCs w:val="24"/>
          <w:lang w:val="ro-RO"/>
        </w:rPr>
      </w:pPr>
      <w:r>
        <w:rPr>
          <w:rFonts w:ascii="Times New Roman" w:hAnsi="Times New Roman"/>
          <w:noProof/>
          <w:sz w:val="24"/>
          <w:lang w:val="ro-RO"/>
        </w:rPr>
        <w:t>încălcările grave ale obligațiilor profesionale ale personalului sau ale membrilor instituțiilor și organismelor Uniunii, menționate la articolul 1 alineatul (4) din Regulamentul OLAF și la articolul 2 alineatul (1) al doilea paragraf din Decizia 1999/352/CE (CECO, Euratom) a Comisiei</w:t>
      </w:r>
      <w:r>
        <w:rPr>
          <w:rFonts w:ascii="Times New Roman" w:hAnsi="Times New Roman"/>
          <w:noProof/>
          <w:sz w:val="24"/>
          <w:vertAlign w:val="superscript"/>
          <w:lang w:val="ro-RO"/>
        </w:rPr>
        <w:footnoteReference w:id="25"/>
      </w:r>
      <w:r>
        <w:rPr>
          <w:rFonts w:ascii="Times New Roman" w:hAnsi="Times New Roman"/>
          <w:noProof/>
          <w:sz w:val="24"/>
          <w:lang w:val="ro-RO"/>
        </w:rPr>
        <w:t>.</w:t>
      </w:r>
    </w:p>
    <w:p>
      <w:pPr>
        <w:jc w:val="both"/>
        <w:rPr>
          <w:rFonts w:ascii="Times New Roman" w:hAnsi="Times New Roman" w:cs="Times New Roman"/>
          <w:noProof/>
          <w:sz w:val="24"/>
          <w:szCs w:val="24"/>
          <w:lang w:val="ro-RO"/>
        </w:rPr>
      </w:pPr>
      <w:r>
        <w:rPr>
          <w:rFonts w:ascii="Times New Roman" w:hAnsi="Times New Roman"/>
          <w:noProof/>
          <w:sz w:val="24"/>
          <w:lang w:val="ro-RO"/>
        </w:rPr>
        <w:t>În cazul în care SAFC 2019 face trimitere la „fraudă”, SAFC utilizează acest cuvânt ca termen generic pentru diverse tipuri de acțiuni ilegale penale sau nepenale, astfel cum se prevede mai sus. Pentru mai multe detalii și context suplimentar, as se consulta Evaluarea riscului de fraudă</w:t>
      </w:r>
      <w:r>
        <w:rPr>
          <w:rFonts w:ascii="Times New Roman" w:hAnsi="Times New Roman"/>
          <w:noProof/>
          <w:sz w:val="24"/>
          <w:vertAlign w:val="superscript"/>
          <w:lang w:val="ro-RO"/>
        </w:rPr>
        <w:footnoteReference w:id="26"/>
      </w:r>
      <w:r>
        <w:rPr>
          <w:rFonts w:ascii="Times New Roman" w:hAnsi="Times New Roman"/>
          <w:noProof/>
          <w:sz w:val="24"/>
          <w:lang w:val="ro-RO"/>
        </w:rPr>
        <w:t>.</w:t>
      </w:r>
    </w:p>
    <w:p>
      <w:pPr>
        <w:jc w:val="both"/>
        <w:rPr>
          <w:rFonts w:ascii="Times New Roman" w:hAnsi="Times New Roman" w:cs="Times New Roman"/>
          <w:noProof/>
          <w:sz w:val="24"/>
          <w:szCs w:val="24"/>
          <w:lang w:val="ro-RO"/>
        </w:rPr>
      </w:pPr>
      <w:r>
        <w:rPr>
          <w:rFonts w:ascii="Times New Roman" w:hAnsi="Times New Roman"/>
          <w:noProof/>
          <w:sz w:val="24"/>
          <w:lang w:val="ro-RO"/>
        </w:rPr>
        <w:t>În cazul în care prezenta comunicare și documentele de lucru aferente ale serviciilor Comisiei fac trimitere la protejarea bugetului UE, interesele financiare ale UE din afara cadrului juridic al bugetului general, cum ar fi Fondul european de dezvoltare</w:t>
      </w:r>
      <w:r>
        <w:rPr>
          <w:rFonts w:ascii="Times New Roman" w:hAnsi="Times New Roman"/>
          <w:noProof/>
          <w:sz w:val="24"/>
          <w:vertAlign w:val="superscript"/>
          <w:lang w:val="ro-RO"/>
        </w:rPr>
        <w:footnoteReference w:id="27"/>
      </w:r>
      <w:r>
        <w:rPr>
          <w:rFonts w:ascii="Times New Roman" w:hAnsi="Times New Roman"/>
          <w:noProof/>
          <w:sz w:val="24"/>
          <w:lang w:val="ro-RO"/>
        </w:rPr>
        <w:t xml:space="preserve">, sunt incluse </w:t>
      </w:r>
      <w:r>
        <w:rPr>
          <w:rFonts w:ascii="Times New Roman" w:hAnsi="Times New Roman"/>
          <w:i/>
          <w:noProof/>
          <w:sz w:val="24"/>
          <w:lang w:val="ro-RO"/>
        </w:rPr>
        <w:t>mutatis mutandis</w:t>
      </w:r>
      <w:r>
        <w:rPr>
          <w:rFonts w:ascii="Times New Roman" w:hAnsi="Times New Roman"/>
          <w:noProof/>
          <w:sz w:val="24"/>
          <w:lang w:val="ro-RO"/>
        </w:rPr>
        <w:t>.</w:t>
      </w:r>
    </w:p>
    <w:p>
      <w:pPr>
        <w:rPr>
          <w:rFonts w:ascii="Times New Roman" w:hAnsi="Times New Roman" w:cs="Times New Roman"/>
          <w:noProof/>
          <w:lang w:val="ro-RO"/>
        </w:rPr>
      </w:pPr>
    </w:p>
    <w:p>
      <w:pPr>
        <w:pStyle w:val="Heading1"/>
        <w:numPr>
          <w:ilvl w:val="0"/>
          <w:numId w:val="0"/>
        </w:numPr>
        <w:spacing w:before="0" w:after="180"/>
        <w:ind w:left="432" w:hanging="432"/>
        <w:rPr>
          <w:rFonts w:ascii="Times New Roman" w:hAnsi="Times New Roman" w:cs="Times New Roman"/>
          <w:noProof/>
          <w:color w:val="auto"/>
          <w:lang w:val="ro-RO"/>
        </w:rPr>
      </w:pPr>
      <w:bookmarkStart w:id="9" w:name="_Toc6414615"/>
      <w:r>
        <w:rPr>
          <w:rFonts w:ascii="Times New Roman" w:hAnsi="Times New Roman"/>
          <w:noProof/>
          <w:color w:val="auto"/>
          <w:lang w:val="ro-RO"/>
        </w:rPr>
        <w:t>3.</w:t>
      </w:r>
      <w:r>
        <w:rPr>
          <w:noProof/>
          <w:lang w:val="ro-RO"/>
        </w:rPr>
        <w:tab/>
      </w:r>
      <w:r>
        <w:rPr>
          <w:rFonts w:ascii="Times New Roman" w:hAnsi="Times New Roman"/>
          <w:noProof/>
          <w:color w:val="auto"/>
          <w:lang w:val="ro-RO"/>
        </w:rPr>
        <w:t>Evaluarea riscului de fraudă</w:t>
      </w:r>
      <w:r>
        <w:rPr>
          <w:rStyle w:val="FootnoteReference"/>
          <w:rFonts w:ascii="Times New Roman" w:hAnsi="Times New Roman"/>
          <w:noProof/>
          <w:color w:val="auto"/>
          <w:lang w:val="ro-RO"/>
        </w:rPr>
        <w:footnoteReference w:id="28"/>
      </w:r>
      <w:bookmarkEnd w:id="9"/>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O evaluare calitativă a riscului de fraudă a fost efectuată în strânsă consultare cu toate serviciile și agențiile executive ale Comisiei. Aceasta a pus accentul pe vulnerabilitățile la fraudă din sistemele de control intern ale Comisiei și a identificat două domenii în care sunt necesare îmbunătățiri:</w:t>
      </w:r>
    </w:p>
    <w:p>
      <w:pPr>
        <w:pStyle w:val="ListParagraph"/>
        <w:numPr>
          <w:ilvl w:val="0"/>
          <w:numId w:val="4"/>
        </w:numPr>
        <w:jc w:val="both"/>
        <w:rPr>
          <w:rFonts w:ascii="Times New Roman" w:hAnsi="Times New Roman" w:cs="Times New Roman"/>
          <w:noProof/>
          <w:sz w:val="24"/>
          <w:szCs w:val="24"/>
          <w:lang w:val="ro-RO"/>
        </w:rPr>
      </w:pPr>
      <w:r>
        <w:rPr>
          <w:rFonts w:ascii="Times New Roman" w:hAnsi="Times New Roman"/>
          <w:noProof/>
          <w:sz w:val="24"/>
          <w:lang w:val="ro-RO"/>
        </w:rPr>
        <w:t>pentru a îmbunătăți evaluarea și gestionarea riscului de fraudă, Comisia are nevoie de o capacitate analitică centrală mai cuprinzătoare, astfel încât să poată scana datele privind tiparele de fraudă, profilurile autorilor fraudelor și vulnerabilitățile din sistemele de control intern ale UE. O sporire substanțială a capacităților analitice ale Comisiei ar trebui să acorde sprijin și consultanță actorilor, auditorilor și investigatorilor financiari în ceea ce privește prevenirea și combaterea fraudei și să ajute Comisia: (i) să elaboreze politici antifraudă bazate pe fapte și dovezi; (ii) să își utilizeze mecanismele de control și resursele într-un mod cât mai eficace și mai eficient posibil; și (iii) să facă posibilă detectarea fraudei;</w:t>
      </w:r>
    </w:p>
    <w:p>
      <w:pPr>
        <w:pStyle w:val="ListParagraph"/>
        <w:numPr>
          <w:ilvl w:val="0"/>
          <w:numId w:val="4"/>
        </w:numPr>
        <w:jc w:val="both"/>
        <w:rPr>
          <w:rFonts w:ascii="Times New Roman" w:hAnsi="Times New Roman" w:cs="Times New Roman"/>
          <w:noProof/>
          <w:sz w:val="24"/>
          <w:szCs w:val="24"/>
          <w:lang w:val="ro-RO"/>
        </w:rPr>
      </w:pPr>
      <w:r>
        <w:rPr>
          <w:rFonts w:ascii="Times New Roman" w:hAnsi="Times New Roman"/>
          <w:noProof/>
          <w:sz w:val="24"/>
          <w:lang w:val="ro-RO"/>
        </w:rPr>
        <w:t>În conformitate cu modelul descentralizat de gestiune financiară al Comisiei, evaluarea și gestionarea riscului de fraudă se efectuează de către ordonatori de credite delegați</w:t>
      </w:r>
      <w:r>
        <w:rPr>
          <w:rFonts w:ascii="Times New Roman" w:hAnsi="Times New Roman"/>
          <w:noProof/>
          <w:sz w:val="24"/>
          <w:vertAlign w:val="superscript"/>
          <w:lang w:val="ro-RO"/>
        </w:rPr>
        <w:footnoteReference w:id="29"/>
      </w:r>
      <w:r>
        <w:rPr>
          <w:rFonts w:ascii="Times New Roman" w:hAnsi="Times New Roman"/>
          <w:noProof/>
          <w:sz w:val="24"/>
          <w:lang w:val="ro-RO"/>
        </w:rPr>
        <w:t>; aceasta înseamnă că evaluarea și gestionarea sunt responsabilitatea principală a serviciilor și a agențiilor executive ale Comisiei. Principalul avantaj al acestui model este posibilitatea de a adapta strategiile antifraudă la domeniul de politică sau la domeniul de operațiuni al departamentului individual în cauză. Totuși, pentru a asigura coerența și pentru a optimiza eficiența și eficacitatea, evaluarea descentralizată și gestionarea riscurilor de fraudă trebuie să fie coordonate și monitorizate de către un sistem central de revizuire solid.</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În afara vulnerabilităților sistemice, evaluarea riscului de fraudă a analizat, de asemenea, tiparele de fraudă. Supradeclararea costurilor prin declarații false și/sau documente justificative falsificate este unul dintre tiparele de fraudă cel mai frecvent detectate. Se preconizează că acest tip de risc de fraudă va deveni mai puțin semnificativ deoarece noul Regulament financiar și programele specifice sectoarelor din CFM 2021-2027 vizează să crească procentul de fonduri UE care nu au legătură cu costurile sau care se bazează pe opțiuni simplificate privind costurile, care s-au dovedit a fi mai puțin expuse la tentativele de fraudă</w:t>
      </w:r>
      <w:r>
        <w:rPr>
          <w:rFonts w:ascii="Times New Roman" w:hAnsi="Times New Roman"/>
          <w:noProof/>
          <w:sz w:val="24"/>
          <w:vertAlign w:val="superscript"/>
          <w:lang w:val="ro-RO"/>
        </w:rPr>
        <w:footnoteReference w:id="30"/>
      </w:r>
      <w:r>
        <w:rPr>
          <w:rFonts w:ascii="Times New Roman" w:hAnsi="Times New Roman"/>
          <w:noProof/>
          <w:sz w:val="24"/>
          <w:lang w:val="ro-RO"/>
        </w:rPr>
        <w:t>. Noile riscuri potențiale pe care le prezintă aceste tipuri de finanțare - legate de verificarea rezultatelor măsurii de finanțare - vor fi monitorizate și atenuate, după caz. Prin urmare, noul Plan de acțiune al SAFC 2019 solicită optimizarea strategiilor de control</w:t>
      </w:r>
      <w:r>
        <w:rPr>
          <w:rFonts w:ascii="Times New Roman" w:hAnsi="Times New Roman"/>
          <w:noProof/>
          <w:sz w:val="24"/>
          <w:vertAlign w:val="superscript"/>
          <w:lang w:val="ro-RO"/>
        </w:rPr>
        <w:footnoteReference w:id="31"/>
      </w:r>
      <w:r>
        <w:rPr>
          <w:rFonts w:ascii="Times New Roman" w:hAnsi="Times New Roman"/>
          <w:noProof/>
          <w:sz w:val="24"/>
          <w:lang w:val="ro-RO"/>
        </w:rPr>
        <w:t>.</w:t>
      </w:r>
    </w:p>
    <w:p>
      <w:pPr>
        <w:spacing w:after="120"/>
        <w:jc w:val="both"/>
        <w:rPr>
          <w:rFonts w:ascii="Times New Roman" w:hAnsi="Times New Roman"/>
          <w:noProof/>
          <w:sz w:val="24"/>
          <w:szCs w:val="24"/>
          <w:lang w:val="ro-RO"/>
        </w:rPr>
      </w:pPr>
      <w:r>
        <w:rPr>
          <w:rFonts w:ascii="Times New Roman" w:hAnsi="Times New Roman"/>
          <w:noProof/>
          <w:sz w:val="24"/>
          <w:lang w:val="ro-RO"/>
        </w:rPr>
        <w:t>În domeniul resurselor proprii tradiționale, frauda vamală - săvârșită prin contrabandă, declarații false sau subevaluare - cauzează prejudicii considerabile bugetului UE. În 2016, rata de detectare a fraudelor, de 0,33 % din resursele proprii tradiționale, a depășit rata de detectare a fraudelor de 0,21 % în ceea ce privește cheltuielile din buget</w:t>
      </w:r>
      <w:r>
        <w:rPr>
          <w:rFonts w:ascii="Times New Roman" w:hAnsi="Times New Roman"/>
          <w:noProof/>
          <w:sz w:val="24"/>
          <w:vertAlign w:val="superscript"/>
          <w:lang w:val="ro-RO"/>
        </w:rPr>
        <w:footnoteReference w:id="32"/>
      </w:r>
      <w:r>
        <w:rPr>
          <w:rFonts w:ascii="Times New Roman" w:hAnsi="Times New Roman"/>
          <w:noProof/>
          <w:sz w:val="24"/>
          <w:lang w:val="ro-RO"/>
        </w:rPr>
        <w:t>. Deși „decalajul” a fost mai redus</w:t>
      </w:r>
      <w:r>
        <w:rPr>
          <w:rFonts w:ascii="Times New Roman" w:hAnsi="Times New Roman"/>
          <w:noProof/>
          <w:sz w:val="24"/>
          <w:vertAlign w:val="superscript"/>
          <w:lang w:val="ro-RO"/>
        </w:rPr>
        <w:footnoteReference w:id="33"/>
      </w:r>
      <w:r>
        <w:rPr>
          <w:rFonts w:ascii="Times New Roman" w:hAnsi="Times New Roman"/>
          <w:noProof/>
          <w:sz w:val="24"/>
          <w:lang w:val="ro-RO"/>
        </w:rPr>
        <w:t>, această tendință a continuat în 2017 (0,30 % față de 0,29 %). În domeniul TVA, se estimează că frauda transfrontalieră, precum firmele fantomă sau frauda carusel</w:t>
      </w:r>
      <w:r>
        <w:rPr>
          <w:rFonts w:ascii="Times New Roman" w:hAnsi="Times New Roman"/>
          <w:noProof/>
          <w:sz w:val="24"/>
          <w:vertAlign w:val="superscript"/>
          <w:lang w:val="ro-RO"/>
        </w:rPr>
        <w:footnoteReference w:id="34"/>
      </w:r>
      <w:r>
        <w:rPr>
          <w:rFonts w:ascii="Times New Roman" w:hAnsi="Times New Roman"/>
          <w:noProof/>
          <w:sz w:val="24"/>
          <w:lang w:val="ro-RO"/>
        </w:rPr>
        <w:t>, generează pierderi bugetare de aproximativ 50 de miliarde EUR pe an</w:t>
      </w:r>
      <w:r>
        <w:rPr>
          <w:rFonts w:ascii="Times New Roman" w:hAnsi="Times New Roman"/>
          <w:noProof/>
          <w:sz w:val="24"/>
          <w:vertAlign w:val="superscript"/>
          <w:lang w:val="ro-RO"/>
        </w:rPr>
        <w:footnoteReference w:id="35"/>
      </w:r>
      <w:r>
        <w:rPr>
          <w:rFonts w:ascii="Times New Roman" w:hAnsi="Times New Roman"/>
          <w:noProof/>
          <w:sz w:val="24"/>
          <w:lang w:val="ro-RO"/>
        </w:rPr>
        <w:t>. Totuși, majoritatea acestora sunt suportate de către statele membre.</w:t>
      </w:r>
    </w:p>
    <w:p>
      <w:pPr>
        <w:spacing w:after="120"/>
        <w:jc w:val="both"/>
        <w:rPr>
          <w:rFonts w:ascii="Times New Roman" w:hAnsi="Times New Roman"/>
          <w:noProof/>
          <w:sz w:val="24"/>
          <w:szCs w:val="24"/>
          <w:lang w:val="ro-RO"/>
        </w:rPr>
      </w:pPr>
      <w:r>
        <w:rPr>
          <w:rFonts w:ascii="Times New Roman" w:hAnsi="Times New Roman"/>
          <w:noProof/>
          <w:sz w:val="24"/>
          <w:lang w:val="ro-RO"/>
        </w:rPr>
        <w:t>În ceea ce privește frauda asupra veniturilor, prejudiciile cauzate de grupurile infracționale organizate sunt extrem de semnificative</w:t>
      </w:r>
      <w:r>
        <w:rPr>
          <w:rFonts w:ascii="Times New Roman" w:hAnsi="Times New Roman"/>
          <w:noProof/>
          <w:sz w:val="24"/>
          <w:vertAlign w:val="superscript"/>
          <w:lang w:val="ro-RO"/>
        </w:rPr>
        <w:footnoteReference w:id="36"/>
      </w:r>
      <w:r>
        <w:rPr>
          <w:rFonts w:ascii="Times New Roman" w:hAnsi="Times New Roman"/>
          <w:noProof/>
          <w:sz w:val="24"/>
          <w:lang w:val="ro-RO"/>
        </w:rPr>
        <w:t>, chiar dacă aceste grupuri infracționale sunt active și în frauda în materie de achiziții publice și subvenții</w:t>
      </w:r>
      <w:r>
        <w:rPr>
          <w:rFonts w:ascii="Times New Roman" w:hAnsi="Times New Roman"/>
          <w:noProof/>
          <w:sz w:val="24"/>
          <w:vertAlign w:val="superscript"/>
          <w:lang w:val="ro-RO"/>
        </w:rPr>
        <w:footnoteReference w:id="37"/>
      </w:r>
      <w:r>
        <w:rPr>
          <w:rFonts w:ascii="Times New Roman" w:hAnsi="Times New Roman"/>
          <w:noProof/>
          <w:sz w:val="24"/>
          <w:lang w:val="ro-RO"/>
        </w:rPr>
        <w:t>. UE dispune de un ciclu de elaborare a politicilor pentru combaterea criminalității internaționale organizate și grave, care implică o coordonare între instituțiile și agențiile UE și statele membre</w:t>
      </w:r>
      <w:r>
        <w:rPr>
          <w:rFonts w:ascii="Times New Roman" w:hAnsi="Times New Roman"/>
          <w:noProof/>
          <w:sz w:val="24"/>
          <w:vertAlign w:val="superscript"/>
          <w:lang w:val="ro-RO"/>
        </w:rPr>
        <w:footnoteReference w:id="38"/>
      </w:r>
      <w:r>
        <w:rPr>
          <w:rFonts w:ascii="Times New Roman" w:hAnsi="Times New Roman"/>
          <w:noProof/>
          <w:sz w:val="24"/>
          <w:lang w:val="ro-RO"/>
        </w:rPr>
        <w:t>. Mai multe priorități de politică pentru perioada 2018-2021 pentru acest tip de criminalitate vizează combaterea fraudei</w:t>
      </w:r>
      <w:r>
        <w:rPr>
          <w:rFonts w:ascii="Times New Roman" w:hAnsi="Times New Roman"/>
          <w:noProof/>
          <w:sz w:val="24"/>
          <w:vertAlign w:val="superscript"/>
          <w:lang w:val="ro-RO"/>
        </w:rPr>
        <w:footnoteReference w:id="39"/>
      </w:r>
      <w:r>
        <w:rPr>
          <w:rFonts w:ascii="Times New Roman" w:hAnsi="Times New Roman"/>
          <w:noProof/>
          <w:sz w:val="24"/>
          <w:lang w:val="ro-RO"/>
        </w:rPr>
        <w:t>. Strategia UE pentru combaterea contrabandei cu țigări și a altor forme de comerț ilegal cu produse din tutun</w:t>
      </w:r>
      <w:r>
        <w:rPr>
          <w:rFonts w:ascii="Times New Roman" w:hAnsi="Times New Roman"/>
          <w:noProof/>
          <w:sz w:val="24"/>
          <w:vertAlign w:val="superscript"/>
          <w:lang w:val="ro-RO"/>
        </w:rPr>
        <w:footnoteReference w:id="40"/>
      </w:r>
      <w:r>
        <w:rPr>
          <w:rFonts w:ascii="Times New Roman" w:hAnsi="Times New Roman"/>
          <w:noProof/>
          <w:sz w:val="24"/>
          <w:lang w:val="ro-RO"/>
        </w:rPr>
        <w:t>, al cărei plan de acțiune a fost actualizat recent,</w:t>
      </w:r>
      <w:r>
        <w:rPr>
          <w:rStyle w:val="FootnoteReference"/>
          <w:rFonts w:ascii="Times New Roman" w:hAnsi="Times New Roman"/>
          <w:noProof/>
          <w:sz w:val="24"/>
          <w:lang w:val="ro-RO"/>
        </w:rPr>
        <w:footnoteReference w:id="41"/>
      </w:r>
      <w:r>
        <w:rPr>
          <w:rFonts w:ascii="Times New Roman" w:hAnsi="Times New Roman"/>
          <w:noProof/>
          <w:sz w:val="24"/>
          <w:lang w:val="ro-RO"/>
        </w:rPr>
        <w:t xml:space="preserve"> pune, de asemenea, un accent puternic pe combaterea criminalității organizate.</w:t>
      </w:r>
    </w:p>
    <w:p>
      <w:pPr>
        <w:rPr>
          <w:rFonts w:ascii="Times New Roman" w:hAnsi="Times New Roman"/>
          <w:noProof/>
          <w:lang w:val="ro-RO"/>
        </w:rPr>
      </w:pPr>
    </w:p>
    <w:p>
      <w:pPr>
        <w:rPr>
          <w:rFonts w:ascii="Times New Roman" w:hAnsi="Times New Roman"/>
          <w:noProof/>
          <w:sz w:val="24"/>
          <w:szCs w:val="24"/>
          <w:lang w:val="ro-RO"/>
        </w:rPr>
      </w:pPr>
      <w:r>
        <w:rPr>
          <w:rFonts w:ascii="Times New Roman" w:hAnsi="Times New Roman"/>
          <w:noProof/>
          <w:sz w:val="24"/>
          <w:szCs w:val="24"/>
          <w:lang w:eastAsia="en-GB"/>
        </w:rPr>
        <mc:AlternateContent>
          <mc:Choice Requires="wps">
            <w:drawing>
              <wp:inline distT="0" distB="0" distL="0" distR="0">
                <wp:extent cx="5628005" cy="4234375"/>
                <wp:effectExtent l="0" t="0" r="10795" b="13970"/>
                <wp:docPr id="5" name="Text Box 5"/>
                <wp:cNvGraphicFramePr/>
                <a:graphic xmlns:a="http://schemas.openxmlformats.org/drawingml/2006/main">
                  <a:graphicData uri="http://schemas.microsoft.com/office/word/2010/wordprocessingShape">
                    <wps:wsp>
                      <wps:cNvSpPr txBox="1"/>
                      <wps:spPr>
                        <a:xfrm>
                          <a:off x="0" y="0"/>
                          <a:ext cx="5628005" cy="423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Evaluarea SAFC și evaluarea riscului de fraudă</w:t>
                            </w:r>
                            <w:r>
                              <w:rPr>
                                <w:rFonts w:ascii="Times New Roman" w:hAnsi="Times New Roman" w:cs="Times New Roman"/>
                                <w:b/>
                                <w:color w:val="0000FF"/>
                                <w:sz w:val="24"/>
                                <w:szCs w:val="24"/>
                              </w:rPr>
                              <w:br/>
                            </w:r>
                            <w:r>
                              <w:rPr>
                                <w:rFonts w:ascii="Times New Roman" w:hAnsi="Times New Roman"/>
                                <w:b/>
                                <w:color w:val="0000FF"/>
                                <w:sz w:val="24"/>
                              </w:rPr>
                              <w:t>– punctele forte și punctele slabe</w:t>
                            </w:r>
                            <w:r>
                              <w:rPr>
                                <w:rFonts w:ascii="Times New Roman" w:hAnsi="Times New Roman" w:cs="Times New Roman"/>
                                <w:b/>
                                <w:color w:val="0000FF"/>
                                <w:sz w:val="24"/>
                                <w:szCs w:val="24"/>
                              </w:rPr>
                              <w:br/>
                            </w:r>
                            <w:r>
                              <w:rPr>
                                <w:rFonts w:ascii="Times New Roman" w:hAnsi="Times New Roman"/>
                                <w:b/>
                                <w:color w:val="0000FF"/>
                                <w:sz w:val="24"/>
                              </w:rPr>
                              <w:t xml:space="preserve">ale gestionării riscului de fraudă de către Comisie </w:t>
                            </w:r>
                          </w:p>
                          <w:p>
                            <w:pPr>
                              <w:spacing w:after="120"/>
                              <w:rPr>
                                <w:rFonts w:ascii="Times New Roman" w:hAnsi="Times New Roman" w:cs="Times New Roman"/>
                                <w:b/>
                                <w:color w:val="00B400"/>
                                <w:sz w:val="24"/>
                                <w:szCs w:val="24"/>
                              </w:rPr>
                            </w:pPr>
                            <w:r>
                              <w:rPr>
                                <w:rFonts w:ascii="Times New Roman" w:hAnsi="Times New Roman"/>
                                <w:b/>
                                <w:color w:val="00B400"/>
                                <w:sz w:val="24"/>
                                <w:u w:val="single"/>
                              </w:rPr>
                              <w:t>Puncte forte</w:t>
                            </w:r>
                            <w:r>
                              <w:rPr>
                                <w:rFonts w:ascii="Times New Roman" w:hAnsi="Times New Roman"/>
                                <w:b/>
                                <w:color w:val="00B400"/>
                                <w:sz w:val="24"/>
                              </w:rPr>
                              <w:t>:</w:t>
                            </w:r>
                          </w:p>
                          <w:p>
                            <w:pPr>
                              <w:pStyle w:val="ListParagraph"/>
                              <w:numPr>
                                <w:ilvl w:val="0"/>
                                <w:numId w:val="6"/>
                              </w:numPr>
                              <w:rPr>
                                <w:rFonts w:ascii="Times New Roman" w:hAnsi="Times New Roman" w:cs="Times New Roman"/>
                                <w:b/>
                                <w:color w:val="0000FF"/>
                                <w:lang w:val="it-IT"/>
                              </w:rPr>
                            </w:pPr>
                            <w:r>
                              <w:rPr>
                                <w:rFonts w:ascii="Times New Roman" w:hAnsi="Times New Roman"/>
                                <w:b/>
                                <w:color w:val="0000FF"/>
                                <w:lang w:val="it-IT"/>
                              </w:rPr>
                              <w:t>strategie antifraudă corporatistă care stabilește principii generale coerente;</w:t>
                            </w:r>
                            <w:r>
                              <w:rPr>
                                <w:rFonts w:ascii="Times New Roman" w:hAnsi="Times New Roman" w:cs="Times New Roman"/>
                                <w:b/>
                                <w:color w:val="0000FF"/>
                                <w:lang w:val="it-IT"/>
                              </w:rPr>
                              <w:br/>
                            </w:r>
                          </w:p>
                          <w:p>
                            <w:pPr>
                              <w:pStyle w:val="ListParagraph"/>
                              <w:numPr>
                                <w:ilvl w:val="0"/>
                                <w:numId w:val="6"/>
                              </w:numPr>
                              <w:rPr>
                                <w:rFonts w:ascii="Times New Roman" w:hAnsi="Times New Roman" w:cs="Times New Roman"/>
                                <w:b/>
                                <w:color w:val="0000FF"/>
                                <w:lang w:val="it-IT"/>
                              </w:rPr>
                            </w:pPr>
                            <w:r>
                              <w:rPr>
                                <w:rFonts w:ascii="Times New Roman" w:hAnsi="Times New Roman"/>
                                <w:b/>
                                <w:color w:val="0000FF"/>
                                <w:lang w:val="it-IT"/>
                              </w:rPr>
                              <w:t>strategii antifraudă adaptate la nivel de serviciu, planuri de gestionare și raportare, care integrează prevenirea și detectarea fraudelor în controlul intern;</w:t>
                            </w:r>
                            <w:r>
                              <w:rPr>
                                <w:rFonts w:ascii="Times New Roman" w:hAnsi="Times New Roman" w:cs="Times New Roman"/>
                                <w:b/>
                                <w:color w:val="0000FF"/>
                                <w:lang w:val="it-IT"/>
                              </w:rPr>
                              <w:br/>
                            </w:r>
                          </w:p>
                          <w:p>
                            <w:pPr>
                              <w:pStyle w:val="ListParagraph"/>
                              <w:numPr>
                                <w:ilvl w:val="0"/>
                                <w:numId w:val="6"/>
                              </w:numPr>
                              <w:spacing w:after="240"/>
                              <w:rPr>
                                <w:rFonts w:ascii="Times New Roman" w:hAnsi="Times New Roman" w:cs="Times New Roman"/>
                                <w:b/>
                                <w:color w:val="0000FF"/>
                                <w:lang w:val="it-IT"/>
                              </w:rPr>
                            </w:pPr>
                            <w:r>
                              <w:rPr>
                                <w:rFonts w:ascii="Times New Roman" w:hAnsi="Times New Roman"/>
                                <w:b/>
                                <w:color w:val="0000FF"/>
                                <w:lang w:val="it-IT"/>
                              </w:rPr>
                              <w:t>sprijin din partea OLAF și a altor „servicii centrale” și schimb de bune practici în forumuri specifice pentru cooperare.</w:t>
                            </w:r>
                          </w:p>
                          <w:p>
                            <w:pPr>
                              <w:spacing w:after="120"/>
                              <w:rPr>
                                <w:rFonts w:ascii="Times New Roman" w:hAnsi="Times New Roman" w:cs="Times New Roman"/>
                                <w:b/>
                                <w:color w:val="FF0000"/>
                                <w:sz w:val="24"/>
                                <w:szCs w:val="24"/>
                                <w:u w:val="single"/>
                              </w:rPr>
                            </w:pPr>
                            <w:r>
                              <w:rPr>
                                <w:rFonts w:ascii="Times New Roman" w:hAnsi="Times New Roman"/>
                                <w:b/>
                                <w:color w:val="FF0000"/>
                                <w:sz w:val="24"/>
                                <w:u w:val="single"/>
                              </w:rPr>
                              <w:t>Puncte slabe:</w:t>
                            </w:r>
                          </w:p>
                          <w:p>
                            <w:pPr>
                              <w:pStyle w:val="ListParagraph"/>
                              <w:numPr>
                                <w:ilvl w:val="0"/>
                                <w:numId w:val="7"/>
                              </w:numPr>
                              <w:rPr>
                                <w:rFonts w:ascii="Times New Roman" w:hAnsi="Times New Roman" w:cs="Times New Roman"/>
                                <w:b/>
                                <w:color w:val="0000FF"/>
                              </w:rPr>
                            </w:pPr>
                            <w:r>
                              <w:rPr>
                                <w:rFonts w:ascii="Times New Roman" w:hAnsi="Times New Roman"/>
                                <w:b/>
                                <w:color w:val="0000FF"/>
                              </w:rPr>
                              <w:t>lacunele din colectarea cu suport TI și din analiza strategică a datelor referitoare la fraudă;</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rPr>
                            </w:pPr>
                            <w:r>
                              <w:rPr>
                                <w:rFonts w:ascii="Times New Roman" w:hAnsi="Times New Roman"/>
                                <w:b/>
                                <w:color w:val="0000FF"/>
                              </w:rPr>
                              <w:t>lipsa unor indicatori relevanți și fiabili pentru a face mai măsurabil succesul înregistrat în lupta împotriva fraudei;</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lang w:val="it-IT"/>
                              </w:rPr>
                            </w:pPr>
                            <w:r>
                              <w:rPr>
                                <w:rFonts w:ascii="Times New Roman" w:hAnsi="Times New Roman"/>
                                <w:b/>
                                <w:color w:val="0000FF"/>
                                <w:lang w:val="it-IT"/>
                              </w:rPr>
                              <w:t>potențial pentru coordonarea și supravegherea centrală mai eficace.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43.15pt;height:3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" fillcolor="white [3201]" strokeweight=".5pt">
                <v:textbo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Evaluarea SAFC și evaluarea riscului de fraudă</w:t>
                      </w:r>
                      <w:r>
                        <w:rPr>
                          <w:rFonts w:ascii="Times New Roman" w:hAnsi="Times New Roman" w:cs="Times New Roman"/>
                          <w:b/>
                          <w:color w:val="0000FF"/>
                          <w:sz w:val="24"/>
                          <w:szCs w:val="24"/>
                        </w:rPr>
                        <w:br/>
                      </w:r>
                      <w:r>
                        <w:rPr>
                          <w:rFonts w:ascii="Times New Roman" w:hAnsi="Times New Roman"/>
                          <w:b/>
                          <w:color w:val="0000FF"/>
                          <w:sz w:val="24"/>
                        </w:rPr>
                        <w:t>– punctele forte și punctele slabe</w:t>
                      </w:r>
                      <w:r>
                        <w:rPr>
                          <w:rFonts w:ascii="Times New Roman" w:hAnsi="Times New Roman" w:cs="Times New Roman"/>
                          <w:b/>
                          <w:color w:val="0000FF"/>
                          <w:sz w:val="24"/>
                          <w:szCs w:val="24"/>
                        </w:rPr>
                        <w:br/>
                      </w:r>
                      <w:r>
                        <w:rPr>
                          <w:rFonts w:ascii="Times New Roman" w:hAnsi="Times New Roman"/>
                          <w:b/>
                          <w:color w:val="0000FF"/>
                          <w:sz w:val="24"/>
                        </w:rPr>
                        <w:t xml:space="preserve">ale gestionării riscului de fraudă de către Comisie </w:t>
                      </w:r>
                    </w:p>
                    <w:p>
                      <w:pPr>
                        <w:spacing w:after="120"/>
                        <w:rPr>
                          <w:rFonts w:ascii="Times New Roman" w:hAnsi="Times New Roman" w:cs="Times New Roman"/>
                          <w:b/>
                          <w:color w:val="00B400"/>
                          <w:sz w:val="24"/>
                          <w:szCs w:val="24"/>
                        </w:rPr>
                      </w:pPr>
                      <w:r>
                        <w:rPr>
                          <w:rFonts w:ascii="Times New Roman" w:hAnsi="Times New Roman"/>
                          <w:b/>
                          <w:color w:val="00B400"/>
                          <w:sz w:val="24"/>
                          <w:u w:val="single"/>
                        </w:rPr>
                        <w:t>Puncte forte</w:t>
                      </w:r>
                      <w:r>
                        <w:rPr>
                          <w:rFonts w:ascii="Times New Roman" w:hAnsi="Times New Roman"/>
                          <w:b/>
                          <w:color w:val="00B400"/>
                          <w:sz w:val="24"/>
                        </w:rPr>
                        <w:t>:</w:t>
                      </w:r>
                    </w:p>
                    <w:p>
                      <w:pPr>
                        <w:pStyle w:val="ListParagraph"/>
                        <w:numPr>
                          <w:ilvl w:val="0"/>
                          <w:numId w:val="6"/>
                        </w:numPr>
                        <w:rPr>
                          <w:rFonts w:ascii="Times New Roman" w:hAnsi="Times New Roman" w:cs="Times New Roman"/>
                          <w:b/>
                          <w:color w:val="0000FF"/>
                          <w:lang w:val="it-IT"/>
                        </w:rPr>
                      </w:pPr>
                      <w:r>
                        <w:rPr>
                          <w:rFonts w:ascii="Times New Roman" w:hAnsi="Times New Roman"/>
                          <w:b/>
                          <w:color w:val="0000FF"/>
                          <w:lang w:val="it-IT"/>
                        </w:rPr>
                        <w:t>strategie antifraudă corporatistă care stabilește principii generale coerente;</w:t>
                      </w:r>
                      <w:r>
                        <w:rPr>
                          <w:rFonts w:ascii="Times New Roman" w:hAnsi="Times New Roman" w:cs="Times New Roman"/>
                          <w:b/>
                          <w:color w:val="0000FF"/>
                          <w:lang w:val="it-IT"/>
                        </w:rPr>
                        <w:br/>
                      </w:r>
                    </w:p>
                    <w:p>
                      <w:pPr>
                        <w:pStyle w:val="ListParagraph"/>
                        <w:numPr>
                          <w:ilvl w:val="0"/>
                          <w:numId w:val="6"/>
                        </w:numPr>
                        <w:rPr>
                          <w:rFonts w:ascii="Times New Roman" w:hAnsi="Times New Roman" w:cs="Times New Roman"/>
                          <w:b/>
                          <w:color w:val="0000FF"/>
                          <w:lang w:val="it-IT"/>
                        </w:rPr>
                      </w:pPr>
                      <w:r>
                        <w:rPr>
                          <w:rFonts w:ascii="Times New Roman" w:hAnsi="Times New Roman"/>
                          <w:b/>
                          <w:color w:val="0000FF"/>
                          <w:lang w:val="it-IT"/>
                        </w:rPr>
                        <w:t>strategii antifraudă adaptate la nivel de serviciu, planuri de gestionare și raportare, care integrează prevenirea și detectarea fraudelor în controlul intern;</w:t>
                      </w:r>
                      <w:r>
                        <w:rPr>
                          <w:rFonts w:ascii="Times New Roman" w:hAnsi="Times New Roman" w:cs="Times New Roman"/>
                          <w:b/>
                          <w:color w:val="0000FF"/>
                          <w:lang w:val="it-IT"/>
                        </w:rPr>
                        <w:br/>
                      </w:r>
                    </w:p>
                    <w:p>
                      <w:pPr>
                        <w:pStyle w:val="ListParagraph"/>
                        <w:numPr>
                          <w:ilvl w:val="0"/>
                          <w:numId w:val="6"/>
                        </w:numPr>
                        <w:spacing w:after="240"/>
                        <w:rPr>
                          <w:rFonts w:ascii="Times New Roman" w:hAnsi="Times New Roman" w:cs="Times New Roman"/>
                          <w:b/>
                          <w:color w:val="0000FF"/>
                          <w:lang w:val="it-IT"/>
                        </w:rPr>
                      </w:pPr>
                      <w:r>
                        <w:rPr>
                          <w:rFonts w:ascii="Times New Roman" w:hAnsi="Times New Roman"/>
                          <w:b/>
                          <w:color w:val="0000FF"/>
                          <w:lang w:val="it-IT"/>
                        </w:rPr>
                        <w:t>sprijin din partea OLAF și a altor „servicii centrale” și schimb de bune practici în forumuri specifice pentru cooperare.</w:t>
                      </w:r>
                    </w:p>
                    <w:p>
                      <w:pPr>
                        <w:spacing w:after="120"/>
                        <w:rPr>
                          <w:rFonts w:ascii="Times New Roman" w:hAnsi="Times New Roman" w:cs="Times New Roman"/>
                          <w:b/>
                          <w:color w:val="FF0000"/>
                          <w:sz w:val="24"/>
                          <w:szCs w:val="24"/>
                          <w:u w:val="single"/>
                        </w:rPr>
                      </w:pPr>
                      <w:r>
                        <w:rPr>
                          <w:rFonts w:ascii="Times New Roman" w:hAnsi="Times New Roman"/>
                          <w:b/>
                          <w:color w:val="FF0000"/>
                          <w:sz w:val="24"/>
                          <w:u w:val="single"/>
                        </w:rPr>
                        <w:t>Puncte slabe:</w:t>
                      </w:r>
                    </w:p>
                    <w:p>
                      <w:pPr>
                        <w:pStyle w:val="ListParagraph"/>
                        <w:numPr>
                          <w:ilvl w:val="0"/>
                          <w:numId w:val="7"/>
                        </w:numPr>
                        <w:rPr>
                          <w:rFonts w:ascii="Times New Roman" w:hAnsi="Times New Roman" w:cs="Times New Roman"/>
                          <w:b/>
                          <w:color w:val="0000FF"/>
                        </w:rPr>
                      </w:pPr>
                      <w:r>
                        <w:rPr>
                          <w:rFonts w:ascii="Times New Roman" w:hAnsi="Times New Roman"/>
                          <w:b/>
                          <w:color w:val="0000FF"/>
                        </w:rPr>
                        <w:t>lacunele din colectarea cu suport TI și din analiza strategică a datelor referitoare la fraudă;</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rPr>
                      </w:pPr>
                      <w:r>
                        <w:rPr>
                          <w:rFonts w:ascii="Times New Roman" w:hAnsi="Times New Roman"/>
                          <w:b/>
                          <w:color w:val="0000FF"/>
                        </w:rPr>
                        <w:t>lipsa unor indicatori relevanți și fiabili pentru a face mai măsurabil succesul înregistrat în lupta împotriva fraudei;</w:t>
                      </w:r>
                      <w:r>
                        <w:rPr>
                          <w:rFonts w:ascii="Times New Roman" w:hAnsi="Times New Roman" w:cs="Times New Roman"/>
                          <w:b/>
                          <w:color w:val="0000FF"/>
                        </w:rPr>
                        <w:br/>
                      </w:r>
                    </w:p>
                    <w:p>
                      <w:pPr>
                        <w:pStyle w:val="ListParagraph"/>
                        <w:numPr>
                          <w:ilvl w:val="0"/>
                          <w:numId w:val="7"/>
                        </w:numPr>
                        <w:rPr>
                          <w:rFonts w:ascii="Times New Roman" w:hAnsi="Times New Roman" w:cs="Times New Roman"/>
                          <w:b/>
                          <w:color w:val="0000FF"/>
                          <w:lang w:val="it-IT"/>
                        </w:rPr>
                      </w:pPr>
                      <w:r>
                        <w:rPr>
                          <w:rFonts w:ascii="Times New Roman" w:hAnsi="Times New Roman"/>
                          <w:b/>
                          <w:color w:val="0000FF"/>
                          <w:lang w:val="it-IT"/>
                        </w:rPr>
                        <w:t>potențial pentru coordonarea și supravegherea centrală mai eficace.</w:t>
                      </w:r>
                    </w:p>
                  </w:txbxContent>
                </v:textbox>
                <w10:anchorlock/>
              </v:shape>
            </w:pict>
          </mc:Fallback>
        </mc:AlternateContent>
      </w:r>
    </w:p>
    <w:p>
      <w:pPr>
        <w:rPr>
          <w:rFonts w:ascii="Times New Roman" w:hAnsi="Times New Roman" w:cs="Times New Roman"/>
          <w:b/>
          <w:noProof/>
          <w:sz w:val="28"/>
          <w:szCs w:val="28"/>
          <w:lang w:val="ro-RO"/>
        </w:rPr>
      </w:pPr>
    </w:p>
    <w:p>
      <w:pPr>
        <w:pStyle w:val="Heading1"/>
        <w:numPr>
          <w:ilvl w:val="0"/>
          <w:numId w:val="0"/>
        </w:numPr>
        <w:spacing w:before="0" w:after="180"/>
        <w:ind w:left="432" w:hanging="432"/>
        <w:rPr>
          <w:rFonts w:ascii="Times New Roman" w:hAnsi="Times New Roman" w:cs="Times New Roman"/>
          <w:noProof/>
          <w:color w:val="auto"/>
          <w:lang w:val="ro-RO"/>
        </w:rPr>
      </w:pPr>
      <w:bookmarkStart w:id="10" w:name="_Toc6414616"/>
      <w:r>
        <w:rPr>
          <w:rFonts w:ascii="Times New Roman" w:hAnsi="Times New Roman"/>
          <w:noProof/>
          <w:color w:val="auto"/>
          <w:lang w:val="ro-RO"/>
        </w:rPr>
        <w:t>4.</w:t>
      </w:r>
      <w:r>
        <w:rPr>
          <w:noProof/>
          <w:lang w:val="ro-RO"/>
        </w:rPr>
        <w:tab/>
      </w:r>
      <w:r>
        <w:rPr>
          <w:rFonts w:ascii="Times New Roman" w:hAnsi="Times New Roman"/>
          <w:noProof/>
          <w:color w:val="auto"/>
          <w:lang w:val="ro-RO"/>
        </w:rPr>
        <w:t>Principii și priorități</w:t>
      </w:r>
      <w:bookmarkEnd w:id="10"/>
    </w:p>
    <w:p>
      <w:pPr>
        <w:pStyle w:val="Heading2"/>
        <w:numPr>
          <w:ilvl w:val="0"/>
          <w:numId w:val="0"/>
        </w:numPr>
        <w:ind w:left="576" w:hanging="576"/>
        <w:rPr>
          <w:noProof/>
          <w:lang w:val="ro-RO"/>
        </w:rPr>
      </w:pPr>
      <w:bookmarkStart w:id="11" w:name="_Toc6414617"/>
      <w:r>
        <w:rPr>
          <w:noProof/>
          <w:lang w:val="ro-RO"/>
        </w:rPr>
        <w:t>4.1.</w:t>
      </w:r>
      <w:r>
        <w:rPr>
          <w:noProof/>
          <w:lang w:val="ro-RO"/>
        </w:rPr>
        <w:tab/>
        <w:t>Principiile SAFC 2011 și SAFC 2019</w:t>
      </w:r>
      <w:bookmarkEnd w:id="11"/>
    </w:p>
    <w:p>
      <w:pPr>
        <w:jc w:val="both"/>
        <w:rPr>
          <w:rFonts w:ascii="Times New Roman" w:hAnsi="Times New Roman" w:cs="Times New Roman"/>
          <w:noProof/>
          <w:sz w:val="24"/>
          <w:szCs w:val="24"/>
          <w:lang w:val="ro-RO"/>
        </w:rPr>
      </w:pPr>
      <w:r>
        <w:rPr>
          <w:rFonts w:ascii="Times New Roman" w:hAnsi="Times New Roman"/>
          <w:noProof/>
          <w:sz w:val="24"/>
          <w:lang w:val="ro-RO"/>
        </w:rPr>
        <w:t>Obiectivul general al SAFC 2011</w:t>
      </w:r>
      <w:r>
        <w:rPr>
          <w:rFonts w:ascii="Times New Roman" w:hAnsi="Times New Roman"/>
          <w:noProof/>
          <w:sz w:val="24"/>
          <w:vertAlign w:val="superscript"/>
          <w:lang w:val="ro-RO"/>
        </w:rPr>
        <w:footnoteReference w:id="42"/>
      </w:r>
      <w:r>
        <w:rPr>
          <w:rFonts w:ascii="Times New Roman" w:hAnsi="Times New Roman"/>
          <w:noProof/>
          <w:sz w:val="24"/>
          <w:lang w:val="ro-RO"/>
        </w:rPr>
        <w:t xml:space="preserve"> este în continuare pe deplin relevant. Noua SAFC îl reiterează și subliniază abordarea cuprinzătoare necesară pentru combaterea fraudei în UE. Această abordare cuprinzătoare acoperă ciclul antifraudă complet și cuprinde: (i) îmbunătățirea prevenirii, a detectării și a condițiilor de investigare a fraudei; și (ii) asigurarea faptului că există despăgubiri și o descurajare suficiente, cu sancțiuni proporționale și disuasive. Prin urmare, principiile directoare și standardele-țintă pentru serviciile și agențiile executive ale Comisiei în lupta împotriva fraudei rămân valabile</w:t>
      </w:r>
      <w:r>
        <w:rPr>
          <w:rFonts w:ascii="Times New Roman" w:hAnsi="Times New Roman"/>
          <w:noProof/>
          <w:sz w:val="24"/>
          <w:vertAlign w:val="superscript"/>
          <w:lang w:val="ro-RO"/>
        </w:rPr>
        <w:footnoteReference w:id="43"/>
      </w:r>
      <w:r>
        <w:rPr>
          <w:rFonts w:ascii="Times New Roman" w:hAnsi="Times New Roman"/>
          <w:noProof/>
          <w:sz w:val="24"/>
          <w:lang w:val="ro-RO"/>
        </w:rPr>
        <w:t>.</w:t>
      </w:r>
    </w:p>
    <w:p>
      <w:pPr>
        <w:jc w:val="both"/>
        <w:rPr>
          <w:rFonts w:ascii="Times New Roman" w:hAnsi="Times New Roman" w:cs="Times New Roman"/>
          <w:noProof/>
          <w:sz w:val="24"/>
          <w:szCs w:val="24"/>
          <w:lang w:val="ro-RO"/>
        </w:rPr>
      </w:pPr>
      <w:r>
        <w:rPr>
          <w:rFonts w:ascii="Times New Roman" w:hAnsi="Times New Roman"/>
          <w:noProof/>
          <w:sz w:val="24"/>
          <w:lang w:val="ro-RO"/>
        </w:rPr>
        <w:t>Ca principiu suplimentar al SAFC 2019</w:t>
      </w:r>
      <w:r>
        <w:rPr>
          <w:rFonts w:ascii="Times New Roman" w:hAnsi="Times New Roman"/>
          <w:noProof/>
          <w:sz w:val="24"/>
          <w:vertAlign w:val="superscript"/>
          <w:lang w:val="ro-RO"/>
        </w:rPr>
        <w:footnoteReference w:id="44"/>
      </w:r>
      <w:r>
        <w:rPr>
          <w:rFonts w:ascii="Times New Roman" w:hAnsi="Times New Roman"/>
          <w:noProof/>
          <w:sz w:val="24"/>
          <w:lang w:val="ro-RO"/>
        </w:rPr>
        <w:t>, Comisia își ia angajamentul unei comunicări interne și externe eficace cu privire la lupta UE împotriva fraudei. Deși comunicarea internă este esențială pentru dirijarea și sprijinirea acțiunilor antifraudă ale instituției, comunicarea externă servește la protejarea reputației UE și la asigurarea publicului cu privire la integritatea și gestiunea financiară solidă a operațiunilor UE. De asemenea, comunicarea cu privire la lupta UE împotriva fraudei poate descuraja autorii potențiali ai fraudelor.</w:t>
      </w:r>
    </w:p>
    <w:p>
      <w:pPr>
        <w:jc w:val="both"/>
        <w:rPr>
          <w:rFonts w:ascii="Times New Roman" w:hAnsi="Times New Roman" w:cs="Times New Roman"/>
          <w:noProof/>
          <w:sz w:val="24"/>
          <w:szCs w:val="24"/>
          <w:lang w:val="ro-RO"/>
        </w:rPr>
      </w:pPr>
      <w:r>
        <w:rPr>
          <w:rFonts w:ascii="Times New Roman" w:hAnsi="Times New Roman" w:cs="Times New Roman"/>
          <w:noProof/>
          <w:sz w:val="24"/>
          <w:szCs w:val="24"/>
          <w:lang w:eastAsia="en-GB"/>
        </w:rPr>
        <mc:AlternateContent>
          <mc:Choice Requires="wps">
            <w:drawing>
              <wp:inline distT="0" distB="0" distL="0" distR="0">
                <wp:extent cx="5537835" cy="7187609"/>
                <wp:effectExtent l="0" t="0" r="24765" b="13335"/>
                <wp:docPr id="7" name="Text Box 7"/>
                <wp:cNvGraphicFramePr/>
                <a:graphic xmlns:a="http://schemas.openxmlformats.org/drawingml/2006/main">
                  <a:graphicData uri="http://schemas.microsoft.com/office/word/2010/wordprocessingShape">
                    <wps:wsp>
                      <wps:cNvSpPr txBox="1"/>
                      <wps:spPr>
                        <a:xfrm>
                          <a:off x="0" y="0"/>
                          <a:ext cx="5537835" cy="7187609"/>
                        </a:xfrm>
                        <a:prstGeom prst="rect">
                          <a:avLst/>
                        </a:prstGeom>
                        <a:solidFill>
                          <a:sysClr val="window" lastClr="FFFFFF"/>
                        </a:solidFill>
                        <a:ln w="6350">
                          <a:solidFill>
                            <a:prstClr val="black"/>
                          </a:solidFill>
                        </a:ln>
                        <a:effectLst/>
                      </wps:spPr>
                      <wps:txb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Combaterea fraudei:</w:t>
                            </w:r>
                            <w:r>
                              <w:rPr>
                                <w:rFonts w:ascii="Times New Roman" w:hAnsi="Times New Roman" w:cs="Times New Roman"/>
                                <w:b/>
                                <w:color w:val="0000FF"/>
                                <w:sz w:val="24"/>
                                <w:szCs w:val="24"/>
                              </w:rPr>
                              <w:br/>
                            </w:r>
                            <w:r>
                              <w:rPr>
                                <w:rFonts w:ascii="Times New Roman" w:hAnsi="Times New Roman"/>
                                <w:b/>
                                <w:color w:val="0000FF"/>
                                <w:sz w:val="24"/>
                              </w:rPr>
                              <w:t>Principiile directoare și standardele-țintă</w:t>
                            </w:r>
                          </w:p>
                          <w:p>
                            <w:pPr>
                              <w:rPr>
                                <w:rFonts w:ascii="Times New Roman" w:hAnsi="Times New Roman" w:cs="Times New Roman"/>
                                <w:b/>
                                <w:color w:val="0000FF"/>
                                <w:sz w:val="24"/>
                                <w:szCs w:val="24"/>
                              </w:rPr>
                            </w:pPr>
                            <w:r>
                              <w:rPr>
                                <w:rFonts w:ascii="Times New Roman" w:hAnsi="Times New Roman"/>
                                <w:color w:val="0000FF"/>
                                <w:sz w:val="24"/>
                              </w:rPr>
                              <w:t>●</w:t>
                            </w:r>
                            <w:r>
                              <w:tab/>
                            </w:r>
                            <w:r>
                              <w:rPr>
                                <w:rFonts w:ascii="Times New Roman" w:hAnsi="Times New Roman"/>
                                <w:b/>
                                <w:color w:val="0000FF"/>
                                <w:sz w:val="24"/>
                              </w:rPr>
                              <w:t>toleranță zero față de fraudă;</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combaterea fraudei ca parte integrantă a controlului intern;</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raportul cost-eficacitate al controalelor;</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integritatea profesională și competența personalului UE;</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transparența privind modul în care sunt utilizate fondurile UE;</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prevenirea fraudei, în special protecția împotriva fraudei a programelor de cheltuieli;</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capacitatea de investigare eficace și schimbul de informații în timp util;</w:t>
                            </w:r>
                          </w:p>
                          <w:p>
                            <w:pPr>
                              <w:ind w:left="851" w:hanging="851"/>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corectarea rapidă (inclusiv recuperarea fondurilor fraudate și sancțiuni judiciare/administrative);</w:t>
                            </w:r>
                          </w:p>
                          <w:p>
                            <w:pPr>
                              <w:ind w:left="851" w:hanging="851"/>
                              <w:rPr>
                                <w:rFonts w:ascii="Times New Roman" w:hAnsi="Times New Roman" w:cs="Times New Roman"/>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buna cooperare dintre actorii interni și externi,</w:t>
                            </w:r>
                            <w:r>
                              <w:rPr>
                                <w:rFonts w:ascii="Times New Roman" w:hAnsi="Times New Roman"/>
                                <w:color w:val="0000FF"/>
                                <w:sz w:val="24"/>
                                <w:lang w:val="it-IT"/>
                              </w:rPr>
                              <w:t xml:space="preserve"> </w:t>
                            </w:r>
                            <w:r>
                              <w:rPr>
                                <w:rFonts w:ascii="Times New Roman" w:hAnsi="Times New Roman" w:cs="Times New Roman"/>
                                <w:color w:val="0000FF"/>
                                <w:sz w:val="24"/>
                                <w:szCs w:val="24"/>
                                <w:lang w:val="it-IT"/>
                              </w:rPr>
                              <w:br/>
                            </w:r>
                            <w:r>
                              <w:rPr>
                                <w:rFonts w:ascii="Times New Roman" w:hAnsi="Times New Roman"/>
                                <w:color w:val="0000FF"/>
                                <w:sz w:val="24"/>
                                <w:lang w:val="it-IT"/>
                              </w:rPr>
                              <w:t>în special dintre UE și autoritățile naționale responsabile și dintre departamentele tuturor instituțiilor și organismelor UE în cauză;</w:t>
                            </w:r>
                          </w:p>
                          <w:p>
                            <w:pPr>
                              <w:pStyle w:val="ListParagraph"/>
                              <w:numPr>
                                <w:ilvl w:val="0"/>
                                <w:numId w:val="8"/>
                              </w:numPr>
                              <w:ind w:left="851" w:hanging="851"/>
                              <w:rPr>
                                <w:rFonts w:ascii="Times New Roman" w:hAnsi="Times New Roman" w:cs="Times New Roman"/>
                                <w:color w:val="0000FF"/>
                                <w:sz w:val="24"/>
                                <w:szCs w:val="24"/>
                              </w:rPr>
                            </w:pPr>
                            <w:r>
                              <w:rPr>
                                <w:rFonts w:ascii="Times New Roman" w:hAnsi="Times New Roman"/>
                                <w:b/>
                                <w:color w:val="0000FF"/>
                                <w:sz w:val="24"/>
                              </w:rPr>
                              <w:t>comunicarea internă și externă eficace cu privire la combaterea fraudei.</w:t>
                            </w:r>
                          </w:p>
                          <w:p>
                            <w:pPr>
                              <w:rPr>
                                <w:rFonts w:ascii="Times New Roman" w:hAnsi="Times New Roman" w:cs="Times New Roman"/>
                                <w:color w:val="0000FF"/>
                                <w:sz w:val="24"/>
                                <w:szCs w:val="24"/>
                                <w:lang w:val="it-IT"/>
                              </w:rPr>
                            </w:pPr>
                            <w:r>
                              <w:rPr>
                                <w:rFonts w:ascii="Times New Roman" w:hAnsi="Times New Roman"/>
                                <w:color w:val="0000FF"/>
                                <w:sz w:val="24"/>
                                <w:lang w:val="it-IT"/>
                              </w:rPr>
                              <w:t xml:space="preserve">Pentru a soluționa posibilele conflicte dintre primul și al treilea principiu, </w:t>
                            </w:r>
                            <w:r>
                              <w:rPr>
                                <w:rFonts w:ascii="Times New Roman" w:hAnsi="Times New Roman" w:cs="Times New Roman"/>
                                <w:color w:val="0000FF"/>
                                <w:sz w:val="24"/>
                                <w:szCs w:val="24"/>
                                <w:lang w:val="it-IT"/>
                              </w:rPr>
                              <w:br/>
                            </w:r>
                            <w:r>
                              <w:rPr>
                                <w:rFonts w:ascii="Times New Roman" w:hAnsi="Times New Roman"/>
                                <w:color w:val="0000FF"/>
                                <w:sz w:val="24"/>
                                <w:lang w:val="it-IT"/>
                              </w:rPr>
                              <w:t>sunt esențiali doi factori:</w:t>
                            </w:r>
                          </w:p>
                          <w:p>
                            <w:pPr>
                              <w:pStyle w:val="ListParagraph"/>
                              <w:numPr>
                                <w:ilvl w:val="1"/>
                                <w:numId w:val="2"/>
                              </w:numPr>
                              <w:ind w:left="924" w:hanging="357"/>
                              <w:jc w:val="both"/>
                              <w:rPr>
                                <w:rFonts w:ascii="Times New Roman" w:hAnsi="Times New Roman" w:cs="Times New Roman"/>
                                <w:color w:val="0000FF"/>
                                <w:sz w:val="24"/>
                                <w:szCs w:val="24"/>
                                <w:lang w:val="it-IT"/>
                              </w:rPr>
                            </w:pPr>
                            <w:r>
                              <w:rPr>
                                <w:rFonts w:ascii="Times New Roman" w:hAnsi="Times New Roman"/>
                                <w:color w:val="0000FF"/>
                                <w:sz w:val="24"/>
                                <w:lang w:val="it-IT"/>
                              </w:rPr>
                              <w:t>este imperativ să se țină seama pe deplin de reputație atunci când se aplică cerința referitoare la raportul cost-eficacitate în cazul controalelor antifraudă, în special în cazurile de fraudă internă.</w:t>
                            </w:r>
                            <w:r>
                              <w:rPr>
                                <w:lang w:val="it-IT"/>
                              </w:rPr>
                              <w:tab/>
                            </w:r>
                            <w:r>
                              <w:rPr>
                                <w:rFonts w:ascii="Times New Roman" w:hAnsi="Times New Roman" w:cs="Times New Roman"/>
                                <w:color w:val="0000FF"/>
                                <w:sz w:val="24"/>
                                <w:szCs w:val="24"/>
                                <w:lang w:val="it-IT"/>
                              </w:rPr>
                              <w:br/>
                            </w:r>
                          </w:p>
                          <w:p>
                            <w:pPr>
                              <w:pStyle w:val="ListParagraph"/>
                              <w:numPr>
                                <w:ilvl w:val="1"/>
                                <w:numId w:val="2"/>
                              </w:numPr>
                              <w:ind w:left="924" w:hanging="357"/>
                              <w:jc w:val="both"/>
                              <w:rPr>
                                <w:rFonts w:ascii="Times New Roman" w:hAnsi="Times New Roman" w:cs="Times New Roman"/>
                                <w:color w:val="0000FF"/>
                                <w:sz w:val="24"/>
                                <w:szCs w:val="24"/>
                                <w:lang w:val="it-IT"/>
                              </w:rPr>
                            </w:pPr>
                            <w:r>
                              <w:rPr>
                                <w:rFonts w:ascii="Times New Roman" w:hAnsi="Times New Roman"/>
                                <w:color w:val="0000FF"/>
                                <w:sz w:val="24"/>
                                <w:lang w:val="it-IT"/>
                              </w:rPr>
                              <w:t>Nu este posibilă prevenirea completă a fraudei, însă, imediat ce există indicii că este posibil să se fi comis o fraudă, sunt esențiale acțiunile rapide: OLAF ar trebui să fie informat fără întârziere, este posibil să fie necesară adoptarea unor măsuri de precauție, iar recuperarea ar trebui să înceapă cât mai rapid posibil.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7" type="#_x0000_t202" style="width:436.05pt;height:56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" fillcolor="window" strokeweight=".5pt">
                <v:textbox>
                  <w:txbxContent>
                    <w:p>
                      <w:pPr>
                        <w:spacing w:after="360"/>
                        <w:jc w:val="center"/>
                        <w:rPr>
                          <w:rFonts w:ascii="Times New Roman" w:hAnsi="Times New Roman" w:cs="Times New Roman"/>
                          <w:b/>
                          <w:color w:val="0000FF"/>
                          <w:sz w:val="24"/>
                          <w:szCs w:val="24"/>
                        </w:rPr>
                      </w:pPr>
                      <w:r>
                        <w:rPr>
                          <w:rFonts w:ascii="Times New Roman" w:hAnsi="Times New Roman"/>
                          <w:b/>
                          <w:color w:val="0000FF"/>
                          <w:sz w:val="24"/>
                        </w:rPr>
                        <w:t>Combaterea fraudei:</w:t>
                      </w:r>
                      <w:r>
                        <w:rPr>
                          <w:rFonts w:ascii="Times New Roman" w:hAnsi="Times New Roman" w:cs="Times New Roman"/>
                          <w:b/>
                          <w:color w:val="0000FF"/>
                          <w:sz w:val="24"/>
                          <w:szCs w:val="24"/>
                        </w:rPr>
                        <w:br/>
                      </w:r>
                      <w:r>
                        <w:rPr>
                          <w:rFonts w:ascii="Times New Roman" w:hAnsi="Times New Roman"/>
                          <w:b/>
                          <w:color w:val="0000FF"/>
                          <w:sz w:val="24"/>
                        </w:rPr>
                        <w:t>Principiile directoare și standardele-țintă</w:t>
                      </w:r>
                    </w:p>
                    <w:p>
                      <w:pPr>
                        <w:rPr>
                          <w:rFonts w:ascii="Times New Roman" w:hAnsi="Times New Roman" w:cs="Times New Roman"/>
                          <w:b/>
                          <w:color w:val="0000FF"/>
                          <w:sz w:val="24"/>
                          <w:szCs w:val="24"/>
                        </w:rPr>
                      </w:pPr>
                      <w:r>
                        <w:rPr>
                          <w:rFonts w:ascii="Times New Roman" w:hAnsi="Times New Roman"/>
                          <w:color w:val="0000FF"/>
                          <w:sz w:val="24"/>
                        </w:rPr>
                        <w:t>●</w:t>
                      </w:r>
                      <w:r>
                        <w:tab/>
                      </w:r>
                      <w:r>
                        <w:rPr>
                          <w:rFonts w:ascii="Times New Roman" w:hAnsi="Times New Roman"/>
                          <w:b/>
                          <w:color w:val="0000FF"/>
                          <w:sz w:val="24"/>
                        </w:rPr>
                        <w:t>toleranță zero față de fraudă;</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combaterea fraudei ca parte integrantă a controlului intern;</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raportul cost-eficacitate al controalelor;</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integritatea profesională și competența personalului UE;</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transparența privind modul în care sunt utilizate fondurile UE;</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prevenirea fraudei, în special protecția împotriva fraudei a programelor de cheltuieli;</w:t>
                      </w:r>
                    </w:p>
                    <w:p>
                      <w:pPr>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capacitatea de investigare eficace și schimbul de informații în timp util;</w:t>
                      </w:r>
                    </w:p>
                    <w:p>
                      <w:pPr>
                        <w:ind w:left="851" w:hanging="851"/>
                        <w:rPr>
                          <w:rFonts w:ascii="Times New Roman" w:hAnsi="Times New Roman" w:cs="Times New Roman"/>
                          <w:b/>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corectarea rapidă (inclusiv recuperarea fondurilor fraudate și sancțiuni judiciare/administrative);</w:t>
                      </w:r>
                    </w:p>
                    <w:p>
                      <w:pPr>
                        <w:ind w:left="851" w:hanging="851"/>
                        <w:rPr>
                          <w:rFonts w:ascii="Times New Roman" w:hAnsi="Times New Roman" w:cs="Times New Roman"/>
                          <w:color w:val="0000FF"/>
                          <w:sz w:val="24"/>
                          <w:szCs w:val="24"/>
                          <w:lang w:val="it-IT"/>
                        </w:rPr>
                      </w:pPr>
                      <w:r>
                        <w:rPr>
                          <w:rFonts w:ascii="Times New Roman" w:hAnsi="Times New Roman"/>
                          <w:b/>
                          <w:color w:val="0000FF"/>
                          <w:sz w:val="24"/>
                          <w:lang w:val="it-IT"/>
                        </w:rPr>
                        <w:t>●</w:t>
                      </w:r>
                      <w:r>
                        <w:rPr>
                          <w:lang w:val="it-IT"/>
                        </w:rPr>
                        <w:tab/>
                      </w:r>
                      <w:r>
                        <w:rPr>
                          <w:rFonts w:ascii="Times New Roman" w:hAnsi="Times New Roman"/>
                          <w:b/>
                          <w:color w:val="0000FF"/>
                          <w:sz w:val="24"/>
                          <w:lang w:val="it-IT"/>
                        </w:rPr>
                        <w:t>buna cooperare dintre actorii interni și externi,</w:t>
                      </w:r>
                      <w:r>
                        <w:rPr>
                          <w:rFonts w:ascii="Times New Roman" w:hAnsi="Times New Roman"/>
                          <w:color w:val="0000FF"/>
                          <w:sz w:val="24"/>
                          <w:lang w:val="it-IT"/>
                        </w:rPr>
                        <w:t xml:space="preserve"> </w:t>
                      </w:r>
                      <w:r>
                        <w:rPr>
                          <w:rFonts w:ascii="Times New Roman" w:hAnsi="Times New Roman" w:cs="Times New Roman"/>
                          <w:color w:val="0000FF"/>
                          <w:sz w:val="24"/>
                          <w:szCs w:val="24"/>
                          <w:lang w:val="it-IT"/>
                        </w:rPr>
                        <w:br/>
                      </w:r>
                      <w:r>
                        <w:rPr>
                          <w:rFonts w:ascii="Times New Roman" w:hAnsi="Times New Roman"/>
                          <w:color w:val="0000FF"/>
                          <w:sz w:val="24"/>
                          <w:lang w:val="it-IT"/>
                        </w:rPr>
                        <w:t>în special dintre UE și autoritățile naționale responsabile și dintre departamentele tuturor instituțiilor și organismelor UE în cauză;</w:t>
                      </w:r>
                    </w:p>
                    <w:p>
                      <w:pPr>
                        <w:pStyle w:val="ListParagraph"/>
                        <w:numPr>
                          <w:ilvl w:val="0"/>
                          <w:numId w:val="8"/>
                        </w:numPr>
                        <w:ind w:left="851" w:hanging="851"/>
                        <w:rPr>
                          <w:rFonts w:ascii="Times New Roman" w:hAnsi="Times New Roman" w:cs="Times New Roman"/>
                          <w:color w:val="0000FF"/>
                          <w:sz w:val="24"/>
                          <w:szCs w:val="24"/>
                        </w:rPr>
                      </w:pPr>
                      <w:r>
                        <w:rPr>
                          <w:rFonts w:ascii="Times New Roman" w:hAnsi="Times New Roman"/>
                          <w:b/>
                          <w:color w:val="0000FF"/>
                          <w:sz w:val="24"/>
                        </w:rPr>
                        <w:t>comunicarea internă și externă eficace cu privire la combaterea fraudei.</w:t>
                      </w:r>
                    </w:p>
                    <w:p>
                      <w:pPr>
                        <w:rPr>
                          <w:rFonts w:ascii="Times New Roman" w:hAnsi="Times New Roman" w:cs="Times New Roman"/>
                          <w:color w:val="0000FF"/>
                          <w:sz w:val="24"/>
                          <w:szCs w:val="24"/>
                          <w:lang w:val="it-IT"/>
                        </w:rPr>
                      </w:pPr>
                      <w:r>
                        <w:rPr>
                          <w:rFonts w:ascii="Times New Roman" w:hAnsi="Times New Roman"/>
                          <w:color w:val="0000FF"/>
                          <w:sz w:val="24"/>
                          <w:lang w:val="it-IT"/>
                        </w:rPr>
                        <w:t xml:space="preserve">Pentru a soluționa posibilele conflicte dintre primul și al treilea principiu, </w:t>
                      </w:r>
                      <w:r>
                        <w:rPr>
                          <w:rFonts w:ascii="Times New Roman" w:hAnsi="Times New Roman" w:cs="Times New Roman"/>
                          <w:color w:val="0000FF"/>
                          <w:sz w:val="24"/>
                          <w:szCs w:val="24"/>
                          <w:lang w:val="it-IT"/>
                        </w:rPr>
                        <w:br/>
                      </w:r>
                      <w:r>
                        <w:rPr>
                          <w:rFonts w:ascii="Times New Roman" w:hAnsi="Times New Roman"/>
                          <w:color w:val="0000FF"/>
                          <w:sz w:val="24"/>
                          <w:lang w:val="it-IT"/>
                        </w:rPr>
                        <w:t>sunt esențiali doi factori:</w:t>
                      </w:r>
                    </w:p>
                    <w:p>
                      <w:pPr>
                        <w:pStyle w:val="ListParagraph"/>
                        <w:numPr>
                          <w:ilvl w:val="1"/>
                          <w:numId w:val="2"/>
                        </w:numPr>
                        <w:ind w:left="924" w:hanging="357"/>
                        <w:jc w:val="both"/>
                        <w:rPr>
                          <w:rFonts w:ascii="Times New Roman" w:hAnsi="Times New Roman" w:cs="Times New Roman"/>
                          <w:color w:val="0000FF"/>
                          <w:sz w:val="24"/>
                          <w:szCs w:val="24"/>
                          <w:lang w:val="it-IT"/>
                        </w:rPr>
                      </w:pPr>
                      <w:r>
                        <w:rPr>
                          <w:rFonts w:ascii="Times New Roman" w:hAnsi="Times New Roman"/>
                          <w:color w:val="0000FF"/>
                          <w:sz w:val="24"/>
                          <w:lang w:val="it-IT"/>
                        </w:rPr>
                        <w:t>este imperativ să se țină seama pe deplin de reputație atunci când se aplică cerința referitoare la raportul cost-eficacitate în cazul controalelor antifraudă, în special în cazurile de fraudă internă.</w:t>
                      </w:r>
                      <w:r>
                        <w:rPr>
                          <w:lang w:val="it-IT"/>
                        </w:rPr>
                        <w:tab/>
                      </w:r>
                      <w:r>
                        <w:rPr>
                          <w:rFonts w:ascii="Times New Roman" w:hAnsi="Times New Roman" w:cs="Times New Roman"/>
                          <w:color w:val="0000FF"/>
                          <w:sz w:val="24"/>
                          <w:szCs w:val="24"/>
                          <w:lang w:val="it-IT"/>
                        </w:rPr>
                        <w:br/>
                      </w:r>
                    </w:p>
                    <w:p>
                      <w:pPr>
                        <w:pStyle w:val="ListParagraph"/>
                        <w:numPr>
                          <w:ilvl w:val="1"/>
                          <w:numId w:val="2"/>
                        </w:numPr>
                        <w:ind w:left="924" w:hanging="357"/>
                        <w:jc w:val="both"/>
                        <w:rPr>
                          <w:rFonts w:ascii="Times New Roman" w:hAnsi="Times New Roman" w:cs="Times New Roman"/>
                          <w:color w:val="0000FF"/>
                          <w:sz w:val="24"/>
                          <w:szCs w:val="24"/>
                          <w:lang w:val="it-IT"/>
                        </w:rPr>
                      </w:pPr>
                      <w:r>
                        <w:rPr>
                          <w:rFonts w:ascii="Times New Roman" w:hAnsi="Times New Roman"/>
                          <w:color w:val="0000FF"/>
                          <w:sz w:val="24"/>
                          <w:lang w:val="it-IT"/>
                        </w:rPr>
                        <w:t>Nu este posibilă prevenirea completă a fraudei, însă, imediat ce există indicii că este posibil să se fi comis o fraudă, sunt esențiale acțiunile rapide: OLAF ar trebui să fie informat fără întârziere, este posibil să fie necesară adoptarea unor măsuri de precauție, iar recuperarea ar trebui să înceapă cât mai rapid posibil.</w:t>
                      </w:r>
                    </w:p>
                  </w:txbxContent>
                </v:textbox>
                <w10:anchorlock/>
              </v:shape>
            </w:pict>
          </mc:Fallback>
        </mc:AlternateContent>
      </w:r>
    </w:p>
    <w:p>
      <w:pPr>
        <w:pStyle w:val="Heading2"/>
        <w:numPr>
          <w:ilvl w:val="0"/>
          <w:numId w:val="0"/>
        </w:numPr>
        <w:ind w:left="576" w:hanging="576"/>
        <w:rPr>
          <w:noProof/>
          <w:lang w:val="ro-RO"/>
        </w:rPr>
      </w:pPr>
      <w:bookmarkStart w:id="12" w:name="_Toc6414618"/>
      <w:r>
        <w:rPr>
          <w:noProof/>
          <w:lang w:val="ro-RO"/>
        </w:rPr>
        <w:t>4.2.</w:t>
      </w:r>
      <w:r>
        <w:rPr>
          <w:noProof/>
          <w:lang w:val="ro-RO"/>
        </w:rPr>
        <w:tab/>
        <w:t>Prioritățile noii SAFC</w:t>
      </w:r>
      <w:bookmarkEnd w:id="12"/>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Pe baza evaluării riscului de fraudă și ținând seama de recomandările din Raportul special al CCE menționat anterior</w:t>
      </w:r>
      <w:r>
        <w:rPr>
          <w:rFonts w:ascii="Times New Roman" w:hAnsi="Times New Roman"/>
          <w:noProof/>
          <w:sz w:val="24"/>
          <w:vertAlign w:val="superscript"/>
          <w:lang w:val="ro-RO"/>
        </w:rPr>
        <w:footnoteReference w:id="45"/>
      </w:r>
      <w:r>
        <w:rPr>
          <w:rFonts w:ascii="Times New Roman" w:hAnsi="Times New Roman"/>
          <w:noProof/>
          <w:sz w:val="24"/>
          <w:lang w:val="ro-RO"/>
        </w:rPr>
        <w:t>, Comisia a stabilit două obiective prioritare, legate de îmbunătățirea (i) colectării și analizării datelor și (ii) a coordonării, a cooperării și a proceselor.</w:t>
      </w:r>
    </w:p>
    <w:p>
      <w:pPr>
        <w:spacing w:after="120"/>
        <w:jc w:val="both"/>
        <w:rPr>
          <w:rFonts w:ascii="Times New Roman" w:hAnsi="Times New Roman" w:cs="Times New Roman"/>
          <w:noProof/>
          <w:sz w:val="24"/>
          <w:szCs w:val="24"/>
          <w:lang w:val="ro-RO"/>
        </w:rPr>
      </w:pPr>
    </w:p>
    <w:p>
      <w:pPr>
        <w:pStyle w:val="Heading2"/>
        <w:numPr>
          <w:ilvl w:val="0"/>
          <w:numId w:val="0"/>
        </w:numPr>
        <w:spacing w:after="120"/>
        <w:ind w:left="851" w:hanging="851"/>
        <w:rPr>
          <w:rStyle w:val="Heading2Char"/>
          <w:rFonts w:eastAsiaTheme="minorHAnsi"/>
          <w:b/>
          <w:noProof/>
          <w:lang w:val="ro-RO"/>
        </w:rPr>
      </w:pPr>
      <w:bookmarkStart w:id="13" w:name="_Toc6414619"/>
      <w:r>
        <w:rPr>
          <w:rStyle w:val="Heading2Char"/>
          <w:rFonts w:eastAsiaTheme="minorHAnsi"/>
          <w:b/>
          <w:noProof/>
          <w:lang w:val="ro-RO"/>
        </w:rPr>
        <w:t>4.2.1.</w:t>
      </w:r>
      <w:r>
        <w:rPr>
          <w:noProof/>
          <w:lang w:val="ro-RO"/>
        </w:rPr>
        <w:tab/>
      </w:r>
      <w:r>
        <w:rPr>
          <w:rStyle w:val="Heading2Char"/>
          <w:rFonts w:eastAsiaTheme="minorHAnsi"/>
          <w:b/>
          <w:noProof/>
          <w:lang w:val="ro-RO"/>
        </w:rPr>
        <w:t>Obiectivul nr. 1: colectarea și analizarea datelor</w:t>
      </w:r>
      <w:bookmarkEnd w:id="13"/>
    </w:p>
    <w:p>
      <w:pPr>
        <w:spacing w:after="120"/>
        <w:ind w:left="851"/>
        <w:jc w:val="both"/>
        <w:rPr>
          <w:rFonts w:ascii="Times New Roman" w:hAnsi="Times New Roman" w:cs="Times New Roman"/>
          <w:b/>
          <w:noProof/>
          <w:sz w:val="24"/>
          <w:szCs w:val="24"/>
          <w:lang w:val="ro-RO"/>
        </w:rPr>
      </w:pPr>
      <w:r>
        <w:rPr>
          <w:rFonts w:ascii="Times New Roman" w:hAnsi="Times New Roman"/>
          <w:b/>
          <w:noProof/>
          <w:sz w:val="24"/>
          <w:lang w:val="ro-RO"/>
        </w:rPr>
        <w:t>Îmbunătățirea în continuare a înțelegerii tiparelor de fraudă, a profilurilor autorilor fraudelor și a vulnerabilităților sistemice legate de frauda care afectează bugetul UE.</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Colectarea și analizarea datelor ajută actorii, auditorii și investigatorii financiari și contribuie la lupta UE împotriva fraudei, în special prin:</w:t>
      </w:r>
    </w:p>
    <w:p>
      <w:pPr>
        <w:pStyle w:val="ListParagraph"/>
        <w:numPr>
          <w:ilvl w:val="0"/>
          <w:numId w:val="1"/>
        </w:numPr>
        <w:jc w:val="both"/>
        <w:rPr>
          <w:rFonts w:ascii="Times New Roman" w:hAnsi="Times New Roman" w:cs="Times New Roman"/>
          <w:noProof/>
          <w:sz w:val="24"/>
          <w:szCs w:val="24"/>
          <w:lang w:val="ro-RO"/>
        </w:rPr>
      </w:pPr>
      <w:r>
        <w:rPr>
          <w:rFonts w:ascii="Times New Roman" w:hAnsi="Times New Roman"/>
          <w:noProof/>
          <w:sz w:val="24"/>
          <w:lang w:val="ro-RO"/>
        </w:rPr>
        <w:t>observarea „peisajului de (anti)fraudă” din UE și din afara acesteia și furnizarea de informații cu privire la tiparele emergente de fraudă și la modalitățile inovatoare de combatere a fraudei;</w:t>
      </w:r>
    </w:p>
    <w:p>
      <w:pPr>
        <w:pStyle w:val="ListParagraph"/>
        <w:numPr>
          <w:ilvl w:val="0"/>
          <w:numId w:val="1"/>
        </w:numPr>
        <w:jc w:val="both"/>
        <w:rPr>
          <w:rFonts w:ascii="Times New Roman" w:hAnsi="Times New Roman" w:cs="Times New Roman"/>
          <w:noProof/>
          <w:sz w:val="24"/>
          <w:szCs w:val="24"/>
          <w:lang w:val="ro-RO"/>
        </w:rPr>
      </w:pPr>
      <w:r>
        <w:rPr>
          <w:rFonts w:ascii="Times New Roman" w:hAnsi="Times New Roman"/>
          <w:noProof/>
          <w:sz w:val="24"/>
          <w:lang w:val="ro-RO"/>
        </w:rPr>
        <w:t>colectarea și analizarea datelor privind cazurile de fraudă dovedite și suspectate, aprofundarea cunoștințelor cu privire la vulnerabilități, la tiparele de fraudă și la profilurile autorilor fraudelor și contribuția la utilizarea sau la adaptarea mecanismelor de control și a resurselor în modul cel mai eficace și mai eficient posibil; și</w:t>
      </w:r>
    </w:p>
    <w:p>
      <w:pPr>
        <w:pStyle w:val="ListParagraph"/>
        <w:numPr>
          <w:ilvl w:val="0"/>
          <w:numId w:val="1"/>
        </w:numPr>
        <w:jc w:val="both"/>
        <w:rPr>
          <w:rFonts w:ascii="Times New Roman" w:hAnsi="Times New Roman" w:cs="Times New Roman"/>
          <w:noProof/>
          <w:sz w:val="24"/>
          <w:szCs w:val="24"/>
          <w:lang w:val="ro-RO"/>
        </w:rPr>
      </w:pPr>
      <w:r>
        <w:rPr>
          <w:rFonts w:ascii="Times New Roman" w:hAnsi="Times New Roman"/>
          <w:noProof/>
          <w:sz w:val="24"/>
          <w:lang w:val="ro-RO"/>
        </w:rPr>
        <w:t>prelucrarea datelor cu privire la profilurile de risc și indicatorii de fraudă, pentru a detecta și a preveni frauda în viitor.</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În ceea ce privește cheltuielile din buget, Comisia deține deja două baze de date care sunt deosebit de importante pentru combaterea fraudei:</w:t>
      </w:r>
    </w:p>
    <w:p>
      <w:pPr>
        <w:pStyle w:val="ListParagraph"/>
        <w:numPr>
          <w:ilvl w:val="0"/>
          <w:numId w:val="10"/>
        </w:numPr>
        <w:spacing w:after="120"/>
        <w:jc w:val="both"/>
        <w:rPr>
          <w:rFonts w:ascii="Times New Roman" w:hAnsi="Times New Roman" w:cs="Times New Roman"/>
          <w:noProof/>
          <w:sz w:val="24"/>
          <w:szCs w:val="24"/>
          <w:lang w:val="ro-RO"/>
        </w:rPr>
      </w:pPr>
      <w:r>
        <w:rPr>
          <w:rFonts w:ascii="Times New Roman" w:hAnsi="Times New Roman"/>
          <w:noProof/>
          <w:sz w:val="24"/>
          <w:lang w:val="ro-RO"/>
        </w:rPr>
        <w:t>baza de date EDES (sistemul de detectare timpurie și de excludere), care înregistrează sancțiunile administrative impuse întreprinderilor nefiabile în cadrul gestiunii directe sau indirecte și care evidențiază riscurile potențiale pe care le prezintă entitățile individuale; și</w:t>
      </w:r>
    </w:p>
    <w:p>
      <w:pPr>
        <w:pStyle w:val="ListParagraph"/>
        <w:numPr>
          <w:ilvl w:val="0"/>
          <w:numId w:val="10"/>
        </w:numPr>
        <w:spacing w:after="120"/>
        <w:jc w:val="both"/>
        <w:rPr>
          <w:rFonts w:ascii="Times New Roman" w:hAnsi="Times New Roman" w:cs="Times New Roman"/>
          <w:noProof/>
          <w:sz w:val="24"/>
          <w:szCs w:val="24"/>
          <w:lang w:val="ro-RO"/>
        </w:rPr>
      </w:pPr>
      <w:r>
        <w:rPr>
          <w:rFonts w:ascii="Times New Roman" w:hAnsi="Times New Roman"/>
          <w:noProof/>
          <w:sz w:val="24"/>
          <w:lang w:val="ro-RO"/>
        </w:rPr>
        <w:t>Sistemul de gestionare a neregulilor (IMS), gestionat de OLAF, prin care statele membre raportează neregulile, inclusiv frauda, detectate în cadrul gestiunii partajate a fondurilor UE.</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Dintr-o multitudine de măsuri detaliate în planul de acțiune, îmbunătățirea monitorizării caracterului complet și a calității datelor și dezvoltarea în continuare a IMS ca instrument analitic vor spori valoarea adăugată a IMS, atât pentru Comisie, cât și pentru statele membre. Comisia s-a angajat să îmbunătățească calitatea și caracterul complet al datelor obținute și analiza naturii sau a metodelor de fraudă detectată, atât:</w:t>
      </w:r>
    </w:p>
    <w:p>
      <w:pPr>
        <w:pStyle w:val="ListParagraph"/>
        <w:numPr>
          <w:ilvl w:val="0"/>
          <w:numId w:val="11"/>
        </w:numPr>
        <w:spacing w:after="120"/>
        <w:jc w:val="both"/>
        <w:rPr>
          <w:rFonts w:ascii="Times New Roman" w:hAnsi="Times New Roman" w:cs="Times New Roman"/>
          <w:noProof/>
          <w:sz w:val="24"/>
          <w:szCs w:val="24"/>
          <w:lang w:val="ro-RO"/>
        </w:rPr>
      </w:pPr>
      <w:r>
        <w:rPr>
          <w:rFonts w:ascii="Times New Roman" w:hAnsi="Times New Roman"/>
          <w:noProof/>
          <w:sz w:val="24"/>
          <w:lang w:val="ro-RO"/>
        </w:rPr>
        <w:t>în general (prin dezvoltarea continuă a analizei datelor IMS și a utilizării altor date disponibile); cât și</w:t>
      </w:r>
    </w:p>
    <w:p>
      <w:pPr>
        <w:pStyle w:val="ListParagraph"/>
        <w:numPr>
          <w:ilvl w:val="0"/>
          <w:numId w:val="11"/>
        </w:numPr>
        <w:spacing w:after="120"/>
        <w:jc w:val="both"/>
        <w:rPr>
          <w:rFonts w:ascii="Times New Roman" w:hAnsi="Times New Roman" w:cs="Times New Roman"/>
          <w:noProof/>
          <w:sz w:val="24"/>
          <w:szCs w:val="24"/>
          <w:lang w:val="ro-RO"/>
        </w:rPr>
      </w:pPr>
      <w:r>
        <w:rPr>
          <w:rFonts w:ascii="Times New Roman" w:hAnsi="Times New Roman"/>
          <w:noProof/>
          <w:sz w:val="24"/>
          <w:lang w:val="ro-RO"/>
        </w:rPr>
        <w:t>în legătură cu sectoarele specifice și/sau statele membre (prin analize mai aprofundate bazate pe o colectare mai amplă, dar adaptată, a datelor și pe o cooperare intensă cu părțile interesate relevante).</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În acest context, Comisia s-a angajat să dezvolte cunoștințe specifice și comparabile cu privire la cadrul antifraudă din diferitele state membre, care reprezintă contextul în care ar trebui interpretate datele privind detectarea. În cele din urmă, această analiză consolidată urmărește să îmbunătățească prevenirea (de exemplu, date mai bune cu privire la tiparele de fraudă și vulnerabilitățile sistemice, pentru care se pot întreprinde acțiuni), detectarea (de exemplu, elaborarea unor indicatori de risc, adaptați sectoarelor sau regiunilor specifice) și investigarea (de exemplu, extinderea cunoștințelor cu privire la activitățile frauduloase).</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O nouă funcție de scanare a informațiilor va fi inclusă în procesul global prin explorarea în mod proactiv a peisajului (anti)fraudă pentru riscurile de fraudă emergente transversale sau specifice sectoarelor. În special, Comisia intenționează să utilizeze instrumentele de evaluare a riscurilor într-un mod mai cuprinzător</w:t>
      </w:r>
      <w:r>
        <w:rPr>
          <w:rFonts w:ascii="Times New Roman" w:hAnsi="Times New Roman"/>
          <w:noProof/>
          <w:sz w:val="24"/>
          <w:vertAlign w:val="superscript"/>
          <w:lang w:val="ro-RO"/>
        </w:rPr>
        <w:footnoteReference w:id="46"/>
      </w:r>
      <w:r>
        <w:rPr>
          <w:rFonts w:ascii="Times New Roman" w:hAnsi="Times New Roman"/>
          <w:noProof/>
          <w:sz w:val="24"/>
          <w:lang w:val="ro-RO"/>
        </w:rPr>
        <w:t xml:space="preserve"> în cadrul gestiunii directe, să exploreze în continuare și să promoveze utilizarea acestora în cadrul gestiunii indirecte și partajate.</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În ceea ce privește veniturile, în domeniul resurselor proprii tradiționale, Comisia deține baza de date OWNRES pentru neregulile raportate de statele membre. Sistemul de informații antifraudă (AFIS) al Comisiei reprezintă o platformă pentru contacte sigure cu autoritățile competente din statele membre și permite cooperarea transnațională eficace în ceea ce privește combaterea fraudei vamale. În plus, Comisia a dezvoltat câteva instrumente pentru monitorizarea și identificarea activităților suspecte</w:t>
      </w:r>
      <w:r>
        <w:rPr>
          <w:rFonts w:ascii="Times New Roman" w:hAnsi="Times New Roman"/>
          <w:noProof/>
          <w:sz w:val="24"/>
          <w:vertAlign w:val="superscript"/>
          <w:lang w:val="ro-RO"/>
        </w:rPr>
        <w:footnoteReference w:id="47"/>
      </w:r>
      <w:r>
        <w:rPr>
          <w:rFonts w:ascii="Times New Roman" w:hAnsi="Times New Roman"/>
          <w:noProof/>
          <w:sz w:val="24"/>
          <w:lang w:val="ro-RO"/>
        </w:rPr>
        <w:t>. Această activitate este realizată în cooperare cu statele membre. Comisia își va spori în continuare capacitățile analitice în acest domeniu. Scopul este să se cerceteze, sprijine și faciliteze schimbul de cunoștințe, bune practici și lecții învățate în ceea ce privește analiza datelor, în beneficiul lucrătorilor vamali care combat fraudele. Obiectivul final este să se instituie o comunitate de experți în acest domeniu, să se îmbunătățească colaborarea în rândul tuturor actorilor în cauză și să se aducă o valoare adăugată europeană reală.</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De asemenea, creșterea disponibilității datelor și rafinarea continuă a tehnicilor de analiză și a instrumentelor informatice pot îmbunătăți calitatea și cantitatea informațiilor primite de OLAF, care sunt necesare pentru investigații. În cele din urmă, acest lucru poate conduce la inițierea mai multor investigații și a unor investigații mai bine orientate pe termen mediu și lung.</w:t>
      </w:r>
    </w:p>
    <w:p>
      <w:pPr>
        <w:spacing w:after="120"/>
        <w:jc w:val="both"/>
        <w:rPr>
          <w:rFonts w:ascii="Times New Roman" w:hAnsi="Times New Roman" w:cs="Times New Roman"/>
          <w:noProof/>
          <w:lang w:val="ro-RO"/>
        </w:rPr>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pPr>
      <w:r>
        <w:rPr>
          <w:rFonts w:ascii="Times New Roman" w:hAnsi="Times New Roman"/>
          <w:noProof/>
          <w:sz w:val="24"/>
          <w:lang w:val="ro-RO"/>
        </w:rPr>
        <w:t>Este evident că prelucrarea și colectare datelor vor respecta legislația privind protecția datelor și alte dispoziții aplicabile.</w:t>
      </w:r>
      <w:r>
        <w:rPr>
          <w:noProof/>
          <w:lang w:val="ro-RO"/>
        </w:rPr>
        <w:tab/>
      </w:r>
      <w:r>
        <w:rPr>
          <w:rFonts w:ascii="Times New Roman" w:hAnsi="Times New Roman"/>
          <w:noProof/>
          <w:lang w:val="ro-RO"/>
        </w:rPr>
        <w:t xml:space="preserve"> </w:t>
      </w:r>
    </w:p>
    <w:p>
      <w:pPr>
        <w:spacing w:after="120" w:line="360" w:lineRule="auto"/>
        <w:jc w:val="center"/>
        <w:rPr>
          <w:rFonts w:cstheme="minorHAnsi"/>
          <w:b/>
          <w:noProof/>
          <w:sz w:val="28"/>
          <w:szCs w:val="28"/>
          <w:lang w:val="ro-RO"/>
        </w:rPr>
      </w:pPr>
      <w:r>
        <w:rPr>
          <w:rFonts w:cstheme="minorHAnsi"/>
          <w:b/>
          <w:noProof/>
          <w:sz w:val="28"/>
          <w:lang w:val="ro-RO"/>
        </w:rPr>
        <w:t>Colectarea și analizarea datelor referitoare la fraudă</w:t>
      </w:r>
    </w:p>
    <w:p>
      <w:pPr>
        <w:spacing w:after="120" w:line="360" w:lineRule="auto"/>
        <w:jc w:val="center"/>
        <w:rPr>
          <w:rFonts w:cstheme="minorHAnsi"/>
          <w:b/>
          <w:noProof/>
          <w:sz w:val="28"/>
          <w:szCs w:val="28"/>
          <w:lang w:val="ro-RO"/>
        </w:rPr>
      </w:pPr>
      <w:r>
        <w:rPr>
          <w:rFonts w:cstheme="minorHAnsi"/>
          <w:b/>
          <w:noProof/>
          <w:lang w:eastAsia="en-GB"/>
        </w:rPr>
        <mc:AlternateContent>
          <mc:Choice Requires="wps">
            <w:drawing>
              <wp:anchor distT="0" distB="0" distL="114300" distR="114300" simplePos="0" relativeHeight="251680768" behindDoc="0" locked="0" layoutInCell="1" allowOverlap="1">
                <wp:simplePos x="0" y="0"/>
                <wp:positionH relativeFrom="column">
                  <wp:posOffset>28575</wp:posOffset>
                </wp:positionH>
                <wp:positionV relativeFrom="paragraph">
                  <wp:posOffset>131445</wp:posOffset>
                </wp:positionV>
                <wp:extent cx="1485900" cy="2952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275"/>
                        </a:xfrm>
                        <a:prstGeom prst="rect">
                          <a:avLst/>
                        </a:prstGeom>
                        <a:solidFill>
                          <a:srgbClr val="00B050"/>
                        </a:solidFill>
                        <a:ln w="9525">
                          <a:solidFill>
                            <a:srgbClr val="000000"/>
                          </a:solidFill>
                          <a:miter lim="800000"/>
                          <a:headEnd/>
                          <a:tailEnd/>
                        </a:ln>
                      </wps:spPr>
                      <wps:txbx>
                        <w:txbxContent>
                          <w:p>
                            <w:pPr>
                              <w:rPr>
                                <w:b/>
                                <w:color w:val="FFFFFF" w:themeColor="background1"/>
                              </w:rPr>
                            </w:pPr>
                            <w:r>
                              <w:rPr>
                                <w:b/>
                                <w:color w:val="FFFFFF" w:themeColor="background1"/>
                                <w:sz w:val="23"/>
                              </w:rPr>
                              <w:t>Surse de informații: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25pt;margin-top:10.35pt;width:117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" fillcolor="#00b050">
                <v:textbox>
                  <w:txbxContent>
                    <w:p>
                      <w:pPr>
                        <w:rPr>
                          <w:b/>
                          <w:color w:val="FFFFFF" w:themeColor="background1"/>
                        </w:rPr>
                      </w:pPr>
                      <w:r>
                        <w:rPr>
                          <w:b/>
                          <w:color w:val="FFFFFF" w:themeColor="background1"/>
                          <w:sz w:val="23"/>
                        </w:rPr>
                        <w:t>Surse de informații:</w:t>
                      </w:r>
                    </w:p>
                  </w:txbxContent>
                </v:textbox>
              </v:shape>
            </w:pict>
          </mc:Fallback>
        </mc:AlternateContent>
      </w:r>
    </w:p>
    <w:p>
      <w:pPr>
        <w:spacing w:after="120" w:line="360" w:lineRule="auto"/>
        <w:rPr>
          <w:rFonts w:cstheme="minorHAnsi"/>
          <w:noProof/>
          <w:sz w:val="20"/>
          <w:szCs w:val="20"/>
          <w:lang w:val="ro-RO"/>
        </w:rPr>
      </w:pPr>
      <w:r>
        <w:rPr>
          <w:b/>
          <w:noProof/>
          <w:lang w:eastAsia="en-GB"/>
        </w:rPr>
        <mc:AlternateContent>
          <mc:Choice Requires="wps">
            <w:drawing>
              <wp:anchor distT="0" distB="0" distL="114300" distR="114300" simplePos="0" relativeHeight="251666432" behindDoc="0" locked="0" layoutInCell="1" allowOverlap="1">
                <wp:simplePos x="0" y="0"/>
                <wp:positionH relativeFrom="column">
                  <wp:posOffset>3114675</wp:posOffset>
                </wp:positionH>
                <wp:positionV relativeFrom="paragraph">
                  <wp:posOffset>283845</wp:posOffset>
                </wp:positionV>
                <wp:extent cx="1094740" cy="903605"/>
                <wp:effectExtent l="0" t="0" r="10160" b="10795"/>
                <wp:wrapNone/>
                <wp:docPr id="35" name="Text Box 35"/>
                <wp:cNvGraphicFramePr/>
                <a:graphic xmlns:a="http://schemas.openxmlformats.org/drawingml/2006/main">
                  <a:graphicData uri="http://schemas.microsoft.com/office/word/2010/wordprocessingShape">
                    <wps:wsp>
                      <wps:cNvSpPr txBox="1"/>
                      <wps:spPr>
                        <a:xfrm>
                          <a:off x="0" y="0"/>
                          <a:ext cx="1094740" cy="90360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Alte informații furnizate de instituțiile și organismele UE și de statele membre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245.25pt;margin-top:22.35pt;width:86.2pt;height:7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" fillcolor="#00b050" strokeweight=".5pt">
                <v:textbox>
                  <w:txbxContent>
                    <w:p>
                      <w:pPr>
                        <w:jc w:val="center"/>
                        <w:rPr>
                          <w:b/>
                          <w:color w:val="FFFFFF" w:themeColor="background1"/>
                          <w:sz w:val="18"/>
                          <w:szCs w:val="18"/>
                        </w:rPr>
                      </w:pPr>
                      <w:r>
                        <w:rPr>
                          <w:b/>
                          <w:color w:val="FFFFFF" w:themeColor="background1"/>
                          <w:sz w:val="18"/>
                        </w:rPr>
                        <w:t>Alte informații furnizate de instituțiile și organismele UE și de statele membre</w:t>
                      </w:r>
                    </w:p>
                  </w:txbxContent>
                </v:textbox>
              </v:shape>
            </w:pict>
          </mc:Fallback>
        </mc:AlternateContent>
      </w:r>
      <w:r>
        <w:rPr>
          <w:b/>
          <w:noProof/>
          <w:lang w:eastAsia="en-GB"/>
        </w:rPr>
        <mc:AlternateContent>
          <mc:Choice Requires="wps">
            <w:drawing>
              <wp:anchor distT="0" distB="0" distL="114300" distR="114300" simplePos="0" relativeHeight="251667456" behindDoc="0" locked="0" layoutInCell="1" allowOverlap="1">
                <wp:simplePos x="0" y="0"/>
                <wp:positionH relativeFrom="column">
                  <wp:posOffset>2229485</wp:posOffset>
                </wp:positionH>
                <wp:positionV relativeFrom="paragraph">
                  <wp:posOffset>282575</wp:posOffset>
                </wp:positionV>
                <wp:extent cx="855345" cy="904875"/>
                <wp:effectExtent l="0" t="0" r="20955" b="28575"/>
                <wp:wrapNone/>
                <wp:docPr id="31" name="Text Box 31"/>
                <wp:cNvGraphicFramePr/>
                <a:graphic xmlns:a="http://schemas.openxmlformats.org/drawingml/2006/main">
                  <a:graphicData uri="http://schemas.microsoft.com/office/word/2010/wordprocessingShape">
                    <wps:wsp>
                      <wps:cNvSpPr txBox="1"/>
                      <wps:spPr>
                        <a:xfrm>
                          <a:off x="0" y="0"/>
                          <a:ext cx="85534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Sistemul îmbunătățit de gestionare a neregulilor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margin-left:175.55pt;margin-top:22.25pt;width:67.3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" fillcolor="#00b050" strokeweight=".5pt">
                <v:textbox>
                  <w:txbxContent>
                    <w:p>
                      <w:pPr>
                        <w:jc w:val="center"/>
                        <w:rPr>
                          <w:b/>
                          <w:color w:val="FFFFFF" w:themeColor="background1"/>
                          <w:sz w:val="18"/>
                          <w:szCs w:val="18"/>
                        </w:rPr>
                      </w:pPr>
                      <w:r>
                        <w:rPr>
                          <w:b/>
                          <w:color w:val="FFFFFF" w:themeColor="background1"/>
                          <w:sz w:val="18"/>
                        </w:rPr>
                        <w:t>Sistemul îmbunătățit de gestionare a neregulilor</w:t>
                      </w:r>
                    </w:p>
                  </w:txbxContent>
                </v:textbox>
              </v:shape>
            </w:pict>
          </mc:Fallback>
        </mc:AlternateContent>
      </w: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1169035</wp:posOffset>
                </wp:positionH>
                <wp:positionV relativeFrom="paragraph">
                  <wp:posOffset>283845</wp:posOffset>
                </wp:positionV>
                <wp:extent cx="1020445" cy="904875"/>
                <wp:effectExtent l="0" t="0" r="27305" b="28575"/>
                <wp:wrapNone/>
                <wp:docPr id="28" name="Text Box 28"/>
                <wp:cNvGraphicFramePr/>
                <a:graphic xmlns:a="http://schemas.openxmlformats.org/drawingml/2006/main">
                  <a:graphicData uri="http://schemas.microsoft.com/office/word/2010/wordprocessingShape">
                    <wps:wsp>
                      <wps:cNvSpPr txBox="1"/>
                      <wps:spPr>
                        <a:xfrm>
                          <a:off x="0" y="0"/>
                          <a:ext cx="102044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Investigațiile OLAF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92.05pt;margin-top:22.35pt;width:80.3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" fillcolor="#00b050" strokeweight=".5pt">
                <v:textbox>
                  <w:txbxContent>
                    <w:p>
                      <w:pPr>
                        <w:jc w:val="center"/>
                        <w:rPr>
                          <w:b/>
                          <w:color w:val="FFFFFF" w:themeColor="background1"/>
                          <w:sz w:val="18"/>
                          <w:szCs w:val="18"/>
                        </w:rPr>
                      </w:pPr>
                      <w:r>
                        <w:rPr>
                          <w:b/>
                          <w:color w:val="FFFFFF" w:themeColor="background1"/>
                          <w:sz w:val="18"/>
                        </w:rPr>
                        <w:t>Investigațiile OLAF</w:t>
                      </w:r>
                    </w:p>
                  </w:txbxContent>
                </v:textbox>
              </v:shape>
            </w:pict>
          </mc:Fallback>
        </mc:AlternateContent>
      </w:r>
      <w:r>
        <w:rPr>
          <w:b/>
          <w:noProof/>
          <w:lang w:eastAsia="en-GB"/>
        </w:rPr>
        <mc:AlternateContent>
          <mc:Choice Requires="wps">
            <w:drawing>
              <wp:anchor distT="0" distB="0" distL="114300" distR="114300" simplePos="0" relativeHeight="251671552" behindDoc="0" locked="0" layoutInCell="1" allowOverlap="1">
                <wp:simplePos x="0" y="0"/>
                <wp:positionH relativeFrom="column">
                  <wp:posOffset>5389927</wp:posOffset>
                </wp:positionH>
                <wp:positionV relativeFrom="paragraph">
                  <wp:posOffset>283099</wp:posOffset>
                </wp:positionV>
                <wp:extent cx="781050" cy="9048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781050"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Studii științifice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margin-left:424.4pt;margin-top:22.3pt;width:61.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" fillcolor="#00b050" strokeweight=".5pt">
                <v:textbox>
                  <w:txbxContent>
                    <w:p>
                      <w:pPr>
                        <w:jc w:val="center"/>
                        <w:rPr>
                          <w:b/>
                          <w:color w:val="FFFFFF" w:themeColor="background1"/>
                          <w:sz w:val="18"/>
                          <w:szCs w:val="18"/>
                        </w:rPr>
                      </w:pPr>
                      <w:r>
                        <w:rPr>
                          <w:b/>
                          <w:color w:val="FFFFFF" w:themeColor="background1"/>
                          <w:sz w:val="18"/>
                        </w:rPr>
                        <w:t>Studii științifice</w:t>
                      </w:r>
                    </w:p>
                  </w:txbxContent>
                </v:textbox>
              </v:shape>
            </w:pict>
          </mc:Fallback>
        </mc:AlternateContent>
      </w:r>
      <w:r>
        <w:rPr>
          <w:b/>
          <w:noProof/>
          <w:lang w:eastAsia="en-GB"/>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282575</wp:posOffset>
                </wp:positionV>
                <wp:extent cx="1073785" cy="904875"/>
                <wp:effectExtent l="0" t="0" r="12065" b="28575"/>
                <wp:wrapNone/>
                <wp:docPr id="33" name="Text Box 33"/>
                <wp:cNvGraphicFramePr/>
                <a:graphic xmlns:a="http://schemas.openxmlformats.org/drawingml/2006/main">
                  <a:graphicData uri="http://schemas.microsoft.com/office/word/2010/wordprocessingShape">
                    <wps:wsp>
                      <wps:cNvSpPr txBox="1"/>
                      <wps:spPr>
                        <a:xfrm>
                          <a:off x="0" y="0"/>
                          <a:ext cx="107378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rPr>
                            </w:pPr>
                            <w:r>
                              <w:rPr>
                                <w:b/>
                                <w:color w:val="FFFFFF" w:themeColor="background1"/>
                                <w:sz w:val="18"/>
                              </w:rPr>
                              <w:t>Audituri și baze de date ale Comisiei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3" type="#_x0000_t202" style="position:absolute;margin-left:2.25pt;margin-top:22.25pt;width:84.55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" fillcolor="#00b050" strokeweight=".5pt">
                <v:textbox>
                  <w:txbxContent>
                    <w:p>
                      <w:pPr>
                        <w:jc w:val="center"/>
                        <w:rPr>
                          <w:b/>
                          <w:color w:val="FFFFFF" w:themeColor="background1"/>
                          <w:sz w:val="18"/>
                          <w:szCs w:val="18"/>
                        </w:rPr>
                      </w:pPr>
                      <w:r>
                        <w:rPr>
                          <w:b/>
                          <w:color w:val="FFFFFF" w:themeColor="background1"/>
                          <w:sz w:val="18"/>
                        </w:rPr>
                        <w:t>Audituri și baze de date ale Comisiei</w:t>
                      </w:r>
                    </w:p>
                  </w:txbxContent>
                </v:textbox>
              </v:shape>
            </w:pict>
          </mc:Fallback>
        </mc:AlternateContent>
      </w:r>
      <w:r>
        <w:rPr>
          <w:b/>
          <w:noProof/>
          <w:lang w:eastAsia="en-GB"/>
        </w:rPr>
        <mc:AlternateContent>
          <mc:Choice Requires="wps">
            <w:drawing>
              <wp:anchor distT="0" distB="0" distL="114300" distR="114300" simplePos="0" relativeHeight="251670528" behindDoc="0" locked="0" layoutInCell="1" allowOverlap="1">
                <wp:simplePos x="0" y="0"/>
                <wp:positionH relativeFrom="column">
                  <wp:posOffset>4295775</wp:posOffset>
                </wp:positionH>
                <wp:positionV relativeFrom="paragraph">
                  <wp:posOffset>282575</wp:posOffset>
                </wp:positionV>
                <wp:extent cx="998855" cy="904875"/>
                <wp:effectExtent l="0" t="0" r="10795" b="28575"/>
                <wp:wrapNone/>
                <wp:docPr id="34" name="Text Box 34"/>
                <wp:cNvGraphicFramePr/>
                <a:graphic xmlns:a="http://schemas.openxmlformats.org/drawingml/2006/main">
                  <a:graphicData uri="http://schemas.microsoft.com/office/word/2010/wordprocessingShape">
                    <wps:wsp>
                      <wps:cNvSpPr txBox="1"/>
                      <wps:spPr>
                        <a:xfrm>
                          <a:off x="0" y="0"/>
                          <a:ext cx="998855" cy="904875"/>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b/>
                                <w:color w:val="FFFFFF" w:themeColor="background1"/>
                                <w:sz w:val="18"/>
                                <w:szCs w:val="18"/>
                                <w:lang w:val="fr-FR"/>
                              </w:rPr>
                            </w:pPr>
                            <w:r>
                              <w:rPr>
                                <w:b/>
                                <w:color w:val="FFFFFF" w:themeColor="background1"/>
                                <w:sz w:val="18"/>
                                <w:lang w:val="fr-FR"/>
                              </w:rPr>
                              <w:t>Baze de date publice și comerciale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4" type="#_x0000_t202" style="position:absolute;margin-left:338.25pt;margin-top:22.25pt;width:78.65pt;height:7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" fillcolor="#00b050" strokeweight=".5pt">
                <v:textbox>
                  <w:txbxContent>
                    <w:p>
                      <w:pPr>
                        <w:jc w:val="center"/>
                        <w:rPr>
                          <w:b/>
                          <w:color w:val="FFFFFF" w:themeColor="background1"/>
                          <w:sz w:val="18"/>
                          <w:szCs w:val="18"/>
                          <w:lang w:val="fr-FR"/>
                        </w:rPr>
                      </w:pPr>
                      <w:r>
                        <w:rPr>
                          <w:b/>
                          <w:color w:val="FFFFFF" w:themeColor="background1"/>
                          <w:sz w:val="18"/>
                          <w:lang w:val="fr-FR"/>
                        </w:rPr>
                        <w:t>Baze de date publice și comerciale</w:t>
                      </w:r>
                    </w:p>
                  </w:txbxContent>
                </v:textbox>
              </v:shape>
            </w:pict>
          </mc:Fallback>
        </mc:AlternateContent>
      </w:r>
    </w:p>
    <w:p>
      <w:pPr>
        <w:jc w:val="center"/>
        <w:rPr>
          <w:noProof/>
          <w:lang w:val="ro-RO"/>
        </w:rPr>
      </w:pPr>
    </w:p>
    <w:p>
      <w:pPr>
        <w:jc w:val="center"/>
        <w:rPr>
          <w:noProof/>
          <w:lang w:val="ro-RO"/>
        </w:rPr>
      </w:pPr>
    </w:p>
    <w:p>
      <w:pPr>
        <w:jc w:val="center"/>
        <w:rPr>
          <w:noProof/>
          <w:lang w:val="ro-RO"/>
        </w:rPr>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5163424</wp:posOffset>
                </wp:positionH>
                <wp:positionV relativeFrom="paragraph">
                  <wp:posOffset>238265</wp:posOffset>
                </wp:positionV>
                <wp:extent cx="502920" cy="695342"/>
                <wp:effectExtent l="38100" t="0" r="30480" b="47625"/>
                <wp:wrapNone/>
                <wp:docPr id="36" name="Straight Arrow Connector 36"/>
                <wp:cNvGraphicFramePr/>
                <a:graphic xmlns:a="http://schemas.openxmlformats.org/drawingml/2006/main">
                  <a:graphicData uri="http://schemas.microsoft.com/office/word/2010/wordprocessingShape">
                    <wps:wsp>
                      <wps:cNvCnPr/>
                      <wps:spPr>
                        <a:xfrm flipH="1">
                          <a:off x="0" y="0"/>
                          <a:ext cx="502920" cy="695342"/>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406.55pt;margin-top:18.75pt;width:39.6pt;height:54.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" strokecolor="#4579b8 [3044]" strokeweight="1.5pt">
                <v:stroke endarrow="open"/>
              </v:shape>
            </w:pict>
          </mc:Fallback>
        </mc:AlternateContent>
      </w: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4496499</wp:posOffset>
                </wp:positionH>
                <wp:positionV relativeFrom="paragraph">
                  <wp:posOffset>238265</wp:posOffset>
                </wp:positionV>
                <wp:extent cx="297180" cy="490587"/>
                <wp:effectExtent l="38100" t="0" r="26670" b="62230"/>
                <wp:wrapNone/>
                <wp:docPr id="37" name="Straight Arrow Connector 37"/>
                <wp:cNvGraphicFramePr/>
                <a:graphic xmlns:a="http://schemas.openxmlformats.org/drawingml/2006/main">
                  <a:graphicData uri="http://schemas.microsoft.com/office/word/2010/wordprocessingShape">
                    <wps:wsp>
                      <wps:cNvCnPr/>
                      <wps:spPr>
                        <a:xfrm flipH="1">
                          <a:off x="0" y="0"/>
                          <a:ext cx="297180" cy="490587"/>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354.05pt;margin-top:18.75pt;width:23.4pt;height:38.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" strokecolor="#4579b8 [3044]" strokeweight="1.5pt">
                <v:stroke endarrow="open"/>
              </v:shape>
            </w:pict>
          </mc:Fallback>
        </mc:AlternateContent>
      </w: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3707765</wp:posOffset>
                </wp:positionH>
                <wp:positionV relativeFrom="paragraph">
                  <wp:posOffset>238125</wp:posOffset>
                </wp:positionV>
                <wp:extent cx="0" cy="389255"/>
                <wp:effectExtent l="95250" t="0" r="114300" b="48895"/>
                <wp:wrapNone/>
                <wp:docPr id="38" name="Straight Arrow Connector 38"/>
                <wp:cNvGraphicFramePr/>
                <a:graphic xmlns:a="http://schemas.openxmlformats.org/drawingml/2006/main">
                  <a:graphicData uri="http://schemas.microsoft.com/office/word/2010/wordprocessingShape">
                    <wps:wsp>
                      <wps:cNvCnPr/>
                      <wps:spPr>
                        <a:xfrm>
                          <a:off x="0" y="0"/>
                          <a:ext cx="0" cy="38925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8" o:spid="_x0000_s1026" type="#_x0000_t32" style="position:absolute;margin-left:291.95pt;margin-top:18.75pt;width:0;height:30.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" strokecolor="#4579b8 [3044]" strokeweight="1.5pt">
                <v:stroke endarrow="open"/>
              </v:shape>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1761490</wp:posOffset>
                </wp:positionH>
                <wp:positionV relativeFrom="paragraph">
                  <wp:posOffset>238125</wp:posOffset>
                </wp:positionV>
                <wp:extent cx="156210" cy="414655"/>
                <wp:effectExtent l="0" t="0" r="72390" b="61595"/>
                <wp:wrapNone/>
                <wp:docPr id="39" name="Straight Arrow Connector 39"/>
                <wp:cNvGraphicFramePr/>
                <a:graphic xmlns:a="http://schemas.openxmlformats.org/drawingml/2006/main">
                  <a:graphicData uri="http://schemas.microsoft.com/office/word/2010/wordprocessingShape">
                    <wps:wsp>
                      <wps:cNvCnPr/>
                      <wps:spPr>
                        <a:xfrm>
                          <a:off x="0" y="0"/>
                          <a:ext cx="156210" cy="41465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138.7pt;margin-top:18.75pt;width:12.3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" strokecolor="#4579b8 [3044]" strokeweight="1.5pt">
                <v:stroke endarrow="open"/>
              </v:shape>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2753494</wp:posOffset>
                </wp:positionH>
                <wp:positionV relativeFrom="paragraph">
                  <wp:posOffset>238265</wp:posOffset>
                </wp:positionV>
                <wp:extent cx="0" cy="366022"/>
                <wp:effectExtent l="95250" t="0" r="95250" b="53340"/>
                <wp:wrapNone/>
                <wp:docPr id="40" name="Straight Arrow Connector 40"/>
                <wp:cNvGraphicFramePr/>
                <a:graphic xmlns:a="http://schemas.openxmlformats.org/drawingml/2006/main">
                  <a:graphicData uri="http://schemas.microsoft.com/office/word/2010/wordprocessingShape">
                    <wps:wsp>
                      <wps:cNvCnPr/>
                      <wps:spPr>
                        <a:xfrm>
                          <a:off x="0" y="0"/>
                          <a:ext cx="0" cy="366022"/>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0" o:spid="_x0000_s1026" type="#_x0000_t32" style="position:absolute;margin-left:216.8pt;margin-top:18.75pt;width:0;height:28.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" strokecolor="#4579b8 [3044]" strokeweight="1.5pt">
                <v:stroke endarrow="open"/>
              </v:shape>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647700</wp:posOffset>
                </wp:positionH>
                <wp:positionV relativeFrom="paragraph">
                  <wp:posOffset>236220</wp:posOffset>
                </wp:positionV>
                <wp:extent cx="381635" cy="598805"/>
                <wp:effectExtent l="0" t="0" r="75565" b="48895"/>
                <wp:wrapNone/>
                <wp:docPr id="41" name="Straight Arrow Connector 41"/>
                <wp:cNvGraphicFramePr/>
                <a:graphic xmlns:a="http://schemas.openxmlformats.org/drawingml/2006/main">
                  <a:graphicData uri="http://schemas.microsoft.com/office/word/2010/wordprocessingShape">
                    <wps:wsp>
                      <wps:cNvCnPr/>
                      <wps:spPr>
                        <a:xfrm>
                          <a:off x="0" y="0"/>
                          <a:ext cx="381635" cy="59880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51pt;margin-top:18.6pt;width:30.05pt;height:4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" strokecolor="#4579b8 [3044]" strokeweight="1.5pt">
                <v:stroke endarrow="open"/>
              </v:shape>
            </w:pict>
          </mc:Fallback>
        </mc:AlternateContent>
      </w:r>
    </w:p>
    <w:p>
      <w:pPr>
        <w:jc w:val="center"/>
        <w:rPr>
          <w:noProof/>
          <w:lang w:val="ro-RO"/>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1915795</wp:posOffset>
                </wp:positionH>
                <wp:positionV relativeFrom="paragraph">
                  <wp:posOffset>3245485</wp:posOffset>
                </wp:positionV>
                <wp:extent cx="2085975" cy="536575"/>
                <wp:effectExtent l="57150" t="19050" r="85725" b="92075"/>
                <wp:wrapNone/>
                <wp:docPr id="42" name="Oval 42"/>
                <wp:cNvGraphicFramePr/>
                <a:graphic xmlns:a="http://schemas.openxmlformats.org/drawingml/2006/main">
                  <a:graphicData uri="http://schemas.microsoft.com/office/word/2010/wordprocessingShape">
                    <wps:wsp>
                      <wps:cNvSpPr/>
                      <wps:spPr>
                        <a:xfrm>
                          <a:off x="0" y="0"/>
                          <a:ext cx="2085975" cy="536575"/>
                        </a:xfrm>
                        <a:prstGeom prst="ellipse">
                          <a:avLst/>
                        </a:prstGeom>
                      </wps:spPr>
                      <wps:style>
                        <a:lnRef idx="1">
                          <a:schemeClr val="accent2"/>
                        </a:lnRef>
                        <a:fillRef idx="3">
                          <a:schemeClr val="accent2"/>
                        </a:fillRef>
                        <a:effectRef idx="2">
                          <a:schemeClr val="accent2"/>
                        </a:effectRef>
                        <a:fontRef idx="minor">
                          <a:schemeClr val="lt1"/>
                        </a:fontRef>
                      </wps:style>
                      <wps:txbx>
                        <w:txbxContent>
                          <w:p>
                            <w:pPr>
                              <w:jc w:val="center"/>
                              <w:rPr>
                                <w:b/>
                                <w:sz w:val="36"/>
                                <w:szCs w:val="36"/>
                              </w:rPr>
                            </w:pPr>
                            <w:r>
                              <w:rPr>
                                <w:b/>
                                <w:sz w:val="36"/>
                              </w:rPr>
                              <w:t>ANALIZĂ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35" style="position:absolute;left:0;text-align:left;margin-left:150.85pt;margin-top:255.55pt;width:164.25pt;height: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" fillcolor="#652523 [1637]" strokecolor="#bc4542 [3045]">
                <v:fill color2="#ba4442 [3013]" rotate="t" angle="180" colors="0 #9b2d2a;52429f #cb3d3a;1 #ce3b37" focus="100%" type="gradient">
                  <o:fill v:ext="view" type="gradientUnscaled"/>
                </v:fill>
                <v:shadow on="t" color="black" opacity="22937f" origin=",.5" offset="0,.63889mm"/>
                <v:textbox>
                  <w:txbxContent>
                    <w:p>
                      <w:pPr>
                        <w:jc w:val="center"/>
                        <w:rPr>
                          <w:b/>
                          <w:sz w:val="36"/>
                          <w:szCs w:val="36"/>
                        </w:rPr>
                      </w:pPr>
                      <w:r>
                        <w:rPr>
                          <w:b/>
                          <w:sz w:val="36"/>
                        </w:rPr>
                        <w:t>ANALIZĂ</w:t>
                      </w:r>
                    </w:p>
                  </w:txbxContent>
                </v:textbox>
              </v:oval>
            </w:pict>
          </mc:Fallback>
        </mc:AlternateContent>
      </w:r>
      <w:r>
        <w:rPr>
          <w:noProof/>
          <w:lang w:eastAsia="en-GB"/>
        </w:rPr>
        <w:drawing>
          <wp:inline distT="0" distB="0" distL="0" distR="0">
            <wp:extent cx="5038725" cy="3248025"/>
            <wp:effectExtent l="0" t="0" r="0" b="66675"/>
            <wp:docPr id="54" name="Diagram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pPr>
        <w:jc w:val="center"/>
        <w:rPr>
          <w:noProof/>
          <w:lang w:val="ro-RO"/>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2747964</wp:posOffset>
                </wp:positionH>
                <wp:positionV relativeFrom="paragraph">
                  <wp:posOffset>277812</wp:posOffset>
                </wp:positionV>
                <wp:extent cx="351790" cy="549275"/>
                <wp:effectExtent l="0" t="3493" r="0" b="6667"/>
                <wp:wrapNone/>
                <wp:docPr id="43" name="Left Arrow 43"/>
                <wp:cNvGraphicFramePr/>
                <a:graphic xmlns:a="http://schemas.openxmlformats.org/drawingml/2006/main">
                  <a:graphicData uri="http://schemas.microsoft.com/office/word/2010/wordprocessingShape">
                    <wps:wsp>
                      <wps:cNvSpPr/>
                      <wps:spPr>
                        <a:xfrm rot="16200000">
                          <a:off x="0" y="0"/>
                          <a:ext cx="351790" cy="549275"/>
                        </a:xfrm>
                        <a:prstGeom prst="leftArrow">
                          <a:avLst/>
                        </a:prstGeom>
                        <a:gradFill>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3" o:spid="_x0000_s1026" type="#_x0000_t66" style="position:absolute;margin-left:216.4pt;margin-top:21.85pt;width:27.7pt;height:43.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" adj="10800" fillcolor="#95b3d7 [1940]" stroked="f" strokeweight="2pt">
                <v:fill color2="#95b3d7 [1940]" angle="180" colors="0 #7f8da6;52429f #a7b9da;1 #a7badc" focus="100%" type="gradient">
                  <o:fill v:ext="view" type="gradientUnscaled"/>
                </v:fill>
              </v:shape>
            </w:pict>
          </mc:Fallback>
        </mc:AlternateContent>
      </w:r>
    </w:p>
    <w:p>
      <w:pPr>
        <w:jc w:val="center"/>
        <w:rPr>
          <w:noProof/>
          <w:lang w:val="ro-RO"/>
        </w:rPr>
      </w:pPr>
    </w:p>
    <w:p>
      <w:pPr>
        <w:jc w:val="center"/>
        <w:rPr>
          <w:noProof/>
          <w:lang w:val="ro-RO"/>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790575</wp:posOffset>
                </wp:positionH>
                <wp:positionV relativeFrom="paragraph">
                  <wp:posOffset>162560</wp:posOffset>
                </wp:positionV>
                <wp:extent cx="4496208" cy="4381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4496208" cy="438150"/>
                        </a:xfrm>
                        <a:prstGeom prst="rect">
                          <a:avLst/>
                        </a:prstGeom>
                        <a:gradFill flip="none" rotWithShape="1">
                          <a:gsLst>
                            <a:gs pos="0">
                              <a:srgbClr val="0F58B1">
                                <a:shade val="30000"/>
                                <a:satMod val="115000"/>
                              </a:srgbClr>
                            </a:gs>
                            <a:gs pos="60000">
                              <a:srgbClr val="00469A"/>
                            </a:gs>
                            <a:gs pos="44000">
                              <a:srgbClr val="004292"/>
                            </a:gs>
                            <a:gs pos="80000">
                              <a:srgbClr val="0F58B1">
                                <a:shade val="67500"/>
                                <a:satMod val="115000"/>
                              </a:srgbClr>
                            </a:gs>
                            <a:gs pos="100000">
                              <a:srgbClr val="0F58B1">
                                <a:shade val="100000"/>
                                <a:satMod val="115000"/>
                              </a:srgb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48"/>
                                <w:lang w:val="pt-PT"/>
                              </w:rPr>
                            </w:pPr>
                            <w:r>
                              <w:rPr>
                                <w:b/>
                                <w:color w:val="FFFFFF" w:themeColor="background1"/>
                                <w:sz w:val="36"/>
                                <w:lang w:val="pt-PT"/>
                              </w:rPr>
                              <w:t>O mai bună înțelegere a riscurilor de fraudă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36" style="position:absolute;left:0;text-align:left;margin-left:62.25pt;margin-top:12.8pt;width:354.0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" fillcolor="#002f6d" strokecolor="#243f60 [1604]" strokeweight="2pt">
                <v:fill color2="#0357bd" rotate="t" angle="180" colors="0 #002f6d;28836f #004292;39322f #00469a;52429f #00489e;1 #0357bd" focus="100%" type="gradient"/>
                <v:textbox>
                  <w:txbxContent>
                    <w:p>
                      <w:pPr>
                        <w:jc w:val="center"/>
                        <w:rPr>
                          <w:b/>
                          <w:sz w:val="48"/>
                          <w:lang w:val="pt-PT"/>
                        </w:rPr>
                      </w:pPr>
                      <w:r>
                        <w:rPr>
                          <w:b/>
                          <w:color w:val="FFFFFF" w:themeColor="background1"/>
                          <w:sz w:val="36"/>
                          <w:lang w:val="pt-PT"/>
                        </w:rPr>
                        <w:t>O mai bună înțelegere a riscurilor de fraudă</w:t>
                      </w:r>
                    </w:p>
                  </w:txbxContent>
                </v:textbox>
              </v:rect>
            </w:pict>
          </mc:Fallback>
        </mc:AlternateContent>
      </w:r>
    </w:p>
    <w:p>
      <w:pPr>
        <w:jc w:val="center"/>
        <w:rPr>
          <w:noProof/>
          <w:lang w:val="ro-RO"/>
        </w:rPr>
      </w:pPr>
    </w:p>
    <w:p>
      <w:pPr>
        <w:jc w:val="center"/>
        <w:rPr>
          <w:noProof/>
          <w:lang w:val="ro-RO"/>
        </w:rPr>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2489835</wp:posOffset>
                </wp:positionH>
                <wp:positionV relativeFrom="paragraph">
                  <wp:posOffset>35560</wp:posOffset>
                </wp:positionV>
                <wp:extent cx="108585" cy="361950"/>
                <wp:effectExtent l="19050" t="0" r="43815" b="38100"/>
                <wp:wrapNone/>
                <wp:docPr id="45" name="Down Arrow 45"/>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26" type="#_x0000_t67" style="position:absolute;margin-left:196.05pt;margin-top:2.8pt;width:8.5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" adj="18360" fillcolor="#7030a0" strokecolor="#385d8a" strokeweight="2pt"/>
            </w:pict>
          </mc:Fallback>
        </mc:AlternateContent>
      </w: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1333500</wp:posOffset>
                </wp:positionH>
                <wp:positionV relativeFrom="paragraph">
                  <wp:posOffset>45085</wp:posOffset>
                </wp:positionV>
                <wp:extent cx="108585" cy="361950"/>
                <wp:effectExtent l="19050" t="0" r="43815" b="38100"/>
                <wp:wrapNone/>
                <wp:docPr id="46" name="Down Arrow 46"/>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6" o:spid="_x0000_s1026" type="#_x0000_t67" style="position:absolute;margin-left:105pt;margin-top:3.55pt;width:8.5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" adj="18360" fillcolor="#7030a0" strokecolor="#385d8a" strokeweight="2pt"/>
            </w:pict>
          </mc:Fallback>
        </mc:AlternateContent>
      </w: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4905375</wp:posOffset>
                </wp:positionH>
                <wp:positionV relativeFrom="paragraph">
                  <wp:posOffset>35560</wp:posOffset>
                </wp:positionV>
                <wp:extent cx="108585" cy="361950"/>
                <wp:effectExtent l="19050" t="0" r="43815" b="38100"/>
                <wp:wrapNone/>
                <wp:docPr id="47" name="Down Arrow 47"/>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7" o:spid="_x0000_s1026" type="#_x0000_t67" style="position:absolute;margin-left:386.25pt;margin-top:2.8pt;width:8.5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" adj="18360" fillcolor="#7030a0" strokecolor="#385d8a" strokeweight="2pt"/>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3762375</wp:posOffset>
                </wp:positionH>
                <wp:positionV relativeFrom="paragraph">
                  <wp:posOffset>35560</wp:posOffset>
                </wp:positionV>
                <wp:extent cx="108585" cy="361950"/>
                <wp:effectExtent l="19050" t="0" r="43815" b="38100"/>
                <wp:wrapNone/>
                <wp:docPr id="48" name="Down Arrow 48"/>
                <wp:cNvGraphicFramePr/>
                <a:graphic xmlns:a="http://schemas.openxmlformats.org/drawingml/2006/main">
                  <a:graphicData uri="http://schemas.microsoft.com/office/word/2010/wordprocessingShape">
                    <wps:wsp>
                      <wps:cNvSpPr/>
                      <wps:spPr>
                        <a:xfrm>
                          <a:off x="0" y="0"/>
                          <a:ext cx="108585" cy="361950"/>
                        </a:xfrm>
                        <a:prstGeom prst="downArrow">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8" o:spid="_x0000_s1026" type="#_x0000_t67" style="position:absolute;margin-left:296.25pt;margin-top:2.8pt;width:8.5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" adj="18360" fillcolor="#7030a0" strokecolor="#243f60 [1604]" strokeweight="2pt"/>
            </w:pict>
          </mc:Fallback>
        </mc:AlternateContent>
      </w:r>
    </w:p>
    <w:p>
      <w:pPr>
        <w:tabs>
          <w:tab w:val="left" w:pos="2266"/>
          <w:tab w:val="left" w:pos="7504"/>
        </w:tabs>
        <w:jc w:val="center"/>
        <w:rPr>
          <w:noProof/>
          <w:lang w:val="ro-RO"/>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3115917</wp:posOffset>
                </wp:positionH>
                <wp:positionV relativeFrom="paragraph">
                  <wp:posOffset>150495</wp:posOffset>
                </wp:positionV>
                <wp:extent cx="1381125" cy="527685"/>
                <wp:effectExtent l="0" t="0" r="28575" b="24765"/>
                <wp:wrapNone/>
                <wp:docPr id="49" name="Rectangle 49"/>
                <wp:cNvGraphicFramePr/>
                <a:graphic xmlns:a="http://schemas.openxmlformats.org/drawingml/2006/main">
                  <a:graphicData uri="http://schemas.microsoft.com/office/word/2010/wordprocessingShape">
                    <wps:wsp>
                      <wps:cNvSpPr/>
                      <wps:spPr>
                        <a:xfrm>
                          <a:off x="0" y="0"/>
                          <a:ext cx="1381125" cy="527685"/>
                        </a:xfrm>
                        <a:prstGeom prst="rect">
                          <a:avLst/>
                        </a:prstGeom>
                        <a:gradFill>
                          <a:gsLst>
                            <a:gs pos="0">
                              <a:srgbClr val="03D4A8"/>
                            </a:gs>
                            <a:gs pos="25000">
                              <a:srgbClr val="21D6E0"/>
                            </a:gs>
                            <a:gs pos="25000">
                              <a:srgbClr val="0087E6"/>
                            </a:gs>
                            <a:gs pos="95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Vulnerabilități sistemice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37" style="position:absolute;left:0;text-align:left;margin-left:245.35pt;margin-top:11.85pt;width:108.75pt;height:4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" fillcolor="#03d4a8" strokecolor="#243f60 [1604]" strokeweight="2pt">
                <v:fill color2="#005cbf" angle="180" colors="0 #03d4a8;.25 #21d6e0;.25 #0087e6;62259f #005cbf" focus="100%" type="gradient">
                  <o:fill v:ext="view" type="gradientUnscaled"/>
                </v:fill>
                <v:textbox>
                  <w:txbxContent>
                    <w:p>
                      <w:pPr>
                        <w:jc w:val="center"/>
                        <w:rPr>
                          <w:b/>
                          <w:sz w:val="24"/>
                          <w:szCs w:val="24"/>
                        </w:rPr>
                      </w:pPr>
                      <w:r>
                        <w:rPr>
                          <w:b/>
                          <w:sz w:val="24"/>
                        </w:rPr>
                        <w:t>Vulnerabilități sistemice</w:t>
                      </w:r>
                    </w:p>
                  </w:txbxContent>
                </v:textbox>
              </v:rect>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4594860</wp:posOffset>
                </wp:positionH>
                <wp:positionV relativeFrom="paragraph">
                  <wp:posOffset>148590</wp:posOffset>
                </wp:positionV>
                <wp:extent cx="798830" cy="515620"/>
                <wp:effectExtent l="0" t="0" r="20320" b="17780"/>
                <wp:wrapNone/>
                <wp:docPr id="50" name="Rectangle 50"/>
                <wp:cNvGraphicFramePr/>
                <a:graphic xmlns:a="http://schemas.openxmlformats.org/drawingml/2006/main">
                  <a:graphicData uri="http://schemas.microsoft.com/office/word/2010/wordprocessingShape">
                    <wps:wsp>
                      <wps:cNvSpPr/>
                      <wps:spPr>
                        <a:xfrm>
                          <a:off x="0" y="0"/>
                          <a:ext cx="798830" cy="515620"/>
                        </a:xfrm>
                        <a:prstGeom prst="rect">
                          <a:avLst/>
                        </a:prstGeom>
                        <a:gradFill>
                          <a:gsLst>
                            <a:gs pos="0">
                              <a:srgbClr val="03D4A8"/>
                            </a:gs>
                            <a:gs pos="7000">
                              <a:srgbClr val="21D6E0"/>
                            </a:gs>
                            <a:gs pos="47000">
                              <a:srgbClr val="0087E6"/>
                            </a:gs>
                            <a:gs pos="100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Profiluri de țară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8" style="position:absolute;left:0;text-align:left;margin-left:361.8pt;margin-top:11.7pt;width:62.9pt;height:4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" fillcolor="#03d4a8" strokecolor="#243f60 [1604]" strokeweight="2pt">
                <v:fill color2="#005cbf" angle="180" colors="0 #03d4a8;4588f #21d6e0;30802f #0087e6;1 #005cbf" focus="100%" type="gradient">
                  <o:fill v:ext="view" type="gradientUnscaled"/>
                </v:fill>
                <v:textbox>
                  <w:txbxContent>
                    <w:p>
                      <w:pPr>
                        <w:jc w:val="center"/>
                        <w:rPr>
                          <w:b/>
                          <w:sz w:val="24"/>
                          <w:szCs w:val="24"/>
                        </w:rPr>
                      </w:pPr>
                      <w:r>
                        <w:rPr>
                          <w:b/>
                          <w:sz w:val="24"/>
                        </w:rPr>
                        <w:t>Profiluri de țară</w:t>
                      </w:r>
                    </w:p>
                  </w:txbxContent>
                </v:textbox>
              </v:rect>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2086610</wp:posOffset>
                </wp:positionH>
                <wp:positionV relativeFrom="paragraph">
                  <wp:posOffset>151765</wp:posOffset>
                </wp:positionV>
                <wp:extent cx="838835" cy="527685"/>
                <wp:effectExtent l="0" t="0" r="18415" b="24765"/>
                <wp:wrapNone/>
                <wp:docPr id="51" name="Rectangle 51"/>
                <wp:cNvGraphicFramePr/>
                <a:graphic xmlns:a="http://schemas.openxmlformats.org/drawingml/2006/main">
                  <a:graphicData uri="http://schemas.microsoft.com/office/word/2010/wordprocessingShape">
                    <wps:wsp>
                      <wps:cNvSpPr/>
                      <wps:spPr>
                        <a:xfrm>
                          <a:off x="0" y="0"/>
                          <a:ext cx="838835" cy="527685"/>
                        </a:xfrm>
                        <a:prstGeom prst="rect">
                          <a:avLst/>
                        </a:prstGeom>
                        <a:gradFill>
                          <a:gsLst>
                            <a:gs pos="0">
                              <a:srgbClr val="03D4A8"/>
                            </a:gs>
                            <a:gs pos="7000">
                              <a:srgbClr val="21D6E0"/>
                            </a:gs>
                            <a:gs pos="22000">
                              <a:srgbClr val="0087E6"/>
                            </a:gs>
                            <a:gs pos="100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Indicatori de risc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9" style="position:absolute;left:0;text-align:left;margin-left:164.3pt;margin-top:11.95pt;width:66.05pt;height:4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" fillcolor="#03d4a8" strokecolor="#243f60 [1604]" strokeweight="2pt">
                <v:fill color2="#005cbf" angle="180" colors="0 #03d4a8;4588f #21d6e0;14418f #0087e6;1 #005cbf" focus="100%" type="gradient">
                  <o:fill v:ext="view" type="gradientUnscaled"/>
                </v:fill>
                <v:textbox>
                  <w:txbxContent>
                    <w:p>
                      <w:pPr>
                        <w:jc w:val="center"/>
                        <w:rPr>
                          <w:b/>
                          <w:sz w:val="24"/>
                          <w:szCs w:val="24"/>
                        </w:rPr>
                      </w:pPr>
                      <w:r>
                        <w:rPr>
                          <w:b/>
                          <w:sz w:val="24"/>
                        </w:rPr>
                        <w:t>Indicatori de risc</w:t>
                      </w:r>
                    </w:p>
                  </w:txbxContent>
                </v:textbox>
              </v:rect>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876935</wp:posOffset>
                </wp:positionH>
                <wp:positionV relativeFrom="paragraph">
                  <wp:posOffset>149225</wp:posOffset>
                </wp:positionV>
                <wp:extent cx="977265" cy="527685"/>
                <wp:effectExtent l="0" t="0" r="13335" b="24765"/>
                <wp:wrapNone/>
                <wp:docPr id="52" name="Rectangle 52"/>
                <wp:cNvGraphicFramePr/>
                <a:graphic xmlns:a="http://schemas.openxmlformats.org/drawingml/2006/main">
                  <a:graphicData uri="http://schemas.microsoft.com/office/word/2010/wordprocessingShape">
                    <wps:wsp>
                      <wps:cNvSpPr/>
                      <wps:spPr>
                        <a:xfrm>
                          <a:off x="0" y="0"/>
                          <a:ext cx="977265" cy="527685"/>
                        </a:xfrm>
                        <a:prstGeom prst="rect">
                          <a:avLst/>
                        </a:prstGeom>
                        <a:gradFill>
                          <a:gsLst>
                            <a:gs pos="0">
                              <a:srgbClr val="03D4A8"/>
                            </a:gs>
                            <a:gs pos="7000">
                              <a:srgbClr val="21D6E0"/>
                            </a:gs>
                            <a:gs pos="24000">
                              <a:srgbClr val="0087E6"/>
                            </a:gs>
                            <a:gs pos="100000">
                              <a:srgbClr val="005CBF"/>
                            </a:gs>
                          </a:gsLst>
                          <a:lin ang="162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sz w:val="24"/>
                                <w:szCs w:val="24"/>
                              </w:rPr>
                            </w:pPr>
                            <w:r>
                              <w:rPr>
                                <w:b/>
                                <w:sz w:val="24"/>
                              </w:rPr>
                              <w:t>Tipare de fraudă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40" style="position:absolute;left:0;text-align:left;margin-left:69.05pt;margin-top:11.75pt;width:76.95pt;height:4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" fillcolor="#03d4a8" strokecolor="#243f60 [1604]" strokeweight="2pt">
                <v:fill color2="#005cbf" angle="180" colors="0 #03d4a8;4588f #21d6e0;15729f #0087e6;1 #005cbf" focus="100%" type="gradient">
                  <o:fill v:ext="view" type="gradientUnscaled"/>
                </v:fill>
                <v:textbox>
                  <w:txbxContent>
                    <w:p>
                      <w:pPr>
                        <w:jc w:val="center"/>
                        <w:rPr>
                          <w:b/>
                          <w:sz w:val="24"/>
                          <w:szCs w:val="24"/>
                        </w:rPr>
                      </w:pPr>
                      <w:r>
                        <w:rPr>
                          <w:b/>
                          <w:sz w:val="24"/>
                        </w:rPr>
                        <w:t>Tipare de fraudă</w:t>
                      </w:r>
                    </w:p>
                  </w:txbxContent>
                </v:textbox>
              </v:rect>
            </w:pict>
          </mc:Fallback>
        </mc:AlternateContent>
      </w:r>
    </w:p>
    <w:p>
      <w:pPr>
        <w:spacing w:after="0"/>
        <w:jc w:val="center"/>
        <w:rPr>
          <w:noProof/>
          <w:lang w:val="ro-RO"/>
        </w:rPr>
      </w:pPr>
    </w:p>
    <w:p>
      <w:pPr>
        <w:jc w:val="center"/>
        <w:rPr>
          <w:rFonts w:ascii="Times New Roman" w:hAnsi="Times New Roman" w:cs="Times New Roman"/>
          <w:noProof/>
          <w:sz w:val="24"/>
          <w:szCs w:val="24"/>
          <w:lang w:val="ro-RO"/>
        </w:rPr>
      </w:pPr>
    </w:p>
    <w:p>
      <w:pPr>
        <w:spacing w:after="120"/>
        <w:jc w:val="center"/>
        <w:rPr>
          <w:rFonts w:ascii="Times New Roman" w:hAnsi="Times New Roman" w:cs="Times New Roman"/>
          <w:noProof/>
          <w:sz w:val="24"/>
          <w:szCs w:val="24"/>
          <w:lang w:val="ro-RO"/>
        </w:rPr>
      </w:pP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87464</wp:posOffset>
                </wp:positionH>
                <wp:positionV relativeFrom="paragraph">
                  <wp:posOffset>53423</wp:posOffset>
                </wp:positionV>
                <wp:extent cx="5810250" cy="771276"/>
                <wp:effectExtent l="0" t="0" r="19050" b="10160"/>
                <wp:wrapNone/>
                <wp:docPr id="53" name="Rectangle 53"/>
                <wp:cNvGraphicFramePr/>
                <a:graphic xmlns:a="http://schemas.openxmlformats.org/drawingml/2006/main">
                  <a:graphicData uri="http://schemas.microsoft.com/office/word/2010/wordprocessingShape">
                    <wps:wsp>
                      <wps:cNvSpPr/>
                      <wps:spPr>
                        <a:xfrm>
                          <a:off x="0" y="0"/>
                          <a:ext cx="5810250" cy="771276"/>
                        </a:xfrm>
                        <a:prstGeom prst="rect">
                          <a:avLst/>
                        </a:prstGeom>
                        <a:gradFill flip="none" rotWithShape="1">
                          <a:gsLst>
                            <a:gs pos="0">
                              <a:srgbClr val="0F58B1">
                                <a:shade val="30000"/>
                                <a:satMod val="115000"/>
                              </a:srgbClr>
                            </a:gs>
                            <a:gs pos="60000">
                              <a:srgbClr val="00469A"/>
                            </a:gs>
                            <a:gs pos="44000">
                              <a:srgbClr val="004292"/>
                            </a:gs>
                            <a:gs pos="80000">
                              <a:srgbClr val="0F58B1">
                                <a:shade val="67500"/>
                                <a:satMod val="115000"/>
                              </a:srgbClr>
                            </a:gs>
                            <a:gs pos="100000">
                              <a:srgbClr val="0F58B1">
                                <a:shade val="100000"/>
                                <a:satMod val="115000"/>
                              </a:srgbClr>
                            </a:gs>
                          </a:gsLst>
                          <a:lin ang="16200000" scaled="1"/>
                          <a:tileRect/>
                        </a:gradFill>
                        <a:ln w="25400" cap="flat" cmpd="sng" algn="ctr">
                          <a:solidFill>
                            <a:srgbClr val="4F81BD">
                              <a:shade val="50000"/>
                            </a:srgbClr>
                          </a:solidFill>
                          <a:prstDash val="solid"/>
                        </a:ln>
                        <a:effectLst/>
                      </wps:spPr>
                      <wps:txbx>
                        <w:txbxContent>
                          <w:p>
                            <w:pPr>
                              <w:spacing w:line="240" w:lineRule="exact"/>
                              <w:contextualSpacing/>
                              <w:jc w:val="center"/>
                              <w:rPr>
                                <w:b/>
                                <w:color w:val="FFFFFF" w:themeColor="background1"/>
                                <w:sz w:val="28"/>
                                <w:szCs w:val="28"/>
                              </w:rPr>
                            </w:pPr>
                            <w:r>
                              <w:rPr>
                                <w:b/>
                                <w:color w:val="FFFFFF" w:themeColor="background1"/>
                                <w:sz w:val="28"/>
                              </w:rPr>
                              <w:t>În beneficiul:</w:t>
                            </w:r>
                          </w:p>
                          <w:p>
                            <w:pPr>
                              <w:spacing w:line="240" w:lineRule="exact"/>
                              <w:contextualSpacing/>
                              <w:jc w:val="center"/>
                              <w:rPr>
                                <w:b/>
                                <w:color w:val="FFFFFF" w:themeColor="background1"/>
                                <w:sz w:val="20"/>
                                <w:szCs w:val="20"/>
                              </w:rPr>
                            </w:pPr>
                          </w:p>
                          <w:p>
                            <w:pPr>
                              <w:spacing w:line="240" w:lineRule="exact"/>
                              <w:contextualSpacing/>
                              <w:jc w:val="center"/>
                              <w:rPr>
                                <w:b/>
                              </w:rPr>
                            </w:pPr>
                            <w:r>
                              <w:rPr>
                                <w:b/>
                                <w:color w:val="FFFFFF" w:themeColor="background1"/>
                              </w:rPr>
                              <w:t>departamentelor și agențiilor executive ale Comisiei, al instituțiilor și organismelor UE și al statelor membre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41" style="position:absolute;left:0;text-align:left;margin-left:6.9pt;margin-top:4.2pt;width:457.5pt;height:6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" fillcolor="#002f6d" strokecolor="#385d8a" strokeweight="2pt">
                <v:fill color2="#0357bd" rotate="t" angle="180" colors="0 #002f6d;28836f #004292;39322f #00469a;52429f #00489e;1 #0357bd" focus="100%" type="gradient"/>
                <v:textbox>
                  <w:txbxContent>
                    <w:p>
                      <w:pPr>
                        <w:spacing w:line="240" w:lineRule="exact"/>
                        <w:contextualSpacing/>
                        <w:jc w:val="center"/>
                        <w:rPr>
                          <w:b/>
                          <w:color w:val="FFFFFF" w:themeColor="background1"/>
                          <w:sz w:val="28"/>
                          <w:szCs w:val="28"/>
                        </w:rPr>
                      </w:pPr>
                      <w:r>
                        <w:rPr>
                          <w:b/>
                          <w:color w:val="FFFFFF" w:themeColor="background1"/>
                          <w:sz w:val="28"/>
                        </w:rPr>
                        <w:t>În beneficiul:</w:t>
                      </w:r>
                    </w:p>
                    <w:p>
                      <w:pPr>
                        <w:spacing w:line="240" w:lineRule="exact"/>
                        <w:contextualSpacing/>
                        <w:jc w:val="center"/>
                        <w:rPr>
                          <w:b/>
                          <w:color w:val="FFFFFF" w:themeColor="background1"/>
                          <w:sz w:val="20"/>
                          <w:szCs w:val="20"/>
                        </w:rPr>
                      </w:pPr>
                    </w:p>
                    <w:p>
                      <w:pPr>
                        <w:spacing w:line="240" w:lineRule="exact"/>
                        <w:contextualSpacing/>
                        <w:jc w:val="center"/>
                        <w:rPr>
                          <w:b/>
                        </w:rPr>
                      </w:pPr>
                      <w:r>
                        <w:rPr>
                          <w:b/>
                          <w:color w:val="FFFFFF" w:themeColor="background1"/>
                        </w:rPr>
                        <w:t>departamentelor și agențiilor executive ale Comisiei, al instituțiilor și organismelor UE și al statelor membre</w:t>
                      </w:r>
                    </w:p>
                  </w:txbxContent>
                </v:textbox>
              </v:rect>
            </w:pict>
          </mc:Fallback>
        </mc:AlternateContent>
      </w:r>
    </w:p>
    <w:p>
      <w:pPr>
        <w:spacing w:after="60"/>
        <w:ind w:left="720" w:hanging="720"/>
        <w:jc w:val="both"/>
        <w:rPr>
          <w:rStyle w:val="Heading2Char"/>
          <w:rFonts w:eastAsiaTheme="minorHAnsi"/>
          <w:noProof/>
          <w:lang w:val="ro-RO"/>
        </w:rPr>
      </w:pPr>
    </w:p>
    <w:p>
      <w:pPr>
        <w:spacing w:after="60"/>
        <w:ind w:left="720" w:hanging="720"/>
        <w:jc w:val="both"/>
        <w:rPr>
          <w:rFonts w:ascii="Times New Roman" w:hAnsi="Times New Roman" w:cs="Times New Roman"/>
          <w:b/>
          <w:noProof/>
          <w:sz w:val="24"/>
          <w:szCs w:val="24"/>
          <w:lang w:val="ro-RO"/>
        </w:rPr>
      </w:pPr>
      <w:bookmarkStart w:id="14" w:name="_Toc6414620"/>
      <w:r>
        <w:rPr>
          <w:rStyle w:val="Heading2Char"/>
          <w:rFonts w:eastAsiaTheme="minorHAnsi"/>
          <w:noProof/>
          <w:lang w:val="ro-RO"/>
        </w:rPr>
        <w:t>4.2.2.</w:t>
      </w:r>
      <w:bookmarkEnd w:id="14"/>
      <w:r>
        <w:rPr>
          <w:noProof/>
          <w:lang w:val="ro-RO"/>
        </w:rPr>
        <w:tab/>
      </w:r>
      <w:r>
        <w:rPr>
          <w:rStyle w:val="Heading2Char"/>
          <w:rFonts w:eastAsiaTheme="minorHAnsi"/>
          <w:noProof/>
          <w:lang w:val="ro-RO"/>
        </w:rPr>
        <w:t>Obiectivul nr. 2: coordonare, cooperare și procese</w:t>
      </w:r>
      <w:r>
        <w:rPr>
          <w:noProof/>
          <w:lang w:val="ro-RO"/>
        </w:rPr>
        <w:tab/>
      </w:r>
    </w:p>
    <w:p>
      <w:pPr>
        <w:spacing w:after="120"/>
        <w:ind w:left="720" w:hanging="11"/>
        <w:jc w:val="both"/>
        <w:rPr>
          <w:rFonts w:ascii="Times New Roman" w:hAnsi="Times New Roman" w:cs="Times New Roman"/>
          <w:b/>
          <w:noProof/>
          <w:sz w:val="24"/>
          <w:szCs w:val="24"/>
          <w:lang w:val="ro-RO"/>
        </w:rPr>
      </w:pPr>
      <w:r>
        <w:rPr>
          <w:rFonts w:ascii="Times New Roman" w:hAnsi="Times New Roman"/>
          <w:b/>
          <w:noProof/>
          <w:sz w:val="24"/>
          <w:lang w:val="ro-RO"/>
        </w:rPr>
        <w:t>Optimizarea coordonării, a cooperării și a fluxurilor de lucru pentru combaterea fraudei, în special între serviciile și agențiile executive ale Comisiei</w:t>
      </w:r>
    </w:p>
    <w:p>
      <w:pPr>
        <w:jc w:val="both"/>
        <w:rPr>
          <w:rFonts w:ascii="Times New Roman" w:hAnsi="Times New Roman"/>
          <w:noProof/>
          <w:sz w:val="24"/>
          <w:szCs w:val="24"/>
          <w:lang w:val="ro-RO"/>
        </w:rPr>
      </w:pPr>
      <w:r>
        <w:rPr>
          <w:rFonts w:ascii="Times New Roman" w:hAnsi="Times New Roman"/>
          <w:noProof/>
          <w:sz w:val="24"/>
          <w:lang w:val="ro-RO"/>
        </w:rPr>
        <w:t>De la reforma sa administrativă din 2000</w:t>
      </w:r>
      <w:r>
        <w:rPr>
          <w:rFonts w:ascii="Times New Roman" w:hAnsi="Times New Roman"/>
          <w:noProof/>
          <w:sz w:val="24"/>
          <w:vertAlign w:val="superscript"/>
          <w:lang w:val="ro-RO"/>
        </w:rPr>
        <w:footnoteReference w:id="48"/>
      </w:r>
      <w:r>
        <w:rPr>
          <w:rFonts w:ascii="Times New Roman" w:hAnsi="Times New Roman"/>
          <w:noProof/>
          <w:sz w:val="24"/>
          <w:lang w:val="ro-RO"/>
        </w:rPr>
        <w:t>, Comisia a urmat un model descentralizat de gestiune financiară, care trage la răspundere managerii din diferitele departamente și permite Comisiei să adapteze controalele antifraudă la diferite domenii de politică și operațiuni, sporindu-le astfel eficacitatea și eficiența. Prin urmare, actualul cadru juridic</w:t>
      </w:r>
      <w:r>
        <w:rPr>
          <w:rFonts w:ascii="Times New Roman" w:hAnsi="Times New Roman"/>
          <w:noProof/>
          <w:sz w:val="24"/>
          <w:vertAlign w:val="superscript"/>
          <w:lang w:val="ro-RO"/>
        </w:rPr>
        <w:footnoteReference w:id="49"/>
      </w:r>
      <w:r>
        <w:rPr>
          <w:rFonts w:ascii="Times New Roman" w:hAnsi="Times New Roman"/>
          <w:noProof/>
          <w:sz w:val="24"/>
          <w:lang w:val="ro-RO"/>
        </w:rPr>
        <w:t xml:space="preserve"> le atribuie ordonatorilor de credite delegați responsabilitatea pentru controlul intern, care include prevenirea, detectarea, corectarea și monitorizarea fraudei și a altor nereguli, în timp ce OLAF contribuie la elaborarea metodelor de prevenire și combatere a fraudei. </w:t>
      </w:r>
    </w:p>
    <w:p>
      <w:pPr>
        <w:jc w:val="both"/>
        <w:rPr>
          <w:rFonts w:ascii="Times New Roman" w:hAnsi="Times New Roman" w:cs="Times New Roman"/>
          <w:noProof/>
          <w:sz w:val="24"/>
          <w:szCs w:val="24"/>
          <w:lang w:val="ro-RO"/>
        </w:rPr>
      </w:pPr>
      <w:r>
        <w:rPr>
          <w:rFonts w:ascii="Times New Roman" w:hAnsi="Times New Roman"/>
          <w:noProof/>
          <w:sz w:val="24"/>
          <w:lang w:val="ro-RO"/>
        </w:rPr>
        <w:t>Conform SAFC 2011, departamentele și agențiile executive ale Comisiei au adoptat strategii antifraudă pentru domeniile lor de responsabilitate respective. Aceste strategii se bazează pe evaluările sectoriale ale riscului de fraudă și se axează pe controalele antifraudă eficiente din punctul de vedere al costurilor din domeniile expuse riscului. OLAF furnizează orientări metodologice și, la cerere, consultanță individuală pentru strategiile antifraudă ale serviciilor, care sunt integrate în sistemul de control intern al Comisiei și în ciclul său de planificare strategică și programare strategică anuală. În acest context, OLAF revizuiește în mod sistematic aspectele antifraudă ale planurilor de gestionare și ale rapoartelor anuale de activitate ale departamentelor Comisiei. În plus, Rețeaua de prevenire și detectare a fraudei (FPDNet), condusă de OLAF, reprezintă un forum de schimb de informații între corespondenții antifraudă din cadrul Comisiei și al agențiilor sale executive.</w:t>
      </w:r>
    </w:p>
    <w:p>
      <w:pPr>
        <w:spacing w:after="120"/>
        <w:jc w:val="both"/>
        <w:rPr>
          <w:rFonts w:ascii="Times New Roman" w:hAnsi="Times New Roman" w:cs="Times New Roman"/>
          <w:noProof/>
          <w:sz w:val="24"/>
          <w:szCs w:val="24"/>
          <w:lang w:val="ro-RO"/>
        </w:rPr>
      </w:pPr>
      <w:r>
        <w:rPr>
          <w:rFonts w:ascii="Times New Roman" w:hAnsi="Times New Roman"/>
          <w:noProof/>
          <w:sz w:val="24"/>
          <w:lang w:val="ro-RO"/>
        </w:rPr>
        <w:t>În ciuda acestui sprijin semnificativ la nivelul Comisiei, rolul de sprijin al OLAF rămâne la nivel consultativ, ceea ce înseamnă că abordările la nivel de departament pot fi diferite în ceea ce privește domeniul de aplicare și ambiția. Prin urmare, supravegherea corporativă ar trebui să fie întărită din punct de vedere instituțional, pentru a asigura faptul că politicile antifraudă ale Comisiei sunt coerente și sprijinite de o analiză solidă, amplasându-le pe primul loc în lupta împotriva fraudei. În acest scop, sprijinul OLAF ar trebui să fie dezvoltat pentru a asigura o supraveghere corporativă flexibilă pentru gestionarea riscului de fraudă, care să respecte responsabilitățile ordonatorilor de credite delegați, dar să poată contesta evaluările și abordările acestora în materie de gestionare, dacă este cazul. În practică, acest concept implică următoarele elemente.</w:t>
      </w:r>
    </w:p>
    <w:p>
      <w:pPr>
        <w:pStyle w:val="ListParagraph"/>
        <w:numPr>
          <w:ilvl w:val="0"/>
          <w:numId w:val="3"/>
        </w:numPr>
        <w:jc w:val="both"/>
        <w:rPr>
          <w:rFonts w:ascii="Times New Roman" w:hAnsi="Times New Roman" w:cs="Times New Roman"/>
          <w:noProof/>
          <w:sz w:val="24"/>
          <w:szCs w:val="24"/>
          <w:lang w:val="ro-RO"/>
        </w:rPr>
      </w:pPr>
      <w:r>
        <w:rPr>
          <w:rFonts w:ascii="Times New Roman" w:hAnsi="Times New Roman"/>
          <w:noProof/>
          <w:sz w:val="24"/>
          <w:lang w:val="ro-RO"/>
        </w:rPr>
        <w:t>Dacă este posibil, strategiile antifraudă ale serviciilor și ale agențiilor executive ale Comisiei cu profiluri similare ar trebui să fie unificate în strategii antifraudă comune. Exemplele date de departamentele responsabile pentru fondurile structurale și de investiții europene, pentru fondurile de cercetare și pentru ajutorul extern s-au dovedit utile în ceea ce privește simplificarea politicilor antifraudă în aceste domenii. Alte strategii antifraudă la nivel de serviciu ar trebui să fie actualizate pentru a reflecta abordarea stabilită în prezenta comunicare.</w:t>
      </w:r>
    </w:p>
    <w:p>
      <w:pPr>
        <w:pStyle w:val="ListParagraph"/>
        <w:numPr>
          <w:ilvl w:val="0"/>
          <w:numId w:val="3"/>
        </w:numPr>
        <w:jc w:val="both"/>
        <w:rPr>
          <w:rFonts w:ascii="Times New Roman" w:hAnsi="Times New Roman" w:cs="Times New Roman"/>
          <w:noProof/>
          <w:sz w:val="24"/>
          <w:szCs w:val="24"/>
          <w:lang w:val="ro-RO"/>
        </w:rPr>
      </w:pPr>
      <w:r>
        <w:rPr>
          <w:rFonts w:ascii="Times New Roman" w:hAnsi="Times New Roman"/>
          <w:noProof/>
          <w:sz w:val="24"/>
          <w:lang w:val="ro-RO"/>
        </w:rPr>
        <w:t xml:space="preserve">Pe baza nevoilor care trebuie analizate, ar trebui să fie create subgrupuri ale FPDNet, reunind departamente cu profiluri similare. OLAF și DG Buget ar trebui să fie incluse în aceste subgrupuri, pentru a stimula schimbul de bune practici și pentru a facilita o evaluare </w:t>
      </w:r>
      <w:r>
        <w:rPr>
          <w:rFonts w:ascii="Times New Roman" w:hAnsi="Times New Roman"/>
          <w:i/>
          <w:noProof/>
          <w:sz w:val="24"/>
          <w:lang w:val="ro-RO"/>
        </w:rPr>
        <w:t>inter pares</w:t>
      </w:r>
      <w:r>
        <w:rPr>
          <w:rFonts w:ascii="Times New Roman" w:hAnsi="Times New Roman"/>
          <w:noProof/>
          <w:sz w:val="24"/>
          <w:lang w:val="ro-RO"/>
        </w:rPr>
        <w:t xml:space="preserve"> a strategiilor antifraudă. Primul subgrup de acest tip a fost creat pentru domeniul resurselor proprii tradiționale în 2017.</w:t>
      </w:r>
    </w:p>
    <w:p>
      <w:pPr>
        <w:pStyle w:val="ListParagraph"/>
        <w:numPr>
          <w:ilvl w:val="0"/>
          <w:numId w:val="3"/>
        </w:numPr>
        <w:jc w:val="both"/>
        <w:rPr>
          <w:rFonts w:ascii="Times New Roman" w:hAnsi="Times New Roman" w:cs="Times New Roman"/>
          <w:noProof/>
          <w:sz w:val="24"/>
          <w:szCs w:val="24"/>
          <w:lang w:val="ro-RO"/>
        </w:rPr>
      </w:pPr>
      <w:r>
        <w:rPr>
          <w:rFonts w:ascii="Times New Roman" w:hAnsi="Times New Roman"/>
          <w:noProof/>
          <w:sz w:val="24"/>
          <w:lang w:val="ro-RO"/>
        </w:rPr>
        <w:t>Revizuirea obligatorie de către OLAF a proiectului de strategii antifraudă la nivel de serviciu și actualizări</w:t>
      </w:r>
      <w:r>
        <w:rPr>
          <w:rFonts w:ascii="Times New Roman" w:hAnsi="Times New Roman"/>
          <w:noProof/>
          <w:sz w:val="24"/>
          <w:vertAlign w:val="superscript"/>
          <w:lang w:val="ro-RO"/>
        </w:rPr>
        <w:footnoteReference w:id="50"/>
      </w:r>
      <w:r>
        <w:rPr>
          <w:rFonts w:ascii="Times New Roman" w:hAnsi="Times New Roman"/>
          <w:noProof/>
          <w:sz w:val="24"/>
          <w:lang w:val="ro-RO"/>
        </w:rPr>
        <w:t>: OLAF va acorda în mod sistematic consultanță serviciilor cu privire la elaborarea strategiilor lor antifraudă, care ar trebui să includă formularea de recomandări, dacă este necesar.</w:t>
      </w:r>
    </w:p>
    <w:p>
      <w:pPr>
        <w:pStyle w:val="ListParagraph"/>
        <w:numPr>
          <w:ilvl w:val="0"/>
          <w:numId w:val="3"/>
        </w:numPr>
        <w:jc w:val="both"/>
        <w:rPr>
          <w:rFonts w:ascii="Times New Roman" w:hAnsi="Times New Roman" w:cs="Times New Roman"/>
          <w:noProof/>
          <w:sz w:val="24"/>
          <w:szCs w:val="24"/>
          <w:lang w:val="ro-RO"/>
        </w:rPr>
      </w:pPr>
      <w:r>
        <w:rPr>
          <w:rFonts w:ascii="Times New Roman" w:hAnsi="Times New Roman"/>
          <w:noProof/>
          <w:sz w:val="24"/>
          <w:lang w:val="ro-RO"/>
        </w:rPr>
        <w:t>Un ordonator de credite delegat care decide să nu urmeze aceste recomandări trebui să justifice în scris această decizie. Orice probleme care nu pot fi soluționate la nivel bilateral, între OLAF și departamentul în cauză, pot fi discutate în cadrul subgrupului relevant al FPDNet și/sau în alte formate adecvate, fără a aduce atingere responsabilității finale a ordonatorului de credite delegat.</w:t>
      </w:r>
    </w:p>
    <w:p>
      <w:pPr>
        <w:pStyle w:val="ListParagraph"/>
        <w:numPr>
          <w:ilvl w:val="0"/>
          <w:numId w:val="3"/>
        </w:numPr>
        <w:jc w:val="both"/>
        <w:rPr>
          <w:rFonts w:ascii="Times New Roman" w:hAnsi="Times New Roman" w:cs="Times New Roman"/>
          <w:noProof/>
          <w:sz w:val="24"/>
          <w:szCs w:val="24"/>
          <w:lang w:val="ro-RO"/>
        </w:rPr>
      </w:pPr>
      <w:r>
        <w:rPr>
          <w:rFonts w:ascii="Times New Roman" w:hAnsi="Times New Roman"/>
          <w:noProof/>
          <w:sz w:val="24"/>
          <w:lang w:val="ro-RO"/>
        </w:rPr>
        <w:t>Pe baza raportării anuale detaliate efectuate de serviciile și agențiile executive ale Comisiei și a schimburilor periodice cu acestea, OLAF ar trebui să monitorizeze punerea în aplicare a strategiilor antifraudă la nivel de serviciu și să formuleze recomandări cu privire la acestea, dacă este necesar. Aceste recomandări trebuie să fie urmărite, astfel cum se prevede la punctul anterior. Totuși, rolul OLAF în ceea ce privește revizuirea și monitorizarea nu include efectuarea unor audituri antifraudă. Auditurile din domeniul antifraudă rămân o prerogativă a Serviciului de Audit Intern (IAS) al Comisiei și a CCE, în temeiul cadrului juridic (de exemplu, Regulamentul financiar), al metodologiilor lor respective și al abordării evaluării riscurilor.</w:t>
      </w:r>
    </w:p>
    <w:p>
      <w:pPr>
        <w:jc w:val="both"/>
        <w:rPr>
          <w:rFonts w:ascii="Times New Roman" w:hAnsi="Times New Roman" w:cs="Times New Roman"/>
          <w:noProof/>
          <w:sz w:val="24"/>
          <w:szCs w:val="24"/>
          <w:lang w:val="ro-RO"/>
        </w:rPr>
      </w:pPr>
      <w:r>
        <w:rPr>
          <w:rFonts w:ascii="Times New Roman" w:hAnsi="Times New Roman"/>
          <w:noProof/>
          <w:sz w:val="24"/>
          <w:lang w:val="ro-RO"/>
        </w:rPr>
        <w:t>În cadrul unei reuniuni specifice a FPDNet a Comisiei la nivel de directori, ar trebui să aibă loc o discuție și o evaluare anuală a monitorizării recomandărilor OLAF cu privire la strategiile antifraudă la nivel de serviciu ale Comisiei și a punerii în aplicare a Planului de acțiune al SAFC 2019.</w:t>
      </w:r>
    </w:p>
    <w:p>
      <w:pPr>
        <w:jc w:val="both"/>
        <w:rPr>
          <w:rFonts w:ascii="Times New Roman" w:hAnsi="Times New Roman" w:cs="Times New Roman"/>
          <w:noProof/>
          <w:sz w:val="24"/>
          <w:szCs w:val="24"/>
          <w:lang w:val="ro-RO"/>
        </w:rPr>
      </w:pPr>
      <w:r>
        <w:rPr>
          <w:rFonts w:ascii="Times New Roman" w:hAnsi="Times New Roman"/>
          <w:noProof/>
          <w:sz w:val="24"/>
          <w:lang w:val="ro-RO"/>
        </w:rPr>
        <w:t>Un alt aspect important al activității antifraudă a Comisiei este monitorizarea, de către Comisie și de către agențiile sale executive, a recomandărilor OLAF formulate ca urmare a investigațiilor OLAF. În cadrul cooperării cu ordonatorii de credite în cauză, OLAF va îmbunătăți monitorizarea urmăririi recomandărilor sale și va pune periodic la dispoziția serviciilor centrale o imagine de ansamblu a rezultatelor monitorizării. De asemenea, urmărirea recomandărilor financiare și administrative ale OLAF va fi sprijinită printr-o discuție sistematică periodică la nivel de grup de lucru, în conformitate cu acordurile administrative privind cooperarea și schimbul oportun de informații convenite, între Comisie și OLAF</w:t>
      </w:r>
      <w:r>
        <w:rPr>
          <w:rFonts w:ascii="Times New Roman" w:hAnsi="Times New Roman"/>
          <w:noProof/>
          <w:sz w:val="24"/>
          <w:vertAlign w:val="superscript"/>
          <w:lang w:val="ro-RO"/>
        </w:rPr>
        <w:footnoteReference w:id="51"/>
      </w:r>
      <w:r>
        <w:rPr>
          <w:rFonts w:ascii="Times New Roman" w:hAnsi="Times New Roman"/>
          <w:noProof/>
          <w:sz w:val="24"/>
          <w:lang w:val="ro-RO"/>
        </w:rPr>
        <w:t>, precum și prin monitorizarea sistematică în cadrul FPDNet și de către consiliul de administrație corporativ.</w:t>
      </w:r>
    </w:p>
    <w:p>
      <w:pPr>
        <w:jc w:val="both"/>
        <w:rPr>
          <w:rFonts w:ascii="Times New Roman" w:hAnsi="Times New Roman" w:cs="Times New Roman"/>
          <w:noProof/>
          <w:sz w:val="24"/>
          <w:szCs w:val="24"/>
          <w:lang w:val="ro-RO"/>
        </w:rPr>
      </w:pPr>
      <w:r>
        <w:rPr>
          <w:rFonts w:ascii="Times New Roman" w:hAnsi="Times New Roman"/>
          <w:noProof/>
          <w:sz w:val="24"/>
          <w:lang w:val="ro-RO"/>
        </w:rPr>
        <w:t>La nivel strategic, consiliul de administrație corporativ</w:t>
      </w:r>
      <w:r>
        <w:rPr>
          <w:rFonts w:ascii="Times New Roman" w:hAnsi="Times New Roman"/>
          <w:noProof/>
          <w:sz w:val="24"/>
          <w:vertAlign w:val="superscript"/>
          <w:lang w:val="ro-RO"/>
        </w:rPr>
        <w:footnoteReference w:id="52"/>
      </w:r>
      <w:r>
        <w:rPr>
          <w:rFonts w:ascii="Times New Roman" w:hAnsi="Times New Roman"/>
          <w:noProof/>
          <w:sz w:val="24"/>
          <w:lang w:val="ro-RO"/>
        </w:rPr>
        <w:t xml:space="preserve"> va discuta și va revizui anual politicile antifraudă ale Comisiei, pe baza lucrărilor pregătitoare care vor fi efectuate de către OLAF, FPDNet și serviciile centrale. De asemenea, dacă este necesar, pot avea loc alte discuții ad-hoc în cadrul consiliului de administrație corporativ. Această abordare strategică a gestionării corporative a riscului de fraudă, consiliul de administrație corporativ și OLAF fiind actori cheie, este reflectată și în „pachetul privind guvernanța”, care a fost adoptat de Comisie la 21 noiembrie 2018 și care atribuie consiliului de administrație corporativ</w:t>
      </w:r>
      <w:r>
        <w:rPr>
          <w:rFonts w:ascii="Times New Roman" w:hAnsi="Times New Roman"/>
          <w:noProof/>
          <w:sz w:val="24"/>
          <w:vertAlign w:val="superscript"/>
          <w:lang w:val="ro-RO"/>
        </w:rPr>
        <w:footnoteReference w:id="53"/>
      </w:r>
      <w:r>
        <w:rPr>
          <w:rFonts w:ascii="Times New Roman" w:hAnsi="Times New Roman"/>
          <w:noProof/>
          <w:sz w:val="24"/>
          <w:lang w:val="ro-RO"/>
        </w:rPr>
        <w:t xml:space="preserve"> un rol strategic cu privire la aspectele corporative ale luptei împotriva fraudei din cadrul Comisiei și desemnează OLAF ca serviciu principal în ceea ce privește elaborarea și dezvoltarea politicii europene antifraudă</w:t>
      </w:r>
      <w:r>
        <w:rPr>
          <w:rFonts w:ascii="Times New Roman" w:hAnsi="Times New Roman"/>
          <w:noProof/>
          <w:sz w:val="24"/>
          <w:vertAlign w:val="superscript"/>
          <w:lang w:val="ro-RO"/>
        </w:rPr>
        <w:footnoteReference w:id="54"/>
      </w:r>
      <w:r>
        <w:rPr>
          <w:rFonts w:ascii="Times New Roman" w:hAnsi="Times New Roman"/>
          <w:noProof/>
          <w:sz w:val="24"/>
          <w:lang w:val="ro-RO"/>
        </w:rPr>
        <w:t>.</w:t>
      </w:r>
    </w:p>
    <w:p>
      <w:pPr>
        <w:jc w:val="both"/>
        <w:rPr>
          <w:rFonts w:ascii="Times New Roman" w:hAnsi="Times New Roman" w:cs="Times New Roman"/>
          <w:noProof/>
          <w:sz w:val="24"/>
          <w:szCs w:val="24"/>
          <w:lang w:val="ro-RO"/>
        </w:rPr>
      </w:pPr>
    </w:p>
    <w:p>
      <w:pPr>
        <w:pStyle w:val="Heading1"/>
        <w:numPr>
          <w:ilvl w:val="0"/>
          <w:numId w:val="0"/>
        </w:numPr>
        <w:spacing w:before="0" w:after="180"/>
        <w:ind w:left="432" w:hanging="432"/>
        <w:rPr>
          <w:rFonts w:ascii="Times New Roman" w:hAnsi="Times New Roman" w:cs="Times New Roman"/>
          <w:noProof/>
          <w:color w:val="auto"/>
          <w:lang w:val="ro-RO"/>
        </w:rPr>
      </w:pPr>
      <w:bookmarkStart w:id="15" w:name="_Toc6414621"/>
      <w:r>
        <w:rPr>
          <w:rFonts w:ascii="Times New Roman" w:hAnsi="Times New Roman"/>
          <w:noProof/>
          <w:color w:val="auto"/>
          <w:lang w:val="ro-RO"/>
        </w:rPr>
        <w:t>5.</w:t>
      </w:r>
      <w:r>
        <w:rPr>
          <w:noProof/>
          <w:lang w:val="ro-RO"/>
        </w:rPr>
        <w:tab/>
      </w:r>
      <w:r>
        <w:rPr>
          <w:rFonts w:ascii="Times New Roman" w:hAnsi="Times New Roman"/>
          <w:noProof/>
          <w:color w:val="auto"/>
          <w:lang w:val="ro-RO"/>
        </w:rPr>
        <w:t>Obiective suplimentare</w:t>
      </w:r>
      <w:bookmarkEnd w:id="15"/>
    </w:p>
    <w:p>
      <w:pPr>
        <w:jc w:val="both"/>
        <w:rPr>
          <w:rFonts w:ascii="Times New Roman" w:hAnsi="Times New Roman" w:cs="Times New Roman"/>
          <w:noProof/>
          <w:sz w:val="24"/>
          <w:szCs w:val="24"/>
          <w:lang w:val="ro-RO"/>
        </w:rPr>
      </w:pPr>
      <w:r>
        <w:rPr>
          <w:rFonts w:ascii="Times New Roman" w:hAnsi="Times New Roman"/>
          <w:noProof/>
          <w:sz w:val="24"/>
          <w:lang w:val="ro-RO"/>
        </w:rPr>
        <w:t>Obiectivele suplimentare, care sunt precizate mai pe larg în anexă și care sunt completate de punctele de acțiune detaliate în planul de acțiune, acoperă următoarele domenii:</w:t>
      </w:r>
    </w:p>
    <w:p>
      <w:pPr>
        <w:pStyle w:val="ListParagraph"/>
        <w:numPr>
          <w:ilvl w:val="0"/>
          <w:numId w:val="9"/>
        </w:numPr>
        <w:jc w:val="both"/>
        <w:rPr>
          <w:rFonts w:ascii="Times New Roman" w:hAnsi="Times New Roman" w:cs="Times New Roman"/>
          <w:noProof/>
          <w:sz w:val="24"/>
          <w:szCs w:val="24"/>
          <w:lang w:val="ro-RO"/>
        </w:rPr>
      </w:pPr>
      <w:r>
        <w:rPr>
          <w:rFonts w:ascii="Times New Roman" w:hAnsi="Times New Roman"/>
          <w:noProof/>
          <w:sz w:val="24"/>
          <w:lang w:val="ro-RO"/>
        </w:rPr>
        <w:t>integritate și conformitate;</w:t>
      </w:r>
    </w:p>
    <w:p>
      <w:pPr>
        <w:pStyle w:val="ListParagraph"/>
        <w:numPr>
          <w:ilvl w:val="0"/>
          <w:numId w:val="9"/>
        </w:numPr>
        <w:jc w:val="both"/>
        <w:rPr>
          <w:rFonts w:ascii="Times New Roman" w:hAnsi="Times New Roman" w:cs="Times New Roman"/>
          <w:noProof/>
          <w:sz w:val="24"/>
          <w:szCs w:val="24"/>
          <w:lang w:val="ro-RO"/>
        </w:rPr>
      </w:pPr>
      <w:r>
        <w:rPr>
          <w:rFonts w:ascii="Times New Roman" w:hAnsi="Times New Roman"/>
          <w:noProof/>
          <w:sz w:val="24"/>
          <w:lang w:val="ro-RO"/>
        </w:rPr>
        <w:t>know-how și echipamente;</w:t>
      </w:r>
    </w:p>
    <w:p>
      <w:pPr>
        <w:pStyle w:val="ListParagraph"/>
        <w:numPr>
          <w:ilvl w:val="0"/>
          <w:numId w:val="9"/>
        </w:numPr>
        <w:jc w:val="both"/>
        <w:rPr>
          <w:rFonts w:ascii="Times New Roman" w:hAnsi="Times New Roman" w:cs="Times New Roman"/>
          <w:noProof/>
          <w:sz w:val="24"/>
          <w:szCs w:val="24"/>
          <w:lang w:val="ro-RO"/>
        </w:rPr>
      </w:pPr>
      <w:r>
        <w:rPr>
          <w:rFonts w:ascii="Times New Roman" w:hAnsi="Times New Roman"/>
          <w:noProof/>
          <w:sz w:val="24"/>
          <w:lang w:val="ro-RO"/>
        </w:rPr>
        <w:t>transparență;</w:t>
      </w:r>
    </w:p>
    <w:p>
      <w:pPr>
        <w:pStyle w:val="ListParagraph"/>
        <w:numPr>
          <w:ilvl w:val="0"/>
          <w:numId w:val="9"/>
        </w:numPr>
        <w:jc w:val="both"/>
        <w:rPr>
          <w:rFonts w:ascii="Times New Roman" w:hAnsi="Times New Roman" w:cs="Times New Roman"/>
          <w:noProof/>
          <w:sz w:val="24"/>
          <w:szCs w:val="24"/>
          <w:lang w:val="ro-RO"/>
        </w:rPr>
      </w:pPr>
      <w:r>
        <w:rPr>
          <w:rFonts w:ascii="Times New Roman" w:hAnsi="Times New Roman"/>
          <w:noProof/>
          <w:sz w:val="24"/>
          <w:lang w:val="ro-RO"/>
        </w:rPr>
        <w:t>cadrul juridic; și</w:t>
      </w:r>
    </w:p>
    <w:p>
      <w:pPr>
        <w:pStyle w:val="ListParagraph"/>
        <w:numPr>
          <w:ilvl w:val="0"/>
          <w:numId w:val="9"/>
        </w:numPr>
        <w:jc w:val="both"/>
        <w:rPr>
          <w:rFonts w:ascii="Times New Roman" w:hAnsi="Times New Roman" w:cs="Times New Roman"/>
          <w:noProof/>
          <w:sz w:val="24"/>
          <w:szCs w:val="24"/>
          <w:lang w:val="ro-RO"/>
        </w:rPr>
      </w:pPr>
      <w:r>
        <w:rPr>
          <w:rFonts w:ascii="Times New Roman" w:hAnsi="Times New Roman"/>
          <w:noProof/>
          <w:sz w:val="24"/>
          <w:lang w:val="ro-RO"/>
        </w:rPr>
        <w:t>combaterea fraudei asupra veniturilor.</w:t>
      </w:r>
    </w:p>
    <w:p>
      <w:pPr>
        <w:jc w:val="both"/>
        <w:rPr>
          <w:rFonts w:ascii="Times New Roman" w:hAnsi="Times New Roman" w:cs="Times New Roman"/>
          <w:noProof/>
          <w:sz w:val="24"/>
          <w:szCs w:val="24"/>
          <w:lang w:val="ro-RO"/>
        </w:rPr>
      </w:pPr>
      <w:r>
        <w:rPr>
          <w:rFonts w:ascii="Times New Roman" w:hAnsi="Times New Roman"/>
          <w:noProof/>
          <w:sz w:val="24"/>
          <w:lang w:val="ro-RO"/>
        </w:rPr>
        <w:t>Aceste obiective rezultă din principiile directoare prevăzute în secțiunea 4.1 de mai sus și din evaluarea riscului de fraudă efectuată de serviciile Comisiei, explicată în documentul de lucru al serviciilor Comisiei respectiv. De exemplu, Comisia va încuraja în continuare - și va supraveghea, dacă este necesar - cele mai înalte standarde de integritate profesională în rândul personalului său, așa cum a făcut întotdeauna, din principiu; importanța acestui demers depășește problematica combaterii fraudei. În ceea ce privește obiectivul de combatere a fraudei asupra veniturilor, ca urmare a riscurilor identificate, acestui aspect i se acordă un loc mai important în prezenta SAFC 2019 decât în SAFC 2011.</w:t>
      </w:r>
    </w:p>
    <w:p>
      <w:pPr>
        <w:pStyle w:val="Heading1"/>
        <w:numPr>
          <w:ilvl w:val="0"/>
          <w:numId w:val="0"/>
        </w:numPr>
        <w:spacing w:before="0" w:after="180"/>
        <w:ind w:left="432" w:hanging="432"/>
        <w:rPr>
          <w:rFonts w:ascii="Times New Roman" w:hAnsi="Times New Roman" w:cs="Times New Roman"/>
          <w:noProof/>
          <w:color w:val="auto"/>
          <w:lang w:val="ro-RO"/>
        </w:rPr>
      </w:pPr>
      <w:bookmarkStart w:id="16" w:name="_Toc6414622"/>
      <w:r>
        <w:rPr>
          <w:rFonts w:ascii="Times New Roman" w:hAnsi="Times New Roman"/>
          <w:noProof/>
          <w:color w:val="auto"/>
          <w:lang w:val="ro-RO"/>
        </w:rPr>
        <w:t>6.</w:t>
      </w:r>
      <w:r>
        <w:rPr>
          <w:noProof/>
          <w:lang w:val="ro-RO"/>
        </w:rPr>
        <w:tab/>
      </w:r>
      <w:r>
        <w:rPr>
          <w:rFonts w:ascii="Times New Roman" w:hAnsi="Times New Roman"/>
          <w:noProof/>
          <w:color w:val="auto"/>
          <w:lang w:val="ro-RO"/>
        </w:rPr>
        <w:t>Monitorizare și raportare</w:t>
      </w:r>
      <w:bookmarkEnd w:id="16"/>
    </w:p>
    <w:p>
      <w:pPr>
        <w:jc w:val="both"/>
        <w:rPr>
          <w:rFonts w:ascii="Times New Roman" w:hAnsi="Times New Roman" w:cs="Times New Roman"/>
          <w:noProof/>
          <w:sz w:val="24"/>
          <w:szCs w:val="24"/>
          <w:lang w:val="ro-RO"/>
        </w:rPr>
      </w:pPr>
      <w:r>
        <w:rPr>
          <w:rFonts w:ascii="Times New Roman" w:hAnsi="Times New Roman"/>
          <w:noProof/>
          <w:sz w:val="24"/>
          <w:lang w:val="ro-RO"/>
        </w:rPr>
        <w:t>Acțiunile antifraudă ale Comisiei sunt ferm integrate în ciclul anual de planificare strategică și de programare (PSP)</w:t>
      </w:r>
      <w:r>
        <w:rPr>
          <w:rFonts w:ascii="Times New Roman" w:hAnsi="Times New Roman"/>
          <w:noProof/>
          <w:sz w:val="24"/>
          <w:vertAlign w:val="superscript"/>
          <w:lang w:val="ro-RO"/>
        </w:rPr>
        <w:footnoteReference w:id="55"/>
      </w:r>
      <w:r>
        <w:rPr>
          <w:rFonts w:ascii="Times New Roman" w:hAnsi="Times New Roman"/>
          <w:noProof/>
          <w:sz w:val="24"/>
          <w:lang w:val="ro-RO"/>
        </w:rPr>
        <w:t>. În plus, astfel cum s-a menționat deja, diferitele aspecte ale politicii antifraudă a Comisiei vor fi discutate și evaluate în cadrul unei reuniuni anuale specifice a FPDNet a Comisiei la nivel de directori. De asemenea, acestea vor fi discutate cel puțin o dată pe an în cadrul consiliului de administrație corporativ al Comisiei. Aceste discuții vor include aspectele sistemice ale urmăririi recomandărilor OLAF cu privire la strategiile antifraudă ale Comisiei la nivel de serviciu și ale urmăririi recomandărilor OLAF bazate pe investigații, precum și progresele globale din planul de acțiune al SAFC 2019. Acest lucru va spori și mai mult responsabilitatea Comisiei pentru activitățile sale în ceea ce privește detectarea și prevenirea fraudei.</w:t>
      </w:r>
    </w:p>
    <w:p>
      <w:pPr>
        <w:jc w:val="both"/>
        <w:rPr>
          <w:rFonts w:ascii="Times New Roman" w:hAnsi="Times New Roman" w:cs="Times New Roman"/>
          <w:noProof/>
          <w:sz w:val="24"/>
          <w:szCs w:val="24"/>
          <w:lang w:val="ro-RO"/>
        </w:rPr>
      </w:pPr>
      <w:r>
        <w:rPr>
          <w:rFonts w:ascii="Times New Roman" w:hAnsi="Times New Roman"/>
          <w:noProof/>
          <w:sz w:val="24"/>
          <w:lang w:val="ro-RO"/>
        </w:rPr>
        <w:t>Prin inițiativa sa intitulată „Buget axat pe rezultate” (BFOR)</w:t>
      </w:r>
      <w:r>
        <w:rPr>
          <w:rFonts w:ascii="Times New Roman" w:hAnsi="Times New Roman"/>
          <w:noProof/>
          <w:sz w:val="24"/>
          <w:vertAlign w:val="superscript"/>
          <w:lang w:val="ro-RO"/>
        </w:rPr>
        <w:footnoteReference w:id="56"/>
      </w:r>
      <w:r>
        <w:rPr>
          <w:rFonts w:ascii="Times New Roman" w:hAnsi="Times New Roman"/>
          <w:noProof/>
          <w:sz w:val="24"/>
          <w:lang w:val="ro-RO"/>
        </w:rPr>
        <w:t>, Comisia și-a luat angajamentul să aplice politici orientate către performanță în contextul cadrului financiar multianual 2014-2020, care ar trebui să determine o rentabilitate maximă a investițiilor contribuabililor. De asemenea, valoarea adăugată europeană și performanța se numără printre principiile care stau la baza modernizării cadrului financiar multianual 2021-2027, propus de Comisie. Aceasta se aplică și politicilor antifraudă. Prin urmare, eficacitatea și eficiența acestor politici ar trebui să fie monitorizate prin intermediul unor indicatori adecvați, având la bază repere, dacă este posibil, care să reflecte realizările</w:t>
      </w:r>
      <w:r>
        <w:rPr>
          <w:rFonts w:ascii="Times New Roman" w:hAnsi="Times New Roman"/>
          <w:noProof/>
          <w:sz w:val="24"/>
          <w:vertAlign w:val="superscript"/>
          <w:lang w:val="ro-RO"/>
        </w:rPr>
        <w:footnoteReference w:id="57"/>
      </w:r>
      <w:r>
        <w:rPr>
          <w:rFonts w:ascii="Times New Roman" w:hAnsi="Times New Roman"/>
          <w:noProof/>
          <w:sz w:val="24"/>
          <w:lang w:val="ro-RO"/>
        </w:rPr>
        <w:t>, rezultatele sau reușitele</w:t>
      </w:r>
      <w:r>
        <w:rPr>
          <w:rFonts w:ascii="Times New Roman" w:hAnsi="Times New Roman"/>
          <w:noProof/>
          <w:sz w:val="24"/>
          <w:vertAlign w:val="superscript"/>
          <w:lang w:val="ro-RO"/>
        </w:rPr>
        <w:footnoteReference w:id="58"/>
      </w:r>
      <w:r>
        <w:rPr>
          <w:rFonts w:ascii="Times New Roman" w:hAnsi="Times New Roman"/>
          <w:noProof/>
          <w:sz w:val="24"/>
          <w:lang w:val="ro-RO"/>
        </w:rPr>
        <w:t>, precum și impactul</w:t>
      </w:r>
      <w:r>
        <w:rPr>
          <w:rFonts w:ascii="Times New Roman" w:hAnsi="Times New Roman"/>
          <w:noProof/>
          <w:sz w:val="24"/>
          <w:vertAlign w:val="superscript"/>
          <w:lang w:val="ro-RO"/>
        </w:rPr>
        <w:footnoteReference w:id="59"/>
      </w:r>
      <w:r>
        <w:rPr>
          <w:rFonts w:ascii="Times New Roman" w:hAnsi="Times New Roman"/>
          <w:noProof/>
          <w:sz w:val="24"/>
          <w:lang w:val="ro-RO"/>
        </w:rPr>
        <w:t>. Deoarece serviciile și agențiile executive ale Comisiei sunt responsabile pentru realizarea măsurilor stabilite în planul de acțiune care însoțește prezenta comunicare, Comisia consideră că indicatorii de realizare ar trebui să fie stabiliți la nivel de departament, sub supravegherea OLAF. Pentru obiectivele prioritare, până în 2020, la nivelul Comisiei, ar trebui să fie elaborați indicatorii de rezultat preliminari. În cursul punerii în aplicare a SAFC 2019, acești indicatori de rezultat ar trebui să fie îmbunătățiți și completați, în conformitate cu experiențele reale și cu rezultatele altor analize.</w:t>
      </w:r>
    </w:p>
    <w:p>
      <w:pPr>
        <w:jc w:val="both"/>
        <w:rPr>
          <w:rFonts w:ascii="Times New Roman" w:hAnsi="Times New Roman" w:cs="Times New Roman"/>
          <w:noProof/>
          <w:sz w:val="24"/>
          <w:szCs w:val="24"/>
          <w:lang w:val="ro-RO"/>
        </w:rPr>
      </w:pPr>
    </w:p>
    <w:p>
      <w:pPr>
        <w:jc w:val="both"/>
        <w:rPr>
          <w:rFonts w:ascii="Times New Roman" w:hAnsi="Times New Roman" w:cs="Times New Roman"/>
          <w:noProof/>
          <w:sz w:val="24"/>
          <w:szCs w:val="24"/>
          <w:lang w:val="ro-RO"/>
        </w:rPr>
      </w:pPr>
      <w:r>
        <w:rPr>
          <w:rFonts w:ascii="Times New Roman" w:hAnsi="Times New Roman"/>
          <w:noProof/>
          <w:sz w:val="24"/>
          <w:lang w:val="ro-RO"/>
        </w:rPr>
        <w:t>La fel ca în cazul SAFC 2011, Comisia va raporta periodic cu privire la punerea în aplicare a SAFC 2019 și, în timp util, cu privire la elaborarea indicatorilor relevanți în cadrul rapoartelor sale PIF anuale, adresate Parlamentului European și Consiliului și puse la dispoziția publicului larg.</w:t>
      </w:r>
    </w:p>
    <w:p>
      <w:pPr>
        <w:jc w:val="both"/>
        <w:rPr>
          <w:rFonts w:ascii="Times New Roman" w:hAnsi="Times New Roman" w:cs="Times New Roman"/>
          <w:noProof/>
          <w:lang w:val="ro-RO"/>
        </w:rPr>
      </w:pPr>
      <w:r>
        <w:rPr>
          <w:rFonts w:ascii="Times New Roman" w:hAnsi="Times New Roman"/>
          <w:noProof/>
          <w:sz w:val="24"/>
          <w:lang w:val="ro-RO"/>
        </w:rPr>
        <w:t>Următoarea actualizare a SAFC este preconizată după evaluarea la jumătatea perioadei a CFM 2021-2027. Între timp, planul de acțiune va fi revizuit și modificat, dacă va fi necesar.</w:t>
      </w:r>
    </w:p>
    <w:p>
      <w:pPr>
        <w:pStyle w:val="Typedudocument"/>
        <w:rPr>
          <w:noProof/>
          <w:lang w:val="ro-RO"/>
        </w:rPr>
      </w:pPr>
    </w:p>
    <w:sectPr>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354317"/>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1233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21</w:t>
        </w:r>
        <w:r>
          <w:fldChar w:fldCharType="end"/>
        </w:r>
      </w:p>
    </w:sdtContent>
  </w:sdt>
  <w:p>
    <w:pPr>
      <w:pStyle w:val="Footer"/>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2">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 JO L 248, 18.9.2013, p. 1, astfel cum a fost modificat.</w:t>
      </w:r>
    </w:p>
  </w:footnote>
  <w:footnote w:id="3">
    <w:p>
      <w:pPr>
        <w:pStyle w:val="FootnoteText"/>
        <w:ind w:left="227" w:hanging="227"/>
        <w:jc w:val="both"/>
        <w:rPr>
          <w:rFonts w:ascii="Times New Roman" w:hAnsi="Times New Roman" w:cs="Times New Roman"/>
          <w:lang w:val="fr-BE"/>
        </w:rPr>
      </w:pPr>
      <w:r>
        <w:rPr>
          <w:rFonts w:ascii="Times New Roman" w:hAnsi="Times New Roman"/>
          <w:vertAlign w:val="superscript"/>
        </w:rPr>
        <w:footnoteRef/>
      </w:r>
      <w:r>
        <w:rPr>
          <w:rFonts w:ascii="Times New Roman" w:hAnsi="Times New Roman"/>
          <w:lang w:val="fr-FR"/>
        </w:rPr>
        <w:t xml:space="preserve"> </w:t>
      </w:r>
      <w:r>
        <w:rPr>
          <w:lang w:val="fr-FR"/>
        </w:rPr>
        <w:tab/>
      </w:r>
      <w:r>
        <w:rPr>
          <w:rFonts w:ascii="Times New Roman" w:hAnsi="Times New Roman"/>
          <w:lang w:val="fr-FR"/>
        </w:rPr>
        <w:t>Acronim în limba franceză pentru „protection des intérêts financiers de l’Union européenne”</w:t>
      </w:r>
    </w:p>
  </w:footnote>
  <w:footnote w:id="4">
    <w:p>
      <w:pPr>
        <w:pStyle w:val="FootnoteText"/>
        <w:ind w:left="227" w:hanging="227"/>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w:t>
      </w:r>
      <w:r>
        <w:rPr>
          <w:lang w:val="fr-BE"/>
        </w:rPr>
        <w:tab/>
      </w:r>
      <w:r>
        <w:rPr>
          <w:rFonts w:ascii="Times New Roman" w:hAnsi="Times New Roman"/>
          <w:lang w:val="fr-BE"/>
        </w:rPr>
        <w:t>Directiva (UE) 2017/1371 a Parlamentului European și a Consiliului din 5 iulie 2017 privind combaterea fraudelor îndreptate împotriva intereselor financiare ale Uniunii prin mijloace de drept penal, JO L 198, 28.7.2017, p. 29.</w:t>
      </w:r>
    </w:p>
  </w:footnote>
  <w:footnote w:id="5">
    <w:p>
      <w:pPr>
        <w:pStyle w:val="FootnoteText"/>
        <w:ind w:left="227" w:hanging="227"/>
        <w:jc w:val="both"/>
        <w:rPr>
          <w:rFonts w:ascii="Times New Roman" w:hAnsi="Times New Roman" w:cs="Times New Roman"/>
          <w:lang w:val="fr-BE"/>
        </w:rPr>
      </w:pPr>
      <w:r>
        <w:rPr>
          <w:rFonts w:ascii="Times New Roman" w:hAnsi="Times New Roman"/>
          <w:vertAlign w:val="superscript"/>
        </w:rPr>
        <w:footnoteRef/>
      </w:r>
      <w:r>
        <w:rPr>
          <w:rFonts w:ascii="Times New Roman" w:hAnsi="Times New Roman"/>
          <w:lang w:val="fr-BE"/>
        </w:rPr>
        <w:t xml:space="preserve"> </w:t>
      </w:r>
      <w:r>
        <w:rPr>
          <w:lang w:val="fr-BE"/>
        </w:rPr>
        <w:tab/>
      </w:r>
      <w:r>
        <w:rPr>
          <w:rFonts w:ascii="Times New Roman" w:hAnsi="Times New Roman"/>
          <w:lang w:val="fr-BE"/>
        </w:rPr>
        <w:t>A se vedea nota de subsol 1.</w:t>
      </w:r>
    </w:p>
  </w:footnote>
  <w:footnote w:id="6">
    <w:p>
      <w:pPr>
        <w:pStyle w:val="FootnoteText"/>
        <w:ind w:left="227" w:hanging="227"/>
        <w:jc w:val="both"/>
        <w:rPr>
          <w:rFonts w:ascii="Times New Roman" w:hAnsi="Times New Roman" w:cs="Times New Roman"/>
          <w:lang w:val="fr-BE"/>
        </w:rPr>
      </w:pPr>
      <w:r>
        <w:rPr>
          <w:rFonts w:ascii="Times New Roman" w:hAnsi="Times New Roman"/>
          <w:vertAlign w:val="superscript"/>
        </w:rPr>
        <w:footnoteRef/>
      </w:r>
      <w:r>
        <w:rPr>
          <w:rFonts w:ascii="Times New Roman" w:hAnsi="Times New Roman"/>
          <w:lang w:val="fr-BE"/>
        </w:rPr>
        <w:t xml:space="preserve"> </w:t>
      </w:r>
      <w:r>
        <w:rPr>
          <w:lang w:val="fr-BE"/>
        </w:rPr>
        <w:tab/>
      </w:r>
      <w:r>
        <w:rPr>
          <w:rFonts w:ascii="Times New Roman" w:hAnsi="Times New Roman"/>
          <w:lang w:val="fr-BE"/>
        </w:rPr>
        <w:t>Corectarea fraudei este un termen generic, care se referă, în special, la recuperarea sumelor cheltuite în mod necuvenit și la sancțiunile administrative.</w:t>
      </w:r>
    </w:p>
  </w:footnote>
  <w:footnote w:id="7">
    <w:p>
      <w:pPr>
        <w:pStyle w:val="FootnoteText"/>
        <w:ind w:left="227" w:hanging="227"/>
        <w:jc w:val="both"/>
        <w:rPr>
          <w:rFonts w:ascii="Times New Roman" w:hAnsi="Times New Roman" w:cs="Times New Roman"/>
          <w:lang w:val="fr-BE"/>
        </w:rPr>
      </w:pPr>
      <w:r>
        <w:rPr>
          <w:rFonts w:ascii="Times New Roman" w:hAnsi="Times New Roman"/>
          <w:vertAlign w:val="superscript"/>
        </w:rPr>
        <w:footnoteRef/>
      </w:r>
      <w:r>
        <w:rPr>
          <w:lang w:val="fr-BE"/>
        </w:rPr>
        <w:tab/>
      </w:r>
      <w:r>
        <w:rPr>
          <w:rFonts w:ascii="Times New Roman" w:hAnsi="Times New Roman"/>
          <w:lang w:val="fr-BE"/>
        </w:rPr>
        <w:t>Cel mai recent raport: Raportul Comisiei către Parlamentul European și Consiliu, Al 29-lea Raport anual privind protejarea intereselor financiare ale Uniunii Europene – Combaterea fraudei – 2017, COM(2018) 553 final.</w:t>
      </w:r>
    </w:p>
  </w:footnote>
  <w:footnote w:id="8">
    <w:p>
      <w:pPr>
        <w:pStyle w:val="FootnoteText"/>
        <w:ind w:left="227" w:hanging="227"/>
        <w:jc w:val="both"/>
        <w:rPr>
          <w:rFonts w:ascii="Times New Roman" w:hAnsi="Times New Roman" w:cs="Times New Roman"/>
          <w:lang w:val="fr-BE"/>
        </w:rPr>
      </w:pPr>
      <w:r>
        <w:rPr>
          <w:rFonts w:ascii="Times New Roman" w:hAnsi="Times New Roman"/>
          <w:vertAlign w:val="superscript"/>
        </w:rPr>
        <w:footnoteRef/>
      </w:r>
      <w:r>
        <w:rPr>
          <w:lang w:val="fr-BE"/>
        </w:rPr>
        <w:tab/>
      </w:r>
      <w:r>
        <w:rPr>
          <w:rFonts w:ascii="Times New Roman" w:hAnsi="Times New Roman"/>
          <w:lang w:val="fr-BE"/>
        </w:rPr>
        <w:t>Deoarece, în mod normal, acesta nu include frauda nedetectată, nu este posibilă identificarea nivelului fraudei efective.</w:t>
      </w:r>
    </w:p>
  </w:footnote>
  <w:footnote w:id="9">
    <w:p>
      <w:pPr>
        <w:pStyle w:val="FootnoteText"/>
        <w:ind w:left="227" w:hanging="227"/>
        <w:jc w:val="both"/>
        <w:rPr>
          <w:rFonts w:ascii="Times New Roman" w:hAnsi="Times New Roman" w:cs="Times New Roman"/>
          <w:lang w:val="fr-BE"/>
        </w:rPr>
      </w:pPr>
      <w:r>
        <w:rPr>
          <w:rFonts w:ascii="Times New Roman" w:hAnsi="Times New Roman"/>
          <w:vertAlign w:val="superscript"/>
        </w:rPr>
        <w:footnoteRef/>
      </w:r>
      <w:r>
        <w:rPr>
          <w:rFonts w:ascii="Times New Roman" w:hAnsi="Times New Roman"/>
          <w:lang w:val="fr-BE"/>
        </w:rPr>
        <w:t xml:space="preserve"> </w:t>
      </w:r>
      <w:r>
        <w:rPr>
          <w:lang w:val="fr-BE"/>
        </w:rPr>
        <w:tab/>
        <w:t xml:space="preserve">Aceste cifre nu reflectă încă pe deplin cazurile importante de subevaluare vamală descoperite recent în Regatul Unit (a se vedea </w:t>
      </w:r>
      <w:hyperlink r:id="rId1">
        <w:r>
          <w:rPr>
            <w:rStyle w:val="Hyperlink"/>
            <w:rFonts w:ascii="Times New Roman" w:hAnsi="Times New Roman"/>
            <w:lang w:val="fr-BE"/>
          </w:rPr>
          <w:t>Raportul OLAF 2017</w:t>
        </w:r>
      </w:hyperlink>
      <w:r>
        <w:rPr>
          <w:rFonts w:ascii="Times New Roman" w:hAnsi="Times New Roman"/>
          <w:lang w:val="fr-BE"/>
        </w:rPr>
        <w:t>, p. 26), al căror impact bugetar este estimat la aproximativ 2,5 miliarde EUR.</w:t>
      </w:r>
    </w:p>
  </w:footnote>
  <w:footnote w:id="10">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lang w:val="fr-BE"/>
        </w:rPr>
        <w:t xml:space="preserve"> </w:t>
      </w:r>
      <w:r>
        <w:rPr>
          <w:lang w:val="fr-BE"/>
        </w:rPr>
        <w:tab/>
      </w:r>
      <w:r>
        <w:rPr>
          <w:rFonts w:ascii="Times New Roman" w:hAnsi="Times New Roman"/>
          <w:lang w:val="fr-BE"/>
        </w:rPr>
        <w:t xml:space="preserve">A se vedea, de exemplu, considerentul B din Rezoluția Parlamentului European din 3 mai 2018 referitoare la Raportul anual pe 2016 privind protejarea intereselor financiare ale UE – combaterea fraudei (2017/2216(INI)), P8_TA(2018)0196: „întrucât buna gestiune a cheltuielilor publice și protecția intereselor financiare ale UE ar trebui să reprezinte elemente esențiale ale politicii Uniunii, cu scopul de a crește încrederea cetățenilor prin asigurarea utilizării corecte și eficace a banilor acestora”. </w:t>
      </w:r>
      <w:r>
        <w:rPr>
          <w:rFonts w:ascii="Times New Roman" w:hAnsi="Times New Roman" w:cs="Times New Roman"/>
          <w:lang w:val="fr-BE"/>
        </w:rPr>
        <w:br/>
      </w:r>
      <w:hyperlink r:id="rId2">
        <w:r>
          <w:rPr>
            <w:rStyle w:val="Hyperlink"/>
            <w:rFonts w:ascii="Times New Roman" w:hAnsi="Times New Roman"/>
          </w:rPr>
          <w:t>http://www.europarl.europa.eu/sides/getDoc.do?pubRef=-//EP//TEXT+TA+P8-TA-2018-0196+0+DOC+XML+V0//RO</w:t>
        </w:r>
      </w:hyperlink>
    </w:p>
  </w:footnote>
  <w:footnote w:id="11">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„Combaterea fraudei legate de cheltuielile UE: este necesar să se acționeze”, </w:t>
      </w:r>
      <w:hyperlink r:id="rId3">
        <w:r>
          <w:rPr>
            <w:rStyle w:val="Hyperlink"/>
            <w:rFonts w:ascii="Times New Roman" w:hAnsi="Times New Roman"/>
          </w:rPr>
          <w:t>CCE, Raportul special nr. 01/2019</w:t>
        </w:r>
      </w:hyperlink>
      <w:r>
        <w:rPr>
          <w:rFonts w:ascii="Times New Roman" w:hAnsi="Times New Roman"/>
        </w:rPr>
        <w:t>.</w:t>
      </w:r>
    </w:p>
  </w:footnote>
  <w:footnote w:id="12">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Comunicarea Comisiei către Parlamentul European, Consiliu, Comitetul Economic și Social European, Comitetul Regiunilor și Curtea de Conturi din 24 septembrie 2011 privind strategia antifraudă a Comisiei, COM(2011) 376 final.</w:t>
      </w:r>
    </w:p>
  </w:footnote>
  <w:footnote w:id="13">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Comunicarea Comisiei privind Planul de acțiune intern al Comisiei pentru punerea în aplicare a strategiei antifraudă a Comisiei, SEC(2011) 787/3. Comunicarea a fost însoțită de un plan de acțiune pentru combaterea contrabandei cu țigări și alcool: Documentul de lucru al serviciilor Comisiei privind Planul de acțiune pentru combaterea contrabandei cu țigări și alcool de-a lungul frontierei estice a UE, SEC(2011) 791 final.</w:t>
      </w:r>
    </w:p>
  </w:footnote>
  <w:footnote w:id="14">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A se vedea nota de subsol 7.</w:t>
      </w:r>
    </w:p>
  </w:footnote>
  <w:footnote w:id="15">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Astfel cum recomandă Serviciul de Audit Intern al Comisiei într-un audit din 2016 privind performanța și coordonarea activităților de combatere a fraudei în domeniul resurselor proprii tradiționale, sintetizat în Raportul Comisiei către Parlamentul European și Consiliu; Raport anual către autoritatea care acordă descărcarea de gestiune privind auditurile interne desfășurate în anul 2016, COM(2017) 497 final din 15 septembrie 2017, p. 11.</w:t>
      </w:r>
    </w:p>
  </w:footnote>
  <w:footnote w:id="16">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Menționat în secțiunea 2.1 de mai sus și în nota de subsol 11.</w:t>
      </w:r>
    </w:p>
  </w:footnote>
  <w:footnote w:id="17">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A se vedea nota de subsol 4.</w:t>
      </w:r>
    </w:p>
  </w:footnote>
  <w:footnote w:id="18">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Regulamentul (UE) 2017/1939 al Consiliului din 12 octombrie 2017 de punere în aplicare a unei forme de cooperare consolidată în ceea ce privește instituirea Parchetului European (EPPO), JO L 283, 31.10.2017, p. 1.</w:t>
      </w:r>
    </w:p>
  </w:footnote>
  <w:footnote w:id="1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Propunerea Comisiei din 23 mai 2018 de Regulament al Parlamentului European și al Consiliului de modificare a Regulamentului (UE, Euratom) nr. 883/2013 privind investigațiile efectuate de Oficiul European de Luptă Antifraudă (OLAF) în ceea ce privește cooperarea cu Parchetul European și eficacitatea investigațiilor OLAF, COM (2018) 338.</w:t>
      </w:r>
    </w:p>
  </w:footnote>
  <w:footnote w:id="20">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Astfel cum se subliniază la punctul 11 din Rezoluția Parlamentului European din 3 mai 2018 referitoare la Raportul anual pe 2016 privind protejarea intereselor financiare ale UE – combaterea fraudei (a se vedea nota de subsol 10).</w:t>
      </w:r>
    </w:p>
  </w:footnote>
  <w:footnote w:id="21">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Secțiunea B.I. a Planului de acțiune care însoțește SAFC 2019, SWD(2019) 170.</w:t>
      </w:r>
    </w:p>
  </w:footnote>
  <w:footnote w:id="22">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 se vedea articolul 1 alineatele (1) și (4) din Regulamentul OLAF (a se vedea nota de subsol 2). </w:t>
      </w:r>
    </w:p>
  </w:footnote>
  <w:footnote w:id="23">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Regulamentul (CE, Euratom) nr. 2988/95 al Consiliului din 18 decembrie 1995 privind protecția intereselor financiare ale Comunităților Europene, JO L 312, 23.12.1995, p. 1.</w:t>
      </w:r>
    </w:p>
  </w:footnote>
  <w:footnote w:id="24">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Toate neregulile sunt incluse în domeniul de aplicare al Regulamentului OLAF, însă noua SAFC se concentrează pe acțiunile ilegale intenționate.</w:t>
      </w:r>
    </w:p>
  </w:footnote>
  <w:footnote w:id="25">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Decizia 1999/352/CE, CECO, Euratom a Comisiei din 28 aprilie 1999 de instituire a Oficiului European de Luptă Antifraudă (OLAF), JO L 136, 31.5.1999, p. 20, astfel cum a fost modificată.</w:t>
      </w:r>
    </w:p>
  </w:footnote>
  <w:footnote w:id="26">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SWD (2019) 171, p. 6.</w:t>
      </w:r>
    </w:p>
  </w:footnote>
  <w:footnote w:id="27">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A se vedea, cu trimiteri suplimentare, Regulamentul (UE) 2018/1877 al Consiliului din 26 noiembrie 2018 privind regulamentul financiar aplicabil celui de al 11-lea Fond european de dezvoltare și de abrogare a Regulamentului (UE) 2015/323, JO L 307, 3.12.2018, p. 1.</w:t>
      </w:r>
    </w:p>
  </w:footnote>
  <w:footnote w:id="28">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Prezentată în detaliu în documentul de lucru al serviciilor Comisiei aferent, SWD (2019) 171.</w:t>
      </w:r>
    </w:p>
  </w:footnote>
  <w:footnote w:id="2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În conformitate cu articolul 74 alineatul (2) a doua teză din RF.</w:t>
      </w:r>
    </w:p>
  </w:footnote>
  <w:footnote w:id="30">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Curtea de Conturi Europeană, Raportul anual referitor la execuția bugetului privind exercițiul financiar 2016, însoțit de răspunsurile instituțiilor, JO C 322, 28.9.2017, p. 1, punctele 1.10/11.</w:t>
      </w:r>
    </w:p>
  </w:footnote>
  <w:footnote w:id="31">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Acțiunea 27 din Planul de acțiune care însoțește SAFC 2019, SWD(2019) 170.</w:t>
      </w:r>
    </w:p>
  </w:footnote>
  <w:footnote w:id="32">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Raport al Comisiei către Parlamentul European și Consiliu, Protejarea intereselor financiare ale Uniunii Europene – Combaterea fraudei Raportul anual pe 2016, COM(2017) 383 final, p. 15. Rata de detectare a fraudelor măsoară impactul financiar al fraudei detectate ca procent din veniturile sau cheltuielile totale; aceasta se determină pentru buget în ansamblu și pentru anumite sectoare.</w:t>
      </w:r>
    </w:p>
  </w:footnote>
  <w:footnote w:id="33">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Fără a include cazul de subevaluare din Regatul Unit, caz explicat în Raportul OLAF 2017, pp. 26-27: </w:t>
      </w:r>
      <w:hyperlink r:id="rId4">
        <w:r>
          <w:rPr>
            <w:rStyle w:val="Hyperlink"/>
            <w:rFonts w:ascii="Times New Roman" w:hAnsi="Times New Roman"/>
          </w:rPr>
          <w:t>https://ec.europa.eu/anti-fraud/sites/antifraud/files/olaf_report_2017_en.pdf</w:t>
        </w:r>
      </w:hyperlink>
      <w:r>
        <w:rPr>
          <w:rFonts w:ascii="Times New Roman" w:hAnsi="Times New Roman"/>
        </w:rPr>
        <w:t>.</w:t>
      </w:r>
    </w:p>
  </w:footnote>
  <w:footnote w:id="34">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 xml:space="preserve">Explicată în documentul Europol „Evaluarea amenințării pe care o reprezintă formele grave de criminalitate și criminalitatea organizată (SOCTA) din Uniunea Europeană”, 2017, p. 44: </w:t>
      </w:r>
      <w:hyperlink r:id="rId5">
        <w:r>
          <w:rPr>
            <w:rStyle w:val="Hyperlink"/>
            <w:rFonts w:ascii="Times New Roman" w:hAnsi="Times New Roman"/>
          </w:rPr>
          <w:t>https://www.europol.europa.eu/activities-services/main-reports/european-union-serious-and-organised-crime-threat-assessment-2017</w:t>
        </w:r>
      </w:hyperlink>
      <w:r>
        <w:rPr>
          <w:rFonts w:ascii="Times New Roman" w:hAnsi="Times New Roman"/>
        </w:rPr>
        <w:t>.</w:t>
      </w:r>
    </w:p>
  </w:footnote>
  <w:footnote w:id="35">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Comunicare a Comisiei către Parlamentul European, Consiliu și Comitetul Economic și Social European din 7 aprilie 2016 referitoare la un plan de acțiune privind TVA, Către un spațiu unic pentru TVA în UE - Momentul deciziei, COM(2016) 148 final, p. 3.</w:t>
      </w:r>
    </w:p>
  </w:footnote>
  <w:footnote w:id="36">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Raportul OLAF 2016, p. 19: </w:t>
      </w:r>
      <w:hyperlink r:id="rId6">
        <w:r>
          <w:rPr>
            <w:rStyle w:val="Hyperlink"/>
            <w:rFonts w:ascii="Times New Roman" w:hAnsi="Times New Roman"/>
          </w:rPr>
          <w:t>https://ec.europa.eu/anti-fraud/sites/antifraud/files/olaf_report_2016_en.pdf</w:t>
        </w:r>
      </w:hyperlink>
    </w:p>
  </w:footnote>
  <w:footnote w:id="37">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Raportul OLAF 2017, pp. 22-23: </w:t>
      </w:r>
      <w:hyperlink r:id="rId7">
        <w:r>
          <w:rPr>
            <w:rStyle w:val="Hyperlink"/>
            <w:rFonts w:ascii="Times New Roman" w:hAnsi="Times New Roman"/>
          </w:rPr>
          <w:t>https://ec.europa.eu/anti-fraud/sites/antifraud/files/olaf_report_2017_en.pdf</w:t>
        </w:r>
      </w:hyperlink>
      <w:r>
        <w:rPr>
          <w:rFonts w:ascii="Times New Roman" w:hAnsi="Times New Roman" w:cs="Times New Roman"/>
        </w:rPr>
        <w:br/>
      </w:r>
      <w:r>
        <w:rPr>
          <w:rFonts w:ascii="Times New Roman" w:hAnsi="Times New Roman"/>
        </w:rPr>
        <w:t>Europol, SOCTA 2017 (a se vedea nota de subsol 34), p. 45.</w:t>
      </w:r>
    </w:p>
  </w:footnote>
  <w:footnote w:id="38">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 xml:space="preserve">Publicația Secretariatului General al Consiliului, „Ciclul de elaborare a politicilor al UE pentru combaterea criminalității internaționale organizate și grave”: </w:t>
      </w:r>
      <w:hyperlink r:id="rId8">
        <w:r>
          <w:rPr>
            <w:rStyle w:val="Hyperlink"/>
            <w:rFonts w:ascii="Times New Roman" w:hAnsi="Times New Roman"/>
          </w:rPr>
          <w:t>http://www.consilium.europa.eu/media/30232/qc0114638enn.pdf</w:t>
        </w:r>
      </w:hyperlink>
    </w:p>
  </w:footnote>
  <w:footnote w:id="39">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Concluziile Consiliului din 18 mai 2017 privind stabilirea priorităților UE pentru combaterea criminalității internaționale organizate și grave în perioada 2018-2021, documentul Consiliului 9450/17:</w:t>
      </w:r>
      <w:r>
        <w:tab/>
      </w:r>
      <w:r>
        <w:rPr>
          <w:rFonts w:ascii="Times New Roman" w:hAnsi="Times New Roman" w:cs="Times New Roman"/>
        </w:rPr>
        <w:br/>
      </w:r>
      <w:hyperlink r:id="rId9">
        <w:r>
          <w:rPr>
            <w:rStyle w:val="Hyperlink"/>
            <w:rFonts w:ascii="Times New Roman" w:hAnsi="Times New Roman"/>
          </w:rPr>
          <w:t>http://data.consilium.europa.eu/doc/document/ST-9450-2017-INIT/ro/pdf</w:t>
        </w:r>
      </w:hyperlink>
      <w:r>
        <w:rPr>
          <w:rFonts w:ascii="Times New Roman" w:hAnsi="Times New Roman" w:cs="Times New Roman"/>
        </w:rPr>
        <w:br/>
      </w:r>
      <w:r>
        <w:rPr>
          <w:rFonts w:ascii="Times New Roman" w:hAnsi="Times New Roman"/>
        </w:rPr>
        <w:t>Prioritățile în materie de fraudă (nelimitate la frauda care aduce atingere bugetului UE) se referă la criminalitatea cibernetică, la frauda cu produse accizabile și la frauda în domeniul TVA, la spălarea banilor și la recuperarea activelor, precum și la fraudarea documentelor.</w:t>
      </w:r>
    </w:p>
  </w:footnote>
  <w:footnote w:id="40">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Comunicare a Comisiei către Consiliu și Parlamentul European, Intensificarea luptei împotriva contrabandei cu țigări și a altor forme de comerț ilicit cu produse din tutun - O strategie globală a UE, din 6 iunie 2013, COM(2013) 0324 final.</w:t>
      </w:r>
    </w:p>
  </w:footnote>
  <w:footnote w:id="41">
    <w:p>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Comunicare a Comisiei către Parlamentul European, Consiliu și Comitetul Economic și Social European din 7 decembrie 2018, Al doilea plan de acțiune pentru combaterea comerțului ilicit cu tutun 2018-2022, COM(2018) 846 final.</w:t>
      </w:r>
    </w:p>
  </w:footnote>
  <w:footnote w:id="42">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A se vedea nota de subsol 12 și p. 3 din SAFC 2011.</w:t>
      </w:r>
    </w:p>
  </w:footnote>
  <w:footnote w:id="43">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A se vedea pp. 6-9 din SAFC 2011 și nota de subsol 12.</w:t>
      </w:r>
    </w:p>
  </w:footnote>
  <w:footnote w:id="44">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rPr>
        <w:t>Care rezultă din principiile 14-15 ale Cadrului de control intern revizuit al Comisiei, C(2017) 2373 final.</w:t>
      </w:r>
    </w:p>
  </w:footnote>
  <w:footnote w:id="45">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Menționat în secțiunea 2.1 de mai sus și în nota de subsol 11.</w:t>
      </w:r>
    </w:p>
  </w:footnote>
  <w:footnote w:id="46">
    <w:p>
      <w:pPr>
        <w:pStyle w:val="FootnoteText"/>
        <w:ind w:left="227" w:hanging="227"/>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Pe baza unei serii de indicatori de risc predefiniți, instrumentele de evaluare a riscurilor prelucrează și analizează datele cu privire la beneficiari și contractanți cu scopul de a identifica proiectele cele mai expuse riscurilor. Exemple elocvente sunt „DAISY” (într-o versiune mai veche, „PLUTO”), un program dezvoltat pentru serviciile din domeniul cercetării, și ARACHNE, utilizat tot mai mult de către statele membre pentru gestionarea fondurilor structurale și de investiții europene.</w:t>
      </w:r>
    </w:p>
  </w:footnote>
  <w:footnote w:id="47">
    <w:p>
      <w:pPr>
        <w:pStyle w:val="FootnoteText"/>
        <w:ind w:left="227" w:hanging="227"/>
        <w:jc w:val="both"/>
        <w:rPr>
          <w:rFonts w:ascii="Times New Roman" w:hAnsi="Times New Roman" w:cs="Times New Roman"/>
        </w:rPr>
      </w:pPr>
      <w:r>
        <w:rPr>
          <w:rFonts w:ascii="Times New Roman" w:hAnsi="Times New Roman"/>
          <w:vertAlign w:val="superscript"/>
        </w:rPr>
        <w:footnoteRef/>
      </w:r>
      <w:r>
        <w:tab/>
      </w:r>
      <w:r>
        <w:rPr>
          <w:rFonts w:ascii="Times New Roman" w:hAnsi="Times New Roman"/>
          <w:u w:val="single"/>
        </w:rPr>
        <w:t>Automated Monitoring Tool</w:t>
      </w:r>
      <w:r>
        <w:rPr>
          <w:rFonts w:ascii="Times New Roman" w:hAnsi="Times New Roman"/>
        </w:rPr>
        <w:t xml:space="preserve"> (AMT - Instrumentul automatizat de monitorizare) monitorizează fluxurile comerciale și identifică modificările suspecte de volum sau prețul mediu al produselor, permițând astfel detectarea cazurilor de subevaluare și a altor tipuri de fraudă vamală, precum evaziunea în domeniul taxelor antidumping sau declarațiile false cu privire la mărfuri. </w:t>
      </w:r>
      <w:r>
        <w:rPr>
          <w:rFonts w:ascii="Times New Roman" w:hAnsi="Times New Roman"/>
          <w:u w:val="single"/>
        </w:rPr>
        <w:t>Contraffic</w:t>
      </w:r>
      <w:r>
        <w:rPr>
          <w:rFonts w:ascii="Times New Roman" w:hAnsi="Times New Roman"/>
        </w:rPr>
        <w:t xml:space="preserve"> permite detectarea cazurilor de declarații de origine false prin verificarea încrucișată a informațiilor privind circulația fizică a containerelor cu informațiile din declarațiile vamale.</w:t>
      </w:r>
    </w:p>
  </w:footnote>
  <w:footnote w:id="48">
    <w:p>
      <w:pPr>
        <w:pStyle w:val="FootnoteText"/>
        <w:ind w:left="227" w:hanging="227"/>
        <w:jc w:val="both"/>
        <w:rPr>
          <w:rFonts w:ascii="Times New Roman" w:hAnsi="Times New Roman" w:cs="Times New Roman"/>
          <w:lang w:val="pt-PT"/>
        </w:rPr>
      </w:pPr>
      <w:r>
        <w:rPr>
          <w:rFonts w:ascii="Times New Roman" w:hAnsi="Times New Roman"/>
          <w:vertAlign w:val="superscript"/>
        </w:rPr>
        <w:footnoteRef/>
      </w:r>
      <w:r>
        <w:rPr>
          <w:lang w:val="pt-PT"/>
        </w:rPr>
        <w:tab/>
      </w:r>
      <w:r>
        <w:rPr>
          <w:rFonts w:ascii="Times New Roman" w:hAnsi="Times New Roman"/>
          <w:lang w:val="pt-PT"/>
        </w:rPr>
        <w:t>Reformarea Comisiei, o Carte albă, partea I, COM (2000) 200 final/2, secțiunea V.</w:t>
      </w:r>
    </w:p>
  </w:footnote>
  <w:footnote w:id="49">
    <w:p>
      <w:pPr>
        <w:pStyle w:val="FootnoteText"/>
        <w:ind w:left="227" w:hanging="227"/>
        <w:jc w:val="both"/>
        <w:rPr>
          <w:rFonts w:ascii="Times New Roman" w:hAnsi="Times New Roman" w:cs="Times New Roman"/>
          <w:lang w:val="pt-PT"/>
        </w:rPr>
      </w:pPr>
      <w:r>
        <w:rPr>
          <w:rFonts w:ascii="Times New Roman" w:hAnsi="Times New Roman"/>
          <w:vertAlign w:val="superscript"/>
        </w:rPr>
        <w:footnoteRef/>
      </w:r>
      <w:r>
        <w:rPr>
          <w:lang w:val="pt-PT"/>
        </w:rPr>
        <w:tab/>
      </w:r>
      <w:r>
        <w:rPr>
          <w:rFonts w:ascii="Times New Roman" w:hAnsi="Times New Roman"/>
          <w:lang w:val="pt-PT"/>
        </w:rPr>
        <w:t>Conform articolului 36 alineatul (1) din RF, execuția bugetului se realizează în conformitate cu un control intern eficace și eficient. Unul dintre obiectivele controlului intern, definit la articolul 36 alineatul (2) litera (d) din RF, este prevenirea, detectarea, corectarea și monitorizarea fraudei și a neregulilor. Articolul 74 alineatul (2) din RF atribuie ordonatorilor de credite delegați responsabilitatea pentru controlul intern și evaluarea riscurilor. OLAF contribuie la elaborarea și dezvoltarea unor metode de prevenire și combatere a fraudei care afectează interesele financiare ale Uniunii, conform articolului 1 alineatul (2) a doua teză din Regulamentul OLAF.</w:t>
      </w:r>
    </w:p>
  </w:footnote>
  <w:footnote w:id="50">
    <w:p>
      <w:pPr>
        <w:pStyle w:val="FootnoteText"/>
        <w:ind w:left="227" w:hanging="227"/>
        <w:jc w:val="both"/>
        <w:rPr>
          <w:rFonts w:ascii="Times New Roman" w:hAnsi="Times New Roman" w:cs="Times New Roman"/>
          <w:lang w:val="pt-PT"/>
        </w:rPr>
      </w:pPr>
      <w:r>
        <w:rPr>
          <w:rFonts w:ascii="Times New Roman" w:hAnsi="Times New Roman"/>
          <w:vertAlign w:val="superscript"/>
        </w:rPr>
        <w:footnoteRef/>
      </w:r>
      <w:r>
        <w:rPr>
          <w:lang w:val="pt-PT"/>
        </w:rPr>
        <w:tab/>
      </w:r>
      <w:r>
        <w:rPr>
          <w:rFonts w:ascii="Times New Roman" w:hAnsi="Times New Roman"/>
          <w:lang w:val="pt-PT"/>
        </w:rPr>
        <w:t>Inclusiv intenția unui departament de a nu actualiza o strategie existentă după 3 ani de la ultima actualizare.</w:t>
      </w:r>
    </w:p>
  </w:footnote>
  <w:footnote w:id="51">
    <w:p>
      <w:pPr>
        <w:pStyle w:val="FootnoteText"/>
        <w:ind w:left="227" w:hanging="227"/>
        <w:jc w:val="both"/>
        <w:rPr>
          <w:rFonts w:ascii="Times New Roman" w:hAnsi="Times New Roman" w:cs="Times New Roman"/>
          <w:lang w:val="pt-PT"/>
        </w:rPr>
      </w:pPr>
      <w:r>
        <w:rPr>
          <w:rFonts w:ascii="Times New Roman" w:hAnsi="Times New Roman"/>
          <w:vertAlign w:val="superscript"/>
        </w:rPr>
        <w:footnoteRef/>
      </w:r>
      <w:r>
        <w:rPr>
          <w:rFonts w:ascii="Times New Roman" w:hAnsi="Times New Roman"/>
          <w:lang w:val="pt-PT"/>
        </w:rPr>
        <w:t xml:space="preserve"> </w:t>
      </w:r>
      <w:r>
        <w:rPr>
          <w:lang w:val="pt-PT"/>
        </w:rPr>
        <w:tab/>
      </w:r>
      <w:r>
        <w:rPr>
          <w:rFonts w:ascii="Times New Roman" w:hAnsi="Times New Roman"/>
          <w:lang w:val="pt-PT"/>
        </w:rPr>
        <w:t>Anexă la Comunicarea către Comisie din 21 noiembrie 2018 cu privire la revizuirea acordurilor administrative privind cooperarea și schimbul oportun de informații dintre Comisia Europeană și Oficiul European de Luptă Antifraudă, C(2018) 7705 final.</w:t>
      </w:r>
    </w:p>
  </w:footnote>
  <w:footnote w:id="52">
    <w:p>
      <w:pPr>
        <w:pStyle w:val="FootnoteText"/>
        <w:ind w:left="227" w:hanging="227"/>
        <w:jc w:val="both"/>
        <w:rPr>
          <w:rFonts w:ascii="Times New Roman" w:hAnsi="Times New Roman" w:cs="Times New Roman"/>
          <w:lang w:val="pt-PT"/>
        </w:rPr>
      </w:pPr>
      <w:r>
        <w:rPr>
          <w:rFonts w:ascii="Times New Roman" w:hAnsi="Times New Roman"/>
          <w:vertAlign w:val="superscript"/>
        </w:rPr>
        <w:footnoteRef/>
      </w:r>
      <w:r>
        <w:rPr>
          <w:rFonts w:ascii="Times New Roman" w:hAnsi="Times New Roman"/>
          <w:lang w:val="pt-PT"/>
        </w:rPr>
        <w:t xml:space="preserve"> </w:t>
      </w:r>
      <w:r>
        <w:rPr>
          <w:lang w:val="pt-PT"/>
        </w:rPr>
        <w:tab/>
      </w:r>
      <w:r>
        <w:rPr>
          <w:rFonts w:ascii="Times New Roman" w:hAnsi="Times New Roman"/>
          <w:lang w:val="pt-PT"/>
        </w:rPr>
        <w:t>Acționând sub autoritatea președintelui, consiliul de administrație corporativ contribuie la guvernanța corporativă a Comisiei, asigurând coordonarea, supravegherea, consultanța și orientările strategice cu privire la aspectele de gestionare corporativă. Prezidat de secretarul general, acesta reunește periodic directorii generali responsabili pentru buget, resurse umane și securitate, precum și directorul general al Serviciului Juridic. Membru(membrii) cabinetului președintelui responsabil(responsabili) pentru buget și administrație, precum și șeful(șefii) de cabinet al(ai) membrului(membrilor) Comisiei responsabil(responsabili) pentru buget, resurse umane și administrație sunt observatori. A se vedea secțiunea 1.3. din Comunicarea către Comisie din 21 noiembrie 2018, Guvernanța în cadrul Comisiei Europene, C(2018) 7703 final, precum și Decizia Comisiei din 21 noiembrie 2018 privind consiliul de administrație corporativ, C(2018) 7706 final.</w:t>
      </w:r>
    </w:p>
  </w:footnote>
  <w:footnote w:id="53">
    <w:p>
      <w:pPr>
        <w:pStyle w:val="FootnoteText"/>
        <w:ind w:left="227" w:hanging="227"/>
        <w:jc w:val="both"/>
        <w:rPr>
          <w:rFonts w:ascii="Times New Roman" w:hAnsi="Times New Roman" w:cs="Times New Roman"/>
          <w:lang w:val="it-IT"/>
        </w:rPr>
      </w:pPr>
      <w:r>
        <w:rPr>
          <w:rFonts w:ascii="Times New Roman" w:hAnsi="Times New Roman"/>
          <w:vertAlign w:val="superscript"/>
        </w:rPr>
        <w:footnoteRef/>
      </w:r>
      <w:r>
        <w:rPr>
          <w:rFonts w:ascii="Times New Roman" w:hAnsi="Times New Roman"/>
          <w:lang w:val="it-IT"/>
        </w:rPr>
        <w:t xml:space="preserve"> </w:t>
      </w:r>
      <w:r>
        <w:rPr>
          <w:lang w:val="it-IT"/>
        </w:rPr>
        <w:tab/>
      </w:r>
      <w:r>
        <w:rPr>
          <w:rFonts w:ascii="Times New Roman" w:hAnsi="Times New Roman"/>
          <w:lang w:val="it-IT"/>
        </w:rPr>
        <w:t>Articolul 2 alineatul (1) din Decizia Comisiei C(2018) 7706 final.</w:t>
      </w:r>
    </w:p>
  </w:footnote>
  <w:footnote w:id="54">
    <w:p>
      <w:pPr>
        <w:pStyle w:val="FootnoteText"/>
        <w:ind w:left="227" w:hanging="227"/>
        <w:jc w:val="both"/>
        <w:rPr>
          <w:rFonts w:ascii="Times New Roman" w:hAnsi="Times New Roman" w:cs="Times New Roman"/>
          <w:lang w:val="it-IT"/>
        </w:rPr>
      </w:pPr>
      <w:r>
        <w:rPr>
          <w:rFonts w:ascii="Times New Roman" w:hAnsi="Times New Roman"/>
          <w:vertAlign w:val="superscript"/>
        </w:rPr>
        <w:footnoteRef/>
      </w:r>
      <w:r>
        <w:rPr>
          <w:rFonts w:ascii="Times New Roman" w:hAnsi="Times New Roman"/>
          <w:lang w:val="it-IT"/>
        </w:rPr>
        <w:t xml:space="preserve"> </w:t>
      </w:r>
      <w:r>
        <w:rPr>
          <w:lang w:val="it-IT"/>
        </w:rPr>
        <w:tab/>
      </w:r>
      <w:r>
        <w:rPr>
          <w:rFonts w:ascii="Times New Roman" w:hAnsi="Times New Roman"/>
          <w:lang w:val="it-IT"/>
        </w:rPr>
        <w:t>Secțiunea 3.7.2. (p. 15) din Comunicarea C (2018) 7703 final.</w:t>
      </w:r>
    </w:p>
  </w:footnote>
  <w:footnote w:id="55">
    <w:p>
      <w:pPr>
        <w:pStyle w:val="FootnoteText"/>
        <w:ind w:left="227" w:hanging="227"/>
        <w:jc w:val="both"/>
        <w:rPr>
          <w:rFonts w:ascii="Times New Roman" w:hAnsi="Times New Roman" w:cs="Times New Roman"/>
          <w:lang w:val="it-IT"/>
        </w:rPr>
      </w:pPr>
      <w:r>
        <w:rPr>
          <w:rFonts w:ascii="Times New Roman" w:hAnsi="Times New Roman"/>
          <w:vertAlign w:val="superscript"/>
        </w:rPr>
        <w:footnoteRef/>
      </w:r>
      <w:r>
        <w:rPr>
          <w:lang w:val="it-IT"/>
        </w:rPr>
        <w:tab/>
      </w:r>
      <w:r>
        <w:rPr>
          <w:rFonts w:ascii="Times New Roman" w:hAnsi="Times New Roman"/>
          <w:lang w:val="it-IT"/>
        </w:rPr>
        <w:t>În temeiul planurilor lor strategice (care acoperă mandatul Comisiei și reflectă obiectivele strategice ale președintelui) și bazându-se pe strategiile lor antifraudă la nivel de serviciu, departamentele și agențiile executive ale Comisiei își planifică anual acțiunile antifraudă în cadrul planurilor lor de gestionare, după o evaluare anuală a riscurilor, care include riscurile de fraudă. Departamentele Comisiei își prezintă activitatea și realizările în rapoartele lor anuale de activitate, care includ o secțiune specifică privind prevenirea și detectarea fraudei. Pe baza raportării departamentelor, Comisia adoptă propriul Raportul anual de gestiune și performanță cuprinzător, care conține capitole privind controlul intern, inclusiv strategiile antifraudă și protecția intereselor financiare ale UE.</w:t>
      </w:r>
    </w:p>
  </w:footnote>
  <w:footnote w:id="56">
    <w:p>
      <w:pPr>
        <w:pStyle w:val="FootnoteText"/>
        <w:ind w:left="227" w:hanging="227"/>
        <w:jc w:val="both"/>
        <w:rPr>
          <w:rFonts w:ascii="Times New Roman" w:hAnsi="Times New Roman" w:cs="Times New Roman"/>
          <w:lang w:val="it-IT"/>
        </w:rPr>
      </w:pPr>
      <w:r>
        <w:rPr>
          <w:rFonts w:ascii="Times New Roman" w:hAnsi="Times New Roman"/>
          <w:vertAlign w:val="superscript"/>
        </w:rPr>
        <w:footnoteRef/>
      </w:r>
      <w:r>
        <w:rPr>
          <w:lang w:val="it-IT"/>
        </w:rPr>
        <w:tab/>
      </w:r>
      <w:r>
        <w:rPr>
          <w:rFonts w:ascii="Times New Roman" w:hAnsi="Times New Roman"/>
          <w:lang w:val="it-IT"/>
        </w:rPr>
        <w:t xml:space="preserve">A se vedea site-ul BFOR: </w:t>
      </w:r>
      <w:hyperlink r:id="rId10">
        <w:r>
          <w:rPr>
            <w:rStyle w:val="Hyperlink"/>
            <w:rFonts w:ascii="Times New Roman" w:hAnsi="Times New Roman"/>
            <w:lang w:val="it-IT"/>
          </w:rPr>
          <w:t>http://ec.europa.eu/budget/budget4results/index_en.cfm</w:t>
        </w:r>
      </w:hyperlink>
      <w:r>
        <w:rPr>
          <w:rFonts w:ascii="Times New Roman" w:hAnsi="Times New Roman"/>
          <w:lang w:val="it-IT"/>
        </w:rPr>
        <w:t>; Comunicare a Comisiei către Parlamentul European și Consiliu din 14 septembrie 2016, Evaluarea/revizuirea la jumătatea perioadei a cadrului financiar multianual 2014-2020, Un buget al UE axat pe rezultate, COM(2016) 603 final.</w:t>
      </w:r>
    </w:p>
  </w:footnote>
  <w:footnote w:id="57">
    <w:p>
      <w:pPr>
        <w:pStyle w:val="FootnoteText"/>
        <w:ind w:left="227" w:hanging="227"/>
        <w:jc w:val="both"/>
        <w:rPr>
          <w:rFonts w:ascii="Times New Roman" w:hAnsi="Times New Roman" w:cs="Times New Roman"/>
          <w:lang w:val="it-IT"/>
        </w:rPr>
      </w:pPr>
      <w:r>
        <w:rPr>
          <w:rFonts w:ascii="Times New Roman" w:hAnsi="Times New Roman"/>
          <w:vertAlign w:val="superscript"/>
        </w:rPr>
        <w:footnoteRef/>
      </w:r>
      <w:r>
        <w:rPr>
          <w:lang w:val="it-IT"/>
        </w:rPr>
        <w:tab/>
      </w:r>
      <w:r>
        <w:rPr>
          <w:rFonts w:ascii="Times New Roman" w:hAnsi="Times New Roman"/>
          <w:lang w:val="it-IT"/>
        </w:rPr>
        <w:t>Indicatorii de realizare se referă la livrabilele specifice ale intervenției, cum ar fi o nouă bază de date pentru colectarea rezultatelor monitorizării sau un nou standard european etc., a se vedea capitolul V, secțiunea 2.2., p. 48 din Orientările privind o mai bună legiferare, Documentul de lucru al serviciilor Comisiei, SWD (2017) 350.</w:t>
      </w:r>
    </w:p>
  </w:footnote>
  <w:footnote w:id="58">
    <w:p>
      <w:pPr>
        <w:pStyle w:val="FootnoteText"/>
        <w:ind w:left="227" w:hanging="227"/>
        <w:jc w:val="both"/>
        <w:rPr>
          <w:rFonts w:ascii="Times New Roman" w:hAnsi="Times New Roman" w:cs="Times New Roman"/>
          <w:lang w:val="it-IT"/>
        </w:rPr>
      </w:pPr>
      <w:r>
        <w:rPr>
          <w:rFonts w:ascii="Times New Roman" w:hAnsi="Times New Roman"/>
          <w:vertAlign w:val="superscript"/>
        </w:rPr>
        <w:footnoteRef/>
      </w:r>
      <w:r>
        <w:rPr>
          <w:lang w:val="it-IT"/>
        </w:rPr>
        <w:tab/>
      </w:r>
      <w:r>
        <w:rPr>
          <w:rFonts w:ascii="Times New Roman" w:hAnsi="Times New Roman"/>
          <w:lang w:val="it-IT"/>
        </w:rPr>
        <w:t>Indicatorii de rezultate corespund efectelor imediate ale intervenției, făcând trimitere în special la beneficiarii direcți. Referință, a se vedea nota de subsol precedentă.</w:t>
      </w:r>
    </w:p>
  </w:footnote>
  <w:footnote w:id="59">
    <w:p>
      <w:pPr>
        <w:pStyle w:val="FootnoteText"/>
        <w:ind w:left="227" w:hanging="227"/>
        <w:jc w:val="both"/>
        <w:rPr>
          <w:rFonts w:ascii="Times New Roman" w:hAnsi="Times New Roman" w:cs="Times New Roman"/>
        </w:rPr>
      </w:pPr>
      <w:r>
        <w:rPr>
          <w:rFonts w:ascii="Times New Roman" w:hAnsi="Times New Roman"/>
          <w:vertAlign w:val="superscript"/>
        </w:rPr>
        <w:footnoteRef/>
      </w:r>
      <w:r>
        <w:rPr>
          <w:lang w:val="it-IT"/>
        </w:rPr>
        <w:tab/>
      </w:r>
      <w:r>
        <w:rPr>
          <w:rFonts w:ascii="Times New Roman" w:hAnsi="Times New Roman"/>
          <w:lang w:val="it-IT"/>
        </w:rPr>
        <w:t xml:space="preserve">Indicatorii de impact se referă la rezultatul vizat al intervenției în ceea ce privește impactul asupra economiei/societății în ansamblu, dincolo de persoanele afectate în mod direct de intervenție. </w:t>
      </w:r>
      <w:r>
        <w:rPr>
          <w:rFonts w:ascii="Times New Roman" w:hAnsi="Times New Roman"/>
        </w:rPr>
        <w:t>Referință, a se vedea nota de subsol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2AC2"/>
    <w:multiLevelType w:val="hybridMultilevel"/>
    <w:tmpl w:val="FFAC30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F3053"/>
    <w:multiLevelType w:val="hybridMultilevel"/>
    <w:tmpl w:val="4B7AE8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470EE5"/>
    <w:multiLevelType w:val="hybridMultilevel"/>
    <w:tmpl w:val="82B49EBA"/>
    <w:lvl w:ilvl="0" w:tplc="08090003">
      <w:start w:val="1"/>
      <w:numFmt w:val="bullet"/>
      <w:lvlText w:val="o"/>
      <w:lvlJc w:val="left"/>
      <w:pPr>
        <w:ind w:left="720" w:hanging="360"/>
      </w:pPr>
      <w:rPr>
        <w:rFonts w:ascii="Courier New" w:hAnsi="Courier New" w:cs="Courier New" w:hint="default"/>
      </w:rPr>
    </w:lvl>
    <w:lvl w:ilvl="1" w:tplc="A1D615E6">
      <w:start w:val="57"/>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9E1A0C"/>
    <w:multiLevelType w:val="hybridMultilevel"/>
    <w:tmpl w:val="CBF0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1C2812"/>
    <w:multiLevelType w:val="hybridMultilevel"/>
    <w:tmpl w:val="FDC8A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DE1574"/>
    <w:multiLevelType w:val="hybridMultilevel"/>
    <w:tmpl w:val="5D9A3E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E42EA"/>
    <w:multiLevelType w:val="hybridMultilevel"/>
    <w:tmpl w:val="93F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F1075A"/>
    <w:multiLevelType w:val="hybridMultilevel"/>
    <w:tmpl w:val="02688E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2D53E0"/>
    <w:multiLevelType w:val="hybridMultilevel"/>
    <w:tmpl w:val="F50439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5D3FAD"/>
    <w:multiLevelType w:val="hybridMultilevel"/>
    <w:tmpl w:val="12E8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9262F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87B4754"/>
    <w:multiLevelType w:val="hybridMultilevel"/>
    <w:tmpl w:val="4F4A5BBC"/>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6"/>
  </w:num>
  <w:num w:numId="7">
    <w:abstractNumId w:val="3"/>
  </w:num>
  <w:num w:numId="8">
    <w:abstractNumId w:val="9"/>
  </w:num>
  <w:num w:numId="9">
    <w:abstractNumId w:val="4"/>
  </w:num>
  <w:num w:numId="10">
    <w:abstractNumId w:val="11"/>
  </w:num>
  <w:num w:numId="11">
    <w:abstractNumId w:val="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revisionView w:markup="0"/>
  <w:defaultTabStop w:val="851"/>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2F24820-7F15-4994-997C-B65BE857111E"/>
    <w:docVar w:name="LW_COVERPAGE_TYPE" w:val="1"/>
    <w:docVar w:name="LW_CROSSREFERENCE" w:val="{SWD(2019) 170 final} - {SWD(2019) 171 final}"/>
    <w:docVar w:name="LW_DocType" w:val="NORMAL"/>
    <w:docVar w:name="LW_EMISSION" w:val="29.4.2019"/>
    <w:docVar w:name="LW_EMISSION_ISODATE" w:val="2019-04-29"/>
    <w:docVar w:name="LW_EMISSION_LOCATION" w:val="BRX"/>
    <w:docVar w:name="LW_EMISSION_PREFIX" w:val="Bruxelles, "/>
    <w:docVar w:name="LW_EMISSION_SUFFIX" w:val=" "/>
    <w:docVar w:name="LW_ID_DOCTYPE_NONLW" w:val="CP-009"/>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9) 1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trategia antifraud\u259? a Comisiei: ac\u539?iuni intensificate pentru protec\u539?ia bugetului UE"/>
    <w:docVar w:name="LW_TYPE.DOC.CP" w:val="COMUNICARE A COMISIEI"/>
    <w:docVar w:name="LW_TYPE.DOC.CP.USERTEXT" w:val="C\u258?TRE PARLAMENTUL EUROPEAN, CONSILIU, COMITETUL ECONOMIC \u536?I SOCIAL EUROPEAN, COMITETUL REGIUNILOR \u536?I CURTEA DE CONTUR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2"/>
    <w:link w:val="Heading2Char"/>
    <w:unhideWhenUsed/>
    <w:qFormat/>
    <w:pPr>
      <w:keepNext/>
      <w:numPr>
        <w:ilvl w:val="1"/>
        <w:numId w:val="1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aliases w:val="footnote text1,Fußnote,fn,Footnotes,Footnote ak,footnote text,ft,Char,Carattere,Footnote Text Char Char,fn Char Char,footnote text Char Char,Footnotes Char Char,Footnote ak Char Char,fn Char1,footnote text Char1,Footnotes Char1"/>
    <w:basedOn w:val="Normal"/>
    <w:link w:val="FootnoteTextChar"/>
    <w:uiPriority w:val="99"/>
    <w:unhideWhenUsed/>
    <w:qFormat/>
    <w:pPr>
      <w:spacing w:after="0"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LightList-Accent3">
    <w:name w:val="Light List Accent 3"/>
    <w:basedOn w:val="TableNormal"/>
    <w:uiPriority w:val="61"/>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Table7Colorful-Accent61">
    <w:name w:val="List Table 7 Colorful - Accent 61"/>
    <w:basedOn w:val="TableNormal"/>
    <w:uiPriority w:val="5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1">
    <w:name w:val="Para_1"/>
    <w:basedOn w:val="Normal"/>
    <w:link w:val="Para1Char"/>
    <w:pPr>
      <w:tabs>
        <w:tab w:val="left" w:pos="454"/>
        <w:tab w:val="left" w:pos="567"/>
      </w:tabs>
      <w:spacing w:after="240" w:line="240" w:lineRule="auto"/>
    </w:pPr>
    <w:rPr>
      <w:rFonts w:ascii="Calibri" w:eastAsia="Times New Roman" w:hAnsi="Calibri" w:cs="Times New Roman"/>
      <w:szCs w:val="20"/>
      <w:lang w:eastAsia="en-GB"/>
    </w:rPr>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_1 Char"/>
    <w:link w:val="Para1"/>
    <w:rPr>
      <w:rFonts w:ascii="Calibri" w:eastAsia="Times New Roman" w:hAnsi="Calibri" w:cs="Times New Roman"/>
      <w:szCs w:val="20"/>
      <w:lang w:eastAsia="en-GB"/>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4">
    <w:name w:val="Unresolved Mention4"/>
    <w:basedOn w:val="DefaultParagraphFont"/>
    <w:uiPriority w:val="99"/>
    <w:semiHidden/>
    <w:unhideWhenUsed/>
    <w:rPr>
      <w:color w:val="808080"/>
      <w:shd w:val="clear" w:color="auto" w:fill="E6E6E6"/>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UnresolvedMention5">
    <w:name w:val="Unresolved Mention5"/>
    <w:basedOn w:val="DefaultParagraphFont"/>
    <w:uiPriority w:val="99"/>
    <w:semiHidden/>
    <w:unhideWhenUsed/>
    <w:rPr>
      <w:color w:val="808080"/>
      <w:shd w:val="clear" w:color="auto" w:fill="E6E6E6"/>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pPr>
      <w:tabs>
        <w:tab w:val="left" w:pos="440"/>
        <w:tab w:val="right" w:leader="dot" w:pos="9016"/>
      </w:tabs>
      <w:spacing w:after="100"/>
      <w:ind w:left="442" w:hanging="442"/>
    </w:pPr>
  </w:style>
  <w:style w:type="paragraph" w:styleId="TOC2">
    <w:name w:val="toc 2"/>
    <w:basedOn w:val="Normal"/>
    <w:next w:val="Normal"/>
    <w:autoRedefine/>
    <w:uiPriority w:val="39"/>
    <w:unhideWhenUsed/>
    <w:pPr>
      <w:spacing w:after="100"/>
      <w:ind w:left="220"/>
    </w:pPr>
  </w:style>
  <w:style w:type="character" w:customStyle="1" w:styleId="UnresolvedMention6">
    <w:name w:val="Unresolved Mention6"/>
    <w:basedOn w:val="DefaultParagraphFont"/>
    <w:uiPriority w:val="99"/>
    <w:semiHidden/>
    <w:unhideWhenUsed/>
    <w:rPr>
      <w:color w:val="808080"/>
      <w:shd w:val="clear" w:color="auto" w:fill="E6E6E6"/>
    </w:r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Pr>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FootnoteTextChar">
    <w:name w:val="Footnote Text Char"/>
    <w:aliases w:val="footnote text1 Char,Fußnote Char,fn Char,Footnotes Char,Footnote ak Char,footnote text Char,ft Char,Char Char,Carattere Char,Footnote Text Char Char Char,fn Char Char Char,footnote text Char Char Char,Footnotes Char Char Char"/>
    <w:basedOn w:val="DefaultParagraphFont"/>
    <w:link w:val="FootnoteText"/>
    <w:uiPriority w:val="99"/>
    <w:rPr>
      <w:sz w:val="20"/>
      <w:szCs w:val="20"/>
    </w:rPr>
  </w:style>
  <w:style w:type="paragraph" w:styleId="TOCHeading">
    <w:name w:val="TOC Heading"/>
    <w:basedOn w:val="Heading1"/>
    <w:next w:val="Normal"/>
    <w:uiPriority w:val="39"/>
    <w:semiHidden/>
    <w:unhideWhenUsed/>
    <w:qFormat/>
    <w:pPr>
      <w:numPr>
        <w:numId w:val="0"/>
      </w:numPr>
      <w:outlineLvl w:val="9"/>
    </w:pPr>
  </w:style>
  <w:style w:type="paragraph" w:styleId="TOC3">
    <w:name w:val="toc 3"/>
    <w:basedOn w:val="Normal"/>
    <w:next w:val="Normal"/>
    <w:autoRedefine/>
    <w:uiPriority w:val="39"/>
    <w:semiHidden/>
    <w:unhideWhenUse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Text2"/>
    <w:link w:val="Heading2Char"/>
    <w:unhideWhenUsed/>
    <w:qFormat/>
    <w:pPr>
      <w:keepNext/>
      <w:numPr>
        <w:ilvl w:val="1"/>
        <w:numId w:val="12"/>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aliases w:val="footnote text1,Fußnote,fn,Footnotes,Footnote ak,footnote text,ft,Char,Carattere,Footnote Text Char Char,fn Char Char,footnote text Char Char,Footnotes Char Char,Footnote ak Char Char,fn Char1,footnote text Char1,Footnotes Char1"/>
    <w:basedOn w:val="Normal"/>
    <w:link w:val="FootnoteTextChar"/>
    <w:uiPriority w:val="99"/>
    <w:unhideWhenUsed/>
    <w:qFormat/>
    <w:pPr>
      <w:spacing w:after="0"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LightList-Accent3">
    <w:name w:val="Light List Accent 3"/>
    <w:basedOn w:val="TableNormal"/>
    <w:uiPriority w:val="61"/>
    <w:pPr>
      <w:spacing w:after="0" w:line="240" w:lineRule="auto"/>
    </w:pPr>
    <w:rPr>
      <w:rFonts w:eastAsiaTheme="minorEastAsia"/>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Table7Colorful-Accent61">
    <w:name w:val="List Table 7 Colorful - Accent 61"/>
    <w:basedOn w:val="TableNormal"/>
    <w:uiPriority w:val="5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Para1">
    <w:name w:val="Para_1"/>
    <w:basedOn w:val="Normal"/>
    <w:link w:val="Para1Char"/>
    <w:pPr>
      <w:tabs>
        <w:tab w:val="left" w:pos="454"/>
        <w:tab w:val="left" w:pos="567"/>
      </w:tabs>
      <w:spacing w:after="240" w:line="240" w:lineRule="auto"/>
    </w:pPr>
    <w:rPr>
      <w:rFonts w:ascii="Calibri" w:eastAsia="Times New Roman" w:hAnsi="Calibri" w:cs="Times New Roman"/>
      <w:szCs w:val="20"/>
      <w:lang w:eastAsia="en-GB"/>
    </w:rPr>
  </w:style>
  <w:style w:type="table" w:styleId="TableGrid">
    <w:name w:val="Table Grid"/>
    <w:aliases w:val="Document Table,CV1"/>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_1 Char"/>
    <w:link w:val="Para1"/>
    <w:rPr>
      <w:rFonts w:ascii="Calibri" w:eastAsia="Times New Roman" w:hAnsi="Calibri" w:cs="Times New Roman"/>
      <w:szCs w:val="20"/>
      <w:lang w:eastAsia="en-GB"/>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4">
    <w:name w:val="Unresolved Mention4"/>
    <w:basedOn w:val="DefaultParagraphFont"/>
    <w:uiPriority w:val="99"/>
    <w:semiHidden/>
    <w:unhideWhenUsed/>
    <w:rPr>
      <w:color w:val="808080"/>
      <w:shd w:val="clear" w:color="auto" w:fill="E6E6E6"/>
    </w:r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UnresolvedMention5">
    <w:name w:val="Unresolved Mention5"/>
    <w:basedOn w:val="DefaultParagraphFont"/>
    <w:uiPriority w:val="99"/>
    <w:semiHidden/>
    <w:unhideWhenUsed/>
    <w:rPr>
      <w:color w:val="808080"/>
      <w:shd w:val="clear" w:color="auto" w:fill="E6E6E6"/>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pPr>
      <w:tabs>
        <w:tab w:val="left" w:pos="440"/>
        <w:tab w:val="right" w:leader="dot" w:pos="9016"/>
      </w:tabs>
      <w:spacing w:after="100"/>
      <w:ind w:left="442" w:hanging="442"/>
    </w:pPr>
  </w:style>
  <w:style w:type="paragraph" w:styleId="TOC2">
    <w:name w:val="toc 2"/>
    <w:basedOn w:val="Normal"/>
    <w:next w:val="Normal"/>
    <w:autoRedefine/>
    <w:uiPriority w:val="39"/>
    <w:unhideWhenUsed/>
    <w:pPr>
      <w:spacing w:after="100"/>
      <w:ind w:left="220"/>
    </w:pPr>
  </w:style>
  <w:style w:type="character" w:customStyle="1" w:styleId="UnresolvedMention6">
    <w:name w:val="Unresolved Mention6"/>
    <w:basedOn w:val="DefaultParagraphFont"/>
    <w:uiPriority w:val="99"/>
    <w:semiHidden/>
    <w:unhideWhenUsed/>
    <w:rPr>
      <w:color w:val="808080"/>
      <w:shd w:val="clear" w:color="auto" w:fill="E6E6E6"/>
    </w:r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Pr>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FootnoteTextChar">
    <w:name w:val="Footnote Text Char"/>
    <w:aliases w:val="footnote text1 Char,Fußnote Char,fn Char,Footnotes Char,Footnote ak Char,footnote text Char,ft Char,Char Char,Carattere Char,Footnote Text Char Char Char,fn Char Char Char,footnote text Char Char Char,Footnotes Char Char Char"/>
    <w:basedOn w:val="DefaultParagraphFont"/>
    <w:link w:val="FootnoteText"/>
    <w:uiPriority w:val="99"/>
    <w:rPr>
      <w:sz w:val="20"/>
      <w:szCs w:val="20"/>
    </w:rPr>
  </w:style>
  <w:style w:type="paragraph" w:styleId="TOCHeading">
    <w:name w:val="TOC Heading"/>
    <w:basedOn w:val="Heading1"/>
    <w:next w:val="Normal"/>
    <w:uiPriority w:val="39"/>
    <w:semiHidden/>
    <w:unhideWhenUsed/>
    <w:qFormat/>
    <w:pPr>
      <w:numPr>
        <w:numId w:val="0"/>
      </w:numPr>
      <w:outlineLvl w:val="9"/>
    </w:pPr>
  </w:style>
  <w:style w:type="paragraph" w:styleId="TOC3">
    <w:name w:val="toc 3"/>
    <w:basedOn w:val="Normal"/>
    <w:next w:val="Normal"/>
    <w:autoRedefine/>
    <w:uiPriority w:val="39"/>
    <w:semiHidden/>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44790">
      <w:bodyDiv w:val="1"/>
      <w:marLeft w:val="0"/>
      <w:marRight w:val="0"/>
      <w:marTop w:val="0"/>
      <w:marBottom w:val="0"/>
      <w:divBdr>
        <w:top w:val="none" w:sz="0" w:space="0" w:color="auto"/>
        <w:left w:val="none" w:sz="0" w:space="0" w:color="auto"/>
        <w:bottom w:val="none" w:sz="0" w:space="0" w:color="auto"/>
        <w:right w:val="none" w:sz="0" w:space="0" w:color="auto"/>
      </w:divBdr>
    </w:div>
    <w:div w:id="1098522538">
      <w:bodyDiv w:val="1"/>
      <w:marLeft w:val="0"/>
      <w:marRight w:val="0"/>
      <w:marTop w:val="0"/>
      <w:marBottom w:val="0"/>
      <w:divBdr>
        <w:top w:val="none" w:sz="0" w:space="0" w:color="auto"/>
        <w:left w:val="none" w:sz="0" w:space="0" w:color="auto"/>
        <w:bottom w:val="none" w:sz="0" w:space="0" w:color="auto"/>
        <w:right w:val="none" w:sz="0" w:space="0" w:color="auto"/>
      </w:divBdr>
    </w:div>
    <w:div w:id="1304240195">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632788435">
      <w:bodyDiv w:val="1"/>
      <w:marLeft w:val="0"/>
      <w:marRight w:val="0"/>
      <w:marTop w:val="0"/>
      <w:marBottom w:val="0"/>
      <w:divBdr>
        <w:top w:val="none" w:sz="0" w:space="0" w:color="auto"/>
        <w:left w:val="none" w:sz="0" w:space="0" w:color="auto"/>
        <w:bottom w:val="none" w:sz="0" w:space="0" w:color="auto"/>
        <w:right w:val="none" w:sz="0" w:space="0" w:color="auto"/>
      </w:divBdr>
    </w:div>
    <w:div w:id="1698190767">
      <w:bodyDiv w:val="1"/>
      <w:marLeft w:val="0"/>
      <w:marRight w:val="0"/>
      <w:marTop w:val="0"/>
      <w:marBottom w:val="0"/>
      <w:divBdr>
        <w:top w:val="none" w:sz="0" w:space="0" w:color="auto"/>
        <w:left w:val="none" w:sz="0" w:space="0" w:color="auto"/>
        <w:bottom w:val="none" w:sz="0" w:space="0" w:color="auto"/>
        <w:right w:val="none" w:sz="0" w:space="0" w:color="auto"/>
      </w:divBdr>
    </w:div>
    <w:div w:id="1833913261">
      <w:bodyDiv w:val="1"/>
      <w:marLeft w:val="0"/>
      <w:marRight w:val="0"/>
      <w:marTop w:val="0"/>
      <w:marBottom w:val="0"/>
      <w:divBdr>
        <w:top w:val="none" w:sz="0" w:space="0" w:color="auto"/>
        <w:left w:val="none" w:sz="0" w:space="0" w:color="auto"/>
        <w:bottom w:val="none" w:sz="0" w:space="0" w:color="auto"/>
        <w:right w:val="none" w:sz="0" w:space="0" w:color="auto"/>
      </w:divBdr>
    </w:div>
    <w:div w:id="1960256022">
      <w:bodyDiv w:val="1"/>
      <w:marLeft w:val="0"/>
      <w:marRight w:val="0"/>
      <w:marTop w:val="0"/>
      <w:marBottom w:val="0"/>
      <w:divBdr>
        <w:top w:val="none" w:sz="0" w:space="0" w:color="auto"/>
        <w:left w:val="none" w:sz="0" w:space="0" w:color="auto"/>
        <w:bottom w:val="none" w:sz="0" w:space="0" w:color="auto"/>
        <w:right w:val="none" w:sz="0" w:space="0" w:color="auto"/>
      </w:divBdr>
    </w:div>
    <w:div w:id="1962682372">
      <w:bodyDiv w:val="1"/>
      <w:marLeft w:val="0"/>
      <w:marRight w:val="0"/>
      <w:marTop w:val="0"/>
      <w:marBottom w:val="0"/>
      <w:divBdr>
        <w:top w:val="none" w:sz="0" w:space="0" w:color="auto"/>
        <w:left w:val="none" w:sz="0" w:space="0" w:color="auto"/>
        <w:bottom w:val="none" w:sz="0" w:space="0" w:color="auto"/>
        <w:right w:val="none" w:sz="0" w:space="0" w:color="auto"/>
      </w:divBdr>
    </w:div>
    <w:div w:id="208937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diagramColors" Target="diagrams/colors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QuickStyle" Target="diagrams/quickStyle1.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header" Target="header7.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8" Type="http://schemas.openxmlformats.org/officeDocument/2006/relationships/hyperlink" Target="http://www.consilium.europa.eu/media/30232/qc0114638enn.pdf" TargetMode="External"/><Relationship Id="rId3" Type="http://schemas.openxmlformats.org/officeDocument/2006/relationships/hyperlink" Target="https://www.eca.europa.eu/en/Pages/DocItem.aspx?did=48858" TargetMode="External"/><Relationship Id="rId7" Type="http://schemas.openxmlformats.org/officeDocument/2006/relationships/hyperlink" Target="https://ec.europa.eu/anti-fraud/sites/antifraud/files/olaf_report_2017_en.pdf" TargetMode="External"/><Relationship Id="rId2" Type="http://schemas.openxmlformats.org/officeDocument/2006/relationships/hyperlink" Target="http://www.europarl.europa.eu/sides/getDoc.do?pubRef=-//EP//TEXT+TA+P8-TA-2018-0196+0+DOC+XML+V0//RO" TargetMode="External"/><Relationship Id="rId1" Type="http://schemas.openxmlformats.org/officeDocument/2006/relationships/hyperlink" Target="https://ec.europa.eu/anti-fraud/sites/antifraud/files/olaf_report_2017_en.pdf" TargetMode="External"/><Relationship Id="rId6" Type="http://schemas.openxmlformats.org/officeDocument/2006/relationships/hyperlink" Target="https://ec.europa.eu/anti-fraud/sites/antifraud/files/olaf_report_2016_en.pdf" TargetMode="External"/><Relationship Id="rId5" Type="http://schemas.openxmlformats.org/officeDocument/2006/relationships/hyperlink" Target="https://www.europol.europa.eu/activities-services/main-reports/european-union-serious-and-organised-crime-threat-assessment-2017" TargetMode="External"/><Relationship Id="rId10" Type="http://schemas.openxmlformats.org/officeDocument/2006/relationships/hyperlink" Target="http://ec.europa.eu/budget/budget4results/index_en.cfm" TargetMode="External"/><Relationship Id="rId4" Type="http://schemas.openxmlformats.org/officeDocument/2006/relationships/hyperlink" Target="https://ec.europa.eu/anti-fraud/sites/antifraud/files/olaf_report_2017_en.pdf" TargetMode="External"/><Relationship Id="rId9" Type="http://schemas.openxmlformats.org/officeDocument/2006/relationships/hyperlink" Target="http://data.consilium.europa.eu/doc/document/ST-9450-2017-INIT/ro/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9B1DF7-B336-4C08-B621-82386B39B6B6}" type="doc">
      <dgm:prSet loTypeId="urn:microsoft.com/office/officeart/2005/8/layout/funnel1" loCatId="relationship" qsTypeId="urn:microsoft.com/office/officeart/2005/8/quickstyle/simple4" qsCatId="simple" csTypeId="urn:microsoft.com/office/officeart/2005/8/colors/colorful5" csCatId="colorful" phldr="1"/>
      <dgm:spPr/>
      <dgm:t>
        <a:bodyPr/>
        <a:lstStyle/>
        <a:p>
          <a:endParaRPr lang="en-GB"/>
        </a:p>
      </dgm:t>
    </dgm:pt>
    <dgm:pt modelId="{B31DCDC9-4A15-4C28-B76F-381E321BF63E}">
      <dgm:prSet phldrT="[Text]" custT="1"/>
      <dgm:spPr/>
      <dgm:t>
        <a:bodyPr/>
        <a:lstStyle/>
        <a:p>
          <a:r>
            <a:rPr lang="ro-RO" sz="1200" b="1"/>
            <a:t>Scanarea informațiilor</a:t>
          </a:r>
        </a:p>
      </dgm:t>
    </dgm:pt>
    <dgm:pt modelId="{6B91137D-FCAC-48DD-B5B3-FCC8F95D77C2}" type="parTrans" cxnId="{897EC777-62B3-46A4-81B2-7AF3D263D74D}">
      <dgm:prSet/>
      <dgm:spPr/>
      <dgm:t>
        <a:bodyPr/>
        <a:lstStyle/>
        <a:p>
          <a:endParaRPr lang="en-GB"/>
        </a:p>
      </dgm:t>
    </dgm:pt>
    <dgm:pt modelId="{AFBF1389-95E1-4D57-8739-07A88E34E794}" type="sibTrans" cxnId="{897EC777-62B3-46A4-81B2-7AF3D263D74D}">
      <dgm:prSet/>
      <dgm:spPr/>
      <dgm:t>
        <a:bodyPr/>
        <a:lstStyle/>
        <a:p>
          <a:endParaRPr lang="en-GB"/>
        </a:p>
      </dgm:t>
    </dgm:pt>
    <dgm:pt modelId="{83685D4C-B0AF-408E-9274-F3163A43F218}">
      <dgm:prSet phldrT="[Text]" custT="1"/>
      <dgm:spPr/>
      <dgm:t>
        <a:bodyPr/>
        <a:lstStyle/>
        <a:p>
          <a:r>
            <a:rPr lang="ro-RO" sz="1200" b="1"/>
            <a:t>Colectarea datelor</a:t>
          </a:r>
        </a:p>
      </dgm:t>
    </dgm:pt>
    <dgm:pt modelId="{E8D21A65-E789-464B-B3B4-3655BAB890AB}" type="parTrans" cxnId="{B1C8513B-CB15-41DE-BA1D-328871821F6A}">
      <dgm:prSet/>
      <dgm:spPr/>
      <dgm:t>
        <a:bodyPr/>
        <a:lstStyle/>
        <a:p>
          <a:endParaRPr lang="en-GB"/>
        </a:p>
      </dgm:t>
    </dgm:pt>
    <dgm:pt modelId="{FB98632D-6A21-4BD4-B51D-A0BE2B1EF0D8}" type="sibTrans" cxnId="{B1C8513B-CB15-41DE-BA1D-328871821F6A}">
      <dgm:prSet/>
      <dgm:spPr/>
      <dgm:t>
        <a:bodyPr/>
        <a:lstStyle/>
        <a:p>
          <a:endParaRPr lang="en-GB"/>
        </a:p>
      </dgm:t>
    </dgm:pt>
    <dgm:pt modelId="{920F8706-7700-48D7-82EA-116AE3CDA139}">
      <dgm:prSet phldrT="[Text]" custT="1"/>
      <dgm:spPr/>
      <dgm:t>
        <a:bodyPr/>
        <a:lstStyle/>
        <a:p>
          <a:r>
            <a:rPr lang="ro-RO" sz="1100" b="1"/>
            <a:t>Verificarea calității</a:t>
          </a:r>
        </a:p>
      </dgm:t>
    </dgm:pt>
    <dgm:pt modelId="{AC04C577-98DC-42C9-962F-ADCA5AE6E077}" type="parTrans" cxnId="{2F4E69C1-C6CD-4B0A-AC6B-D5E0FEEDB495}">
      <dgm:prSet/>
      <dgm:spPr/>
      <dgm:t>
        <a:bodyPr/>
        <a:lstStyle/>
        <a:p>
          <a:endParaRPr lang="en-GB"/>
        </a:p>
      </dgm:t>
    </dgm:pt>
    <dgm:pt modelId="{136A3F15-8E8B-4002-99D3-CF1F01CC0F3E}" type="sibTrans" cxnId="{2F4E69C1-C6CD-4B0A-AC6B-D5E0FEEDB495}">
      <dgm:prSet/>
      <dgm:spPr/>
      <dgm:t>
        <a:bodyPr/>
        <a:lstStyle/>
        <a:p>
          <a:endParaRPr lang="en-GB"/>
        </a:p>
      </dgm:t>
    </dgm:pt>
    <dgm:pt modelId="{C18A88EC-A507-4C87-95FC-2197C1E4E319}">
      <dgm:prSet phldrT="[Text]"/>
      <dgm:spPr/>
      <dgm:t>
        <a:bodyPr/>
        <a:lstStyle/>
        <a:p>
          <a:endParaRPr lang="en-GB"/>
        </a:p>
      </dgm:t>
    </dgm:pt>
    <dgm:pt modelId="{6CB2184D-EFCE-4D2F-BDF3-25FCA1B5D78A}" type="parTrans" cxnId="{5EA9DDF8-5CF1-47E6-BD8C-BA7884F505C1}">
      <dgm:prSet/>
      <dgm:spPr/>
      <dgm:t>
        <a:bodyPr/>
        <a:lstStyle/>
        <a:p>
          <a:endParaRPr lang="en-GB"/>
        </a:p>
      </dgm:t>
    </dgm:pt>
    <dgm:pt modelId="{B54E8F80-BAB4-48F7-93E6-F888CA0E284D}" type="sibTrans" cxnId="{5EA9DDF8-5CF1-47E6-BD8C-BA7884F505C1}">
      <dgm:prSet/>
      <dgm:spPr/>
      <dgm:t>
        <a:bodyPr/>
        <a:lstStyle/>
        <a:p>
          <a:endParaRPr lang="en-GB"/>
        </a:p>
      </dgm:t>
    </dgm:pt>
    <dgm:pt modelId="{FFBC4C49-49E1-4000-9302-A93C5A33B0E0}" type="pres">
      <dgm:prSet presAssocID="{E69B1DF7-B336-4C08-B621-82386B39B6B6}" presName="Name0" presStyleCnt="0">
        <dgm:presLayoutVars>
          <dgm:chMax val="4"/>
          <dgm:resizeHandles val="exact"/>
        </dgm:presLayoutVars>
      </dgm:prSet>
      <dgm:spPr/>
      <dgm:t>
        <a:bodyPr/>
        <a:lstStyle/>
        <a:p>
          <a:endParaRPr lang="en-GB"/>
        </a:p>
      </dgm:t>
    </dgm:pt>
    <dgm:pt modelId="{1DE1223B-BB1E-48E9-9237-EF7C40C0DD8C}" type="pres">
      <dgm:prSet presAssocID="{E69B1DF7-B336-4C08-B621-82386B39B6B6}" presName="ellipse" presStyleLbl="trBgShp" presStyleIdx="0" presStyleCnt="1" custScaleX="168096" custScaleY="105886" custLinFactNeighborX="2807" custLinFactNeighborY="50146"/>
      <dgm:spPr/>
    </dgm:pt>
    <dgm:pt modelId="{723D984D-275B-4C93-AE7B-4684B1EB9BB6}" type="pres">
      <dgm:prSet presAssocID="{E69B1DF7-B336-4C08-B621-82386B39B6B6}" presName="arrow1" presStyleLbl="fgShp" presStyleIdx="0" presStyleCnt="1" custLinFactY="58237" custLinFactNeighborX="16628" custLinFactNeighborY="100000"/>
      <dgm:spPr/>
    </dgm:pt>
    <dgm:pt modelId="{B883081B-8E88-48AC-9626-9DA9E1C78065}" type="pres">
      <dgm:prSet presAssocID="{E69B1DF7-B336-4C08-B621-82386B39B6B6}" presName="rectangle" presStyleLbl="revTx" presStyleIdx="0" presStyleCnt="1" custLinFactNeighborX="734" custLinFactNeighborY="97581">
        <dgm:presLayoutVars>
          <dgm:bulletEnabled val="1"/>
        </dgm:presLayoutVars>
      </dgm:prSet>
      <dgm:spPr/>
      <dgm:t>
        <a:bodyPr/>
        <a:lstStyle/>
        <a:p>
          <a:endParaRPr lang="en-GB"/>
        </a:p>
      </dgm:t>
    </dgm:pt>
    <dgm:pt modelId="{31A1FDCE-AF79-40C9-8B8E-888B203FFF38}" type="pres">
      <dgm:prSet presAssocID="{83685D4C-B0AF-408E-9274-F3163A43F218}" presName="item1" presStyleLbl="node1" presStyleIdx="0" presStyleCnt="3" custScaleX="192786" custScaleY="128748" custLinFactNeighborX="-1086" custLinFactNeighborY="55542">
        <dgm:presLayoutVars>
          <dgm:bulletEnabled val="1"/>
        </dgm:presLayoutVars>
      </dgm:prSet>
      <dgm:spPr/>
      <dgm:t>
        <a:bodyPr/>
        <a:lstStyle/>
        <a:p>
          <a:endParaRPr lang="en-GB"/>
        </a:p>
      </dgm:t>
    </dgm:pt>
    <dgm:pt modelId="{F1A9A302-9AB0-4316-8E87-D3BAA0C00196}" type="pres">
      <dgm:prSet presAssocID="{920F8706-7700-48D7-82EA-116AE3CDA139}" presName="item2" presStyleLbl="node1" presStyleIdx="1" presStyleCnt="3" custScaleX="220056" custScaleY="71666" custLinFactNeighborX="-21286" custLinFactNeighborY="4553">
        <dgm:presLayoutVars>
          <dgm:bulletEnabled val="1"/>
        </dgm:presLayoutVars>
      </dgm:prSet>
      <dgm:spPr/>
      <dgm:t>
        <a:bodyPr/>
        <a:lstStyle/>
        <a:p>
          <a:endParaRPr lang="en-GB"/>
        </a:p>
      </dgm:t>
    </dgm:pt>
    <dgm:pt modelId="{C8DD2AC8-2C73-4C9E-A0A0-DB3C143FE70A}" type="pres">
      <dgm:prSet presAssocID="{C18A88EC-A507-4C87-95FC-2197C1E4E319}" presName="item3" presStyleLbl="node1" presStyleIdx="2" presStyleCnt="3" custScaleX="196464" custScaleY="71177" custLinFactNeighborX="84313" custLinFactNeighborY="28486">
        <dgm:presLayoutVars>
          <dgm:bulletEnabled val="1"/>
        </dgm:presLayoutVars>
      </dgm:prSet>
      <dgm:spPr/>
      <dgm:t>
        <a:bodyPr/>
        <a:lstStyle/>
        <a:p>
          <a:endParaRPr lang="en-GB"/>
        </a:p>
      </dgm:t>
    </dgm:pt>
    <dgm:pt modelId="{6F3F8C9D-2F05-49E3-969D-9EE7D5000527}" type="pres">
      <dgm:prSet presAssocID="{E69B1DF7-B336-4C08-B621-82386B39B6B6}" presName="funnel" presStyleLbl="trAlignAcc1" presStyleIdx="0" presStyleCnt="1" custScaleX="160733" custScaleY="106790" custLinFactNeighborX="2358" custLinFactNeighborY="18004"/>
      <dgm:spPr/>
    </dgm:pt>
  </dgm:ptLst>
  <dgm:cxnLst>
    <dgm:cxn modelId="{50AA55AD-3415-45CA-8C2C-5A45502B524D}" type="presOf" srcId="{E69B1DF7-B336-4C08-B621-82386B39B6B6}" destId="{FFBC4C49-49E1-4000-9302-A93C5A33B0E0}" srcOrd="0" destOrd="0" presId="urn:microsoft.com/office/officeart/2005/8/layout/funnel1"/>
    <dgm:cxn modelId="{C3ECB2E5-6710-4B56-9F16-072765A3F3BA}" type="presOf" srcId="{920F8706-7700-48D7-82EA-116AE3CDA139}" destId="{31A1FDCE-AF79-40C9-8B8E-888B203FFF38}" srcOrd="0" destOrd="0" presId="urn:microsoft.com/office/officeart/2005/8/layout/funnel1"/>
    <dgm:cxn modelId="{2F4E69C1-C6CD-4B0A-AC6B-D5E0FEEDB495}" srcId="{E69B1DF7-B336-4C08-B621-82386B39B6B6}" destId="{920F8706-7700-48D7-82EA-116AE3CDA139}" srcOrd="2" destOrd="0" parTransId="{AC04C577-98DC-42C9-962F-ADCA5AE6E077}" sibTransId="{136A3F15-8E8B-4002-99D3-CF1F01CC0F3E}"/>
    <dgm:cxn modelId="{0B7BA214-4832-46EB-BE33-D4EDAA0253B2}" type="presOf" srcId="{83685D4C-B0AF-408E-9274-F3163A43F218}" destId="{F1A9A302-9AB0-4316-8E87-D3BAA0C00196}" srcOrd="0" destOrd="0" presId="urn:microsoft.com/office/officeart/2005/8/layout/funnel1"/>
    <dgm:cxn modelId="{0AC93872-D404-43B1-82D2-9442E83A4931}" type="presOf" srcId="{B31DCDC9-4A15-4C28-B76F-381E321BF63E}" destId="{C8DD2AC8-2C73-4C9E-A0A0-DB3C143FE70A}" srcOrd="0" destOrd="0" presId="urn:microsoft.com/office/officeart/2005/8/layout/funnel1"/>
    <dgm:cxn modelId="{A8FAF544-6F7E-4D32-9D5C-860E0AA33335}" type="presOf" srcId="{C18A88EC-A507-4C87-95FC-2197C1E4E319}" destId="{B883081B-8E88-48AC-9626-9DA9E1C78065}" srcOrd="0" destOrd="0" presId="urn:microsoft.com/office/officeart/2005/8/layout/funnel1"/>
    <dgm:cxn modelId="{B1C8513B-CB15-41DE-BA1D-328871821F6A}" srcId="{E69B1DF7-B336-4C08-B621-82386B39B6B6}" destId="{83685D4C-B0AF-408E-9274-F3163A43F218}" srcOrd="1" destOrd="0" parTransId="{E8D21A65-E789-464B-B3B4-3655BAB890AB}" sibTransId="{FB98632D-6A21-4BD4-B51D-A0BE2B1EF0D8}"/>
    <dgm:cxn modelId="{897EC777-62B3-46A4-81B2-7AF3D263D74D}" srcId="{E69B1DF7-B336-4C08-B621-82386B39B6B6}" destId="{B31DCDC9-4A15-4C28-B76F-381E321BF63E}" srcOrd="0" destOrd="0" parTransId="{6B91137D-FCAC-48DD-B5B3-FCC8F95D77C2}" sibTransId="{AFBF1389-95E1-4D57-8739-07A88E34E794}"/>
    <dgm:cxn modelId="{5EA9DDF8-5CF1-47E6-BD8C-BA7884F505C1}" srcId="{E69B1DF7-B336-4C08-B621-82386B39B6B6}" destId="{C18A88EC-A507-4C87-95FC-2197C1E4E319}" srcOrd="3" destOrd="0" parTransId="{6CB2184D-EFCE-4D2F-BDF3-25FCA1B5D78A}" sibTransId="{B54E8F80-BAB4-48F7-93E6-F888CA0E284D}"/>
    <dgm:cxn modelId="{348C860E-BEB6-4808-B0A3-0FBF4674CD01}" type="presParOf" srcId="{FFBC4C49-49E1-4000-9302-A93C5A33B0E0}" destId="{1DE1223B-BB1E-48E9-9237-EF7C40C0DD8C}" srcOrd="0" destOrd="0" presId="urn:microsoft.com/office/officeart/2005/8/layout/funnel1"/>
    <dgm:cxn modelId="{8A1F620A-CEB7-4F74-A6EA-D0438820B4D5}" type="presParOf" srcId="{FFBC4C49-49E1-4000-9302-A93C5A33B0E0}" destId="{723D984D-275B-4C93-AE7B-4684B1EB9BB6}" srcOrd="1" destOrd="0" presId="urn:microsoft.com/office/officeart/2005/8/layout/funnel1"/>
    <dgm:cxn modelId="{00587793-D5C0-45D3-8415-22C5E566D710}" type="presParOf" srcId="{FFBC4C49-49E1-4000-9302-A93C5A33B0E0}" destId="{B883081B-8E88-48AC-9626-9DA9E1C78065}" srcOrd="2" destOrd="0" presId="urn:microsoft.com/office/officeart/2005/8/layout/funnel1"/>
    <dgm:cxn modelId="{1752B9BA-2D41-49DF-AB19-9037E8DB3EED}" type="presParOf" srcId="{FFBC4C49-49E1-4000-9302-A93C5A33B0E0}" destId="{31A1FDCE-AF79-40C9-8B8E-888B203FFF38}" srcOrd="3" destOrd="0" presId="urn:microsoft.com/office/officeart/2005/8/layout/funnel1"/>
    <dgm:cxn modelId="{AEBF25AA-DE5F-4889-8273-9C3DDD958240}" type="presParOf" srcId="{FFBC4C49-49E1-4000-9302-A93C5A33B0E0}" destId="{F1A9A302-9AB0-4316-8E87-D3BAA0C00196}" srcOrd="4" destOrd="0" presId="urn:microsoft.com/office/officeart/2005/8/layout/funnel1"/>
    <dgm:cxn modelId="{B2AB1408-F693-4268-95E7-702802A3649F}" type="presParOf" srcId="{FFBC4C49-49E1-4000-9302-A93C5A33B0E0}" destId="{C8DD2AC8-2C73-4C9E-A0A0-DB3C143FE70A}" srcOrd="5" destOrd="0" presId="urn:microsoft.com/office/officeart/2005/8/layout/funnel1"/>
    <dgm:cxn modelId="{8D27F34B-E8FD-4E10-B72E-6E0D03A07098}" type="presParOf" srcId="{FFBC4C49-49E1-4000-9302-A93C5A33B0E0}" destId="{6F3F8C9D-2F05-49E3-969D-9EE7D5000527}" srcOrd="6" destOrd="0" presId="urn:microsoft.com/office/officeart/2005/8/layout/funnel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E1223B-BB1E-48E9-9237-EF7C40C0DD8C}">
      <dsp:nvSpPr>
        <dsp:cNvPr id="0" name=""/>
        <dsp:cNvSpPr/>
      </dsp:nvSpPr>
      <dsp:spPr>
        <a:xfrm>
          <a:off x="387828" y="599831"/>
          <a:ext cx="4401963" cy="962977"/>
        </a:xfrm>
        <a:prstGeom prst="ellipse">
          <a:avLst/>
        </a:prstGeom>
        <a:solidFill>
          <a:schemeClr val="accent5">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23D984D-275B-4C93-AE7B-4684B1EB9BB6}">
      <dsp:nvSpPr>
        <dsp:cNvPr id="0" name=""/>
        <dsp:cNvSpPr/>
      </dsp:nvSpPr>
      <dsp:spPr>
        <a:xfrm>
          <a:off x="2349998" y="2911430"/>
          <a:ext cx="507503" cy="324802"/>
        </a:xfrm>
        <a:prstGeom prst="downArrow">
          <a:avLst/>
        </a:prstGeom>
        <a:gradFill rotWithShape="0">
          <a:gsLst>
            <a:gs pos="0">
              <a:schemeClr val="accent5">
                <a:tint val="40000"/>
                <a:hueOff val="0"/>
                <a:satOff val="0"/>
                <a:lumOff val="0"/>
                <a:alphaOff val="0"/>
                <a:shade val="51000"/>
                <a:satMod val="130000"/>
              </a:schemeClr>
            </a:gs>
            <a:gs pos="80000">
              <a:schemeClr val="accent5">
                <a:tint val="40000"/>
                <a:hueOff val="0"/>
                <a:satOff val="0"/>
                <a:lumOff val="0"/>
                <a:alphaOff val="0"/>
                <a:shade val="93000"/>
                <a:satMod val="130000"/>
              </a:schemeClr>
            </a:gs>
            <a:gs pos="100000">
              <a:schemeClr val="accent5">
                <a:tint val="4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sp>
    <dsp:sp modelId="{B883081B-8E88-48AC-9626-9DA9E1C78065}">
      <dsp:nvSpPr>
        <dsp:cNvPr id="0" name=""/>
        <dsp:cNvSpPr/>
      </dsp:nvSpPr>
      <dsp:spPr>
        <a:xfrm>
          <a:off x="1319233" y="2657314"/>
          <a:ext cx="2436018" cy="6090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pPr>
          <a:endParaRPr lang="en-GB" sz="2100" kern="1200"/>
        </a:p>
      </dsp:txBody>
      <dsp:txXfrm>
        <a:off x="1319233" y="2657314"/>
        <a:ext cx="2436018" cy="609004"/>
      </dsp:txXfrm>
    </dsp:sp>
    <dsp:sp modelId="{31A1FDCE-AF79-40C9-8B8E-888B203FFF38}">
      <dsp:nvSpPr>
        <dsp:cNvPr id="0" name=""/>
        <dsp:cNvSpPr/>
      </dsp:nvSpPr>
      <dsp:spPr>
        <a:xfrm>
          <a:off x="1724295" y="1526303"/>
          <a:ext cx="1761113" cy="1176122"/>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o-RO" sz="1100" b="1" kern="1200"/>
            <a:t>Verificarea calității</a:t>
          </a:r>
        </a:p>
      </dsp:txBody>
      <dsp:txXfrm>
        <a:off x="1982204" y="1698542"/>
        <a:ext cx="1245295" cy="831644"/>
      </dsp:txXfrm>
    </dsp:sp>
    <dsp:sp modelId="{F1A9A302-9AB0-4316-8E87-D3BAA0C00196}">
      <dsp:nvSpPr>
        <dsp:cNvPr id="0" name=""/>
        <dsp:cNvSpPr/>
      </dsp:nvSpPr>
      <dsp:spPr>
        <a:xfrm>
          <a:off x="761545" y="635906"/>
          <a:ext cx="2010227" cy="654673"/>
        </a:xfrm>
        <a:prstGeom prst="ellipse">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b="1" kern="1200"/>
            <a:t>Colectarea datelor</a:t>
          </a:r>
        </a:p>
      </dsp:txBody>
      <dsp:txXfrm>
        <a:off x="1055936" y="731781"/>
        <a:ext cx="1421445" cy="462923"/>
      </dsp:txXfrm>
    </dsp:sp>
    <dsp:sp modelId="{C8DD2AC8-2C73-4C9E-A0A0-DB3C143FE70A}">
      <dsp:nvSpPr>
        <dsp:cNvPr id="0" name=""/>
        <dsp:cNvSpPr/>
      </dsp:nvSpPr>
      <dsp:spPr>
        <a:xfrm>
          <a:off x="2767764" y="635903"/>
          <a:ext cx="1794712" cy="650206"/>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o-RO" sz="1200" b="1" kern="1200"/>
            <a:t>Scanarea informațiilor</a:t>
          </a:r>
        </a:p>
      </dsp:txBody>
      <dsp:txXfrm>
        <a:off x="3030593" y="731123"/>
        <a:ext cx="1269054" cy="459766"/>
      </dsp:txXfrm>
    </dsp:sp>
    <dsp:sp modelId="{6F3F8C9D-2F05-49E3-969D-9EE7D5000527}">
      <dsp:nvSpPr>
        <dsp:cNvPr id="0" name=""/>
        <dsp:cNvSpPr/>
      </dsp:nvSpPr>
      <dsp:spPr>
        <a:xfrm>
          <a:off x="302343" y="391047"/>
          <a:ext cx="4568067" cy="2427996"/>
        </a:xfrm>
        <a:prstGeom prst="funnel">
          <a:avLst/>
        </a:prstGeom>
        <a:solidFill>
          <a:schemeClr val="lt1">
            <a:alpha val="4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3FA7-6E34-4AC2-AF2E-2A29F5F8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22</Pages>
  <Words>5371</Words>
  <Characters>31749</Characters>
  <Application>Microsoft Office Word</Application>
  <DocSecurity>0</DocSecurity>
  <Lines>647</Lines>
  <Paragraphs>287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25</cp:revision>
  <cp:lastPrinted>2019-02-22T15:11:00Z</cp:lastPrinted>
  <dcterms:created xsi:type="dcterms:W3CDTF">2019-04-15T14:43:00Z</dcterms:created>
  <dcterms:modified xsi:type="dcterms:W3CDTF">2019-04-24T09:38:00Z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ies>
</file>