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6F4337B-A56E-40E5-8A7B-A2DDA8BEB455" style="width:450.15pt;height:320.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MEDDELANDE FRÅN KOMMISSIONEN TILL EUROPAPARLAMENTET, EUROPEISKA RÅDET, RÅDET OCH EUROPEISKA CENTRALBANKEN</w:t>
      </w:r>
    </w:p>
    <w:p>
      <w:pPr>
        <w:pStyle w:val="Titreobjet"/>
        <w:rPr>
          <w:noProof/>
        </w:rPr>
      </w:pPr>
      <w:r>
        <w:rPr>
          <w:noProof/>
        </w:rPr>
        <w:t>Fjärde lägesrapporten om minskning av nödlidande lån och ytterligare riskminskning i bankunionen</w:t>
      </w:r>
    </w:p>
    <w:p>
      <w:pPr>
        <w:jc w:val="center"/>
        <w:rPr>
          <w:noProof/>
        </w:rPr>
      </w:pPr>
    </w:p>
    <w:p>
      <w:pPr>
        <w:pStyle w:val="Heading1"/>
        <w:numPr>
          <w:ilvl w:val="0"/>
          <w:numId w:val="0"/>
        </w:numPr>
        <w:spacing w:before="360"/>
        <w:rPr>
          <w:rFonts w:ascii="Times New Roman" w:hAnsi="Times New Roman"/>
          <w:noProof/>
          <w:szCs w:val="24"/>
        </w:rPr>
      </w:pPr>
      <w:r>
        <w:rPr>
          <w:noProof/>
        </w:rPr>
        <w:t>Inledning</w:t>
      </w:r>
    </w:p>
    <w:p>
      <w:pPr>
        <w:spacing w:after="240"/>
        <w:jc w:val="both"/>
        <w:rPr>
          <w:rFonts w:ascii="Times New Roman" w:eastAsia="Times New Roman" w:hAnsi="Times New Roman"/>
          <w:noProof/>
          <w:sz w:val="24"/>
          <w:szCs w:val="24"/>
        </w:rPr>
      </w:pPr>
      <w:r>
        <w:rPr>
          <w:rFonts w:ascii="Times New Roman" w:hAnsi="Times New Roman"/>
          <w:noProof/>
          <w:sz w:val="24"/>
        </w:rPr>
        <w:t xml:space="preserve">En fullt utvecklad bankunion, där riskdelning över gränserna möjliggörs i större utsträckning, är avgörande för att säkerställa att Ekonomiska och monetära unionen blir mer motståndskraftig mot framtida negativa ekonomiska störningar. I enlighet med meddelandet </w:t>
      </w:r>
      <w:r>
        <w:rPr>
          <w:rFonts w:ascii="Times New Roman" w:hAnsi="Times New Roman"/>
          <w:i/>
          <w:noProof/>
          <w:sz w:val="24"/>
        </w:rPr>
        <w:t>Deepening Europe’s Economic and Monetary Union: Taking stock four years after the Five Presidents’ Report</w:t>
      </w:r>
      <w:r>
        <w:rPr>
          <w:rFonts w:ascii="Times New Roman" w:hAnsi="Times New Roman"/>
          <w:noProof/>
          <w:sz w:val="24"/>
        </w:rPr>
        <w:t xml:space="preserve"> (ej översatt till svenska) skulle en fullbordad bankunion avsevärt stärka förtroendet för banksektorn och förtroendet rent allmänt för Ekonomiska och monetära unionen. </w:t>
      </w:r>
    </w:p>
    <w:p>
      <w:pPr>
        <w:spacing w:after="240"/>
        <w:jc w:val="both"/>
        <w:rPr>
          <w:rFonts w:ascii="Times New Roman" w:eastAsia="Times New Roman" w:hAnsi="Times New Roman"/>
          <w:noProof/>
          <w:sz w:val="24"/>
          <w:szCs w:val="24"/>
        </w:rPr>
      </w:pPr>
      <w:r>
        <w:rPr>
          <w:rFonts w:ascii="Times New Roman" w:hAnsi="Times New Roman"/>
          <w:noProof/>
          <w:sz w:val="24"/>
        </w:rPr>
        <w:t>För att möjliggöra sådana framsteg har unionen och medlemsstaterna gjort betydande insatser för att minska riskerna. Som framgår av denna lägesrapport har detta burit frukt. I denna lägesrapport redogörs för de beslutsamma åtgärder som vidtagits under de senaste åren för att hantera situationen med nödlidande lån, som är ett av de viktigaste områdena när det gäller att minska riskerna i den europeiska banksektorn. Olika orsaker, bland annat finanskrisen och efterföljande konjunkturnedgångar, men även oförsiktig utlåning och otillräcklig kreditprövning, gjorde att många låntagare (såväl människor som företag), särskilt i medlemsstater med långa eller djupa lågkonjunkturer, inte kunde återbetala sina lån och i vissa fall också gick i konkurs. Som en följd av detta började många banker samla på sig nödlidande lån i sina balansräkningar.</w:t>
      </w:r>
    </w:p>
    <w:p>
      <w:pPr>
        <w:spacing w:after="240"/>
        <w:jc w:val="both"/>
        <w:rPr>
          <w:rFonts w:ascii="Times New Roman" w:eastAsia="Times New Roman" w:hAnsi="Times New Roman"/>
          <w:noProof/>
          <w:sz w:val="24"/>
          <w:szCs w:val="24"/>
        </w:rPr>
      </w:pPr>
      <w:r>
        <w:rPr>
          <w:rFonts w:ascii="Times New Roman" w:hAnsi="Times New Roman"/>
          <w:noProof/>
          <w:sz w:val="24"/>
        </w:rPr>
        <w:t>De insatser som har gjorts under de senaste åren och den frukt de har burit (och kommer att fortsätta att bära) har sitt ursprung i den omfattande uppsättning åtgärder som anges i Ekofinrådets handlingsplan för hantering av nödlidande lån i Europa</w:t>
      </w:r>
      <w:r>
        <w:rPr>
          <w:rFonts w:ascii="Times New Roman" w:hAnsi="Times New Roman"/>
          <w:noProof/>
          <w:sz w:val="24"/>
          <w:vertAlign w:val="superscript"/>
        </w:rPr>
        <w:footnoteReference w:id="2"/>
      </w:r>
      <w:r>
        <w:rPr>
          <w:rFonts w:ascii="Times New Roman" w:hAnsi="Times New Roman"/>
          <w:noProof/>
          <w:sz w:val="24"/>
        </w:rPr>
        <w:t>. Denna handlingsplan är nästan helt genomförd. Med anledning av handlingsplanen och för att gå ännu längre än rådets färdplan från 2016 lade kommissionen fram ett för ändamålet särskilt avsett och övergripande åtgärdspaket i mars 2018 för att ytterligare minska de nödlidande lånen. Rådet enades även om att återuppta frågan om nödlidande lån med jämna mellanrum och att utvärdera framstegen på grundval av en översyn utförd av kommissionen. Detta meddelande är kommissionens fjärde lägesrapport i detta sammanhang. Som sådant är det ett bidrag till Europeiska rådets möte i juni, där man kommer att diskutera EU:s strategiska agenda för 2019–2024, inbegripet Ekonomiska och monetära unionen.</w:t>
      </w:r>
    </w:p>
    <w:p>
      <w:pPr>
        <w:spacing w:after="240"/>
        <w:jc w:val="both"/>
        <w:rPr>
          <w:rFonts w:ascii="Times New Roman" w:eastAsia="Times New Roman" w:hAnsi="Times New Roman"/>
          <w:noProof/>
          <w:sz w:val="24"/>
          <w:szCs w:val="24"/>
        </w:rPr>
      </w:pPr>
      <w:r>
        <w:rPr>
          <w:rFonts w:ascii="Times New Roman" w:hAnsi="Times New Roman"/>
          <w:noProof/>
          <w:sz w:val="24"/>
        </w:rPr>
        <w:t>Viktiga framsteg har gjorts för att minska den befintliga mängden nödlidande lån och bidra till att förhindra uppbyggnad av nya lån i framtiden. Samtidigt som andelen nödlidande lån fortsätter att vara hög i vissa medlemsstater bör det understrykas att framsteg görs när det gäller att ta itu med dem. Det är mycket viktigt att alla berörda parter fortsätter dessa ansträngningar så att vi i framtiden definitivt kan lägga problemet bakom oss.</w:t>
      </w:r>
    </w:p>
    <w:p>
      <w:pPr>
        <w:pStyle w:val="Heading1"/>
        <w:spacing w:before="360" w:after="240"/>
        <w:ind w:left="714" w:hanging="357"/>
        <w:rPr>
          <w:noProof/>
        </w:rPr>
      </w:pPr>
      <w:r>
        <w:rPr>
          <w:noProof/>
        </w:rPr>
        <w:t>Ett vidare perspektiv: riskminskning i unionen</w:t>
      </w:r>
    </w:p>
    <w:p>
      <w:pPr>
        <w:spacing w:after="240"/>
        <w:jc w:val="both"/>
        <w:rPr>
          <w:rFonts w:ascii="Times New Roman" w:eastAsia="Times New Roman" w:hAnsi="Times New Roman"/>
          <w:noProof/>
          <w:sz w:val="24"/>
          <w:szCs w:val="24"/>
        </w:rPr>
      </w:pPr>
      <w:r>
        <w:rPr>
          <w:rFonts w:ascii="Times New Roman" w:hAnsi="Times New Roman"/>
          <w:noProof/>
          <w:sz w:val="24"/>
        </w:rPr>
        <w:t>Under det senaste årtiondet har unionen och medlemsstaterna gjort betydande insatser för att minska riskerna i banksektorn.</w:t>
      </w:r>
      <w:r>
        <w:rPr>
          <w:rFonts w:ascii="Times New Roman" w:hAnsi="Times New Roman"/>
          <w:noProof/>
          <w:sz w:val="24"/>
          <w:vertAlign w:val="superscript"/>
        </w:rPr>
        <w:footnoteReference w:id="3"/>
      </w:r>
      <w:r>
        <w:rPr>
          <w:rFonts w:ascii="Times New Roman" w:hAnsi="Times New Roman"/>
          <w:noProof/>
          <w:sz w:val="24"/>
        </w:rPr>
        <w:t xml:space="preserve"> En lång rad åtgärder har vidtagits sedan finanskrisen: 1) bankernas solvens, hävstångs- och likviditetsställning har stärkts på ett betydande och konkret sätt, 2) styrningen av och tillsynen över banksektorn har förbättrats avsevärt, och (3) bankers möjlighet till resolution har blivit betydligt bättre. Den genomsnittliga primärkapitalrelationen</w:t>
      </w:r>
      <w:r>
        <w:rPr>
          <w:rStyle w:val="FootnoteReference"/>
          <w:rFonts w:ascii="Times New Roman" w:hAnsi="Times New Roman"/>
          <w:noProof/>
          <w:sz w:val="24"/>
        </w:rPr>
        <w:footnoteReference w:id="4"/>
      </w:r>
      <w:r>
        <w:rPr>
          <w:rFonts w:ascii="Times New Roman" w:hAnsi="Times New Roman"/>
          <w:noProof/>
          <w:sz w:val="24"/>
        </w:rPr>
        <w:t xml:space="preserve"> för de banker i euroområdet som direkt övervakas genom den gemensamma tillsynsmekanismen har legat på en stabil nivå och uppgick till 15,54 % fjärde kvartalet 2018 jämfört med 15,63 % fjärde kvartalet 2017</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Denna förstärkning av kapitalställningen avspeglas även i högre bruttosoliditetsgrader. Den genomsnittliga bruttosoliditetsgraden</w:t>
      </w:r>
      <w:r>
        <w:rPr>
          <w:rFonts w:ascii="Times New Roman" w:hAnsi="Times New Roman"/>
          <w:noProof/>
          <w:sz w:val="24"/>
          <w:vertAlign w:val="superscript"/>
        </w:rPr>
        <w:footnoteReference w:id="6"/>
      </w:r>
      <w:r>
        <w:rPr>
          <w:rFonts w:ascii="Times New Roman" w:hAnsi="Times New Roman"/>
          <w:noProof/>
          <w:sz w:val="24"/>
        </w:rPr>
        <w:t xml:space="preserve"> ligger med god marginal kvar över treprocentskravet, på 5,28 % fjärde kvartalet 2018, jämfört med 5,41 % fjärde kvartalet 2017. Bankerna i euroområdet bibehöll även sin motståndskraft mot likviditetsstörningar i och med en likviditetstäckningsgrad på 145,61 % fjärde kvartalet 2018, jämfört med 143,56 % fjärde kvartalet 2017. Allt detta vittnar om de beslutsamma åtgärder som vidtagits för att minska riskerna i hela euroområdet.</w:t>
      </w:r>
    </w:p>
    <w:p>
      <w:pPr>
        <w:spacing w:after="240"/>
        <w:jc w:val="both"/>
        <w:rPr>
          <w:rFonts w:ascii="Times New Roman" w:eastAsia="Times New Roman" w:hAnsi="Times New Roman"/>
          <w:noProof/>
          <w:sz w:val="24"/>
          <w:szCs w:val="24"/>
        </w:rPr>
      </w:pPr>
      <w:r>
        <w:rPr>
          <w:rFonts w:ascii="Times New Roman" w:hAnsi="Times New Roman"/>
          <w:noProof/>
          <w:sz w:val="24"/>
        </w:rPr>
        <w:t>Som beskrevs i 2017 års meddelande om bankunionen</w:t>
      </w:r>
      <w:r>
        <w:rPr>
          <w:rStyle w:val="FootnoteReference"/>
          <w:rFonts w:ascii="Times New Roman" w:hAnsi="Times New Roman"/>
          <w:noProof/>
          <w:sz w:val="24"/>
        </w:rPr>
        <w:footnoteReference w:id="7"/>
      </w:r>
      <w:r>
        <w:rPr>
          <w:rFonts w:ascii="Times New Roman" w:hAnsi="Times New Roman"/>
          <w:noProof/>
          <w:sz w:val="24"/>
        </w:rPr>
        <w:t>, och som bekräftades av den andra och tredje lägesrapporten om minskningen av nödlidande lån</w:t>
      </w:r>
      <w:r>
        <w:rPr>
          <w:rStyle w:val="FootnoteReference"/>
          <w:rFonts w:ascii="Times New Roman" w:hAnsi="Times New Roman"/>
          <w:noProof/>
          <w:sz w:val="24"/>
        </w:rPr>
        <w:footnoteReference w:id="8"/>
      </w:r>
      <w:r>
        <w:rPr>
          <w:rFonts w:ascii="Times New Roman" w:hAnsi="Times New Roman"/>
          <w:noProof/>
          <w:sz w:val="24"/>
        </w:rPr>
        <w:t>, har kommissionen vidtagit ytterligare omfattande och kompletterande åtgärder för att minska riskerna och förstärka den europeiska banksektorns motståndskraft. I synnerhet har – utöver de särskilda åtgärder för nödlidande lån som anges närmare nedan och som en del av kommissionens insatser– följande viktiga språngbrädor kommit på plats under de senaste månaderna:</w:t>
      </w:r>
    </w:p>
    <w:p>
      <w:pPr>
        <w:pStyle w:val="ListParagraph"/>
        <w:numPr>
          <w:ilvl w:val="0"/>
          <w:numId w:val="42"/>
        </w:numPr>
        <w:spacing w:after="240"/>
        <w:jc w:val="both"/>
        <w:rPr>
          <w:rFonts w:eastAsia="Times New Roman"/>
          <w:noProof/>
        </w:rPr>
      </w:pPr>
      <w:r>
        <w:rPr>
          <w:noProof/>
        </w:rPr>
        <w:t>Europaparlamentet och rådet har enats om ”bankpaketet” vilket konkret innebär en stabilare ram för reglering och tillsyn av banker</w:t>
      </w:r>
      <w:r>
        <w:rPr>
          <w:noProof/>
          <w:vertAlign w:val="superscript"/>
        </w:rPr>
        <w:footnoteReference w:id="9"/>
      </w:r>
      <w:r>
        <w:rPr>
          <w:noProof/>
        </w:rPr>
        <w:t xml:space="preserve">. Detta är en viktig milstolpe i genomförandet av internationella standarder och slutförandet av lagstiftningsagendan efter krisen. Det ökar motståndskraften hos EU:s banker och förbättrar deras utlåningskapacitet till stöd för EU:s reala ekonomi. </w:t>
      </w:r>
    </w:p>
    <w:p>
      <w:pPr>
        <w:pStyle w:val="ListParagraph"/>
        <w:numPr>
          <w:ilvl w:val="0"/>
          <w:numId w:val="42"/>
        </w:numPr>
        <w:spacing w:after="240"/>
        <w:jc w:val="both"/>
        <w:rPr>
          <w:rFonts w:eastAsia="Times New Roman"/>
          <w:noProof/>
        </w:rPr>
      </w:pPr>
      <w:r>
        <w:rPr>
          <w:noProof/>
        </w:rPr>
        <w:t>Medlagstiftarna har enats om direktivet om ramar för förebyggande omstrukturering, en andra chans och åtgärder för att göra förfaranden för omstrukturering, insolvens och skuldavskrivning effektivare, med utgångspunkt i de system som redan fungerar väl i medlemsstaterna</w:t>
      </w:r>
      <w:r>
        <w:rPr>
          <w:noProof/>
          <w:vertAlign w:val="superscript"/>
        </w:rPr>
        <w:footnoteReference w:id="10"/>
      </w:r>
      <w:r>
        <w:rPr>
          <w:noProof/>
        </w:rPr>
        <w:t>. Direktivet kommer att uppmuntra livskraftiga företag att omstrukturera i ett tidigt skede så att värdet kan bevaras bättre och fler arbetstillfällen räddas. Det kommer också att ge hederliga företagare en andra chans att starta ett nytt företag i stället för att straffas för konkurs. Därmed har ett mycket viktigt steg tagits, eftersom effektiva omstrukturerings- och insolvensregler är avgörande för att förhindra och minska volymerna nödlidande lån.</w:t>
      </w:r>
    </w:p>
    <w:p>
      <w:pPr>
        <w:spacing w:after="240"/>
        <w:jc w:val="both"/>
        <w:rPr>
          <w:rFonts w:ascii="Times New Roman" w:eastAsia="Times New Roman" w:hAnsi="Times New Roman"/>
          <w:noProof/>
          <w:sz w:val="24"/>
          <w:szCs w:val="24"/>
        </w:rPr>
      </w:pPr>
      <w:r>
        <w:rPr>
          <w:rFonts w:ascii="Times New Roman" w:hAnsi="Times New Roman"/>
          <w:noProof/>
          <w:sz w:val="24"/>
        </w:rPr>
        <w:t>Kommissionen välkomnar antagandet av båda dessa förslag och uppmanar till ett snabbt genomförande av dem.</w:t>
      </w:r>
    </w:p>
    <w:p>
      <w:pPr>
        <w:pStyle w:val="Heading1"/>
        <w:spacing w:before="360" w:after="240"/>
        <w:ind w:left="714" w:hanging="357"/>
        <w:rPr>
          <w:noProof/>
        </w:rPr>
      </w:pPr>
      <w:r>
        <w:rPr>
          <w:noProof/>
        </w:rPr>
        <w:t>Den senaste utvecklingen i fråga om nödlidande lån</w:t>
      </w:r>
    </w:p>
    <w:p>
      <w:pPr>
        <w:spacing w:after="240"/>
        <w:jc w:val="both"/>
        <w:rPr>
          <w:rFonts w:ascii="Times New Roman" w:eastAsia="Times New Roman" w:hAnsi="Times New Roman"/>
          <w:noProof/>
          <w:sz w:val="24"/>
          <w:szCs w:val="24"/>
        </w:rPr>
      </w:pPr>
      <w:r>
        <w:rPr>
          <w:rFonts w:ascii="Times New Roman" w:hAnsi="Times New Roman"/>
          <w:noProof/>
          <w:sz w:val="24"/>
        </w:rPr>
        <w:t>Andelen nödlidande lån fortsatte att minska under tredje kvartalet 2018. De senaste siffrorna visar att den totala andelen nödlidande lån för alla banker inom EU minskade ytterligare, till 3,3 % (tredje kvartalet 2018), vilket är en nedgång med 1,1 procentenheter jämfört med samma period året innan (se figur 1). Detta är i linje med och en bekräftelse på en nedåtgående trend sedan fjärde kvartalet 2014. Den genomsnittliga andelen nödlidande lån i EU närmar sig därmed nivåerna före krisen (se figur 2). Reserveringskvoten</w:t>
      </w:r>
      <w:r>
        <w:rPr>
          <w:rStyle w:val="FootnoteReference"/>
          <w:rFonts w:ascii="Times New Roman" w:hAnsi="Times New Roman"/>
          <w:noProof/>
          <w:sz w:val="24"/>
        </w:rPr>
        <w:footnoteReference w:id="11"/>
      </w:r>
      <w:r>
        <w:rPr>
          <w:rFonts w:ascii="Times New Roman" w:hAnsi="Times New Roman"/>
          <w:noProof/>
          <w:sz w:val="24"/>
        </w:rPr>
        <w:t xml:space="preserve"> har också förbättrats ytterligare och uppgår nu till 59,4 % (tredje kvartalet 2018).</w:t>
      </w:r>
    </w:p>
    <w:p>
      <w:pPr>
        <w:keepNext/>
        <w:jc w:val="both"/>
        <w:rPr>
          <w:rFonts w:ascii="Times New Roman" w:hAnsi="Times New Roman"/>
          <w:b/>
          <w:noProof/>
          <w:sz w:val="20"/>
        </w:rPr>
      </w:pPr>
      <w:r>
        <w:rPr>
          <w:rFonts w:ascii="Times New Roman" w:hAnsi="Times New Roman"/>
          <w:b/>
          <w:noProof/>
          <w:sz w:val="20"/>
        </w:rPr>
        <w:t>Figurerna 1 och 2: Andelen nödlidande lån i EU</w:t>
      </w:r>
    </w:p>
    <w:p>
      <w:pPr>
        <w:spacing w:after="240"/>
        <w:jc w:val="both"/>
        <w:rPr>
          <w:rFonts w:ascii="Times New Roman" w:eastAsia="Times New Roman" w:hAnsi="Times New Roman"/>
          <w:noProof/>
          <w:sz w:val="24"/>
          <w:szCs w:val="24"/>
        </w:rPr>
      </w:pPr>
      <w:r>
        <w:rPr>
          <w:noProof/>
          <w:lang w:val="en-GB" w:eastAsia="en-GB" w:bidi="ar-SA"/>
        </w:rPr>
        <w:drawing>
          <wp:inline distT="0" distB="0" distL="0" distR="0">
            <wp:extent cx="5652770" cy="2832239"/>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2770" cy="2832239"/>
                    </a:xfrm>
                    <a:prstGeom prst="rect">
                      <a:avLst/>
                    </a:prstGeom>
                    <a:noFill/>
                    <a:ln>
                      <a:noFill/>
                    </a:ln>
                  </pic:spPr>
                </pic:pic>
              </a:graphicData>
            </a:graphic>
          </wp:inline>
        </w:drawing>
      </w:r>
    </w:p>
    <w:p>
      <w:pPr>
        <w:spacing w:after="240"/>
        <w:jc w:val="both"/>
        <w:rPr>
          <w:rFonts w:ascii="Times New Roman" w:eastAsia="Times New Roman" w:hAnsi="Times New Roman"/>
          <w:noProof/>
          <w:sz w:val="24"/>
          <w:szCs w:val="24"/>
        </w:rPr>
      </w:pPr>
      <w:r>
        <w:rPr>
          <w:rFonts w:ascii="Times New Roman" w:hAnsi="Times New Roman"/>
          <w:noProof/>
          <w:sz w:val="24"/>
        </w:rPr>
        <w:t>De senaste kvartalssiffrorna visar att andelen nödlidande lån fortsatte att minska i nästan alla medlemsstater. Situationen varierar emellertid fortfarande avsevärt mellan länderna (se tabell 2). I slutet av tredje kvartalet 2018 var andelen nödlidande lån mindre än 3 % i 14 medlemsstater, samtidigt som vissa medlemsstater alltjämt hade betydligt högre andel – tre medlemsstater hade en andel på över 10 %</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De medlemsstater som har en relativt hög andel nödlidande lån uppvisar i de flesta fall uppmuntrande och kontinuerliga framsteg, tack vare en kombination av politiska åtgärder och ekonomisk tillväxt.</w:t>
      </w:r>
    </w:p>
    <w:p>
      <w:pPr>
        <w:pStyle w:val="Heading1"/>
        <w:numPr>
          <w:ilvl w:val="0"/>
          <w:numId w:val="0"/>
        </w:numPr>
        <w:spacing w:before="120" w:after="60"/>
        <w:ind w:left="1021" w:hanging="1021"/>
        <w:rPr>
          <w:noProof/>
          <w:sz w:val="20"/>
          <w:szCs w:val="20"/>
        </w:rPr>
      </w:pPr>
      <w:r>
        <w:rPr>
          <w:rFonts w:ascii="Times New Roman" w:hAnsi="Times New Roman"/>
          <w:smallCaps w:val="0"/>
          <w:noProof/>
          <w:sz w:val="20"/>
        </w:rPr>
        <w:t>Tabell 2: Nödlidande lån och avsättningar per medlemsstat</w:t>
      </w:r>
      <w:r>
        <w:rPr>
          <w:rFonts w:ascii="Times New Roman" w:hAnsi="Times New Roman"/>
          <w:smallCaps w:val="0"/>
          <w:noProof/>
          <w:sz w:val="20"/>
          <w:vertAlign w:val="superscript"/>
        </w:rPr>
        <w:footnoteReference w:id="13"/>
      </w:r>
    </w:p>
    <w:p>
      <w:pPr>
        <w:keepNext/>
        <w:rPr>
          <w:rFonts w:ascii="Times New Roman" w:eastAsia="Times New Roman" w:hAnsi="Times New Roman"/>
          <w:i/>
          <w:noProof/>
          <w:sz w:val="18"/>
          <w:szCs w:val="24"/>
        </w:rPr>
      </w:pPr>
      <w:r>
        <w:rPr>
          <w:rFonts w:ascii="Times New Roman" w:hAnsi="Times New Roman"/>
          <w:i/>
          <w:noProof/>
          <w:sz w:val="18"/>
        </w:rPr>
        <w:t xml:space="preserve"> </w:t>
      </w:r>
      <w:r>
        <w:rPr>
          <w:noProof/>
          <w:lang w:val="en-GB" w:eastAsia="en-GB" w:bidi="ar-SA"/>
        </w:rPr>
        <w:drawing>
          <wp:inline distT="0" distB="0" distL="0" distR="0">
            <wp:extent cx="5541645" cy="6698615"/>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1645" cy="6698615"/>
                    </a:xfrm>
                    <a:prstGeom prst="rect">
                      <a:avLst/>
                    </a:prstGeom>
                    <a:noFill/>
                    <a:ln>
                      <a:noFill/>
                    </a:ln>
                  </pic:spPr>
                </pic:pic>
              </a:graphicData>
            </a:graphic>
          </wp:inline>
        </w:drawing>
      </w:r>
    </w:p>
    <w:p>
      <w:pPr>
        <w:spacing w:before="60" w:after="300"/>
        <w:rPr>
          <w:rFonts w:ascii="Times New Roman" w:eastAsia="Times New Roman" w:hAnsi="Times New Roman"/>
          <w:noProof/>
          <w:sz w:val="18"/>
          <w:szCs w:val="24"/>
        </w:rPr>
      </w:pPr>
      <w:r>
        <w:rPr>
          <w:rFonts w:ascii="Times New Roman" w:hAnsi="Times New Roman"/>
          <w:noProof/>
          <w:sz w:val="18"/>
        </w:rPr>
        <w:t>Källa</w:t>
      </w:r>
      <w:r>
        <w:rPr>
          <w:rFonts w:ascii="Times New Roman" w:hAnsi="Times New Roman"/>
          <w:i/>
          <w:noProof/>
          <w:sz w:val="18"/>
        </w:rPr>
        <w:t xml:space="preserve">: </w:t>
      </w:r>
      <w:r>
        <w:rPr>
          <w:rFonts w:ascii="Times New Roman" w:hAnsi="Times New Roman"/>
          <w:noProof/>
          <w:sz w:val="18"/>
        </w:rPr>
        <w:t>Europeiska centralbanken, konsoliderade bankuppgifter. Beräkningar av kommissionens avdelningar (GD Fisma).</w:t>
      </w:r>
    </w:p>
    <w:p>
      <w:pPr>
        <w:spacing w:after="240"/>
        <w:jc w:val="both"/>
        <w:rPr>
          <w:rFonts w:ascii="Times New Roman" w:eastAsia="Times New Roman" w:hAnsi="Times New Roman"/>
          <w:noProof/>
          <w:sz w:val="24"/>
          <w:szCs w:val="24"/>
        </w:rPr>
      </w:pPr>
      <w:r>
        <w:rPr>
          <w:rFonts w:ascii="Times New Roman" w:hAnsi="Times New Roman"/>
          <w:noProof/>
          <w:sz w:val="24"/>
        </w:rPr>
        <w:t>Beslutsamma åtgärder från banker och beslutsfattare, särskilt i medlemsstater med relativt höga nivåer nödlidande lån, har underlättat minskningen av antalet och andelen nödlidande lån. Vidare har kommissionen fortsatt sitt konstruktiva samarbete med medlemsstaterna för att möjliggöra specifika lösningar för banker inom ramen för EU:s regler för statligt stöd och bankärenden, med en tydlig målsättning att begränsa kostnaderna för skattebetalarna och samtidigt se till att insättarna alltid skyddas fullt ut. Detta har lett till att omkring 112 miljarder euro i nödlidande lån har kunnat tas bort från bankernas balansräkningar under de senaste tre åren (inklusive cirka 82 miljarder euro i Italien, cirka 24 miljarder euro i Portugal och cirka 6 miljarder euro i Cypern).</w:t>
      </w:r>
    </w:p>
    <w:p>
      <w:pPr>
        <w:spacing w:after="240"/>
        <w:jc w:val="both"/>
        <w:rPr>
          <w:rFonts w:ascii="Times New Roman" w:eastAsia="Times New Roman" w:hAnsi="Times New Roman"/>
          <w:noProof/>
          <w:sz w:val="24"/>
          <w:szCs w:val="24"/>
        </w:rPr>
      </w:pPr>
      <w:r>
        <w:rPr>
          <w:rFonts w:ascii="Times New Roman" w:hAnsi="Times New Roman"/>
          <w:noProof/>
          <w:sz w:val="24"/>
        </w:rPr>
        <w:t>Unionen och medlemsstaterna bör dock inte göra avkall på sina ansträngningar. Vi bör vara medvetna om de potentiella effekterna av en konjunkturnedgång. Minskningen av de nödlidande lånen har under de senaste åren drivits på av en stark ekonomisk konjunktur. Genom att upprätthålla våra gemensamma ansträngningar kommer vi att kunna fortsätta att ta itu med nödlidande lån på kraftfullast möjliga sätt, och därmed ökar vi vår förmåga att stå emot eventuella negativa störningar i framtiden.</w:t>
      </w:r>
    </w:p>
    <w:p>
      <w:pPr>
        <w:spacing w:after="240"/>
        <w:jc w:val="both"/>
        <w:rPr>
          <w:rFonts w:ascii="Times New Roman" w:eastAsia="Times New Roman" w:hAnsi="Times New Roman"/>
          <w:noProof/>
          <w:sz w:val="24"/>
          <w:szCs w:val="24"/>
        </w:rPr>
      </w:pPr>
      <w:r>
        <w:rPr>
          <w:rFonts w:ascii="Times New Roman" w:hAnsi="Times New Roman"/>
          <w:noProof/>
          <w:sz w:val="24"/>
        </w:rPr>
        <w:t>Variationen i andelen nödlidande lån i medlemsstaterna återspeglar de ihållande asymmetriska effekterna av finanskrisen. Trots den generellt sett uppmuntrande utvecklingen utgör nödlidande lån fortfarande en risk (om än i minskande grad) för livskraftigheten hos de mest drabbade bankerna och för ekonomisk tillväxt och finansiell stabilitet i vissa medlemsstater. Genom att ytterligare minska antalet nödlidande lån skulle ökad konvergens mellan medlemsstaterna kunna uppnås. Den totala volymen av nödlidande lån i hela unionen uppgår i dagsläget till 786 miljarder euro.</w:t>
      </w:r>
      <w:r>
        <w:rPr>
          <w:rFonts w:ascii="Times New Roman" w:hAnsi="Times New Roman"/>
          <w:noProof/>
          <w:sz w:val="24"/>
          <w:vertAlign w:val="superscript"/>
        </w:rPr>
        <w:footnoteReference w:id="14"/>
      </w:r>
      <w:r>
        <w:rPr>
          <w:rFonts w:ascii="Times New Roman" w:hAnsi="Times New Roman"/>
          <w:noProof/>
          <w:sz w:val="24"/>
        </w:rPr>
        <w:t xml:space="preserve"> Fortsatt uppmärksamhet bör ägnas åt omstrukturering av skulder, insolvens- och skuldindrivningsförfaranden, som är områden där ytterligare reformer i många fall skulle kunna ge betydande gynnsamma effekter. Effektiva och förutsägbara verkställighets- och insolvensregler är avgörande för att hjälpa bankerna att ta itu med volymerna av nödlidande lån och bidra till att undvika att de byggs upp i framtiden. Att ta itu med denna viktiga fråga på ett effektivt sätt skulle i hög grad ytterligare driva på en minskning av nödlidande lån. En harmonisering av lagstiftningen på detta område är en utmaning med tanke på de nära kopplingarna till olika delar av den nationella lagstiftningen och med politiska vägval som sträcker sig utöver frågan om nödlidande lån.</w:t>
      </w:r>
    </w:p>
    <w:p>
      <w:pPr>
        <w:spacing w:after="240"/>
        <w:jc w:val="both"/>
        <w:rPr>
          <w:rFonts w:ascii="Times New Roman" w:eastAsia="Times New Roman" w:hAnsi="Times New Roman"/>
          <w:noProof/>
          <w:sz w:val="24"/>
          <w:szCs w:val="24"/>
        </w:rPr>
      </w:pPr>
      <w:r>
        <w:rPr>
          <w:rFonts w:ascii="Times New Roman" w:hAnsi="Times New Roman"/>
          <w:noProof/>
          <w:sz w:val="24"/>
        </w:rPr>
        <w:t>En fortsatt tillväxt av andrahandsmarknaderna för nödlidande lån är en lika viktig faktor. Medlemsstaterna och EU-myndigheterna bör i sina kollektiva ansträngningar inte glömma den ännu outnyttjade potentialen i en välfungerande andrahandsmarknad, inte bara när det gäller att ta itu med de nuvarande volymerna av nödlidande lån, utan också i fråga om vart framtida flöden ska ledas. Med hjälp av en sådan marknad kan man på ett effektivt sätt förhindra en förnyad ackumulering av nödlidande lån i bankernas balansräkningar. Relevanta politiska åtgärder (se även nedan) bör fortlöpande inriktas på att ytterligare utveckla andrahandsmarknaden så att man därigenom stimulerar och upprätthåller den  dynamik som för närvarande råder i flera medlemsstater.</w:t>
      </w:r>
    </w:p>
    <w:p>
      <w:pPr>
        <w:pStyle w:val="Heading1"/>
        <w:spacing w:before="360" w:after="240"/>
        <w:ind w:left="714" w:hanging="357"/>
        <w:rPr>
          <w:noProof/>
        </w:rPr>
      </w:pPr>
      <w:r>
        <w:rPr>
          <w:noProof/>
        </w:rPr>
        <w:t xml:space="preserve">Framsteg i genomförandet av rådets handlingsplan </w:t>
      </w:r>
    </w:p>
    <w:p>
      <w:pPr>
        <w:spacing w:after="240"/>
        <w:jc w:val="both"/>
        <w:rPr>
          <w:rFonts w:ascii="Times New Roman" w:eastAsia="Times New Roman" w:hAnsi="Times New Roman"/>
          <w:noProof/>
          <w:sz w:val="24"/>
          <w:szCs w:val="24"/>
        </w:rPr>
      </w:pPr>
      <w:r>
        <w:rPr>
          <w:rFonts w:ascii="Times New Roman" w:hAnsi="Times New Roman"/>
          <w:noProof/>
          <w:sz w:val="24"/>
        </w:rPr>
        <w:t>Rådet enades i sin handlingsplan om att återuppta frågan om nödlidande lån med jämna mellanrum för att skapa en överblick över deras utveckling i unionen och göra en bedömning av framstegen i genomförandet av handlingsplanen som tar sin utgångspunkt i en översyn av kommissionen. Av tabell 3 framgår att viktiga steg har tagits mot ett fullständigt genomförande av handlingsplanen.</w:t>
      </w:r>
    </w:p>
    <w:p>
      <w:pPr>
        <w:pStyle w:val="Heading1"/>
        <w:numPr>
          <w:ilvl w:val="0"/>
          <w:numId w:val="0"/>
        </w:numPr>
        <w:spacing w:before="120" w:after="60"/>
        <w:ind w:left="1021" w:hanging="1021"/>
        <w:rPr>
          <w:rFonts w:ascii="Times New Roman" w:hAnsi="Times New Roman"/>
          <w:bCs w:val="0"/>
          <w:smallCaps w:val="0"/>
          <w:noProof/>
          <w:sz w:val="20"/>
          <w:szCs w:val="20"/>
        </w:rPr>
      </w:pPr>
      <w:r>
        <w:rPr>
          <w:rFonts w:ascii="Times New Roman" w:hAnsi="Times New Roman"/>
          <w:smallCaps w:val="0"/>
          <w:noProof/>
          <w:sz w:val="20"/>
        </w:rPr>
        <w:t>Tabell 3: Framsteg i genomförandet av handlingsplanen</w:t>
      </w:r>
    </w:p>
    <w:p>
      <w:pPr>
        <w:spacing w:before="60" w:after="240"/>
        <w:jc w:val="center"/>
        <w:rPr>
          <w:rFonts w:ascii="Times New Roman" w:eastAsia="Times New Roman" w:hAnsi="Times New Roman"/>
          <w:noProof/>
          <w:sz w:val="24"/>
          <w:szCs w:val="24"/>
        </w:rPr>
      </w:pPr>
      <w:r>
        <w:rPr>
          <w:noProof/>
          <w:lang w:val="en-GB" w:eastAsia="en-GB" w:bidi="ar-SA"/>
        </w:rPr>
        <w:drawing>
          <wp:inline distT="0" distB="0" distL="0" distR="0">
            <wp:extent cx="5652770" cy="331721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2770" cy="3317217"/>
                    </a:xfrm>
                    <a:prstGeom prst="rect">
                      <a:avLst/>
                    </a:prstGeom>
                    <a:noFill/>
                    <a:ln>
                      <a:noFill/>
                    </a:ln>
                  </pic:spPr>
                </pic:pic>
              </a:graphicData>
            </a:graphic>
          </wp:inline>
        </w:drawing>
      </w:r>
      <w:r>
        <w:rPr>
          <w:noProof/>
          <w:lang w:val="en-GB" w:eastAsia="en-GB" w:bidi="ar-SA"/>
        </w:rPr>
        <w:drawing>
          <wp:inline distT="0" distB="0" distL="0" distR="0">
            <wp:extent cx="1911985" cy="727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1985" cy="727075"/>
                    </a:xfrm>
                    <a:prstGeom prst="rect">
                      <a:avLst/>
                    </a:prstGeom>
                    <a:noFill/>
                    <a:ln>
                      <a:noFill/>
                    </a:ln>
                  </pic:spPr>
                </pic:pic>
              </a:graphicData>
            </a:graphic>
          </wp:inline>
        </w:drawing>
      </w:r>
    </w:p>
    <w:p>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rPr>
      </w:pPr>
      <w:r>
        <w:rPr>
          <w:rFonts w:ascii="Times New Roman Bold" w:eastAsiaTheme="majorEastAsia" w:hAnsi="Times New Roman Bold" w:cstheme="majorBidi" w:hint="eastAsia"/>
          <w:b/>
          <w:smallCaps/>
          <w:noProof/>
          <w:sz w:val="26"/>
        </w:rPr>
        <w:t>Bankers tillräckliga förlusttäckning vad avser framtida nödlidande lån</w:t>
      </w:r>
    </w:p>
    <w:p>
      <w:pPr>
        <w:spacing w:after="240"/>
        <w:jc w:val="both"/>
        <w:rPr>
          <w:rFonts w:ascii="Times New Roman" w:eastAsia="Times New Roman" w:hAnsi="Times New Roman"/>
          <w:noProof/>
          <w:sz w:val="24"/>
          <w:szCs w:val="24"/>
        </w:rPr>
      </w:pPr>
      <w:r>
        <w:rPr>
          <w:rFonts w:ascii="Times New Roman" w:hAnsi="Times New Roman"/>
          <w:noProof/>
          <w:sz w:val="24"/>
        </w:rPr>
        <w:t>Som en del av det paket med förslag om nödlidande lån som lades fram i mars 2018 föreslog kommissionen en förordning om ändring av kapitalkravsförordningen (CRR)</w:t>
      </w:r>
      <w:r>
        <w:rPr>
          <w:rFonts w:ascii="Times New Roman" w:hAnsi="Times New Roman"/>
          <w:noProof/>
          <w:sz w:val="24"/>
          <w:vertAlign w:val="superscript"/>
        </w:rPr>
        <w:footnoteReference w:id="15"/>
      </w:r>
      <w:r>
        <w:rPr>
          <w:rFonts w:ascii="Times New Roman" w:hAnsi="Times New Roman"/>
          <w:noProof/>
          <w:sz w:val="24"/>
        </w:rPr>
        <w:t>, inklusive införandet av en så kallad lagstadgad säkerhetsmekanism som syftar till att förebygga alltför små avsättningar för framtida nödlidande lån. Förordningen antogs i april 2019</w:t>
      </w:r>
      <w:r>
        <w:rPr>
          <w:rStyle w:val="FootnoteReference"/>
          <w:rFonts w:ascii="Times New Roman" w:hAnsi="Times New Roman"/>
          <w:noProof/>
          <w:sz w:val="24"/>
        </w:rPr>
        <w:footnoteReference w:id="16"/>
      </w:r>
      <w:r>
        <w:rPr>
          <w:rFonts w:ascii="Times New Roman" w:hAnsi="Times New Roman"/>
          <w:noProof/>
          <w:sz w:val="24"/>
        </w:rPr>
        <w:t>.</w:t>
      </w:r>
    </w:p>
    <w:p>
      <w:pPr>
        <w:spacing w:after="240"/>
        <w:jc w:val="both"/>
        <w:rPr>
          <w:rFonts w:ascii="Times New Roman" w:eastAsia="Times New Roman" w:hAnsi="Times New Roman"/>
          <w:noProof/>
          <w:sz w:val="24"/>
          <w:szCs w:val="24"/>
        </w:rPr>
      </w:pPr>
      <w:r>
        <w:rPr>
          <w:rFonts w:ascii="Times New Roman" w:hAnsi="Times New Roman"/>
          <w:noProof/>
          <w:sz w:val="24"/>
        </w:rPr>
        <w:t>Enligt förordningen ska banker ha tillräcklig täckning för kreditförluster (dvs. gemensamma lägsta täckningsnivåer) för nyutfärdade lån om dessa blir nödlidande exponeringar.</w:t>
      </w:r>
      <w:r>
        <w:rPr>
          <w:rFonts w:ascii="Times New Roman" w:hAnsi="Times New Roman"/>
          <w:i/>
          <w:noProof/>
          <w:sz w:val="24"/>
        </w:rPr>
        <w:t xml:space="preserve"> </w:t>
      </w:r>
      <w:r>
        <w:rPr>
          <w:rFonts w:ascii="Times New Roman" w:hAnsi="Times New Roman"/>
          <w:noProof/>
          <w:sz w:val="24"/>
        </w:rPr>
        <w:t>Om en bank inte uppfyller den tillämpliga minimitäckningsnivån måste den dra av underskottet från sina egna medel.</w:t>
      </w:r>
    </w:p>
    <w:p>
      <w:pPr>
        <w:spacing w:after="60"/>
        <w:jc w:val="both"/>
        <w:rPr>
          <w:rFonts w:ascii="Times New Roman" w:eastAsia="Times New Roman" w:hAnsi="Times New Roman"/>
          <w:noProof/>
          <w:sz w:val="24"/>
          <w:szCs w:val="24"/>
        </w:rPr>
      </w:pPr>
      <w:r>
        <w:rPr>
          <w:rFonts w:ascii="Times New Roman" w:hAnsi="Times New Roman"/>
          <w:noProof/>
          <w:sz w:val="24"/>
        </w:rPr>
        <w:t>Enligt tillsynsmekanismen är det tillämpliga minimitäckningskravet beroende av två huvudsakliga ingångsvariabler, nämligen</w:t>
      </w:r>
    </w:p>
    <w:p>
      <w:pPr>
        <w:numPr>
          <w:ilvl w:val="0"/>
          <w:numId w:val="33"/>
        </w:numPr>
        <w:spacing w:after="60"/>
        <w:jc w:val="both"/>
        <w:rPr>
          <w:rFonts w:ascii="Times New Roman" w:eastAsia="Times New Roman" w:hAnsi="Times New Roman"/>
          <w:noProof/>
          <w:sz w:val="24"/>
          <w:szCs w:val="24"/>
        </w:rPr>
      </w:pPr>
      <w:r>
        <w:rPr>
          <w:rFonts w:ascii="Times New Roman" w:hAnsi="Times New Roman"/>
          <w:noProof/>
          <w:sz w:val="24"/>
        </w:rPr>
        <w:t>huruvida hela eller delar av ett nödlidande lån är säkrat genom godtagbart kreditriskskydd (enligt definitionen i CRR), och</w:t>
      </w:r>
    </w:p>
    <w:p>
      <w:pPr>
        <w:numPr>
          <w:ilvl w:val="0"/>
          <w:numId w:val="33"/>
        </w:numPr>
        <w:spacing w:after="240"/>
        <w:ind w:left="714" w:hanging="357"/>
        <w:jc w:val="both"/>
        <w:rPr>
          <w:rFonts w:ascii="Times New Roman" w:eastAsia="Times New Roman" w:hAnsi="Times New Roman"/>
          <w:noProof/>
          <w:sz w:val="24"/>
          <w:szCs w:val="24"/>
        </w:rPr>
      </w:pPr>
      <w:r>
        <w:rPr>
          <w:rFonts w:ascii="Times New Roman" w:hAnsi="Times New Roman"/>
          <w:noProof/>
          <w:sz w:val="24"/>
        </w:rPr>
        <w:t>den tidsperiod under vilken en exponering har klassificerats som nödlidande.</w:t>
      </w:r>
    </w:p>
    <w:p>
      <w:pPr>
        <w:spacing w:after="240"/>
        <w:jc w:val="both"/>
        <w:rPr>
          <w:rFonts w:ascii="Times New Roman" w:eastAsia="Times New Roman" w:hAnsi="Times New Roman"/>
          <w:noProof/>
          <w:sz w:val="24"/>
          <w:szCs w:val="24"/>
        </w:rPr>
      </w:pPr>
      <w:r>
        <w:rPr>
          <w:rFonts w:ascii="Times New Roman" w:hAnsi="Times New Roman"/>
          <w:noProof/>
          <w:sz w:val="24"/>
        </w:rPr>
        <w:t>Täckningskraven för banker ökar gradvis upp till 100 %, efter tre år för nödlidande exponeringar utan säkerhet, och efter nio och sju år för nödlidande exponeringar som garanteras av fast egendom respektive för nödlidande exponeringar som garanteras av andra godtagbara kreditriskskydd. Denna metod återspeglar den ökade risk som följer av ”äldre” nödlidande exponeringar, även om de är säkrade. Ju längre de nödlidande exponeringarna finns i bankernas balansräkningar, desto svårare tenderar det att bli för bankerna att få tillbaka sina pengar. Syftet med åtgärden är att uppmuntra bankerna att vara proaktiva och snabbt ta itu med de nödlidande lånen. Detta är viktigt eftersom det är under de första åren efter klassificeringen av en exponering som nödlidande som möjligheten att få tillbaka pengar och vidta hållbara anståndsåtgärder är som störst.</w:t>
      </w:r>
    </w:p>
    <w:p>
      <w:pPr>
        <w:spacing w:after="240"/>
        <w:jc w:val="both"/>
        <w:rPr>
          <w:rFonts w:ascii="Times New Roman" w:eastAsia="Times New Roman" w:hAnsi="Times New Roman"/>
          <w:noProof/>
          <w:sz w:val="24"/>
          <w:szCs w:val="24"/>
        </w:rPr>
      </w:pPr>
      <w:r>
        <w:rPr>
          <w:rFonts w:ascii="Times New Roman" w:hAnsi="Times New Roman"/>
          <w:noProof/>
          <w:sz w:val="24"/>
        </w:rPr>
        <w:t xml:space="preserve">För att säkerställa att tillsynsramen är rättssäker och konsekvent införs genom förordningen även en gemensam definition av </w:t>
      </w:r>
      <w:r>
        <w:rPr>
          <w:rFonts w:ascii="Times New Roman" w:hAnsi="Times New Roman"/>
          <w:i/>
          <w:noProof/>
          <w:sz w:val="24"/>
        </w:rPr>
        <w:t>nödlidande exponeringar</w:t>
      </w:r>
      <w:r>
        <w:rPr>
          <w:rFonts w:ascii="Times New Roman" w:hAnsi="Times New Roman"/>
          <w:noProof/>
          <w:sz w:val="24"/>
        </w:rPr>
        <w:t xml:space="preserve"> som överensstämmer med den som redan används vid tillsynsrapportering.</w:t>
      </w:r>
    </w:p>
    <w:p>
      <w:pPr>
        <w:spacing w:after="240"/>
        <w:jc w:val="both"/>
        <w:rPr>
          <w:rFonts w:ascii="Times New Roman" w:eastAsia="Times New Roman" w:hAnsi="Times New Roman"/>
          <w:noProof/>
          <w:sz w:val="24"/>
          <w:szCs w:val="24"/>
        </w:rPr>
      </w:pPr>
      <w:r>
        <w:rPr>
          <w:rFonts w:ascii="Times New Roman" w:hAnsi="Times New Roman"/>
          <w:noProof/>
          <w:sz w:val="24"/>
        </w:rPr>
        <w:t>Det övergripande syftet med säkerhetsmekanismen är att minska finansiella stabilitetsrisker som uppkommer till följd av otillräcklig täckning av nödlidande exponeringar genom att undvika att sådana exponeringar ökar och får spridningseffekter, särskilt under stressade marknadsförhållanden. Mekanismen är även ett sätt att hjälpa institut att ha tillräcklig förlusttäckning för nödlidande lån, vilket skyddar deras lönsamhet, kapital och finansieringskostnader under perioder av stress. Detta skulle i sin tur bidra till en stabil och mindre procyklisk finansiering för hushåll och företag.</w:t>
      </w:r>
    </w:p>
    <w:p>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rPr>
      </w:pPr>
      <w:r>
        <w:rPr>
          <w:rFonts w:ascii="Times New Roman Bold" w:eastAsiaTheme="majorEastAsia" w:hAnsi="Times New Roman Bold" w:cstheme="majorBidi" w:hint="eastAsia"/>
          <w:b/>
          <w:smallCaps/>
          <w:noProof/>
          <w:sz w:val="26"/>
        </w:rPr>
        <w:t>Direktiv om kreditförvaltare, kreditförvärvare och återvinning av säkerhet</w:t>
      </w:r>
    </w:p>
    <w:p>
      <w:pPr>
        <w:spacing w:after="240"/>
        <w:jc w:val="both"/>
        <w:rPr>
          <w:rFonts w:ascii="Times New Roman" w:eastAsia="Times New Roman" w:hAnsi="Times New Roman"/>
          <w:noProof/>
          <w:sz w:val="24"/>
          <w:szCs w:val="24"/>
        </w:rPr>
      </w:pPr>
      <w:r>
        <w:rPr>
          <w:rFonts w:ascii="Times New Roman" w:hAnsi="Times New Roman"/>
          <w:noProof/>
          <w:sz w:val="24"/>
        </w:rPr>
        <w:t>Det föreslagna direktivet</w:t>
      </w:r>
      <w:r>
        <w:rPr>
          <w:rStyle w:val="FootnoteReference"/>
          <w:rFonts w:ascii="Times New Roman" w:hAnsi="Times New Roman"/>
          <w:noProof/>
          <w:sz w:val="24"/>
        </w:rPr>
        <w:footnoteReference w:id="17"/>
      </w:r>
      <w:r>
        <w:rPr>
          <w:rFonts w:ascii="Times New Roman" w:hAnsi="Times New Roman"/>
          <w:noProof/>
          <w:sz w:val="24"/>
        </w:rPr>
        <w:t xml:space="preserve"> syftar till att göra det möjligt för bankerna att på ett effektivare sätt hantera lån så snart de blir nödlidande genom att förbättra villkoren när det gäller att 1) sälja krediten till tredje man på en andrahandsmarknad, eller 2) tvångsinlösa den säkerhet som ställts för en kredit. </w:t>
      </w:r>
    </w:p>
    <w:p>
      <w:pPr>
        <w:spacing w:after="240"/>
        <w:jc w:val="both"/>
        <w:rPr>
          <w:rFonts w:ascii="Times New Roman" w:eastAsia="Times New Roman" w:hAnsi="Times New Roman"/>
          <w:noProof/>
          <w:sz w:val="24"/>
          <w:szCs w:val="24"/>
        </w:rPr>
      </w:pPr>
      <w:r>
        <w:rPr>
          <w:rFonts w:ascii="Times New Roman" w:hAnsi="Times New Roman"/>
          <w:noProof/>
          <w:sz w:val="24"/>
        </w:rPr>
        <w:t>Ett av de centrala målen med förslaget är att främja utvecklingen av andrahandsmarknader där banker kan sälja nödlidande lån både på nationell nivå och mellan medlemsstater, samtidigt som en hög nivå av låntagarskydd säkerställs. För att uppnå detta mål införs genom direktivet ett harmoniserat och mindre restriktivt system för kreditförvärvare och kreditförvaltare som undanröjer onödiga hinder för gränsöverskridande verksamhet. Tanken är att detta ska stimulera ytterligare utveckling av en välfungerande andrahandsmarknad och därmed i hög grad bidra till att minska de nuvarande volymerna av nödlidande lån.</w:t>
      </w:r>
    </w:p>
    <w:p>
      <w:pPr>
        <w:spacing w:after="240"/>
        <w:jc w:val="both"/>
        <w:rPr>
          <w:rFonts w:ascii="Times New Roman" w:eastAsia="Times New Roman" w:hAnsi="Times New Roman"/>
          <w:noProof/>
          <w:sz w:val="24"/>
          <w:szCs w:val="24"/>
        </w:rPr>
      </w:pPr>
      <w:r>
        <w:rPr>
          <w:rFonts w:ascii="Times New Roman" w:hAnsi="Times New Roman"/>
          <w:noProof/>
          <w:sz w:val="24"/>
        </w:rPr>
        <w:t xml:space="preserve">För att uppnå det andra centrala målet föreslog kommissionen en kompletterande mekanism för påskyndat ianspråktagande av säkerhet utanför domstol. Mekanismen syftar till att göra det möjligt för banker och företagslåntagare (inte konsumenter) att på förhand komma överens om en metod som ger kreditgivaren möjlighet att snabbt göra anspråk på säkerheter i händelse av att det lånande företaget fallerar. Denna mekanism skulle öka de säkrade borgenärernas möjligheter till värdeåtervinning och den är utformad för att bidra till att undvika ackumulering av framtida nödlidande lån. </w:t>
      </w:r>
    </w:p>
    <w:p>
      <w:pPr>
        <w:spacing w:after="240"/>
        <w:jc w:val="both"/>
        <w:rPr>
          <w:rFonts w:ascii="Times New Roman" w:eastAsia="Times New Roman" w:hAnsi="Times New Roman"/>
          <w:noProof/>
          <w:sz w:val="24"/>
          <w:szCs w:val="24"/>
        </w:rPr>
      </w:pPr>
      <w:r>
        <w:rPr>
          <w:rFonts w:ascii="Times New Roman" w:hAnsi="Times New Roman"/>
          <w:noProof/>
          <w:sz w:val="24"/>
        </w:rPr>
        <w:t>Dessa två sätt för banker</w:t>
      </w:r>
      <w:r>
        <w:rPr>
          <w:rStyle w:val="FootnoteReference"/>
          <w:rFonts w:ascii="Times New Roman" w:hAnsi="Times New Roman"/>
          <w:noProof/>
          <w:sz w:val="24"/>
        </w:rPr>
        <w:footnoteReference w:id="18"/>
      </w:r>
      <w:r>
        <w:rPr>
          <w:rFonts w:ascii="Times New Roman" w:hAnsi="Times New Roman"/>
          <w:noProof/>
          <w:sz w:val="24"/>
        </w:rPr>
        <w:t xml:space="preserve"> att hantera nödlidande lån underlättas genom direktivet och är ömsesidigt förstärkande. Kortare handläggningstider och högre återkravsvärden ökar värdet på de nödlidande lånens och anbudspriserna i samband med eventuella transaktioner med nödlidande lån. Det blir också lättare att fastställa priset på ett nödlidande lån mot säkerhet än på ett utan säkerhet på andrahandsmarknader, eftersom säkerhetens värde motsvarar det lägsta värdet på ett nödlidande lån. Det påskyndade förfarandet utanför domstol för ianspråktagande av säkerhet kan därigenom bli ett skäl till kreditförvärvare att föredra nödlidande lån som omfattas av detta förfarande. Det uppmuntrar i sin tur kreditinstitut att inkludera denna mekanism när nya lån beviljas. Den harmonisering som uppnås med hjälp av ett påskyndat förfarande utanför domstol för ianspråktagande av säkerhet skulle dessutom främja framväxten av alleuropeiska investerare i nödlidande lån, vilket skulle öka likviditeten på marknaden ytterligare.</w:t>
      </w:r>
    </w:p>
    <w:p>
      <w:pPr>
        <w:spacing w:after="240"/>
        <w:jc w:val="both"/>
        <w:rPr>
          <w:rFonts w:ascii="Times New Roman" w:eastAsia="Times New Roman" w:hAnsi="Times New Roman"/>
          <w:noProof/>
          <w:sz w:val="24"/>
          <w:szCs w:val="24"/>
        </w:rPr>
      </w:pPr>
      <w:r>
        <w:rPr>
          <w:rFonts w:ascii="Times New Roman" w:hAnsi="Times New Roman"/>
          <w:noProof/>
          <w:sz w:val="24"/>
        </w:rPr>
        <w:t>Rådet har enats om en partiell allmän riktlinje när det gäller andrahandsmarknader, men förhandlingar om återvinning av säkerhet pågår fortfarande. Överläggningar i Europaparlamentet avseende båda aspekterna bör inledas som en prioriterad fråga så snart det nya parlamentet kommit på plats. Det är av yttersta vikt att en uppgörelse nås i denna fråga, som är en del av rådets handlingsplan, som ett bidrag till EU:s ansträngningar med att ta itu med nödlidande lån runt om i Europa. Kommissionen uppmanar därför medlagstiftarna att snabbt nå en överenskommelse om detta viktiga förslag.</w:t>
      </w:r>
    </w:p>
    <w:p>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rPr>
      </w:pPr>
      <w:r>
        <w:rPr>
          <w:rFonts w:ascii="Times New Roman Bold" w:eastAsiaTheme="majorEastAsia" w:hAnsi="Times New Roman Bold" w:cstheme="majorBidi"/>
          <w:b/>
          <w:smallCaps/>
          <w:noProof/>
          <w:sz w:val="26"/>
        </w:rPr>
        <w:t>Benchmarking av nationella insolvensförfaranden</w:t>
      </w:r>
    </w:p>
    <w:p>
      <w:pPr>
        <w:spacing w:after="240"/>
        <w:jc w:val="both"/>
        <w:rPr>
          <w:rFonts w:ascii="Times New Roman" w:eastAsia="Times New Roman" w:hAnsi="Times New Roman"/>
          <w:noProof/>
          <w:sz w:val="24"/>
          <w:szCs w:val="24"/>
        </w:rPr>
      </w:pPr>
      <w:r>
        <w:rPr>
          <w:rFonts w:ascii="Times New Roman" w:hAnsi="Times New Roman"/>
          <w:noProof/>
          <w:sz w:val="24"/>
        </w:rPr>
        <w:t>Förvaltningen av nödlidande lån skulle gynnas av effektivare och mer förutsägbara regler för låneindrivning och insolvens. Kommissionens avdelningar genomför därför en benchmarking av de nationella systemen för låneindrivning, både när det gäller enskilda verkställighetsförfaranden och kollektiva verkställighets- eller insolvensförfaranden. Målet är att skapa en tillförlitlig bild av de förseningar och den värdeåtervinning som bankerna har att hantera i händelse av låntagarfallissemang. Resultaten är starkt beroende av den rättsliga kapaciteten i de olika medlemsstaterna. Framstegen med benchmarkingstudien har presenterats för och diskuterats med medlemsstaterna vid olika möten, senast den 13 februari och den 10 april 2019. Vid dessa möten behandlades även den bristande tillgången på användbara uppgifter. Kommissionen riktade i januari 2019 en begäran om rådgivning till Europeiska bankmyndigheten för att samla in och analysera uppgifter från banker om återvinningsgrader och återvinningshastigheter i olika jurisdiktioner. Rådgivningen bör kompletteras av kvalitativa uppgifter om de grundläggande egenskaperna hos de nationella systemen för verkställighet och insolvens. Kommissionens avdelningar har uppmanat medlemsstaterna att tillhandahålla kvalitativa uppgifter.</w:t>
      </w:r>
    </w:p>
    <w:p>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rPr>
      </w:pPr>
      <w:r>
        <w:rPr>
          <w:rFonts w:ascii="Times New Roman Bold" w:eastAsiaTheme="majorEastAsia" w:hAnsi="Times New Roman Bold" w:cstheme="majorBidi"/>
          <w:b/>
          <w:smallCaps/>
          <w:noProof/>
          <w:sz w:val="26"/>
        </w:rPr>
        <w:t>Teknisk plan för nationella kapitalförvaltningsbolag</w:t>
      </w:r>
    </w:p>
    <w:p>
      <w:pPr>
        <w:spacing w:after="240"/>
        <w:jc w:val="both"/>
        <w:rPr>
          <w:rFonts w:ascii="Times New Roman" w:eastAsia="Times New Roman" w:hAnsi="Times New Roman"/>
          <w:noProof/>
          <w:sz w:val="24"/>
          <w:szCs w:val="24"/>
        </w:rPr>
      </w:pPr>
      <w:r>
        <w:rPr>
          <w:rFonts w:ascii="Times New Roman" w:hAnsi="Times New Roman"/>
          <w:noProof/>
          <w:sz w:val="24"/>
        </w:rPr>
        <w:t>Som en del av paketet med nödlidande lån försåg kommissionen medlemsstaterna med en plan för kapitalförvaltningsbolag. Dokumentet innehåller icke-bindande och praktiska riktlinjer för hur medlemsstaterna, om de så önskar, kan inrätta nationella kapitalförvaltningsbolag i full överensstämmelse med EU-lagstiftningen. Planen bygger på bästa praxis från tidigare erfarenheter i medlemsstaterna, i den mån det är tillämpligt. Planen utgår från ett antal huvudpinciper för exempelvis gränsen för relevanta tillgångar, gränsen för deltagande, överväganden om tröskeln för tillgångsstorlek, regler för värdering av tillgångar, lämplig kapitalstruktur och kapitalförvaltningsbolagets styrning och drift. Det kan naturligtvis finnas behov av att anpassa några av förslagen i planen till landsspecifika omständigheter.</w:t>
      </w:r>
    </w:p>
    <w:p>
      <w:pPr>
        <w:spacing w:after="240"/>
        <w:jc w:val="both"/>
        <w:rPr>
          <w:rFonts w:ascii="Times New Roman" w:eastAsia="Times New Roman" w:hAnsi="Times New Roman"/>
          <w:noProof/>
          <w:sz w:val="24"/>
          <w:szCs w:val="24"/>
        </w:rPr>
      </w:pPr>
      <w:r>
        <w:rPr>
          <w:rFonts w:ascii="Times New Roman" w:hAnsi="Times New Roman"/>
          <w:noProof/>
          <w:sz w:val="24"/>
        </w:rPr>
        <w:t>Kommissionen noterar att sedan planen tillkännagavs har ingen medlemsstat inlett etablering av kapitalförvaltningsbolag på nationell nivå i enlighet med beskrivningen i planen. Icke desto mindre har informella diskussioner med vissa medlemsstater gett vid handen att sådana företag noggrant övervägs. Under alla omständigheter är det absolut nödvändigt att komma ihåg att ett kapitalförvaltningsbolag endast kan bli framgångsrikt om det vilar på 1) en lämplig rättslig och administrativ ram, tex. vad gäller att underlätta skuldindrivning och tillgång till säkerhet, och 2) sund makroekonomisk politik till stöd för ekonomisk återhämtning. Vidare är det viktigt att erinra om att planen klargör den godtagbara formen för kapitalförvaltningsbolag med ett inslag av statligt stöd (som ska ses som en undantagslösning</w:t>
      </w:r>
      <w:r>
        <w:rPr>
          <w:rStyle w:val="FootnoteReference"/>
          <w:rFonts w:ascii="Times New Roman" w:hAnsi="Times New Roman"/>
          <w:noProof/>
          <w:sz w:val="24"/>
        </w:rPr>
        <w:footnoteReference w:id="19"/>
      </w:r>
      <w:r>
        <w:rPr>
          <w:rFonts w:ascii="Times New Roman" w:hAnsi="Times New Roman"/>
          <w:noProof/>
          <w:sz w:val="24"/>
        </w:rPr>
        <w:t>), i full överensstämmelse med EU:s regelverk, i synnerhet direktivet om återhämtning och resolution av banker, gemensamma resolutionsmekanismen och reglerna om statligt stöd.</w:t>
      </w:r>
    </w:p>
    <w:p>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rPr>
      </w:pPr>
      <w:r>
        <w:rPr>
          <w:rFonts w:ascii="Times New Roman Bold" w:eastAsiaTheme="majorEastAsia" w:hAnsi="Times New Roman Bold" w:cstheme="majorBidi" w:hint="eastAsia"/>
          <w:b/>
          <w:smallCaps/>
          <w:noProof/>
          <w:sz w:val="26"/>
        </w:rPr>
        <w:t>Europeiska transaktionsplattformar för nödlidande lån</w:t>
      </w:r>
    </w:p>
    <w:p>
      <w:pPr>
        <w:spacing w:after="240"/>
        <w:jc w:val="both"/>
        <w:rPr>
          <w:rFonts w:ascii="Times New Roman" w:eastAsia="Times New Roman" w:hAnsi="Times New Roman"/>
          <w:noProof/>
          <w:sz w:val="24"/>
          <w:szCs w:val="24"/>
        </w:rPr>
      </w:pPr>
      <w:r>
        <w:rPr>
          <w:rFonts w:ascii="Times New Roman" w:hAnsi="Times New Roman"/>
          <w:noProof/>
          <w:sz w:val="24"/>
        </w:rPr>
        <w:t>Rådet uppmanade i sin handlingsplan Europeiska centralbanken (ECB), Europeiska bankmyndigheten (EBA) och kommissionen att undersöka möjligheten att inrätta en plattform för transaktioner med nödlidande lån för att stimulera utvecklingen av andrahandsmarknader. I slutet av november 2018 offentliggjordes ett med hjälp av ECB och EBA gemensamt utarbetat arbetsdokument om den potentiella strukturen för sådana plattformar. Det beskriver hur en sådan plattform skulle kunna fungera i praktiken.</w:t>
      </w:r>
    </w:p>
    <w:p>
      <w:pPr>
        <w:spacing w:after="240"/>
        <w:jc w:val="both"/>
        <w:rPr>
          <w:rFonts w:ascii="Times New Roman" w:eastAsia="Times New Roman" w:hAnsi="Times New Roman"/>
          <w:noProof/>
          <w:sz w:val="24"/>
          <w:szCs w:val="24"/>
        </w:rPr>
      </w:pPr>
      <w:r>
        <w:rPr>
          <w:rFonts w:ascii="Times New Roman" w:hAnsi="Times New Roman"/>
          <w:noProof/>
          <w:sz w:val="24"/>
        </w:rPr>
        <w:t>Unionsövergripande transaktionsplattformar för nödlidande lån skulle ha formen av elektroniska marknadsplatser där innehavare av nödlidande lån – banker och andra borgenärer – och intresserade investerare kan handla och utbyta information om handel i portföljer med nödlidande lån</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Sådana plattformar har potential att råda bot på flera av de källor till marknadsstörningar som för närvarande förekommer på andrahandsmarknaden för nödlidande lån, däribland asymmetrisk information mellan säljare och köpare och höga transaktionskostnader. Därmed skulle de kunna underlätta investerarnas tillgång till marknaderna för nödlidande lån och hjälpa bankerna att öka försäljningen av nödlidande lån så att de snabbare kan göra sig av med dem och rensa upp i sina balansräkningar, och till högre försäljningspriser än vad som för närvarande är möjligt. Sådana plattform skulle underlätta hanteringen av de nuvarande volymerna av nödlidande lån och fungera som en kanal för effektiv avveckling av nödlidande lån efterhand som de uppkommer. </w:t>
      </w:r>
      <w:r>
        <w:rPr>
          <w:noProof/>
        </w:rPr>
        <w:t>I detta avseende skulle dessa plattformar vara en viktig, och samtidigt billig, infrastrukturinvestering för att förhindra uppkomsten av framtida stora volymer av nödlidande lån i kreditinstitutens balansräkningar.</w:t>
      </w:r>
    </w:p>
    <w:p>
      <w:pPr>
        <w:spacing w:after="240"/>
        <w:jc w:val="both"/>
        <w:rPr>
          <w:rFonts w:ascii="Times New Roman" w:eastAsia="Times New Roman" w:hAnsi="Times New Roman"/>
          <w:noProof/>
          <w:sz w:val="24"/>
          <w:szCs w:val="24"/>
        </w:rPr>
      </w:pPr>
      <w:r>
        <w:rPr>
          <w:rFonts w:ascii="Times New Roman" w:hAnsi="Times New Roman"/>
          <w:noProof/>
          <w:sz w:val="24"/>
        </w:rPr>
        <w:t>Som en uppföljning av arbetsdokumentet höll kommissionen den 15 januari rundabordssamtal med berörda parter från branschen, EBA och ECB i syfte att snabbt komma igång med arbetet med att skapa unionsomfattande plattformar för nödlidande lån. Detta möte var ett användbart tillfälle för berörda parter att utbyta information och synpunkter. För att göra framsteg i arbetet mot sådana plattformar bör privata aktörer enas om de konkreta formerna för utarbetande och utfärdande av branschstandarder för plattformar för nödlidande lån i Europa. Med detta mål i åtanke fortsätter kommissionen, tillsammans med ECB och EBA, att spela en nyckelroll när det gäller att underlätta konkreta framsteg för framväxten av EU-omfattande plattformar för nödlidande lån. I ett nästa steg kommer kommissionen att anordna en andra rundabordskonferens med berörda parter.</w:t>
      </w:r>
    </w:p>
    <w:p>
      <w:pPr>
        <w:pStyle w:val="Heading1"/>
        <w:spacing w:before="360" w:after="240"/>
        <w:ind w:left="714" w:hanging="357"/>
        <w:rPr>
          <w:noProof/>
        </w:rPr>
      </w:pPr>
      <w:r>
        <w:rPr>
          <w:noProof/>
        </w:rPr>
        <w:t>Slutsatser</w:t>
      </w:r>
    </w:p>
    <w:p>
      <w:pPr>
        <w:spacing w:after="240"/>
        <w:jc w:val="both"/>
        <w:rPr>
          <w:rFonts w:ascii="Times New Roman" w:eastAsia="Times New Roman" w:hAnsi="Times New Roman"/>
          <w:noProof/>
          <w:sz w:val="24"/>
          <w:szCs w:val="24"/>
        </w:rPr>
      </w:pPr>
      <w:r>
        <w:rPr>
          <w:rFonts w:ascii="Times New Roman" w:hAnsi="Times New Roman"/>
          <w:noProof/>
          <w:sz w:val="24"/>
        </w:rPr>
        <w:t xml:space="preserve">Som tydligt framgår av denna lägesrapport fortsätter framstegen med riskminskning i EU:s banksektor, till följd av de goda förutsättningar som skapats under de senaste åren. De betydande och över unionen mer jämt fördelade insatserna för att ta itu med riskerna fortsätter på grundval av ekonomisk tillväxt och relevanta politiska åtgärder. Denna lägesrapport utgör därmed ett viktigt bidrag till Europeiska rådet i juni. </w:t>
      </w:r>
    </w:p>
    <w:p>
      <w:pPr>
        <w:spacing w:after="240"/>
        <w:jc w:val="both"/>
        <w:rPr>
          <w:rFonts w:ascii="Times New Roman" w:eastAsia="Times New Roman" w:hAnsi="Times New Roman"/>
          <w:noProof/>
          <w:sz w:val="24"/>
          <w:szCs w:val="24"/>
        </w:rPr>
      </w:pPr>
      <w:r>
        <w:rPr>
          <w:rFonts w:ascii="Times New Roman" w:hAnsi="Times New Roman"/>
          <w:noProof/>
          <w:sz w:val="24"/>
        </w:rPr>
        <w:t>Såsom beskrivs i denna lägesrapport fortsätter de nödlidande lånen i unionen att minska. Den stabila takt med vilken de minskar bör uppmuntra unionen och medlemsstaterna att fortsätta sina kollektiva strävanden för att på ett övertygande sätt ta itu med resterande volymer av nödlidande lån och förhindra uppbyggnaden av nya i framtiden. Särskilt i vissa medlemsstater är andelen nödlidande lån alltjämt problematisk och förtjänar fortsatt uppmärksamhet.</w:t>
      </w:r>
    </w:p>
    <w:p>
      <w:pPr>
        <w:spacing w:after="240"/>
        <w:jc w:val="both"/>
        <w:rPr>
          <w:rFonts w:ascii="Times New Roman" w:eastAsia="Times New Roman" w:hAnsi="Times New Roman"/>
          <w:noProof/>
          <w:sz w:val="24"/>
          <w:szCs w:val="24"/>
        </w:rPr>
      </w:pPr>
      <w:r>
        <w:rPr>
          <w:rFonts w:ascii="Times New Roman" w:hAnsi="Times New Roman"/>
          <w:noProof/>
          <w:sz w:val="24"/>
        </w:rPr>
        <w:t>Alla delar av den handlingsplan som rådet enades om i juli 2017 har antingen genomförts eller håller på att genomföras. Kommissionen uppmanar alla berörda parter, både på nationell nivå och på EU-nivå, att utan dröjsmål slutföra de kvarvarande pågående åtgärderna.</w:t>
      </w:r>
    </w:p>
    <w:p>
      <w:pPr>
        <w:spacing w:after="240"/>
        <w:jc w:val="both"/>
        <w:rPr>
          <w:rFonts w:ascii="Times New Roman" w:eastAsia="Times New Roman" w:hAnsi="Times New Roman"/>
          <w:noProof/>
          <w:sz w:val="24"/>
          <w:szCs w:val="24"/>
        </w:rPr>
      </w:pPr>
      <w:r>
        <w:rPr>
          <w:rFonts w:ascii="Times New Roman" w:hAnsi="Times New Roman"/>
          <w:noProof/>
          <w:sz w:val="24"/>
        </w:rPr>
        <w:t>Kommissionen uppmanar i synnerhet Europaparlamentet och rådet att snabbt enas om alla delar av det omfattande paket med rättsliga åtgärder som föreslogs i mars 2018 för att ta itu med de nödlidande lånen. Tillsammans med de tydliga framsteg som gjorts för att minska de nödlidande lånen i samarbete med EBA, ECB och Europeiska systemrisknämnden, är detta paket absolut nödvändigt för att stödja det pågående gemensamma arbetet för att minska de kvarvarande riskerna i den europeiska banksektorn, och i synnerhet underlätta fullbordandet av bankunionen.</w:t>
      </w:r>
    </w:p>
    <w:sectPr>
      <w:headerReference w:type="even" r:id="rId20"/>
      <w:headerReference w:type="default" r:id="rId21"/>
      <w:footerReference w:type="even" r:id="rId22"/>
      <w:footerReference w:type="default" r:id="rId23"/>
      <w:headerReference w:type="first" r:id="rId24"/>
      <w:footerReference w:type="first" r:id="rId25"/>
      <w:pgSz w:w="11906" w:h="16838"/>
      <w:pgMar w:top="1588" w:right="1416" w:bottom="1588" w:left="1588"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37873" w16cid:durableId="1F8F2AE6"/>
  <w16cid:commentId w16cid:paraId="7600927D" w16cid:durableId="1F8F2AE7"/>
  <w16cid:commentId w16cid:paraId="0F00C6E4" w16cid:durableId="1F8F2AE8"/>
  <w16cid:commentId w16cid:paraId="2BDAC783" w16cid:durableId="1F8F2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59098"/>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40"/>
      </w:pPr>
      <w:r>
        <w:separator/>
      </w:r>
    </w:p>
  </w:footnote>
  <w:footnote w:type="continuationSeparator" w:id="0">
    <w:p>
      <w:r>
        <w:continuationSeparator/>
      </w:r>
    </w:p>
  </w:footnote>
  <w:footnote w:type="continuationNotice" w:id="1">
    <w:p/>
  </w:footnote>
  <w:footnote w:id="2">
    <w:p>
      <w:pPr>
        <w:pStyle w:val="FootnoteText"/>
        <w:spacing w:before="40"/>
        <w:ind w:left="284" w:hanging="284"/>
        <w:jc w:val="both"/>
        <w:rPr>
          <w:szCs w:val="19"/>
          <w:lang w:val="pt-PT"/>
        </w:rPr>
      </w:pPr>
      <w:r>
        <w:rPr>
          <w:rStyle w:val="FootnoteReference"/>
        </w:rPr>
        <w:footnoteRef/>
      </w:r>
      <w:r>
        <w:t xml:space="preserve"> </w:t>
      </w:r>
      <w:r>
        <w:tab/>
      </w:r>
      <w:hyperlink r:id="rId1">
        <w:r>
          <w:rPr>
            <w:rStyle w:val="Hyperlink"/>
          </w:rPr>
          <w:t>https://www.consilium.europa.eu/sv/press/press-releases/2017/07/11/conclusions-non-performing-loans/</w:t>
        </w:r>
      </w:hyperlink>
    </w:p>
  </w:footnote>
  <w:footnote w:id="3">
    <w:p>
      <w:pPr>
        <w:pStyle w:val="FootnoteText"/>
        <w:spacing w:before="40"/>
        <w:ind w:left="284" w:hanging="284"/>
        <w:jc w:val="both"/>
        <w:rPr>
          <w:sz w:val="20"/>
        </w:rPr>
      </w:pPr>
      <w:r>
        <w:rPr>
          <w:rStyle w:val="FootnoteReference"/>
          <w:sz w:val="20"/>
        </w:rPr>
        <w:footnoteRef/>
      </w:r>
      <w:r>
        <w:rPr>
          <w:sz w:val="20"/>
        </w:rPr>
        <w:t xml:space="preserve"> </w:t>
      </w:r>
      <w:r>
        <w:tab/>
      </w:r>
      <w:r>
        <w:rPr>
          <w:sz w:val="20"/>
        </w:rPr>
        <w:t xml:space="preserve">Se även </w:t>
      </w:r>
      <w:r>
        <w:rPr>
          <w:i/>
          <w:sz w:val="20"/>
        </w:rPr>
        <w:t>Monitoring report on risk reduction indicators</w:t>
      </w:r>
      <w:r>
        <w:rPr>
          <w:sz w:val="20"/>
        </w:rPr>
        <w:t xml:space="preserve"> (ej översatt till svenska): </w:t>
      </w:r>
      <w:hyperlink r:id="rId2">
        <w:r>
          <w:rPr>
            <w:rStyle w:val="Hyperlink"/>
            <w:sz w:val="20"/>
          </w:rPr>
          <w:t>https://www.consilium.europa.eu/media/37029/joint-risk-reduction-monitoring-report-to-eg_november-2018.pdf</w:t>
        </w:r>
      </w:hyperlink>
      <w:r>
        <w:rPr>
          <w:sz w:val="20"/>
        </w:rPr>
        <w:t xml:space="preserve">. </w:t>
      </w:r>
    </w:p>
  </w:footnote>
  <w:footnote w:id="4">
    <w:p>
      <w:pPr>
        <w:pStyle w:val="FootnoteText"/>
        <w:spacing w:before="40"/>
        <w:ind w:left="284" w:hanging="284"/>
        <w:jc w:val="both"/>
        <w:rPr>
          <w:szCs w:val="19"/>
        </w:rPr>
      </w:pPr>
      <w:r>
        <w:rPr>
          <w:rStyle w:val="FootnoteReference"/>
        </w:rPr>
        <w:footnoteRef/>
      </w:r>
      <w:r>
        <w:t xml:space="preserve"> </w:t>
      </w:r>
      <w:r>
        <w:tab/>
        <w:t>Med primärkapitalrelation avses förhållandet mellan en banks kärnprimärkapital – dvs. eget kapital och redovisade reserver – och dess totala riskvägda tillgångar.</w:t>
      </w:r>
    </w:p>
  </w:footnote>
  <w:footnote w:id="5">
    <w:p>
      <w:pPr>
        <w:pStyle w:val="FootnoteText"/>
        <w:ind w:left="284" w:hanging="284"/>
        <w:jc w:val="both"/>
      </w:pPr>
      <w:r>
        <w:rPr>
          <w:rStyle w:val="FootnoteReference"/>
        </w:rPr>
        <w:footnoteRef/>
      </w:r>
      <w:r>
        <w:tab/>
        <w:t>Uppgifterna i detta avsnitt kommer från ECB:s banktillsynsstatistik.</w:t>
      </w:r>
    </w:p>
  </w:footnote>
  <w:footnote w:id="6">
    <w:p>
      <w:pPr>
        <w:pStyle w:val="FootnoteText"/>
        <w:spacing w:before="40"/>
        <w:ind w:left="284" w:hanging="284"/>
        <w:jc w:val="both"/>
        <w:rPr>
          <w:szCs w:val="19"/>
        </w:rPr>
      </w:pPr>
      <w:r>
        <w:rPr>
          <w:rStyle w:val="FootnoteReference"/>
        </w:rPr>
        <w:footnoteRef/>
      </w:r>
      <w:r>
        <w:t xml:space="preserve"> </w:t>
      </w:r>
      <w:r>
        <w:tab/>
        <w:t>Dvs. den helt infasade bruttosoliditetsgraden (primärkapitalet delat med bankens totala tillgångar), som beräknas på ett striktare sätt och som lades fram före 2019, då övergångsfasen upphör. Effekterna av de mindre stränga kraven under övergångsfasen beaktas inte.</w:t>
      </w:r>
    </w:p>
  </w:footnote>
  <w:footnote w:id="7">
    <w:p>
      <w:pPr>
        <w:pStyle w:val="FootnoteText"/>
        <w:spacing w:before="40"/>
        <w:ind w:left="284" w:hanging="284"/>
        <w:jc w:val="both"/>
        <w:rPr>
          <w:szCs w:val="19"/>
        </w:rPr>
      </w:pPr>
      <w:r>
        <w:rPr>
          <w:rStyle w:val="FootnoteReference"/>
        </w:rPr>
        <w:footnoteRef/>
      </w:r>
      <w:r>
        <w:t xml:space="preserve"> </w:t>
      </w:r>
      <w:r>
        <w:tab/>
        <w:t>COM(2017) 592 av den 11 oktober 2017.</w:t>
      </w:r>
    </w:p>
  </w:footnote>
  <w:footnote w:id="8">
    <w:p>
      <w:pPr>
        <w:pStyle w:val="FootnoteText"/>
        <w:spacing w:before="40"/>
        <w:ind w:left="284" w:hanging="284"/>
        <w:jc w:val="both"/>
        <w:rPr>
          <w:szCs w:val="19"/>
        </w:rPr>
      </w:pPr>
      <w:r>
        <w:rPr>
          <w:rStyle w:val="FootnoteReference"/>
        </w:rPr>
        <w:footnoteRef/>
      </w:r>
      <w:r>
        <w:t xml:space="preserve"> </w:t>
      </w:r>
      <w:r>
        <w:tab/>
        <w:t>COM(2018) 133 av den 14 mars 2018.</w:t>
      </w:r>
    </w:p>
  </w:footnote>
  <w:footnote w:id="9">
    <w:p>
      <w:pPr>
        <w:pStyle w:val="FootnoteText"/>
        <w:spacing w:before="40"/>
        <w:ind w:left="284" w:hanging="284"/>
        <w:jc w:val="both"/>
        <w:rPr>
          <w:szCs w:val="19"/>
          <w:lang w:val="pt-PT"/>
        </w:rPr>
      </w:pPr>
      <w:r>
        <w:rPr>
          <w:rStyle w:val="FootnoteReference"/>
        </w:rPr>
        <w:footnoteRef/>
      </w:r>
      <w:r>
        <w:t xml:space="preserve"> </w:t>
      </w:r>
      <w:r>
        <w:tab/>
        <w:t xml:space="preserve">I november 2016 föreslog kommissionen ett betydande lagstiftningspaket för att se över direktivet om inrättande av en ram för återhämtning och resolution av kreditinstitut och värdepappersföretag (BRRD), förordningen om den gemensamma resolutionsmekanismen (SRMR), det fjärde kapitalkravsdirektivet (CRDIV) och kapitalkravsförordningen (CRR). Syftet med detta var att ytterligare minska riskerna inom banksektorn. </w:t>
      </w:r>
      <w:r>
        <w:rPr>
          <w:lang w:val="pt-PT"/>
        </w:rPr>
        <w:t xml:space="preserve">Se </w:t>
      </w:r>
      <w:hyperlink r:id="rId3">
        <w:r>
          <w:rPr>
            <w:rStyle w:val="Hyperlink"/>
            <w:lang w:val="pt-PT"/>
          </w:rPr>
          <w:t>http://europa.eu/rapid/press-release_IP-16-3731_sv.htm</w:t>
        </w:r>
      </w:hyperlink>
      <w:r>
        <w:rPr>
          <w:lang w:val="pt-PT"/>
        </w:rPr>
        <w:t>.</w:t>
      </w:r>
    </w:p>
  </w:footnote>
  <w:footnote w:id="10">
    <w:p>
      <w:pPr>
        <w:pStyle w:val="FootnoteText"/>
        <w:spacing w:before="40"/>
        <w:ind w:left="284" w:hanging="284"/>
        <w:jc w:val="both"/>
        <w:rPr>
          <w:szCs w:val="19"/>
          <w:lang w:val="pt-PT"/>
        </w:rPr>
      </w:pPr>
      <w:r>
        <w:rPr>
          <w:rStyle w:val="FootnoteReference"/>
        </w:rPr>
        <w:footnoteRef/>
      </w:r>
      <w:r>
        <w:rPr>
          <w:lang w:val="pt-PT"/>
        </w:rPr>
        <w:t xml:space="preserve"> </w:t>
      </w:r>
      <w:r>
        <w:rPr>
          <w:lang w:val="pt-PT"/>
        </w:rPr>
        <w:tab/>
        <w:t>COM/2016/0723 - 2016/0359 (COD).</w:t>
      </w:r>
    </w:p>
  </w:footnote>
  <w:footnote w:id="11">
    <w:p>
      <w:pPr>
        <w:pStyle w:val="FootnoteText"/>
        <w:spacing w:before="40"/>
        <w:ind w:left="284" w:hanging="284"/>
        <w:jc w:val="both"/>
        <w:rPr>
          <w:szCs w:val="19"/>
        </w:rPr>
      </w:pPr>
      <w:r>
        <w:rPr>
          <w:rStyle w:val="FootnoteReference"/>
        </w:rPr>
        <w:footnoteRef/>
      </w:r>
      <w:r>
        <w:t xml:space="preserve"> </w:t>
      </w:r>
      <w:r>
        <w:tab/>
        <w:t xml:space="preserve">Denna kvot visar </w:t>
      </w:r>
      <w:r>
        <w:rPr>
          <w:rStyle w:val="ilfuvd"/>
        </w:rPr>
        <w:t xml:space="preserve">omfattningen av de medel en bank har lagt åt sidan för att täcka låneförluster. </w:t>
      </w:r>
      <w:r>
        <w:t>Källa: Europeiska centralbanken. Eftersom det saknas uppgifter om avsättning för lån beräknades reserveringskvoten för EU genom att man beaktade värdeminskningar och nödlidande lån för alla skuldinstrument (lån och räntebärande värdepapper).</w:t>
      </w:r>
    </w:p>
  </w:footnote>
  <w:footnote w:id="12">
    <w:p>
      <w:pPr>
        <w:pStyle w:val="FootnoteText"/>
        <w:ind w:left="284" w:hanging="284"/>
        <w:jc w:val="both"/>
      </w:pPr>
      <w:r>
        <w:rPr>
          <w:rStyle w:val="FootnoteReference"/>
        </w:rPr>
        <w:footnoteRef/>
      </w:r>
      <w:r>
        <w:t xml:space="preserve"> </w:t>
      </w:r>
      <w:r>
        <w:tab/>
        <w:t>Under tiden förväntas andelen nödlidande lån i Portugal ha minskat till under 10 % i slutet av det fjärde kvartalet 4–2018. Det bör också tilläggas att ECB fortfarande håller på att validera dessa kvartalsslutssiffror för alla medlemsstater.</w:t>
      </w:r>
    </w:p>
  </w:footnote>
  <w:footnote w:id="13">
    <w:p>
      <w:pPr>
        <w:pStyle w:val="FootnoteText"/>
        <w:spacing w:before="40"/>
        <w:ind w:left="227" w:hanging="284"/>
        <w:jc w:val="both"/>
        <w:rPr>
          <w:rFonts w:cs="Arial"/>
          <w:szCs w:val="19"/>
        </w:rPr>
      </w:pPr>
      <w:r>
        <w:rPr>
          <w:rStyle w:val="FootnoteReference"/>
        </w:rPr>
        <w:footnoteRef/>
      </w:r>
      <w:r>
        <w:t xml:space="preserve"> </w:t>
      </w:r>
      <w:r>
        <w:tab/>
        <w:t xml:space="preserve"> </w:t>
      </w:r>
      <w:r>
        <w:rPr>
          <w:i/>
        </w:rPr>
        <w:t xml:space="preserve">Anmärkningar: </w:t>
      </w:r>
      <w:r>
        <w:t xml:space="preserve">Siffrorna motsvarar inhemska kreditinstitut och utlandskontrollerade dotterföretag och filialer. </w:t>
      </w:r>
    </w:p>
    <w:p>
      <w:pPr>
        <w:pStyle w:val="FootnoteText"/>
        <w:spacing w:before="40"/>
        <w:ind w:left="227" w:firstLine="0"/>
        <w:jc w:val="both"/>
        <w:rPr>
          <w:rFonts w:cs="Arial"/>
          <w:szCs w:val="19"/>
          <w:highlight w:val="yellow"/>
        </w:rPr>
      </w:pPr>
      <w:r>
        <w:t xml:space="preserve">* </w:t>
      </w:r>
      <w:r>
        <w:tab/>
        <w:t>Sektorspecifika uppgifter för EU, Malta (tredje kvartalet 2018) och Spanien (tredje kvartalet 2017) finns inte tillgängliga. Sektorspecifika uppgifter (dvs. sammanlagda exponeringar mot hushåll och icke-finansiella företag) för Bulgarien, Tyskland och Ungern finns endast tillgängliga i form av redovisat värde.</w:t>
      </w:r>
    </w:p>
    <w:p>
      <w:pPr>
        <w:pStyle w:val="FootnoteText"/>
        <w:spacing w:before="40"/>
        <w:ind w:left="227" w:firstLine="0"/>
        <w:jc w:val="both"/>
        <w:rPr>
          <w:rFonts w:cs="Arial"/>
          <w:szCs w:val="19"/>
        </w:rPr>
      </w:pPr>
      <w:r>
        <w:t>** Uppgifter om avsättningar för lån saknas för Bulgarien, Tyskland, Spanien (med undantag av andra kvartalet 2018), Ungern och EU. I dessa fall baseras siffrorna på värdeminskningar för alla skuldinstrument (dvs. lån och räntebärande värdepapper).</w:t>
      </w:r>
    </w:p>
  </w:footnote>
  <w:footnote w:id="14">
    <w:p>
      <w:pPr>
        <w:pStyle w:val="FootnoteText"/>
        <w:spacing w:before="40"/>
        <w:ind w:left="284" w:hanging="284"/>
        <w:jc w:val="both"/>
        <w:rPr>
          <w:szCs w:val="19"/>
        </w:rPr>
      </w:pPr>
      <w:r>
        <w:rPr>
          <w:rStyle w:val="FootnoteReference"/>
        </w:rPr>
        <w:footnoteRef/>
      </w:r>
      <w:r>
        <w:t xml:space="preserve"> </w:t>
      </w:r>
      <w:r>
        <w:tab/>
        <w:t>Källa: Europeiska centralbanken</w:t>
      </w:r>
    </w:p>
  </w:footnote>
  <w:footnote w:id="15">
    <w:p>
      <w:pPr>
        <w:pStyle w:val="FootnoteText"/>
        <w:spacing w:before="40"/>
        <w:ind w:left="284" w:hanging="284"/>
        <w:jc w:val="both"/>
        <w:rPr>
          <w:szCs w:val="19"/>
        </w:rPr>
      </w:pPr>
      <w:r>
        <w:rPr>
          <w:rStyle w:val="FootnoteReference"/>
        </w:rPr>
        <w:footnoteRef/>
      </w:r>
      <w:r>
        <w:t xml:space="preserve"> </w:t>
      </w:r>
      <w:r>
        <w:tab/>
        <w:t>Europaparlamentets och rådets förordning (EU) nr 575/2013 av den 26 juni 2013 om tillsynskrav för kreditinstitut och värdepappersföretag och om ändring av förordning (EU) nr 648/2012.</w:t>
      </w:r>
    </w:p>
  </w:footnote>
  <w:footnote w:id="16">
    <w:p>
      <w:pPr>
        <w:pStyle w:val="FootnoteText"/>
        <w:ind w:left="284" w:hanging="284"/>
        <w:jc w:val="both"/>
      </w:pPr>
      <w:r>
        <w:rPr>
          <w:rStyle w:val="FootnoteReference"/>
        </w:rPr>
        <w:footnoteRef/>
      </w:r>
      <w:r>
        <w:t xml:space="preserve"> </w:t>
      </w:r>
      <w:r>
        <w:tab/>
        <w:t>Europaparlamentets och rådets förordning (EU) 2019/630 av den 17 april 2019 om ändring av förordning (EU) nr 575/2013 vad gäller minsta förlusttäckning för nödlidande exponeringar.</w:t>
      </w:r>
    </w:p>
  </w:footnote>
  <w:footnote w:id="17">
    <w:p>
      <w:pPr>
        <w:pStyle w:val="FootnoteText"/>
        <w:ind w:left="284" w:hanging="284"/>
        <w:jc w:val="both"/>
      </w:pPr>
      <w:r>
        <w:rPr>
          <w:rStyle w:val="FootnoteReference"/>
        </w:rPr>
        <w:footnoteRef/>
      </w:r>
      <w:r>
        <w:t xml:space="preserve"> </w:t>
      </w:r>
      <w:r>
        <w:tab/>
        <w:t>COM/2018/0135 final - 2018/063 (COD).</w:t>
      </w:r>
    </w:p>
  </w:footnote>
  <w:footnote w:id="18">
    <w:p>
      <w:pPr>
        <w:pStyle w:val="FootnoteText"/>
        <w:ind w:left="284" w:hanging="284"/>
        <w:jc w:val="both"/>
      </w:pPr>
      <w:r>
        <w:rPr>
          <w:rStyle w:val="FootnoteReference"/>
        </w:rPr>
        <w:footnoteRef/>
      </w:r>
      <w:r>
        <w:t xml:space="preserve"> </w:t>
      </w:r>
      <w:r>
        <w:tab/>
        <w:t>Utöver bankerna skulle även de aspekter av förslaget som är tillämpliga på kreditförvärvare och kreditförvaltare förstärka varandra.</w:t>
      </w:r>
    </w:p>
  </w:footnote>
  <w:footnote w:id="19">
    <w:p>
      <w:pPr>
        <w:pStyle w:val="FootnoteText"/>
        <w:spacing w:before="40"/>
        <w:ind w:left="284" w:hanging="284"/>
        <w:jc w:val="both"/>
      </w:pPr>
      <w:r>
        <w:rPr>
          <w:rStyle w:val="FootnoteReference"/>
        </w:rPr>
        <w:footnoteRef/>
      </w:r>
      <w:r>
        <w:t xml:space="preserve"> </w:t>
      </w:r>
      <w:r>
        <w:tab/>
        <w:t>Kapitalförvaltningsbolag kan vara privata eller (delvis) offentligt understödda utan behov av statligt stöd, om staten kan anses agera som vilken annan ekonomisk aktör som helst. Alternativet med ett kapitalförvaltningsbolag som omfattar statligt stöd bör därför inte ses som en standardlösning. I detta avseende innehåller planen också beskrivningar av vissa alternativa åtgärder för att hantera värdeminskade tillgångar som inte utgör statligt stöd, såsom marknadsförenliga statliga garantier som möjliggör värdepapperisering av nödlidande lån.</w:t>
      </w:r>
    </w:p>
  </w:footnote>
  <w:footnote w:id="20">
    <w:p>
      <w:pPr>
        <w:pStyle w:val="FootnoteText"/>
        <w:ind w:left="284" w:hanging="284"/>
        <w:jc w:val="both"/>
      </w:pPr>
      <w:r>
        <w:rPr>
          <w:rStyle w:val="FootnoteReference"/>
        </w:rPr>
        <w:footnoteRef/>
      </w:r>
      <w:r>
        <w:t xml:space="preserve"> </w:t>
      </w:r>
      <w:r>
        <w:tab/>
        <w:t>I den mån plattformarna behandlar personuppgifter måste de fullt ut efterleva den allmänna dataskyddsförordningen. I synnerhet skulle plattformarnas utformning och funktion behöva preciseras i detalj för att säkerställa full överensstämmelse med den allmänna dataskyddsförordningen.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67B"/>
    <w:multiLevelType w:val="hybridMultilevel"/>
    <w:tmpl w:val="066CD0B2"/>
    <w:lvl w:ilvl="0" w:tplc="0809000F">
      <w:start w:val="1"/>
      <w:numFmt w:val="decimal"/>
      <w:lvlText w:val="%1."/>
      <w:lvlJc w:val="left"/>
      <w:pPr>
        <w:ind w:left="744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85CD0"/>
    <w:multiLevelType w:val="hybridMultilevel"/>
    <w:tmpl w:val="4C48C3DC"/>
    <w:lvl w:ilvl="0" w:tplc="D80016DC">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nsid w:val="1A101BF9"/>
    <w:multiLevelType w:val="hybridMultilevel"/>
    <w:tmpl w:val="7430C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94B73"/>
    <w:multiLevelType w:val="hybridMultilevel"/>
    <w:tmpl w:val="7EA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5056C8"/>
    <w:multiLevelType w:val="multilevel"/>
    <w:tmpl w:val="175430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994394"/>
    <w:multiLevelType w:val="hybridMultilevel"/>
    <w:tmpl w:val="8E8E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56F32FA"/>
    <w:multiLevelType w:val="hybridMultilevel"/>
    <w:tmpl w:val="BC2A4F7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nsid w:val="38DA32FE"/>
    <w:multiLevelType w:val="hybridMultilevel"/>
    <w:tmpl w:val="052CD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E45CAB"/>
    <w:multiLevelType w:val="hybridMultilevel"/>
    <w:tmpl w:val="AC2A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363A4C"/>
    <w:multiLevelType w:val="hybridMultilevel"/>
    <w:tmpl w:val="1890CB2A"/>
    <w:lvl w:ilvl="0" w:tplc="08090001">
      <w:start w:val="1"/>
      <w:numFmt w:val="bullet"/>
      <w:lvlText w:val=""/>
      <w:lvlJc w:val="left"/>
      <w:pPr>
        <w:ind w:left="1287" w:hanging="360"/>
      </w:pPr>
      <w:rPr>
        <w:rFonts w:ascii="Symbol" w:hAnsi="Symbol" w:hint="default"/>
      </w:rPr>
    </w:lvl>
    <w:lvl w:ilvl="1" w:tplc="9FCCEAE8">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1F84CD0"/>
    <w:multiLevelType w:val="hybridMultilevel"/>
    <w:tmpl w:val="5C9E9754"/>
    <w:lvl w:ilvl="0" w:tplc="08090001">
      <w:start w:val="1"/>
      <w:numFmt w:val="bullet"/>
      <w:lvlText w:val=""/>
      <w:lvlJc w:val="left"/>
      <w:pPr>
        <w:ind w:left="720" w:hanging="360"/>
      </w:pPr>
      <w:rPr>
        <w:rFonts w:ascii="Symbol" w:hAnsi="Symbol" w:hint="default"/>
      </w:rPr>
    </w:lvl>
    <w:lvl w:ilvl="1" w:tplc="133A08F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37374A"/>
    <w:multiLevelType w:val="hybridMultilevel"/>
    <w:tmpl w:val="A6BE6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FD873B3"/>
    <w:multiLevelType w:val="hybridMultilevel"/>
    <w:tmpl w:val="BDDAC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7BB0542E"/>
    <w:multiLevelType w:val="hybridMultilevel"/>
    <w:tmpl w:val="5B043F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F622887"/>
    <w:multiLevelType w:val="multilevel"/>
    <w:tmpl w:val="5FF6BB10"/>
    <w:lvl w:ilvl="0">
      <w:start w:val="1"/>
      <w:numFmt w:val="decimal"/>
      <w:pStyle w:val="Heading1"/>
      <w:lvlText w:val="%1."/>
      <w:lvlJc w:val="left"/>
      <w:pPr>
        <w:ind w:left="502" w:hanging="360"/>
      </w:pPr>
    </w:lvl>
    <w:lvl w:ilvl="1">
      <w:start w:val="1"/>
      <w:numFmt w:val="decimal"/>
      <w:pStyle w:val="Heading2"/>
      <w:isLgl/>
      <w:lvlText w:val="%1.%2."/>
      <w:lvlJc w:val="left"/>
      <w:pPr>
        <w:ind w:left="862" w:hanging="720"/>
      </w:pPr>
      <w:rPr>
        <w:rFonts w:eastAsia="Times New Roman" w:hint="default"/>
      </w:rPr>
    </w:lvl>
    <w:lvl w:ilvl="2">
      <w:start w:val="1"/>
      <w:numFmt w:val="decimal"/>
      <w:isLgl/>
      <w:lvlText w:val="%1.%2.%3."/>
      <w:lvlJc w:val="left"/>
      <w:pPr>
        <w:ind w:left="862" w:hanging="720"/>
      </w:pPr>
      <w:rPr>
        <w:rFonts w:eastAsia="Times New Roman" w:hint="default"/>
      </w:rPr>
    </w:lvl>
    <w:lvl w:ilvl="3">
      <w:start w:val="1"/>
      <w:numFmt w:val="decimal"/>
      <w:isLgl/>
      <w:lvlText w:val="%1.%2.%3.%4."/>
      <w:lvlJc w:val="left"/>
      <w:pPr>
        <w:ind w:left="1222" w:hanging="108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582" w:hanging="1440"/>
      </w:pPr>
      <w:rPr>
        <w:rFonts w:eastAsia="Times New Roman" w:hint="default"/>
      </w:rPr>
    </w:lvl>
    <w:lvl w:ilvl="6">
      <w:start w:val="1"/>
      <w:numFmt w:val="decimal"/>
      <w:isLgl/>
      <w:lvlText w:val="%1.%2.%3.%4.%5.%6.%7."/>
      <w:lvlJc w:val="left"/>
      <w:pPr>
        <w:ind w:left="1582" w:hanging="1440"/>
      </w:pPr>
      <w:rPr>
        <w:rFonts w:eastAsia="Times New Roman" w:hint="default"/>
      </w:rPr>
    </w:lvl>
    <w:lvl w:ilvl="7">
      <w:start w:val="1"/>
      <w:numFmt w:val="decimal"/>
      <w:isLgl/>
      <w:lvlText w:val="%1.%2.%3.%4.%5.%6.%7.%8."/>
      <w:lvlJc w:val="left"/>
      <w:pPr>
        <w:ind w:left="1942" w:hanging="1800"/>
      </w:pPr>
      <w:rPr>
        <w:rFonts w:eastAsia="Times New Roman" w:hint="default"/>
      </w:rPr>
    </w:lvl>
    <w:lvl w:ilvl="8">
      <w:start w:val="1"/>
      <w:numFmt w:val="decimal"/>
      <w:isLgl/>
      <w:lvlText w:val="%1.%2.%3.%4.%5.%6.%7.%8.%9."/>
      <w:lvlJc w:val="left"/>
      <w:pPr>
        <w:ind w:left="1942"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5"/>
  </w:num>
  <w:num w:numId="5">
    <w:abstractNumId w:val="8"/>
  </w:num>
  <w:num w:numId="6">
    <w:abstractNumId w:val="11"/>
  </w:num>
  <w:num w:numId="7">
    <w:abstractNumId w:val="10"/>
  </w:num>
  <w:num w:numId="8">
    <w:abstractNumId w:val="13"/>
  </w:num>
  <w:num w:numId="9">
    <w:abstractNumId w:val="3"/>
  </w:num>
  <w:num w:numId="10">
    <w:abstractNumId w:val="15"/>
  </w:num>
  <w:num w:numId="11">
    <w:abstractNumId w:val="1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5"/>
  </w:num>
  <w:num w:numId="21">
    <w:abstractNumId w:val="15"/>
  </w:num>
  <w:num w:numId="22">
    <w:abstractNumId w:val="15"/>
  </w:num>
  <w:num w:numId="23">
    <w:abstractNumId w:val="15"/>
  </w:num>
  <w:num w:numId="24">
    <w:abstractNumId w:val="9"/>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
  </w:num>
  <w:num w:numId="29">
    <w:abstractNumId w:val="15"/>
  </w:num>
  <w:num w:numId="30">
    <w:abstractNumId w:val="15"/>
  </w:num>
  <w:num w:numId="31">
    <w:abstractNumId w:val="15"/>
  </w:num>
  <w:num w:numId="32">
    <w:abstractNumId w:val="15"/>
  </w:num>
  <w:num w:numId="33">
    <w:abstractNumId w:val="14"/>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6F4337B-A56E-40E5-8A7B-A2DDA8BEB455"/>
    <w:docVar w:name="LW_COVERPAGE_TYPE" w:val="1"/>
    <w:docVar w:name="LW_CROSSREFERENCE" w:val="&lt;UNUSED&gt;"/>
    <w:docVar w:name="LW_DocType" w:val="NORMAL"/>
    <w:docVar w:name="LW_EMISSION" w:val="12.6.2019"/>
    <w:docVar w:name="LW_EMISSION_ISODATE" w:val="2019-06-12"/>
    <w:docVar w:name="LW_EMISSION_LOCATION" w:val="BRX"/>
    <w:docVar w:name="LW_EMISSION_PREFIX" w:val="Bryssel den "/>
    <w:docVar w:name="LW_EMISSION_SUFFIX" w:val=" "/>
    <w:docVar w:name="LW_ID_DOCTYPE_NONLW" w:val="CP-009"/>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2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Fjärde lägesrapporten om minskning av nödlidande lån och ytterligare riskminskning i bankunionen"/>
    <w:docVar w:name="LW_TYPE.DOC.CP" w:val="MEDDELANDE FRÅN KOMMISSIONEN"/>
    <w:docVar w:name="LW_TYPE.DOC.CP.USERTEXT" w:val="TILL EUROPAPARLAMENTET, EUROPEISKA RÅDET, RÅDET OCH EUROPEISKA CENTRALBANKE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sv-S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sv-SE"/>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sv-SE"/>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sv-SE"/>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sv-SE"/>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sv-SE"/>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sv-SE"/>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sv-S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sv-SE"/>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sv-SE"/>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sv-S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sv-SE"/>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sv-SE"/>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sv-SE"/>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sv-SE"/>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sv-SE"/>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sv-SE"/>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sv-S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sv-SE"/>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sv-SE"/>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1132">
      <w:bodyDiv w:val="1"/>
      <w:marLeft w:val="0"/>
      <w:marRight w:val="0"/>
      <w:marTop w:val="0"/>
      <w:marBottom w:val="0"/>
      <w:divBdr>
        <w:top w:val="none" w:sz="0" w:space="0" w:color="auto"/>
        <w:left w:val="none" w:sz="0" w:space="0" w:color="auto"/>
        <w:bottom w:val="none" w:sz="0" w:space="0" w:color="auto"/>
        <w:right w:val="none" w:sz="0" w:space="0" w:color="auto"/>
      </w:divBdr>
    </w:div>
    <w:div w:id="176694446">
      <w:bodyDiv w:val="1"/>
      <w:marLeft w:val="0"/>
      <w:marRight w:val="0"/>
      <w:marTop w:val="0"/>
      <w:marBottom w:val="0"/>
      <w:divBdr>
        <w:top w:val="none" w:sz="0" w:space="0" w:color="auto"/>
        <w:left w:val="none" w:sz="0" w:space="0" w:color="auto"/>
        <w:bottom w:val="none" w:sz="0" w:space="0" w:color="auto"/>
        <w:right w:val="none" w:sz="0" w:space="0" w:color="auto"/>
      </w:divBdr>
    </w:div>
    <w:div w:id="364644512">
      <w:bodyDiv w:val="1"/>
      <w:marLeft w:val="0"/>
      <w:marRight w:val="0"/>
      <w:marTop w:val="0"/>
      <w:marBottom w:val="0"/>
      <w:divBdr>
        <w:top w:val="none" w:sz="0" w:space="0" w:color="auto"/>
        <w:left w:val="none" w:sz="0" w:space="0" w:color="auto"/>
        <w:bottom w:val="none" w:sz="0" w:space="0" w:color="auto"/>
        <w:right w:val="none" w:sz="0" w:space="0" w:color="auto"/>
      </w:divBdr>
    </w:div>
    <w:div w:id="464086752">
      <w:bodyDiv w:val="1"/>
      <w:marLeft w:val="0"/>
      <w:marRight w:val="0"/>
      <w:marTop w:val="0"/>
      <w:marBottom w:val="0"/>
      <w:divBdr>
        <w:top w:val="none" w:sz="0" w:space="0" w:color="auto"/>
        <w:left w:val="none" w:sz="0" w:space="0" w:color="auto"/>
        <w:bottom w:val="none" w:sz="0" w:space="0" w:color="auto"/>
        <w:right w:val="none" w:sz="0" w:space="0" w:color="auto"/>
      </w:divBdr>
    </w:div>
    <w:div w:id="929238256">
      <w:bodyDiv w:val="1"/>
      <w:marLeft w:val="0"/>
      <w:marRight w:val="0"/>
      <w:marTop w:val="0"/>
      <w:marBottom w:val="0"/>
      <w:divBdr>
        <w:top w:val="none" w:sz="0" w:space="0" w:color="auto"/>
        <w:left w:val="none" w:sz="0" w:space="0" w:color="auto"/>
        <w:bottom w:val="none" w:sz="0" w:space="0" w:color="auto"/>
        <w:right w:val="none" w:sz="0" w:space="0" w:color="auto"/>
      </w:divBdr>
    </w:div>
    <w:div w:id="1003162112">
      <w:bodyDiv w:val="1"/>
      <w:marLeft w:val="0"/>
      <w:marRight w:val="0"/>
      <w:marTop w:val="0"/>
      <w:marBottom w:val="0"/>
      <w:divBdr>
        <w:top w:val="none" w:sz="0" w:space="0" w:color="auto"/>
        <w:left w:val="none" w:sz="0" w:space="0" w:color="auto"/>
        <w:bottom w:val="none" w:sz="0" w:space="0" w:color="auto"/>
        <w:right w:val="none" w:sz="0" w:space="0" w:color="auto"/>
      </w:divBdr>
    </w:div>
    <w:div w:id="1031877813">
      <w:bodyDiv w:val="1"/>
      <w:marLeft w:val="0"/>
      <w:marRight w:val="0"/>
      <w:marTop w:val="0"/>
      <w:marBottom w:val="0"/>
      <w:divBdr>
        <w:top w:val="none" w:sz="0" w:space="0" w:color="auto"/>
        <w:left w:val="none" w:sz="0" w:space="0" w:color="auto"/>
        <w:bottom w:val="none" w:sz="0" w:space="0" w:color="auto"/>
        <w:right w:val="none" w:sz="0" w:space="0" w:color="auto"/>
      </w:divBdr>
    </w:div>
    <w:div w:id="1133713286">
      <w:bodyDiv w:val="1"/>
      <w:marLeft w:val="0"/>
      <w:marRight w:val="0"/>
      <w:marTop w:val="0"/>
      <w:marBottom w:val="0"/>
      <w:divBdr>
        <w:top w:val="none" w:sz="0" w:space="0" w:color="auto"/>
        <w:left w:val="none" w:sz="0" w:space="0" w:color="auto"/>
        <w:bottom w:val="none" w:sz="0" w:space="0" w:color="auto"/>
        <w:right w:val="none" w:sz="0" w:space="0" w:color="auto"/>
      </w:divBdr>
    </w:div>
    <w:div w:id="1192845247">
      <w:bodyDiv w:val="1"/>
      <w:marLeft w:val="0"/>
      <w:marRight w:val="0"/>
      <w:marTop w:val="0"/>
      <w:marBottom w:val="0"/>
      <w:divBdr>
        <w:top w:val="none" w:sz="0" w:space="0" w:color="auto"/>
        <w:left w:val="none" w:sz="0" w:space="0" w:color="auto"/>
        <w:bottom w:val="none" w:sz="0" w:space="0" w:color="auto"/>
        <w:right w:val="none" w:sz="0" w:space="0" w:color="auto"/>
      </w:divBdr>
    </w:div>
    <w:div w:id="1289967192">
      <w:bodyDiv w:val="1"/>
      <w:marLeft w:val="0"/>
      <w:marRight w:val="0"/>
      <w:marTop w:val="0"/>
      <w:marBottom w:val="0"/>
      <w:divBdr>
        <w:top w:val="none" w:sz="0" w:space="0" w:color="auto"/>
        <w:left w:val="none" w:sz="0" w:space="0" w:color="auto"/>
        <w:bottom w:val="none" w:sz="0" w:space="0" w:color="auto"/>
        <w:right w:val="none" w:sz="0" w:space="0" w:color="auto"/>
      </w:divBdr>
    </w:div>
    <w:div w:id="1398015266">
      <w:bodyDiv w:val="1"/>
      <w:marLeft w:val="0"/>
      <w:marRight w:val="0"/>
      <w:marTop w:val="0"/>
      <w:marBottom w:val="0"/>
      <w:divBdr>
        <w:top w:val="none" w:sz="0" w:space="0" w:color="auto"/>
        <w:left w:val="none" w:sz="0" w:space="0" w:color="auto"/>
        <w:bottom w:val="none" w:sz="0" w:space="0" w:color="auto"/>
        <w:right w:val="none" w:sz="0" w:space="0" w:color="auto"/>
      </w:divBdr>
    </w:div>
    <w:div w:id="17268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IP-16-3731_sv.htm" TargetMode="External"/><Relationship Id="rId2" Type="http://schemas.openxmlformats.org/officeDocument/2006/relationships/hyperlink" Target="https://www.consilium.europa.eu/media/37029/joint-risk-reduction-monitoring-report-to-eg_november-2018.pdf" TargetMode="External"/><Relationship Id="rId1" Type="http://schemas.openxmlformats.org/officeDocument/2006/relationships/hyperlink" Target="https://www.consilium.europa.eu/sv/press/press-releases/2017/07/11/conclusions-non-performing-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C8E4-B2B4-47D6-A8FF-4E1DF2FB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3498</Words>
  <Characters>21268</Characters>
  <Application>Microsoft Office Word</Application>
  <DocSecurity>0</DocSecurity>
  <Lines>317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2019-06-12T14:28:00Z</dcterms:created>
  <dcterms:modified xsi:type="dcterms:W3CDTF">2019-06-19T11:21:00Z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Green</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