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C3993D7-239B-449E-AA73-6DB9BCD62344" style="width:450.75pt;height:43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szCs w:val="24"/>
        </w:rPr>
      </w:pPr>
      <w:r>
        <w:rPr>
          <w:noProof/>
          <w:szCs w:val="24"/>
        </w:rPr>
        <w:t>On 13 December 2018, the General Court delivered a judgment in the Direct Actions T-339/16 (</w:t>
      </w:r>
      <w:r>
        <w:rPr>
          <w:i/>
          <w:noProof/>
          <w:szCs w:val="24"/>
        </w:rPr>
        <w:t>Ville de Paris/Commission</w:t>
      </w:r>
      <w:r>
        <w:rPr>
          <w:noProof/>
          <w:szCs w:val="24"/>
        </w:rPr>
        <w:t>), T-352/16 (</w:t>
      </w:r>
      <w:r>
        <w:rPr>
          <w:i/>
          <w:noProof/>
          <w:szCs w:val="24"/>
        </w:rPr>
        <w:t>Ville de Bruxelles/Commission</w:t>
      </w:r>
      <w:r>
        <w:rPr>
          <w:noProof/>
          <w:szCs w:val="24"/>
        </w:rPr>
        <w:t>) and T-391/16 (</w:t>
      </w:r>
      <w:r>
        <w:rPr>
          <w:i/>
          <w:noProof/>
          <w:szCs w:val="24"/>
        </w:rPr>
        <w:t>Ayuntamiento de Madrid/Commission</w:t>
      </w:r>
      <w:r>
        <w:rPr>
          <w:noProof/>
          <w:szCs w:val="24"/>
        </w:rPr>
        <w:t>) submitted against Commission Regulation (EU) 2016/646 amending Commission Regulation (EC) No 692/2008 as regards emissions from light passenger and commercial vehicles (Euro 6)</w:t>
      </w:r>
      <w:r>
        <w:rPr>
          <w:rStyle w:val="FootnoteReference"/>
          <w:noProof/>
          <w:szCs w:val="24"/>
        </w:rPr>
        <w:footnoteReference w:id="2"/>
      </w:r>
      <w:r>
        <w:rPr>
          <w:noProof/>
          <w:szCs w:val="24"/>
        </w:rPr>
        <w:t>. Regulation (EU) 2016/646 set out the conformity factors used to assess compliance of the vehicle with the emission limits while performing a Real Driving Emissions (RDE) test. The contested conformity factors were used to progressively reduce the discrepancy between emissions measured in real driving and those measured in a laboratory.</w:t>
      </w:r>
    </w:p>
    <w:p>
      <w:pPr>
        <w:rPr>
          <w:noProof/>
          <w:szCs w:val="24"/>
        </w:rPr>
      </w:pPr>
      <w:r>
        <w:rPr>
          <w:noProof/>
          <w:szCs w:val="24"/>
        </w:rPr>
        <w:t>The Court does not rule on the technical necessity of the conformity factors. It finds that the Regulation (EU) 2016/646 'de facto' modifies the limit of 80mg/km set by Regulation (EU) 715/2007 by allowing for a higher level of emissions in real-driving emission tests than when measuring emissions under laboratory conditions. The Court finds that only the legislator itself could have introduced the conformity factors as it touches upon an essential element of a legislative act (Regulation (EC) No 715/2007</w:t>
      </w:r>
      <w:r>
        <w:rPr>
          <w:rStyle w:val="FootnoteReference"/>
          <w:noProof/>
          <w:szCs w:val="24"/>
        </w:rPr>
        <w:footnoteReference w:id="3"/>
      </w:r>
      <w:r>
        <w:rPr>
          <w:noProof/>
          <w:szCs w:val="24"/>
        </w:rPr>
        <w:t xml:space="preserve">). The Court has therefore annulled the part of Regulation (EU) 2016/646, which established the conformity factors. </w:t>
      </w:r>
    </w:p>
    <w:p>
      <w:pPr>
        <w:rPr>
          <w:noProof/>
          <w:szCs w:val="24"/>
        </w:rPr>
      </w:pPr>
      <w:r>
        <w:rPr>
          <w:noProof/>
          <w:szCs w:val="24"/>
        </w:rPr>
        <w:t>The annulment is of a partial nature. The RDE test procedure as established by Commission Regulation (EU) 2016/427</w:t>
      </w:r>
      <w:r>
        <w:rPr>
          <w:rStyle w:val="FootnoteReference"/>
          <w:noProof/>
          <w:szCs w:val="24"/>
        </w:rPr>
        <w:footnoteReference w:id="4"/>
      </w:r>
      <w:r>
        <w:rPr>
          <w:noProof/>
          <w:szCs w:val="24"/>
        </w:rPr>
        <w:t xml:space="preserve"> and further amended by Commission Regulations (EU) 2016/646</w:t>
      </w:r>
      <w:r>
        <w:rPr>
          <w:rStyle w:val="FootnoteReference"/>
          <w:noProof/>
          <w:szCs w:val="24"/>
        </w:rPr>
        <w:footnoteReference w:id="5"/>
      </w:r>
      <w:r>
        <w:rPr>
          <w:noProof/>
          <w:szCs w:val="24"/>
        </w:rPr>
        <w:t>, 2017/1154</w:t>
      </w:r>
      <w:r>
        <w:rPr>
          <w:rStyle w:val="FootnoteReference"/>
          <w:noProof/>
          <w:szCs w:val="24"/>
        </w:rPr>
        <w:footnoteReference w:id="6"/>
      </w:r>
      <w:r>
        <w:rPr>
          <w:noProof/>
          <w:szCs w:val="24"/>
        </w:rPr>
        <w:t xml:space="preserve"> and 2018/1832</w:t>
      </w:r>
      <w:r>
        <w:rPr>
          <w:rStyle w:val="FootnoteReference"/>
          <w:noProof/>
          <w:szCs w:val="24"/>
        </w:rPr>
        <w:footnoteReference w:id="7"/>
      </w:r>
      <w:r>
        <w:rPr>
          <w:noProof/>
          <w:szCs w:val="24"/>
        </w:rPr>
        <w:t xml:space="preserve"> therefore remains in force and must still be conducted at type-approval. </w:t>
      </w:r>
    </w:p>
    <w:p>
      <w:pPr>
        <w:rPr>
          <w:noProof/>
          <w:szCs w:val="24"/>
        </w:rPr>
      </w:pPr>
      <w:r>
        <w:rPr>
          <w:noProof/>
          <w:szCs w:val="24"/>
        </w:rPr>
        <w:t xml:space="preserve">The need to adopt the current proposal results directly from the Judgement of the General Court judgment in Direct Actions T-339/16, T-352/16 and T-391/16 and its swift adoption is vital in order to avoid legal uncertainty on the type approvals already granted since 1 </w:t>
      </w:r>
      <w:r>
        <w:rPr>
          <w:noProof/>
          <w:szCs w:val="24"/>
        </w:rPr>
        <w:lastRenderedPageBreak/>
        <w:t>September 2017, as well as on the future type-approvals. In fact, it is fundamental that economic operators have clarity on the applicable rules as soon as possible and in any case until the judgement takes effect, on 23 February 2020. To minimize the possible risk of legal uncertainty, the time in Article 3 has been set to three days.</w:t>
      </w:r>
    </w:p>
    <w:p>
      <w:pPr>
        <w:rPr>
          <w:noProof/>
          <w:szCs w:val="24"/>
        </w:rPr>
      </w:pPr>
      <w:r>
        <w:rPr>
          <w:noProof/>
          <w:szCs w:val="24"/>
        </w:rPr>
        <w:t>To avoid legal uncertainty on the type approvals already granted since 1 September 2017, the General Court delays the effects of the annulment by a maximum period of 12 months, (i.e. 23 February 2020) to give time to the Commission to implement the judgment.</w:t>
      </w:r>
    </w:p>
    <w:p>
      <w:pPr>
        <w:rPr>
          <w:noProof/>
          <w:szCs w:val="24"/>
        </w:rPr>
      </w:pPr>
      <w:r>
        <w:rPr>
          <w:noProof/>
          <w:szCs w:val="24"/>
        </w:rPr>
        <w:t xml:space="preserve">In the meantime, and to avoid an undue burden for the manufacturers that already designed their vehicles taking into account the RDE procedure adopted earlier the Commission has decided to propose to the European Parliament and to the Council to re-instate the previously adopted conformity factors. </w:t>
      </w:r>
    </w:p>
    <w:p>
      <w:pPr>
        <w:rPr>
          <w:noProof/>
          <w:szCs w:val="24"/>
        </w:rPr>
      </w:pPr>
      <w:r>
        <w:rPr>
          <w:noProof/>
          <w:szCs w:val="24"/>
        </w:rPr>
        <w:t xml:space="preserve">In addition, the Commission also proposes that the legislator empowers the Commission to annually review downwards the conformity factors set out by the legislator, in order to reflect the progress in accuracy of the portable measuring equipment. This will allow to gradually reduce even further the emissions of nitrogen oxides (NOx) under real driving. </w:t>
      </w:r>
    </w:p>
    <w:p>
      <w:pPr>
        <w:rPr>
          <w:rFonts w:eastAsia="Arial Unicode MS"/>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szCs w:val="24"/>
        </w:rPr>
      </w:pPr>
      <w:r>
        <w:rPr>
          <w:noProof/>
          <w:szCs w:val="24"/>
        </w:rPr>
        <w:t>Emission regulations are adopted as part of the EU framework for the type approval of cars, vans, trucks, buses and coaches. Successive "Euro" standards are designated by Arabic numerals for light-duty vehicles (cars and vans) and Roman numerals for heavy-duty vehicles (trucks, buses and coaches). The latest standards are Euro 6 for light-duty, and Euro VI for heavy-duty:</w:t>
      </w:r>
    </w:p>
    <w:p>
      <w:pPr>
        <w:pStyle w:val="Tiret1"/>
        <w:numPr>
          <w:ilvl w:val="0"/>
          <w:numId w:val="12"/>
        </w:numPr>
        <w:rPr>
          <w:noProof/>
        </w:rPr>
      </w:pPr>
      <w:r>
        <w:rPr>
          <w:noProof/>
        </w:rPr>
        <w:t>Directive 2007/46/EC</w:t>
      </w:r>
      <w:r>
        <w:rPr>
          <w:rStyle w:val="FootnoteReference"/>
          <w:noProof/>
          <w:szCs w:val="24"/>
        </w:rPr>
        <w:footnoteReference w:id="8"/>
      </w:r>
      <w:r>
        <w:rPr>
          <w:noProof/>
        </w:rPr>
        <w:t xml:space="preserve"> provides a common legal framework for the type approval of cars, vans, trucks, buses and coaches.</w:t>
      </w:r>
    </w:p>
    <w:p>
      <w:pPr>
        <w:pStyle w:val="Tiret1"/>
        <w:rPr>
          <w:noProof/>
        </w:rPr>
      </w:pPr>
      <w:r>
        <w:rPr>
          <w:noProof/>
        </w:rPr>
        <w:t>Euro 5 and 6 Regulation (EC) No 715/2007 sets the emission limits for cars for regulated pollutants, in particular nitrogen oxides (NOx, i.e. the combined emissions of NO and NO</w:t>
      </w:r>
      <w:r>
        <w:rPr>
          <w:noProof/>
          <w:vertAlign w:val="subscript"/>
        </w:rPr>
        <w:t>2</w:t>
      </w:r>
      <w:r>
        <w:rPr>
          <w:noProof/>
        </w:rPr>
        <w:t>) of 80 mg/km.</w:t>
      </w:r>
    </w:p>
    <w:p>
      <w:pPr>
        <w:pStyle w:val="Tiret1"/>
        <w:rPr>
          <w:noProof/>
        </w:rPr>
      </w:pPr>
      <w:r>
        <w:rPr>
          <w:noProof/>
        </w:rPr>
        <w:t>Regulation (EC) No 692/2008 implements and amends Regulation (EC) No 715/2007 on type-approval of motor vehicles with respect to emissions from light passenger and commercial vehicles (Euro 5 and Euro 6) and on access to vehicle repair and maintenance information.</w:t>
      </w:r>
    </w:p>
    <w:p>
      <w:pPr>
        <w:pStyle w:val="Tiret1"/>
        <w:rPr>
          <w:noProof/>
        </w:rPr>
      </w:pPr>
      <w:r>
        <w:rPr>
          <w:noProof/>
        </w:rPr>
        <w:t>Regulations 2017/1151 (Worldwide Harmonised Light Vehicle Test Procedure) and 2018/1832 (Real-Driving Emissions 4) are defining the new test procedures for vehicle type approval and enable real world testing, including testing by independent certified laboratories.</w:t>
      </w:r>
    </w:p>
    <w:p>
      <w:pPr>
        <w:pStyle w:val="Tiret1"/>
        <w:rPr>
          <w:noProof/>
        </w:rPr>
      </w:pPr>
      <w:r>
        <w:rPr>
          <w:noProof/>
        </w:rPr>
        <w:t>Regulation 595/2009/EC requires new heavy duty vehicles and engines to comply with new emission limits and introduces additional requirements on access to information.</w:t>
      </w:r>
    </w:p>
    <w:p>
      <w:pPr>
        <w:pStyle w:val="Tiret1"/>
        <w:rPr>
          <w:noProof/>
        </w:rPr>
      </w:pPr>
      <w:r>
        <w:rPr>
          <w:noProof/>
        </w:rPr>
        <w:t>Commission Regulation (EU) 582/2011 implements and amends Regulation (EC) No 595/2009 with respect to emissions from heavy duty vehicles (Euro VI).</w:t>
      </w:r>
    </w:p>
    <w:p>
      <w:pPr>
        <w:rPr>
          <w:noProof/>
          <w:szCs w:val="24"/>
        </w:rPr>
      </w:pPr>
      <w:r>
        <w:rPr>
          <w:noProof/>
          <w:szCs w:val="24"/>
        </w:rPr>
        <w:lastRenderedPageBreak/>
        <w:t>Successive Euro emission standards have led to very significant drops in emissions of exhaust particles both in terms of mass (PM) and in terms of numbers (PN) and other pollutants such as hydrocarbons (HC) and carbon monoxide (CO). However, NOx emissions--and in particular nitrogen dioxide (NO</w:t>
      </w:r>
      <w:r>
        <w:rPr>
          <w:noProof/>
          <w:szCs w:val="24"/>
          <w:vertAlign w:val="subscript"/>
        </w:rPr>
        <w:t>2</w:t>
      </w:r>
      <w:r>
        <w:rPr>
          <w:noProof/>
          <w:szCs w:val="24"/>
        </w:rPr>
        <w:t>) emissions--from road transport have not been reduced as much as expected with the introduction of Euro standards since 1991. This is due to the fact that emissions during "real-world" driving conditions are often higher than those measured during the type approval test (in particular for diesel vehicles).</w:t>
      </w:r>
    </w:p>
    <w:p>
      <w:pPr>
        <w:rPr>
          <w:noProof/>
          <w:szCs w:val="24"/>
        </w:rPr>
      </w:pPr>
      <w:r>
        <w:rPr>
          <w:noProof/>
          <w:szCs w:val="24"/>
        </w:rPr>
        <w:t>To deal with high on-road emissions from passenger vehicles, where a significant discrepancy with the laboratory testing was observed in recent years, the Commission developed the RDE test procedure, which applies from 1 September 2017. This test procedure, which better reflects the actual emissions on the road and reduces the discrepancy between emissions measured in real driving to those measured in a laboratory, uses portable on-board emission analysers to measure emissions during a realistic, on-road test.</w:t>
      </w:r>
    </w:p>
    <w:p>
      <w:pPr>
        <w:rPr>
          <w:noProof/>
          <w:szCs w:val="24"/>
        </w:rPr>
      </w:pPr>
      <w:r>
        <w:rPr>
          <w:noProof/>
          <w:szCs w:val="24"/>
        </w:rPr>
        <w:t>The RDE procedure complements the laboratory-based procedure to check that the emission levels of nitrogen NOx and the PN measured during the laboratory test stay low also in real driving conditions. Light duty vehicles certified with the latest version of the emission standards as “Euro 6d-TEMP” or “Euro 6d” are certified with real driving emissions tests.</w:t>
      </w:r>
    </w:p>
    <w:p>
      <w:pPr>
        <w:rPr>
          <w:rFonts w:eastAsia="Arial Unicode MS"/>
          <w:noProof/>
          <w:color w:val="000000"/>
          <w:u w:color="000000"/>
          <w:bdr w:val="nil"/>
          <w:lang w:val="en-US" w:eastAsia="en-GB"/>
        </w:rPr>
      </w:pPr>
      <w:r>
        <w:rPr>
          <w:noProof/>
          <w:szCs w:val="24"/>
        </w:rPr>
        <w:t>In addition to substantial modification of the testing regime, Regulation (EU) 2018/858 of the European Parliament and of the Council of 30 May 2018 on the approval and market surveillance of motor vehicles will enable effective market surveillance of the environmental performance of vehicles.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szCs w:val="24"/>
        </w:rPr>
      </w:pPr>
      <w:r>
        <w:rPr>
          <w:noProof/>
          <w:szCs w:val="24"/>
        </w:rPr>
        <w:t>Air quality has improved in the European Union over the last decades, thanks to joint efforts by the EU and the national, regional and local authorities. This includes reductions in emission of air pollutants since 2000 by between 10% and 70%, depending on the pollutant (and reductions of 42% for NOx). These reductions are also based on successes in controlling emissions by integrating environmental protection requirements into the transport sector.</w:t>
      </w:r>
      <w:r>
        <w:rPr>
          <w:rStyle w:val="FootnoteReference"/>
          <w:noProof/>
          <w:szCs w:val="24"/>
        </w:rPr>
        <w:footnoteReference w:id="9"/>
      </w:r>
      <w:r>
        <w:rPr>
          <w:noProof/>
          <w:szCs w:val="24"/>
        </w:rPr>
        <w:t xml:space="preserve"> </w:t>
      </w:r>
    </w:p>
    <w:p>
      <w:pPr>
        <w:rPr>
          <w:noProof/>
          <w:szCs w:val="24"/>
        </w:rPr>
      </w:pPr>
      <w:r>
        <w:rPr>
          <w:noProof/>
          <w:szCs w:val="24"/>
        </w:rPr>
        <w:t>Nevertheless, cities across the European Union continue to face severe problems with outdoor nitrogen dioxide (NO</w:t>
      </w:r>
      <w:r>
        <w:rPr>
          <w:noProof/>
          <w:szCs w:val="24"/>
          <w:vertAlign w:val="subscript"/>
        </w:rPr>
        <w:t>2</w:t>
      </w:r>
      <w:r>
        <w:rPr>
          <w:noProof/>
          <w:szCs w:val="24"/>
        </w:rPr>
        <w:t>) concentrations, with road transport continuing to be the largest contributor to exceedances above the limit values set by the Directive on ambient air quality and cleaner air for Europe (Directive 2008/50/EC) to protect from risks to human health and the environment. For 2016, 19 Member States reported exceedances</w:t>
      </w:r>
      <w:r>
        <w:rPr>
          <w:rStyle w:val="FootnoteReference"/>
          <w:noProof/>
          <w:szCs w:val="24"/>
        </w:rPr>
        <w:footnoteReference w:id="10"/>
      </w:r>
      <w:r>
        <w:rPr>
          <w:noProof/>
          <w:szCs w:val="24"/>
        </w:rPr>
        <w:t>, usually in urban areas and due to high NOx (NO + NO</w:t>
      </w:r>
      <w:r>
        <w:rPr>
          <w:noProof/>
          <w:szCs w:val="24"/>
          <w:vertAlign w:val="subscript"/>
        </w:rPr>
        <w:t>2</w:t>
      </w:r>
      <w:r>
        <w:rPr>
          <w:noProof/>
          <w:szCs w:val="24"/>
        </w:rPr>
        <w:t>) emissions from local traffic. NOx emissions of diesel cars and vans, which may be significantly higher under real driving conditions than the regulatory emission limits measured on a laboratory test cycle, contribute to this considerably.</w:t>
      </w:r>
      <w:r>
        <w:rPr>
          <w:rStyle w:val="FootnoteReference"/>
          <w:noProof/>
          <w:szCs w:val="24"/>
        </w:rPr>
        <w:footnoteReference w:id="11"/>
      </w:r>
      <w:r>
        <w:rPr>
          <w:noProof/>
          <w:szCs w:val="24"/>
        </w:rPr>
        <w:t xml:space="preserve"> </w:t>
      </w:r>
    </w:p>
    <w:p>
      <w:pPr>
        <w:rPr>
          <w:noProof/>
          <w:szCs w:val="24"/>
        </w:rPr>
      </w:pPr>
      <w:r>
        <w:rPr>
          <w:noProof/>
          <w:szCs w:val="24"/>
        </w:rPr>
        <w:t>The mandatory NOx emission limits for diesel cars in the EU have been progressively lowered from 500 mg/km at Euro 3 (there were no NOx limits specified for Euro 1 and 2 diesel vehicles) to 80 mg/km at Euro 6</w:t>
      </w:r>
      <w:r>
        <w:rPr>
          <w:rStyle w:val="FootnoteReference"/>
          <w:noProof/>
          <w:szCs w:val="24"/>
        </w:rPr>
        <w:footnoteReference w:id="12"/>
      </w:r>
      <w:r>
        <w:rPr>
          <w:noProof/>
          <w:szCs w:val="24"/>
        </w:rPr>
        <w:t xml:space="preserve">. However, there is evidence that despite these increasingly stringent NOx limits, that are verified under laboratory conditions and on a </w:t>
      </w:r>
      <w:r>
        <w:rPr>
          <w:noProof/>
          <w:szCs w:val="24"/>
        </w:rPr>
        <w:lastRenderedPageBreak/>
        <w:t>standardised test cycle, the actual NOx emissions under real driving conditions did not come down to the same extent (Weiss et al. 2011).</w:t>
      </w:r>
    </w:p>
    <w:p>
      <w:pPr>
        <w:rPr>
          <w:noProof/>
          <w:szCs w:val="24"/>
        </w:rPr>
      </w:pPr>
      <w:r>
        <w:rPr>
          <w:noProof/>
          <w:szCs w:val="24"/>
        </w:rPr>
        <w:t xml:space="preserve">In response to this, the Commission has developed the real driving emissions procedure (RDE). This new test procedure is vital to controlling the real driving emissions of NOx from diesel cars. It first applied for monitoring purposes from early 2016 to complement the laboratory test and has been applicable to new vehicle types as from 1 September 2017; it will apply to all new vehicles as from 1 September 2019.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color w:val="000000"/>
        </w:rPr>
      </w:pPr>
      <w:r>
        <w:rPr>
          <w:noProof/>
        </w:rPr>
        <w:t>The legal basis of the proposal is Article 114 of the Treaty on the Functioning of the European Union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
        <w:rPr>
          <w:noProof/>
          <w:szCs w:val="24"/>
        </w:rPr>
        <w:t xml:space="preserve">In line with other legislation concerning the type-approval of motor vehicles, the action under consideration is based on Article 114 of the TFEU ensuring the functioning of the internal market. </w:t>
      </w:r>
    </w:p>
    <w:p>
      <w:r>
        <w:rPr>
          <w:noProof/>
        </w:rPr>
        <w:t>European Union action is necessary because of the need to avoid the emergence of barriers to the single market notably in the field of the automotive industry, and because of the transnational nature of air pollution and climate change. Even though the effects of the main toxic air pollutants are most severe close to the source, the effects on air quality are not limited to the local level and cross-border pollution is a serious environmental problem that often frustrates national solutions. Atmospheric modelling shows that the pollution emitted in one Member State contributes to pollution in other Member States. In order to solve the problem of air pollution, concerted action at the EU scale is required.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 xml:space="preserve">The proposal is proportionate as it provides for the necessary legal change and at the same time does not go beyond what it necessary to achieve the objectives of reduction of pollutant emissions from motor vehicles on the one hand and ensuring legal certainty for vehicle manufacturers on the other. It provides for the necessary legal conditions to uphold, to the extent possible, a level playing field among manufacturers.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The use of a Regulation is appropriate because it amends an existing Regulation.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spacing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The Commission sent a questionnaire to automotive stakeholders before the adoption of the RDE conformity factors. This questionnaire asked for technical information and data to inform the assessment of the Commission. The questions focussed on the following three items:</w:t>
      </w:r>
    </w:p>
    <w:p>
      <w:pPr>
        <w:rPr>
          <w:noProof/>
        </w:rPr>
      </w:pPr>
      <w:r>
        <w:rPr>
          <w:noProof/>
        </w:rPr>
        <w:t>a) Composition of the new diesel vehicle fleet regarding NOx reduction technologies;</w:t>
      </w:r>
    </w:p>
    <w:p>
      <w:pPr>
        <w:rPr>
          <w:noProof/>
        </w:rPr>
      </w:pPr>
      <w:r>
        <w:rPr>
          <w:noProof/>
        </w:rPr>
        <w:lastRenderedPageBreak/>
        <w:t>b) Any available data on the current real driving emission performance of these vehicles;</w:t>
      </w:r>
    </w:p>
    <w:p>
      <w:pPr>
        <w:rPr>
          <w:noProof/>
        </w:rPr>
      </w:pPr>
      <w:r>
        <w:rPr>
          <w:noProof/>
        </w:rPr>
        <w:t xml:space="preserve">c) Information on the generic improvement potential of their NOx emission performance. </w:t>
      </w:r>
    </w:p>
    <w:p>
      <w:pPr>
        <w:rPr>
          <w:rFonts w:eastAsia="Arial Unicode MS"/>
          <w:b/>
          <w:noProof/>
          <w:u w:color="000000"/>
          <w:bdr w:val="nil"/>
          <w:lang w:val="en-US" w:eastAsia="en-GB"/>
        </w:rPr>
      </w:pPr>
      <w:r>
        <w:rPr>
          <w:noProof/>
        </w:rPr>
        <w:t>Four replies were received. These replies came from the European Automobile Manufacturers' Association (ACEA), the Association for Emissions Control by Catalyst (AECC), a vehicle manufacturers association (submitted under the condition of anonymity) and a major tier-1 supplier (submitted under the condition of anonymity). No individual vehicle manufacturer contributed information despite written and several oral requests in the relevant working groups. Of the four replies received, only the AECC and the tier-1 supplier response provided relevant information and data. The remaining two turned out to be of very limited use in the given context.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Before the adoption of </w:t>
      </w:r>
      <w:r>
        <w:rPr>
          <w:noProof/>
          <w:szCs w:val="24"/>
        </w:rPr>
        <w:t>Regulation (EU) 2016/646, t</w:t>
      </w:r>
      <w:r>
        <w:rPr>
          <w:rFonts w:eastAsia="Arial Unicode MS"/>
          <w:noProof/>
        </w:rPr>
        <w:t xml:space="preserve">he Commission's Joint Research Centre (JRC) performed a meta-study of the NOx emissions data from </w:t>
      </w:r>
      <w:r>
        <w:rPr>
          <w:noProof/>
        </w:rPr>
        <w:t>Portable Emission Measurement Systems (</w:t>
      </w:r>
      <w:r>
        <w:rPr>
          <w:rFonts w:eastAsia="Arial Unicode MS"/>
          <w:noProof/>
        </w:rPr>
        <w:t>PEMS) tests done on Euro 6 diesel vehicles. The resulting dataset comprised 36 diesel vehicles of different types and 234 individual testing trips. It was a comprehensive and reliable dataset, which showed that the median NOx emission level of Euro 6 diesel vehicles on the road was about 4 (i.e. four times the regulatory NOx limit).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szCs w:val="24"/>
        </w:rPr>
      </w:pPr>
      <w:r>
        <w:rPr>
          <w:noProof/>
          <w:szCs w:val="24"/>
        </w:rPr>
        <w:t>This proposal does not require an impact assessment. This initiative simply changes the legal instrument by which the same existing conformity factors that are necessary for the correct application of the RDE test procedure are established, and empowers the Commission to further review downwards the conformity factor, to adapt it to technical progress. The conformity factors have no impact on the existing emission limits as set in Regulation (EC) No 715/2007, which were subject to an impact assessment at the time of adoption of Regulation (EC) 715/2007</w:t>
      </w:r>
      <w:r>
        <w:rPr>
          <w:rStyle w:val="FootnoteReference"/>
          <w:noProof/>
          <w:szCs w:val="24"/>
        </w:rPr>
        <w:footnoteReference w:id="13"/>
      </w:r>
      <w:r>
        <w:rPr>
          <w:noProof/>
          <w:szCs w:val="24"/>
        </w:rPr>
        <w:t xml:space="preserve">.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Fundamental rights</w:t>
      </w:r>
    </w:p>
    <w:p>
      <w:pPr>
        <w:pBdr>
          <w:top w:val="nil"/>
          <w:left w:val="nil"/>
          <w:bottom w:val="nil"/>
          <w:right w:val="nil"/>
          <w:between w:val="nil"/>
          <w:bar w:val="nil"/>
        </w:pBdr>
        <w:spacing w:before="0" w:after="240"/>
        <w:ind w:left="850"/>
        <w:rPr>
          <w:rFonts w:eastAsia="Arial Unicode MS"/>
          <w:noProof/>
          <w:color w:val="000000"/>
        </w:rPr>
      </w:pPr>
      <w:r>
        <w:rPr>
          <w:noProof/>
        </w:rPr>
        <w:t>This proposal has no consequences for the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ind w:left="130" w:firstLine="720"/>
        <w:rPr>
          <w:rFonts w:eastAsia="Arial Unicode MS"/>
          <w:noProof/>
        </w:rPr>
      </w:pPr>
      <w:r>
        <w:rPr>
          <w:noProof/>
        </w:rPr>
        <w:t>Not applicable.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Text1"/>
        <w:rPr>
          <w:noProof/>
          <w:color w:val="000000"/>
        </w:rPr>
      </w:pPr>
      <w:r>
        <w:rPr>
          <w:noProof/>
          <w:color w:val="000000"/>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Style w:val="Text1"/>
        <w:rPr>
          <w:noProof/>
          <w:color w:val="000000"/>
        </w:rPr>
      </w:pPr>
      <w:r>
        <w:rPr>
          <w:noProof/>
          <w:color w:val="000000"/>
        </w:rPr>
        <w:t>Not applicable.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2019/0101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(EC) No 715/2007 on type approval of motor vehicles with respect to emissions from light passenger and commercial vehicles (Euro 5 and Euro 6) and on access to vehicle repair and maintenance information</w:t>
      </w:r>
      <w:r>
        <w:rPr>
          <w:noProof/>
        </w:rPr>
        <w:br/>
      </w:r>
      <w:r>
        <w:rPr>
          <w:noProof/>
        </w:rPr>
        <w:br/>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4"/>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(EC) No 715/2007 of the European Parliament and of the Council</w:t>
      </w:r>
      <w:r>
        <w:rPr>
          <w:rStyle w:val="FootnoteReference"/>
          <w:noProof/>
        </w:rPr>
        <w:footnoteReference w:id="15"/>
      </w:r>
      <w:r>
        <w:rPr>
          <w:noProof/>
        </w:rPr>
        <w:t xml:space="preserve">  is one of the separate regulatory acts under the type-approval framework laid down by Directive 2007/46/EC of the European Parliament and of the Council</w:t>
      </w:r>
      <w:r>
        <w:rPr>
          <w:rStyle w:val="FootnoteReference"/>
          <w:noProof/>
        </w:rPr>
        <w:footnoteReference w:id="16"/>
      </w:r>
      <w:r>
        <w:rPr>
          <w:noProof/>
        </w:rPr>
        <w:t>.</w:t>
      </w:r>
    </w:p>
    <w:p>
      <w:pPr>
        <w:pStyle w:val="ManualConsidrant"/>
        <w:rPr>
          <w:noProof/>
        </w:rPr>
      </w:pPr>
      <w:r>
        <w:t>(2)</w:t>
      </w:r>
      <w:r>
        <w:tab/>
      </w:r>
      <w:r>
        <w:rPr>
          <w:noProof/>
        </w:rPr>
        <w:t>Regulation (EC) No 715/2007 requires new light-duty vehicles to comply with certain emission limits (Euro 5 and Euro 6 standards) and lays down additional requirements on access to vehicle repair and maintenance information. The specific technical provisions necessary to implement that Regulation were set out in Commission Regulation (EC) No 692/2008</w:t>
      </w:r>
      <w:r>
        <w:rPr>
          <w:rStyle w:val="FootnoteReference"/>
          <w:noProof/>
        </w:rPr>
        <w:footnoteReference w:id="17"/>
      </w:r>
      <w:r>
        <w:rPr>
          <w:noProof/>
        </w:rPr>
        <w:t xml:space="preserve"> and subsequently, in Commission Regulation (EU) 2017/1151</w:t>
      </w:r>
      <w:r>
        <w:rPr>
          <w:rStyle w:val="FootnoteReference"/>
          <w:noProof/>
        </w:rPr>
        <w:footnoteReference w:id="18"/>
      </w:r>
      <w:r>
        <w:rPr>
          <w:noProof/>
        </w:rPr>
        <w:t xml:space="preserve">. </w:t>
      </w:r>
    </w:p>
    <w:p>
      <w:pPr>
        <w:pStyle w:val="ManualConsidrant"/>
        <w:rPr>
          <w:noProof/>
        </w:rPr>
      </w:pPr>
      <w:r>
        <w:lastRenderedPageBreak/>
        <w:t>(3)</w:t>
      </w:r>
      <w:r>
        <w:tab/>
      </w:r>
      <w:r>
        <w:rPr>
          <w:noProof/>
        </w:rPr>
        <w:t xml:space="preserve">The type-approval requirements relating to emissions from motor vehicles have been gradually and significantly tightened through the introduction and subsequent revision of Euro standards. While vehicles in general have delivered substantial emission reductions across the range of regulated pollutants, this was not the case for NOx emissions from diesel engines or particles for gasoline direct injection engines, installed in particular in light-duty vehicles. Actions for correcting this situation are therefore needed. </w:t>
      </w:r>
    </w:p>
    <w:p>
      <w:pPr>
        <w:pStyle w:val="ManualConsidrant"/>
        <w:rPr>
          <w:noProof/>
        </w:rPr>
      </w:pPr>
      <w:r>
        <w:t>(4)</w:t>
      </w:r>
      <w:r>
        <w:tab/>
      </w:r>
      <w:r>
        <w:rPr>
          <w:noProof/>
        </w:rPr>
        <w:t>The Commission performed a detailed analysis of the procedures, tests and requirements for type approval that are set out in Regulation (EC) No 692/2008 on the basis of own research and external information and found that the emissions generated by real driving on the road of Euro 5 or Euro 6 vehicles substantially exceed the emissions measured on the regulatory New European Driving Cycle (NEDC), in particular with respect to NOx emissions of diesel vehicles.</w:t>
      </w:r>
    </w:p>
    <w:p>
      <w:pPr>
        <w:pStyle w:val="ManualConsidrant"/>
        <w:rPr>
          <w:noProof/>
        </w:rPr>
      </w:pPr>
      <w:r>
        <w:t>(5)</w:t>
      </w:r>
      <w:r>
        <w:tab/>
      </w:r>
      <w:r>
        <w:rPr>
          <w:noProof/>
        </w:rPr>
        <w:t>As a result, the Commission developed a new methodology for testing vehicle emissions in real-driving conditions, the real-driving emissions (RDE) test procedure. The RDE test procedure was introduced by Commission Regulations (EU) 2016/427</w:t>
      </w:r>
      <w:r>
        <w:rPr>
          <w:rStyle w:val="FootnoteReference"/>
          <w:noProof/>
        </w:rPr>
        <w:footnoteReference w:id="19"/>
      </w:r>
      <w:r>
        <w:rPr>
          <w:noProof/>
        </w:rPr>
        <w:t xml:space="preserve"> and (EU) 2016/646</w:t>
      </w:r>
      <w:r>
        <w:rPr>
          <w:rStyle w:val="FootnoteReference"/>
          <w:noProof/>
        </w:rPr>
        <w:footnoteReference w:id="20"/>
      </w:r>
      <w:r>
        <w:rPr>
          <w:noProof/>
        </w:rPr>
        <w:t>, subsequently taken over into Regulation (EU) 2017/1151 and further improved by Commission Regulation (EU) 2017/1154</w:t>
      </w:r>
      <w:r>
        <w:rPr>
          <w:rStyle w:val="FootnoteReference"/>
          <w:noProof/>
        </w:rPr>
        <w:footnoteReference w:id="21"/>
      </w:r>
      <w:r>
        <w:rPr>
          <w:noProof/>
        </w:rPr>
        <w:t>.</w:t>
      </w:r>
    </w:p>
    <w:p>
      <w:pPr>
        <w:pStyle w:val="ManualConsidrant"/>
        <w:rPr>
          <w:noProof/>
        </w:rPr>
      </w:pPr>
      <w:r>
        <w:t>(6)</w:t>
      </w:r>
      <w:r>
        <w:tab/>
      </w:r>
      <w:r>
        <w:rPr>
          <w:noProof/>
        </w:rPr>
        <w:t>Regulation (EU) 2016/646</w:t>
      </w:r>
      <w:r>
        <w:rPr>
          <w:rStyle w:val="FootnoteReference"/>
          <w:noProof/>
        </w:rPr>
        <w:footnoteReference w:id="22"/>
      </w:r>
      <w:r>
        <w:rPr>
          <w:noProof/>
        </w:rPr>
        <w:t xml:space="preserve"> introduced the dates of application of the RDE test procedure, as well as the compliance criteria for RDE. For that purpose, pollutant-specific conformity factors were used to take account of statistical and technical uncertainties of the measurements conducted by means of Portable Emission Measurement Systems (PEMS). </w:t>
      </w:r>
    </w:p>
    <w:p>
      <w:pPr>
        <w:pStyle w:val="ManualConsidrant"/>
        <w:rPr>
          <w:noProof/>
        </w:rPr>
      </w:pPr>
      <w:r>
        <w:t>(7)</w:t>
      </w:r>
      <w:r>
        <w:tab/>
      </w:r>
      <w:r>
        <w:rPr>
          <w:noProof/>
        </w:rPr>
        <w:t>On 13 December 2018, the General Court delivered judgment in Joined Cases T-339/16, T-352/16 and T-391/16</w:t>
      </w:r>
      <w:r>
        <w:rPr>
          <w:rStyle w:val="FootnoteReference"/>
          <w:noProof/>
          <w:szCs w:val="24"/>
        </w:rPr>
        <w:footnoteReference w:id="23"/>
      </w:r>
      <w:r>
        <w:rPr>
          <w:noProof/>
        </w:rPr>
        <w:t xml:space="preserve"> concerning an action for annulment of Regulation (EU) 2016/646. The General Court annulled the part of Regulation (EU) 2016/646 which established the conformity factors used to assess compliance of RDE test results with the emission limits laid down in Regulation (EC) No 715/2007. The Court found that only the legislator could introduce those conformity factors as they touched upon an essential element of Regulation (EC) No 715/2007. </w:t>
      </w:r>
    </w:p>
    <w:p>
      <w:pPr>
        <w:pStyle w:val="ManualConsidrant"/>
        <w:rPr>
          <w:noProof/>
        </w:rPr>
      </w:pPr>
      <w:r>
        <w:lastRenderedPageBreak/>
        <w:t>(8)</w:t>
      </w:r>
      <w:r>
        <w:tab/>
      </w:r>
      <w:r>
        <w:rPr>
          <w:noProof/>
        </w:rPr>
        <w:t xml:space="preserve">The General Court did not question the technical justification of the conformity factors. Therefore, and given that at the current stage of technological development there is still a discrepancy between emissions measured in real driving and those measured in a laboratory, it is appropriate to introduce the conformity factors into Regulation (EC) No 715/2007. </w:t>
      </w:r>
    </w:p>
    <w:p>
      <w:pPr>
        <w:pStyle w:val="ManualConsidrant"/>
        <w:rPr>
          <w:noProof/>
        </w:rPr>
      </w:pPr>
      <w:r>
        <w:t>(9)</w:t>
      </w:r>
      <w:r>
        <w:tab/>
      </w:r>
      <w:r>
        <w:rPr>
          <w:noProof/>
        </w:rPr>
        <w:t xml:space="preserve">In order to allow manufacturers to comply with the Euro 6 emission limits in the context of RDE test procedure, the compliance criteria for RDE should be introduced in two steps. During the first step, upon the request of the manufacturer, a temporary conformity factor should apply, while as a second step only the final conformity factor should be used. The Commission should keep under review the final conformity factors in light of technical progress. </w:t>
      </w:r>
    </w:p>
    <w:p>
      <w:pPr>
        <w:pStyle w:val="ManualConsidrant"/>
        <w:rPr>
          <w:noProof/>
        </w:rPr>
      </w:pPr>
      <w:r>
        <w:t>(10)</w:t>
      </w:r>
      <w:r>
        <w:tab/>
      </w:r>
      <w:r>
        <w:rPr>
          <w:noProof/>
        </w:rPr>
        <w:t>The Treaty of Lisbon introduced the possibility for the legislator to delegate power to the Commission to adopt non-legislative acts of general application to supplement or amend certain non-essential elements of a legislative act. The measures which can be covered by delegations of powers, as referred to in Article 290(1) TFEU, correspond in principle to those covered by the regulatory procedure with scrutiny established by Article 5a of Council Decision 1999/468/EC</w:t>
      </w:r>
      <w:r>
        <w:rPr>
          <w:rStyle w:val="FootnoteReference"/>
          <w:noProof/>
        </w:rPr>
        <w:footnoteReference w:id="24"/>
      </w:r>
      <w:r>
        <w:rPr>
          <w:noProof/>
        </w:rPr>
        <w:t>. It is therefore necessary to adapt to Article 290 TFEU the provisions of Regulation (EC) No 715/2007 which provide for the use of the regulatory procedure with scrutiny.</w:t>
      </w:r>
    </w:p>
    <w:p>
      <w:pPr>
        <w:pStyle w:val="ManualConsidrant"/>
        <w:rPr>
          <w:noProof/>
        </w:rPr>
      </w:pPr>
      <w:r>
        <w:t>(11)</w:t>
      </w:r>
      <w:r>
        <w:tab/>
      </w:r>
      <w:r>
        <w:rPr>
          <w:noProof/>
        </w:rPr>
        <w:t>In order to contribute to the achievement of the Union’s air quality objectives and to reduce vehicle emissions, the power to adopt acts in accordance with Article 290 of the Treaty on the Functioning of the European Union (TFUE) should be delegated to the Commission in respect of the detailed rules on the specific procedures, tests and requirements for type approval. That delegation should include supplementing Regulation (EC) No 715/2007 by such revised rules as well as the test cycles used to measure emissions; the requirements for the implementation of the prohibition on the use of defeat devices that reduce the effectiveness of emission control systems; the measures necessary for the implementation of the obligation of a manufacturer to provide unrestricted and standardised access to vehicle repair and maintenance information; the adoption of a revised measurement procedure for particulates. The delegation should further include amending Regulation (EC) No 715/2007 for the purposes of revising the final conformity factors downwards to reflect technical progress in PEMS and recalibrating the particulate mass based limit values and introducing particle number based limit values. It is of particular  importance  that  the  Commission  carry  out  appropriate  consultations  during  its  preparatory  work,  including  at  expert  level,  and  that  those  consultations  are  conducted  in  accordance  with  the  principles  laid  down  in  the  Interinstitutional  Agreement  on  Better  Law-Making  of  13   April  2016.  In  particular,  to  ensure  equal  participation  in  the  preparation  of  delegated  acts,  the European  Parliament  and  the  Council should receive  all  documents  at  the  same  time  as  Member  States'  experts,  and  their  experts  systematically  should have  access  to  meetings  of  Commission  expert  groups  dealing  with  the  preparation  of  delegated  acts.</w:t>
      </w:r>
    </w:p>
    <w:p>
      <w:pPr>
        <w:pStyle w:val="ManualConsidrant"/>
        <w:rPr>
          <w:noProof/>
        </w:rPr>
      </w:pPr>
      <w:r>
        <w:t>(12)</w:t>
      </w:r>
      <w:r>
        <w:tab/>
      </w:r>
      <w:r>
        <w:rPr>
          <w:noProof/>
        </w:rPr>
        <w:t xml:space="preserve">To ensure continuity of implementation in light of technical progress, regulatory procedures with scrutiny pending at the time of the entry into force of this Regulation </w:t>
      </w:r>
      <w:r>
        <w:rPr>
          <w:noProof/>
        </w:rPr>
        <w:lastRenderedPageBreak/>
        <w:t>on which the committee has already delivered its opinion should be completed in accordance with Article 5a of Decision 1999/468/EC.</w:t>
      </w:r>
    </w:p>
    <w:p>
      <w:pPr>
        <w:pStyle w:val="ManualConsidrant"/>
        <w:rPr>
          <w:noProof/>
        </w:rPr>
      </w:pPr>
      <w:r>
        <w:t>(13)</w:t>
      </w:r>
      <w:r>
        <w:tab/>
      </w:r>
      <w:r>
        <w:rPr>
          <w:noProof/>
        </w:rPr>
        <w:t>In order to ensure uniform conditions for the implementation of Article 4(2) and (3) of Regulation (EU) No 715/2007, implementing powers should be conferred on the Commission. Those powers should be exercised in accordance with Regulation (EU) No 182/2011 of the European Parliament and of the Council</w:t>
      </w:r>
      <w:r>
        <w:rPr>
          <w:rStyle w:val="FootnoteReference"/>
          <w:noProof/>
        </w:rPr>
        <w:footnoteReference w:id="25"/>
      </w:r>
      <w:r>
        <w:rPr>
          <w:noProof/>
        </w:rPr>
        <w:t>.</w:t>
      </w:r>
    </w:p>
    <w:p>
      <w:pPr>
        <w:pStyle w:val="ManualConsidrant"/>
        <w:rPr>
          <w:noProof/>
        </w:rPr>
      </w:pPr>
      <w:r>
        <w:t>(14)</w:t>
      </w:r>
      <w:r>
        <w:tab/>
      </w:r>
      <w:r>
        <w:rPr>
          <w:noProof/>
        </w:rPr>
        <w:t xml:space="preserve">Since the objectives of this Regulation, namely to lay down rules on emissions from motor vehicles in order to contribute to the achievement of the basic air quality objectives, cannot be sufficiently achieved by the Member States as motor vehicles with a valid type approval may be marketed across national boundaries but can rather, by reason of the scale and effects of the action,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 </w:t>
      </w:r>
    </w:p>
    <w:p>
      <w:pPr>
        <w:pStyle w:val="ManualConsidrant"/>
        <w:rPr>
          <w:noProof/>
        </w:rPr>
      </w:pPr>
      <w:r>
        <w:t>(15)</w:t>
      </w:r>
      <w:r>
        <w:tab/>
      </w:r>
      <w:r>
        <w:rPr>
          <w:noProof/>
        </w:rPr>
        <w:t>Regulation (EC) No 715/2007 should therefore be amended accordingly,</w:t>
      </w:r>
    </w:p>
    <w:p>
      <w:pPr>
        <w:rPr>
          <w:noProof/>
        </w:rPr>
      </w:pP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 xml:space="preserve">Regulation (EC) No 715/2007 is amended as follows: </w:t>
      </w:r>
    </w:p>
    <w:p>
      <w:pPr>
        <w:pStyle w:val="Point0number"/>
        <w:numPr>
          <w:ilvl w:val="0"/>
          <w:numId w:val="11"/>
        </w:numPr>
        <w:rPr>
          <w:noProof/>
        </w:rPr>
      </w:pPr>
      <w:r>
        <w:rPr>
          <w:noProof/>
        </w:rPr>
        <w:t>Article 2(2) is replaced by the following:</w:t>
      </w:r>
    </w:p>
    <w:p>
      <w:pPr>
        <w:pStyle w:val="Text1"/>
        <w:rPr>
          <w:noProof/>
        </w:rPr>
      </w:pPr>
      <w:r>
        <w:rPr>
          <w:noProof/>
        </w:rPr>
        <w:t>“2.  At the manufacturer's request, type approval granted under this Regulation may be extended from vehicles covered by paragraph 1 to M</w:t>
      </w:r>
      <w:r>
        <w:rPr>
          <w:rStyle w:val="subscript"/>
          <w:noProof/>
          <w:vertAlign w:val="subscript"/>
        </w:rPr>
        <w:t>1</w:t>
      </w:r>
      <w:r>
        <w:rPr>
          <w:noProof/>
        </w:rPr>
        <w:t>, M</w:t>
      </w:r>
      <w:r>
        <w:rPr>
          <w:rStyle w:val="subscript"/>
          <w:noProof/>
          <w:vertAlign w:val="subscript"/>
        </w:rPr>
        <w:t>2</w:t>
      </w:r>
      <w:r>
        <w:rPr>
          <w:noProof/>
        </w:rPr>
        <w:t>, N</w:t>
      </w:r>
      <w:r>
        <w:rPr>
          <w:rStyle w:val="subscript"/>
          <w:noProof/>
          <w:vertAlign w:val="subscript"/>
        </w:rPr>
        <w:t>1</w:t>
      </w:r>
      <w:r>
        <w:rPr>
          <w:noProof/>
        </w:rPr>
        <w:t xml:space="preserve"> and N</w:t>
      </w:r>
      <w:r>
        <w:rPr>
          <w:rStyle w:val="subscript"/>
          <w:noProof/>
          <w:vertAlign w:val="subscript"/>
        </w:rPr>
        <w:t>2</w:t>
      </w:r>
      <w:r>
        <w:rPr>
          <w:noProof/>
        </w:rPr>
        <w:t xml:space="preserve"> vehicles as defined in Annex II to Directive 2007/46/EC with a reference mass not exceeding 2 840 kg and which meet the requirements of this Regulation. ”;</w:t>
      </w:r>
    </w:p>
    <w:p>
      <w:pPr>
        <w:pStyle w:val="Point0number"/>
        <w:numPr>
          <w:ilvl w:val="0"/>
          <w:numId w:val="11"/>
        </w:numPr>
        <w:rPr>
          <w:noProof/>
        </w:rPr>
      </w:pPr>
      <w:r>
        <w:rPr>
          <w:noProof/>
        </w:rPr>
        <w:t>in Article 3, the introductory wording is replaced by the following:</w:t>
      </w:r>
    </w:p>
    <w:p>
      <w:pPr>
        <w:rPr>
          <w:noProof/>
        </w:rPr>
      </w:pPr>
      <w:r>
        <w:rPr>
          <w:noProof/>
        </w:rPr>
        <w:t>“For the purposes of this Regulation, the following definitions shall apply: ”;</w:t>
      </w:r>
    </w:p>
    <w:p>
      <w:pPr>
        <w:pStyle w:val="Point0number"/>
        <w:numPr>
          <w:ilvl w:val="0"/>
          <w:numId w:val="11"/>
        </w:numPr>
        <w:rPr>
          <w:noProof/>
        </w:rPr>
      </w:pPr>
      <w:r>
        <w:rPr>
          <w:noProof/>
        </w:rPr>
        <w:t>Article 4 is amended as follows:</w:t>
      </w:r>
    </w:p>
    <w:p>
      <w:pPr>
        <w:pStyle w:val="Point1letter"/>
        <w:rPr>
          <w:noProof/>
        </w:rPr>
      </w:pPr>
      <w:r>
        <w:rPr>
          <w:noProof/>
        </w:rPr>
        <w:t>paragraph 1 is replaced by the following:</w:t>
      </w:r>
    </w:p>
    <w:p>
      <w:pPr>
        <w:pStyle w:val="Point0"/>
        <w:ind w:firstLine="0"/>
        <w:rPr>
          <w:noProof/>
        </w:rPr>
      </w:pPr>
      <w:r>
        <w:rPr>
          <w:noProof/>
        </w:rPr>
        <w:t>“1.</w:t>
      </w:r>
      <w:r>
        <w:rPr>
          <w:noProof/>
        </w:rPr>
        <w:tab/>
        <w:t xml:space="preserve">Manufacturers shall demonstrate that all new vehicles sold, registered or put into service in the Community are type approved in accordance with this Regulation. Manufacturers shall also demonstrate that all new replacement pollution control devices requiring type approval which are sold or put into service in the Community are type approved in accordance with this Regulation. </w:t>
      </w:r>
    </w:p>
    <w:p>
      <w:pPr>
        <w:pStyle w:val="Point0"/>
        <w:ind w:firstLine="0"/>
        <w:rPr>
          <w:noProof/>
        </w:rPr>
      </w:pPr>
      <w:r>
        <w:rPr>
          <w:noProof/>
        </w:rPr>
        <w:t xml:space="preserve">Those obligations include meeting the emission limits set out in Annex I.  For the purposes of determining compliance with the Euro 6 emission limits set out in Table 2 of Annex I, the emission values determined during any valid Real Driving Emissions (RDE) test shall be divided by the applicable conformity factor set out in </w:t>
      </w:r>
      <w:r>
        <w:rPr>
          <w:noProof/>
        </w:rPr>
        <w:lastRenderedPageBreak/>
        <w:t>Table 2a of Annex I. The result shall remain below the Euro 6 emission limits set out in Table 2 of that Annex.”;</w:t>
      </w:r>
    </w:p>
    <w:p>
      <w:pPr>
        <w:pStyle w:val="Point1letter"/>
        <w:rPr>
          <w:noProof/>
        </w:rPr>
      </w:pPr>
      <w:r>
        <w:rPr>
          <w:noProof/>
        </w:rPr>
        <w:t>paragraph 4 is replaced by the following:</w:t>
      </w:r>
    </w:p>
    <w:p>
      <w:pPr>
        <w:pStyle w:val="Point0"/>
        <w:rPr>
          <w:noProof/>
        </w:rPr>
      </w:pPr>
      <w:r>
        <w:rPr>
          <w:noProof/>
        </w:rPr>
        <w:tab/>
        <w:t>“4. The Commission shall, by means of implementing acts, establish the specific procedures and requirements referred to in paragraphs 2 and 3. Those implementing acts shall be adopted in accordance with the examination procedure referred to in Article 15(2). ”;</w:t>
      </w:r>
    </w:p>
    <w:p>
      <w:pPr>
        <w:pStyle w:val="Point0number"/>
        <w:rPr>
          <w:noProof/>
        </w:rPr>
      </w:pPr>
      <w:r>
        <w:rPr>
          <w:noProof/>
        </w:rPr>
        <w:t>Article 5 is amended as follows:</w:t>
      </w:r>
    </w:p>
    <w:p>
      <w:pPr>
        <w:pStyle w:val="Point1letter"/>
        <w:rPr>
          <w:noProof/>
        </w:rPr>
      </w:pPr>
      <w:r>
        <w:rPr>
          <w:noProof/>
        </w:rPr>
        <w:t>paragraph 1 is replaced by the following:</w:t>
      </w:r>
    </w:p>
    <w:p>
      <w:pPr>
        <w:pStyle w:val="Text1"/>
        <w:rPr>
          <w:noProof/>
        </w:rPr>
      </w:pPr>
      <w:r>
        <w:rPr>
          <w:noProof/>
        </w:rPr>
        <w:t>“1.</w:t>
      </w:r>
      <w:r>
        <w:rPr>
          <w:noProof/>
        </w:rPr>
        <w:tab/>
        <w:t xml:space="preserve">The manufacturer shall equip vehicles so that the components likely to affect emissions are designed, constructed and assembled so as to enable the vehicle, in normal use, to comply with this Regulation.”; </w:t>
      </w:r>
    </w:p>
    <w:p>
      <w:pPr>
        <w:pStyle w:val="Point1letter"/>
        <w:rPr>
          <w:noProof/>
        </w:rPr>
      </w:pPr>
      <w:r>
        <w:rPr>
          <w:noProof/>
        </w:rPr>
        <w:t>in paragraph 3, the introductory sentence is replaced by the following:</w:t>
      </w:r>
    </w:p>
    <w:p>
      <w:pPr>
        <w:pStyle w:val="Point0"/>
        <w:rPr>
          <w:noProof/>
        </w:rPr>
      </w:pPr>
      <w:r>
        <w:rPr>
          <w:noProof/>
        </w:rPr>
        <w:tab/>
        <w:t xml:space="preserve">“3. </w:t>
      </w:r>
      <w:r>
        <w:rPr>
          <w:noProof/>
        </w:rPr>
        <w:tab/>
        <w:t>The Commission is empowered to adopt delegated acts in accordance with Article 14a in order to supplement paragraphs 1 and 2 by laying down specific requirements and developing the specific procedures, tests and requirements for type-approval set out in this paragraph relating to in particular:”;</w:t>
      </w:r>
    </w:p>
    <w:p>
      <w:pPr>
        <w:pStyle w:val="Point0number"/>
        <w:rPr>
          <w:noProof/>
        </w:rPr>
      </w:pPr>
      <w:r>
        <w:rPr>
          <w:noProof/>
        </w:rPr>
        <w:t>in Article 6(7), the second sentence is replaced by the following:</w:t>
      </w:r>
    </w:p>
    <w:p>
      <w:pPr>
        <w:pStyle w:val="Text1"/>
        <w:rPr>
          <w:noProof/>
        </w:rPr>
      </w:pPr>
      <w:r>
        <w:rPr>
          <w:noProof/>
        </w:rPr>
        <w:t>“In the event that such information is not yet available, or does not yet conform to this Regulation at that point in time, the manufacturer shall provide it within six months from the date of type approval. ”;</w:t>
      </w:r>
    </w:p>
    <w:p>
      <w:pPr>
        <w:pStyle w:val="Point0number"/>
        <w:rPr>
          <w:noProof/>
        </w:rPr>
      </w:pPr>
      <w:r>
        <w:rPr>
          <w:noProof/>
        </w:rPr>
        <w:t>Article 8 is replaced by the following:</w:t>
      </w:r>
    </w:p>
    <w:p>
      <w:pPr>
        <w:pStyle w:val="Point0"/>
        <w:jc w:val="center"/>
        <w:rPr>
          <w:i/>
          <w:noProof/>
        </w:rPr>
      </w:pPr>
      <w:r>
        <w:rPr>
          <w:noProof/>
        </w:rPr>
        <w:t>“</w:t>
      </w:r>
      <w:r>
        <w:rPr>
          <w:i/>
          <w:noProof/>
        </w:rPr>
        <w:t>Article 8</w:t>
      </w:r>
    </w:p>
    <w:p>
      <w:pPr>
        <w:pStyle w:val="Point0"/>
        <w:jc w:val="center"/>
        <w:rPr>
          <w:i/>
          <w:noProof/>
        </w:rPr>
      </w:pPr>
      <w:r>
        <w:rPr>
          <w:i/>
          <w:noProof/>
        </w:rPr>
        <w:t>Delegated acts on access to vehicle repair and maintenance information</w:t>
      </w:r>
    </w:p>
    <w:p>
      <w:pPr>
        <w:ind w:left="720"/>
        <w:rPr>
          <w:noProof/>
        </w:rPr>
      </w:pPr>
      <w:r>
        <w:rPr>
          <w:noProof/>
        </w:rPr>
        <w:t>The Commission is empowered to adopt delegated acts in accordance with Article 14a in order to supplement Articles 6 and 7. This shall include the definition and updating of technical specifications relating to the way in which OBD and vehicle repair and maintenance information shall be provided, with special attention being paid to the specific needs of SMEs.”;</w:t>
      </w:r>
    </w:p>
    <w:p>
      <w:pPr>
        <w:pStyle w:val="Point0number"/>
        <w:rPr>
          <w:noProof/>
        </w:rPr>
      </w:pPr>
      <w:r>
        <w:rPr>
          <w:noProof/>
        </w:rPr>
        <w:t>Article 10 is amended as follows:</w:t>
      </w:r>
    </w:p>
    <w:p>
      <w:pPr>
        <w:pStyle w:val="Point0letter"/>
        <w:tabs>
          <w:tab w:val="clear" w:pos="850"/>
        </w:tabs>
        <w:ind w:left="1560" w:hanging="720"/>
        <w:rPr>
          <w:noProof/>
        </w:rPr>
      </w:pPr>
      <w:r>
        <w:rPr>
          <w:noProof/>
        </w:rPr>
        <w:t>paragraph 1 is replaced by the following:</w:t>
      </w:r>
    </w:p>
    <w:p>
      <w:pPr>
        <w:pStyle w:val="Text1"/>
        <w:rPr>
          <w:noProof/>
        </w:rPr>
      </w:pPr>
      <w:r>
        <w:rPr>
          <w:noProof/>
        </w:rPr>
        <w:t xml:space="preserve">“1.  With effect from 2 July 2007, if a manufacturer so requests, the national authorities may not, on grounds relating to emissions or fuel consumption of vehicles, refuse to grant EC type approval or national type approval for a new type of vehicle, or prohibit the registration, sale or entry into service of a new vehicle, where the vehicle concerned complies with this Regulation, and in particular with the Euro 5 limit values set out in Table 1 of Annex I or with the Euro 6 limit values set out in Table 2 of Annex I, subject to the second subparagraph of Article 4(1).” </w:t>
      </w:r>
    </w:p>
    <w:p>
      <w:pPr>
        <w:pStyle w:val="Point0letter"/>
        <w:tabs>
          <w:tab w:val="clear" w:pos="850"/>
        </w:tabs>
        <w:ind w:left="1560" w:hanging="720"/>
        <w:rPr>
          <w:noProof/>
        </w:rPr>
      </w:pPr>
      <w:r>
        <w:rPr>
          <w:noProof/>
        </w:rPr>
        <w:t>paragraphs 4 and 5 are replaced by the following:</w:t>
      </w:r>
    </w:p>
    <w:p>
      <w:pPr>
        <w:pStyle w:val="Text1"/>
        <w:rPr>
          <w:noProof/>
        </w:rPr>
      </w:pPr>
      <w:r>
        <w:rPr>
          <w:noProof/>
        </w:rPr>
        <w:t>“4. With effect from 1 September 2014, and from 1 September 2015 in the case of category N</w:t>
      </w:r>
      <w:r>
        <w:rPr>
          <w:rStyle w:val="subscript"/>
          <w:noProof/>
          <w:vertAlign w:val="subscript"/>
        </w:rPr>
        <w:t>1</w:t>
      </w:r>
      <w:r>
        <w:rPr>
          <w:noProof/>
        </w:rPr>
        <w:t xml:space="preserve"> class II and III and category N</w:t>
      </w:r>
      <w:r>
        <w:rPr>
          <w:rStyle w:val="subscript"/>
          <w:noProof/>
          <w:vertAlign w:val="subscript"/>
        </w:rPr>
        <w:t>2</w:t>
      </w:r>
      <w:r>
        <w:rPr>
          <w:noProof/>
        </w:rPr>
        <w:t xml:space="preserve"> vehicles, the national authorities shall refuse, on grounds relating to emissions or fuel consumption, to grant EC type approval or national type approval for new types of vehicle which do not comply </w:t>
      </w:r>
      <w:r>
        <w:rPr>
          <w:noProof/>
        </w:rPr>
        <w:lastRenderedPageBreak/>
        <w:t xml:space="preserve">with this Regulation, and in particular with the Euro 6 limit values set out in Table 2 of Annex I. </w:t>
      </w:r>
    </w:p>
    <w:p>
      <w:pPr>
        <w:pStyle w:val="Text1"/>
        <w:rPr>
          <w:noProof/>
        </w:rPr>
      </w:pPr>
      <w:r>
        <w:rPr>
          <w:noProof/>
        </w:rPr>
        <w:t>The compliance with the Euro 6 limit values shall, during any valid RDE test, be determined by taking into account the pollutant-specific conformity factor set out in Table 2a of Annex I in accordance with the second subparagraph of Article 4(1).</w:t>
      </w:r>
    </w:p>
    <w:p>
      <w:pPr>
        <w:pStyle w:val="Text1"/>
        <w:rPr>
          <w:noProof/>
        </w:rPr>
      </w:pPr>
      <w:r>
        <w:rPr>
          <w:noProof/>
        </w:rPr>
        <w:t>5.  With effect from 1 September 2015, and from 1 September 2016 in the case of category N</w:t>
      </w:r>
      <w:r>
        <w:rPr>
          <w:rStyle w:val="subscript"/>
          <w:noProof/>
          <w:vertAlign w:val="subscript"/>
        </w:rPr>
        <w:t>1</w:t>
      </w:r>
      <w:r>
        <w:rPr>
          <w:noProof/>
        </w:rPr>
        <w:t xml:space="preserve"> class II and III and category N</w:t>
      </w:r>
      <w:r>
        <w:rPr>
          <w:rStyle w:val="subscript"/>
          <w:noProof/>
          <w:vertAlign w:val="subscript"/>
        </w:rPr>
        <w:t>2</w:t>
      </w:r>
      <w:r>
        <w:rPr>
          <w:noProof/>
        </w:rPr>
        <w:t xml:space="preserve"> vehicles, national authorities shall, in the case of new vehicles which do not comply with this Regulation, and in particular with the Euro 6 limit values set out in Table 2 of Annex I, ["as determined in accordance with the second subparagraph of paragraph 4",] consider certificates of conformity to be no longer valid for the purposes of Article 18 of Directive 2007/46/EC and shall, on grounds relating to emissions or fuel consumption, prohibit the registration, sale or entry into service of such vehicles. </w:t>
      </w:r>
    </w:p>
    <w:p>
      <w:pPr>
        <w:pStyle w:val="Text1"/>
        <w:rPr>
          <w:noProof/>
        </w:rPr>
      </w:pPr>
      <w:r>
        <w:rPr>
          <w:noProof/>
        </w:rPr>
        <w:t>The compliance with the Euro 6 limit values shall, during any valid RDE test, be determined by taking into account the pollutant-specific conformity factor set out in Table 2a of Annex I in accordance with the second subparagraph of Article 4(1).”;</w:t>
      </w:r>
    </w:p>
    <w:p>
      <w:pPr>
        <w:pStyle w:val="Point0number"/>
        <w:rPr>
          <w:noProof/>
        </w:rPr>
      </w:pPr>
      <w:r>
        <w:rPr>
          <w:noProof/>
        </w:rPr>
        <w:t>Article 11(1) is replaced by the following:</w:t>
      </w:r>
    </w:p>
    <w:p>
      <w:pPr>
        <w:pStyle w:val="Text1"/>
        <w:rPr>
          <w:noProof/>
        </w:rPr>
      </w:pPr>
      <w:r>
        <w:rPr>
          <w:noProof/>
        </w:rPr>
        <w:t>“1.  For new replacement pollution control devices intended to be fitted on vehicles approved under this Regulation, national authorities shall prohibit their sale or installation on a vehicle if they are not of a type in respect of which a type approval has been granted in compliance with this Regulation.”;</w:t>
      </w:r>
    </w:p>
    <w:p>
      <w:pPr>
        <w:pStyle w:val="Point0number"/>
        <w:rPr>
          <w:noProof/>
        </w:rPr>
      </w:pPr>
      <w:r>
        <w:rPr>
          <w:noProof/>
        </w:rPr>
        <w:t>in Article 12(1), the first subparagraph is replaced by the following:</w:t>
      </w:r>
    </w:p>
    <w:p>
      <w:pPr>
        <w:pStyle w:val="Text1"/>
        <w:rPr>
          <w:noProof/>
        </w:rPr>
      </w:pPr>
      <w:r>
        <w:rPr>
          <w:noProof/>
        </w:rPr>
        <w:t>“1.  Member States may make provision for financial incentives that apply to vehicles in series production which comply with this Regulation.”;</w:t>
      </w:r>
    </w:p>
    <w:p>
      <w:pPr>
        <w:pStyle w:val="Point0number"/>
        <w:rPr>
          <w:noProof/>
        </w:rPr>
      </w:pPr>
      <w:r>
        <w:rPr>
          <w:noProof/>
        </w:rPr>
        <w:t>in Article 14,  paragraphs 2 and 3 are replaced by the following:</w:t>
      </w:r>
    </w:p>
    <w:p>
      <w:pPr>
        <w:pStyle w:val="Text2"/>
        <w:ind w:left="720"/>
        <w:rPr>
          <w:noProof/>
        </w:rPr>
      </w:pPr>
      <w:r>
        <w:rPr>
          <w:noProof/>
        </w:rPr>
        <w:t>“2. The Commission is empowered to adopt delegated acts in accordance with Article 14a in order to adopt the following measures based on the results of the UNECE Particulate Measurement Programme, conducted under the auspices of the World Forum for Harmonisation of Vehicle Regulations, without lowering the level of environmental protection within the Union:</w:t>
      </w:r>
    </w:p>
    <w:p>
      <w:pPr>
        <w:pStyle w:val="Text2"/>
        <w:ind w:left="720"/>
        <w:rPr>
          <w:noProof/>
        </w:rPr>
      </w:pPr>
      <w:r>
        <w:rPr>
          <w:noProof/>
        </w:rPr>
        <w:t xml:space="preserve">(a) </w:t>
      </w:r>
      <w:r>
        <w:rPr>
          <w:noProof/>
        </w:rPr>
        <w:tab/>
        <w:t>amend this Regulation for the purposes of reviewing the particulate mass and particle number limit values set out in Annex I;</w:t>
      </w:r>
    </w:p>
    <w:p>
      <w:pPr>
        <w:pStyle w:val="Text2"/>
        <w:ind w:left="720"/>
        <w:rPr>
          <w:noProof/>
        </w:rPr>
      </w:pPr>
      <w:r>
        <w:rPr>
          <w:noProof/>
        </w:rPr>
        <w:t xml:space="preserve">(b) </w:t>
      </w:r>
      <w:r>
        <w:rPr>
          <w:noProof/>
        </w:rPr>
        <w:tab/>
        <w:t>supplement this Regulation by the adoption of a revised measurement procedure for particle numbers.</w:t>
      </w:r>
    </w:p>
    <w:p>
      <w:pPr>
        <w:pStyle w:val="Text2"/>
        <w:ind w:left="709"/>
        <w:rPr>
          <w:noProof/>
        </w:rPr>
      </w:pPr>
      <w:r>
        <w:rPr>
          <w:noProof/>
        </w:rPr>
        <w:t xml:space="preserve">3. The Commission is empowered to adopt delegated acts in accordance with Article 14a: </w:t>
      </w:r>
    </w:p>
    <w:p>
      <w:pPr>
        <w:pStyle w:val="Text2"/>
        <w:ind w:left="709"/>
        <w:rPr>
          <w:noProof/>
        </w:rPr>
      </w:pPr>
      <w:r>
        <w:rPr>
          <w:noProof/>
        </w:rPr>
        <w:t xml:space="preserve">(a) supplementing this Regulation in order to adapt the procedures, tests and requirements as well as the test cycles used to measure emissions in order to adequately reflect real driving emissions; </w:t>
      </w:r>
    </w:p>
    <w:p>
      <w:pPr>
        <w:pStyle w:val="Text2"/>
        <w:ind w:left="709"/>
        <w:rPr>
          <w:noProof/>
        </w:rPr>
      </w:pPr>
      <w:r>
        <w:rPr>
          <w:noProof/>
        </w:rPr>
        <w:t xml:space="preserve">(b) amending this Regulation in order to adapt to technical progress the pollutant-specific final conformity factors set out in Table 2a to Annex I.”; </w:t>
      </w:r>
    </w:p>
    <w:p>
      <w:pPr>
        <w:pStyle w:val="Point0number"/>
        <w:rPr>
          <w:noProof/>
        </w:rPr>
      </w:pPr>
      <w:r>
        <w:rPr>
          <w:noProof/>
        </w:rPr>
        <w:t>the following Article 14a is inserted:</w:t>
      </w:r>
    </w:p>
    <w:p>
      <w:pPr>
        <w:pStyle w:val="Point0"/>
        <w:jc w:val="center"/>
        <w:rPr>
          <w:i/>
          <w:iCs/>
          <w:noProof/>
        </w:rPr>
      </w:pPr>
      <w:r>
        <w:rPr>
          <w:i/>
          <w:iCs/>
          <w:noProof/>
        </w:rPr>
        <w:t>“Article 14a</w:t>
      </w:r>
    </w:p>
    <w:p>
      <w:pPr>
        <w:pStyle w:val="Point0"/>
        <w:jc w:val="center"/>
        <w:rPr>
          <w:i/>
          <w:iCs/>
          <w:noProof/>
        </w:rPr>
      </w:pPr>
      <w:r>
        <w:rPr>
          <w:i/>
          <w:iCs/>
          <w:noProof/>
        </w:rPr>
        <w:lastRenderedPageBreak/>
        <w:t>Exercise of the delegation</w:t>
      </w:r>
    </w:p>
    <w:p>
      <w:pPr>
        <w:pStyle w:val="Point1"/>
        <w:rPr>
          <w:noProof/>
        </w:rPr>
      </w:pPr>
      <w:r>
        <w:rPr>
          <w:noProof/>
        </w:rPr>
        <w:t xml:space="preserve">1.   </w:t>
      </w:r>
      <w:r>
        <w:rPr>
          <w:noProof/>
        </w:rPr>
        <w:tab/>
        <w:t>The  power  to  adopt  delegated  acts  is  conferred  on  the  Commission  subject  to  the  conditions  laid  down  in  this  Article.</w:t>
      </w:r>
    </w:p>
    <w:p>
      <w:pPr>
        <w:pStyle w:val="Point1"/>
        <w:rPr>
          <w:noProof/>
        </w:rPr>
      </w:pPr>
      <w:r>
        <w:rPr>
          <w:noProof/>
        </w:rPr>
        <w:t xml:space="preserve">2.     The  power  to  adopt  delegated  acts  referred  to  in  Article  5(3), Article 8 and Article 14(2) and (3)  shall  be  conferred  on  the  Commission  for  a  period  of  five years  from  ...  </w:t>
      </w:r>
      <w:r>
        <w:rPr>
          <w:i/>
          <w:noProof/>
        </w:rPr>
        <w:t>[date  of  entry  into  force ]</w:t>
      </w:r>
      <w:r>
        <w:rPr>
          <w:noProof/>
        </w:rPr>
        <w:t>.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pStyle w:val="Point1"/>
        <w:rPr>
          <w:noProof/>
        </w:rPr>
      </w:pPr>
      <w:r>
        <w:rPr>
          <w:noProof/>
        </w:rPr>
        <w:t xml:space="preserve">3.   </w:t>
      </w:r>
      <w:r>
        <w:rPr>
          <w:noProof/>
        </w:rPr>
        <w:tab/>
        <w:t>The  delegation  of  power  referred  to  in  Article  5(3), Article 8 and Article 14(2) and (3)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pStyle w:val="Point1"/>
        <w:rPr>
          <w:noProof/>
        </w:rPr>
      </w:pPr>
      <w:r>
        <w:rPr>
          <w:noProof/>
        </w:rPr>
        <w:t xml:space="preserve">4.  </w:t>
      </w:r>
      <w:r>
        <w:rPr>
          <w:noProof/>
        </w:rPr>
        <w:tab/>
        <w:t>Before  adopting  a  delegated  act,  the  Commission  shall  consult  experts  designated  by  each  Member  State  in  accordance  with  the  principles  laid  down  in  the  Interinstitutional  Agreement  on  Better  Law-Making  of  13   April  2016.</w:t>
      </w:r>
    </w:p>
    <w:p>
      <w:pPr>
        <w:pStyle w:val="Point1"/>
        <w:rPr>
          <w:noProof/>
        </w:rPr>
      </w:pPr>
      <w:r>
        <w:rPr>
          <w:noProof/>
        </w:rPr>
        <w:t xml:space="preserve">5.   </w:t>
      </w:r>
      <w:r>
        <w:rPr>
          <w:noProof/>
        </w:rPr>
        <w:tab/>
        <w:t>As  soon  as  it  adopts  a  delegated  act,  the  Commission  shall  notify  it  simultaneously  to  the  European  Parliament  and  to  the  Council.</w:t>
      </w:r>
    </w:p>
    <w:p>
      <w:pPr>
        <w:pStyle w:val="Point1"/>
        <w:rPr>
          <w:noProof/>
        </w:rPr>
      </w:pPr>
      <w:r>
        <w:rPr>
          <w:noProof/>
        </w:rPr>
        <w:t xml:space="preserve">6.  </w:t>
      </w:r>
      <w:r>
        <w:rPr>
          <w:noProof/>
        </w:rPr>
        <w:tab/>
        <w:t>A  delegated  act  adopted  pursuant  to  Article  5(3), Article 8 and Article 14(2) and (3)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Point0number"/>
        <w:rPr>
          <w:noProof/>
        </w:rPr>
      </w:pPr>
      <w:r>
        <w:rPr>
          <w:noProof/>
        </w:rPr>
        <w:t>Article 15 is replaced by the following:</w:t>
      </w:r>
    </w:p>
    <w:p>
      <w:pPr>
        <w:pStyle w:val="Point1"/>
        <w:ind w:left="0" w:firstLine="0"/>
        <w:jc w:val="center"/>
        <w:rPr>
          <w:i/>
          <w:noProof/>
        </w:rPr>
      </w:pPr>
      <w:r>
        <w:rPr>
          <w:i/>
          <w:iCs/>
          <w:noProof/>
        </w:rPr>
        <w:t>“Article 15</w:t>
      </w:r>
    </w:p>
    <w:p>
      <w:pPr>
        <w:pStyle w:val="Point1"/>
        <w:ind w:left="0" w:firstLine="0"/>
        <w:jc w:val="center"/>
        <w:rPr>
          <w:i/>
          <w:noProof/>
        </w:rPr>
      </w:pPr>
      <w:r>
        <w:rPr>
          <w:i/>
          <w:noProof/>
        </w:rPr>
        <w:t>Committee procedure</w:t>
      </w:r>
    </w:p>
    <w:p>
      <w:pPr>
        <w:pStyle w:val="ManualNumPar1"/>
        <w:rPr>
          <w:noProof/>
        </w:rPr>
      </w:pPr>
      <w:r>
        <w:t>1.</w:t>
      </w:r>
      <w:r>
        <w:tab/>
      </w:r>
      <w:r>
        <w:rPr>
          <w:noProof/>
        </w:rPr>
        <w:t>The Commission shall be assisted by the committee referred to in Article 40(1) Directive 2007/46/EC. That committee shall be a committee within the meaning of Regulation (EU) No 182/2011.</w:t>
      </w:r>
    </w:p>
    <w:p>
      <w:pPr>
        <w:pStyle w:val="ManualNumPar1"/>
        <w:rPr>
          <w:noProof/>
        </w:rPr>
      </w:pPr>
      <w:r>
        <w:t>2.</w:t>
      </w:r>
      <w:r>
        <w:tab/>
      </w:r>
      <w:r>
        <w:rPr>
          <w:noProof/>
        </w:rPr>
        <w:t>Where reference is made to this paragraph, Article 5 of Regulation (EU) No 182/2011 shall apply.”;</w:t>
      </w:r>
    </w:p>
    <w:p>
      <w:pPr>
        <w:pStyle w:val="Point0number"/>
        <w:rPr>
          <w:noProof/>
        </w:rPr>
      </w:pPr>
      <w:r>
        <w:rPr>
          <w:noProof/>
        </w:rPr>
        <w:t>Annex I is amended in accordance with the Annex to this Regulation.</w:t>
      </w:r>
    </w:p>
    <w:p>
      <w:pPr>
        <w:pStyle w:val="Titrearticle"/>
        <w:rPr>
          <w:noProof/>
        </w:rPr>
      </w:pPr>
      <w:r>
        <w:rPr>
          <w:noProof/>
        </w:rPr>
        <w:lastRenderedPageBreak/>
        <w:t>Article 2</w:t>
      </w:r>
    </w:p>
    <w:p>
      <w:pPr>
        <w:rPr>
          <w:noProof/>
        </w:rPr>
      </w:pPr>
      <w:r>
        <w:rPr>
          <w:noProof/>
        </w:rPr>
        <w:t>This Regulation shall not affect pending procedures under Article 5(3), Article 8 and Article 14(2) and (3) of Regulation (EC) No 715/2007 in which the committee has already delivered its opinion in accordance with Article 5a of Decision 1999/468/EC.</w:t>
      </w:r>
    </w:p>
    <w:p>
      <w:pPr>
        <w:pStyle w:val="Titrearticle"/>
        <w:rPr>
          <w:noProof/>
        </w:rPr>
      </w:pPr>
      <w:r>
        <w:rPr>
          <w:noProof/>
        </w:rPr>
        <w:t>Article 3</w:t>
      </w:r>
    </w:p>
    <w:p>
      <w:pPr>
        <w:rPr>
          <w:noProof/>
        </w:rPr>
      </w:pPr>
      <w:r>
        <w:rPr>
          <w:noProof/>
        </w:rPr>
        <w:t xml:space="preserve">This Regulation shall enter into force on the third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109, 26.4.2016, p. 1.</w:t>
      </w:r>
    </w:p>
  </w:footnote>
  <w:footnote w:id="3">
    <w:p>
      <w:pPr>
        <w:pStyle w:val="FootnoteText"/>
      </w:pPr>
      <w:r>
        <w:rPr>
          <w:rStyle w:val="FootnoteReference"/>
        </w:rPr>
        <w:footnoteRef/>
      </w:r>
      <w:r>
        <w:tab/>
        <w:t>Regulation (EC) No 715/2007 of the European Parliament and of the Council of 20 June 2007 on type approval of motor vehicles with respect to emissions from light passenger and commercial vehicles (Euro 5 and Euro 6) and on access to vehicle repair and maintenance information, OJ L 171, 29.6.2007, p. 1.</w:t>
      </w:r>
    </w:p>
  </w:footnote>
  <w:footnote w:id="4">
    <w:p>
      <w:pPr>
        <w:pStyle w:val="FootnoteText"/>
      </w:pPr>
      <w:r>
        <w:rPr>
          <w:rStyle w:val="FootnoteReference"/>
        </w:rPr>
        <w:footnoteRef/>
      </w:r>
      <w:r>
        <w:tab/>
        <w:t>Commission Regulation (EU) 2016/427 of 10 March 2016 amending Regulation (EC) No 692/2008 as regards emissions from light passenger and commercial vehicles (Euro 6), OJ L 82, 31.3.2016, p. 1.</w:t>
      </w:r>
    </w:p>
  </w:footnote>
  <w:footnote w:id="5">
    <w:p>
      <w:pPr>
        <w:pStyle w:val="FootnoteText"/>
      </w:pPr>
      <w:r>
        <w:rPr>
          <w:rStyle w:val="FootnoteReference"/>
        </w:rPr>
        <w:footnoteRef/>
      </w:r>
      <w:r>
        <w:tab/>
        <w:t>Commission Regulation (EU) 2016/646 of 20 April 2016 amending Regulation (EC) No 692/2008 as regards emissions from light passenger and commercial vehicles (Euro 6), OJ L 109, 26.4.2016, p. 1.</w:t>
      </w:r>
    </w:p>
  </w:footnote>
  <w:footnote w:id="6">
    <w:p>
      <w:pPr>
        <w:pStyle w:val="FootnoteText"/>
      </w:pPr>
      <w:r>
        <w:rPr>
          <w:rStyle w:val="FootnoteReference"/>
        </w:rPr>
        <w:footnoteRef/>
      </w:r>
      <w:r>
        <w:tab/>
        <w:t>Commission Regulation (EU) 2017/1154 of 7 June 2017 amending Regulation (EU) 2017/1151 supplementing Regulation (EC) No 715/2007 of the European Parliament and of the Council on type-approval of motor vehicles with respect to emissions from light passenger and commercial vehicles (Euro 5 and Euro 6) and on access to vehicle repair and maintenance information, amending Directive 2007/46/EC of the European Parliament and of the Council, Commission Regulation (EC) No 692/2008 and Commission Regulation (EU) No 1230/2012 and repealing Regulation (EC) No 692/2008 and Directive 2007/46/EC of the European Parliament and of the Council as regards real-driving emissions from light passenger and commercial vehicles (Euro 6), OJ L 175, 7.7.2017, p. 708.</w:t>
      </w:r>
    </w:p>
  </w:footnote>
  <w:footnote w:id="7">
    <w:p>
      <w:pPr>
        <w:pStyle w:val="FootnoteText"/>
      </w:pPr>
      <w:r>
        <w:rPr>
          <w:rStyle w:val="FootnoteReference"/>
        </w:rPr>
        <w:footnoteRef/>
      </w:r>
      <w:r>
        <w:tab/>
        <w:t>Commission Regulation (EU) 2018/1832 of 5 November 2018 amending Directive 2007/46/EC of the European Parliament and of the Council, Commission Regulation (EC) No 692/2008 and Commission Regulation (EU) 2017/1151 for the purpose of improving the emission type approval tests and procedures for light passenger and commercial vehicles, including those for in-service conformity and real-driving emissions and introducing devices for monitoring the consumption of fuel and electric energy, OJ L 301, 27.11.2018, p. 1.</w:t>
      </w:r>
    </w:p>
  </w:footnote>
  <w:footnote w:id="8">
    <w:p>
      <w:pPr>
        <w:pStyle w:val="FootnoteText"/>
      </w:pPr>
      <w:r>
        <w:rPr>
          <w:rStyle w:val="FootnoteReference"/>
        </w:rPr>
        <w:footnoteRef/>
      </w:r>
      <w:r>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footnote>
  <w:footnote w:id="9">
    <w:p>
      <w:pPr>
        <w:pStyle w:val="FootnoteText"/>
      </w:pPr>
      <w:r>
        <w:rPr>
          <w:rStyle w:val="FootnoteReference"/>
        </w:rPr>
        <w:footnoteRef/>
      </w:r>
      <w:r>
        <w:tab/>
        <w:t>See: COM(2018)330 A Europe that protects: Clean air for all.</w:t>
      </w:r>
    </w:p>
  </w:footnote>
  <w:footnote w:id="10">
    <w:p>
      <w:pPr>
        <w:pStyle w:val="FootnoteText"/>
      </w:pPr>
      <w:r>
        <w:rPr>
          <w:rStyle w:val="FootnoteReference"/>
        </w:rPr>
        <w:footnoteRef/>
      </w:r>
      <w:r>
        <w:tab/>
        <w:t xml:space="preserve">See: EEA, 2019. Air Quality in Europe – 2018 report. </w:t>
      </w:r>
    </w:p>
    <w:p>
      <w:pPr>
        <w:pStyle w:val="FootnoteText"/>
        <w:ind w:firstLine="0"/>
      </w:pPr>
      <w:hyperlink r:id="rId1" w:history="1">
        <w:r>
          <w:rPr>
            <w:rStyle w:val="Hyperlink"/>
          </w:rPr>
          <w:t>https://www.eea.europa.eu/publications/air-quality-in-europe-2018</w:t>
        </w:r>
      </w:hyperlink>
      <w:r>
        <w:t xml:space="preserve"> </w:t>
      </w:r>
    </w:p>
  </w:footnote>
  <w:footnote w:id="11">
    <w:p>
      <w:pPr>
        <w:pStyle w:val="FootnoteText"/>
        <w:rPr>
          <w:lang w:val="en-IE"/>
        </w:rPr>
      </w:pPr>
      <w:r>
        <w:rPr>
          <w:rStyle w:val="FootnoteReference"/>
        </w:rPr>
        <w:footnoteRef/>
      </w:r>
      <w:r>
        <w:tab/>
        <w:t>Road  traffic  is  responsible  for  around  40%  of  nitrogen  oxides  emissions  in  the  EU.  Of  the  total  emitted nitrogen oxides from traffic, around 80% comes from diesel powered vehicles.</w:t>
      </w:r>
    </w:p>
  </w:footnote>
  <w:footnote w:id="12">
    <w:p>
      <w:pPr>
        <w:pStyle w:val="FootnoteText"/>
      </w:pPr>
      <w:r>
        <w:rPr>
          <w:rStyle w:val="FootnoteReference"/>
        </w:rPr>
        <w:footnoteRef/>
      </w:r>
      <w:r>
        <w:tab/>
        <w:t>The Euro 6 NOx limit value was introduced in 2007 and became applicable to new types in September 2014 and to new vehicles in September 2015.</w:t>
      </w:r>
    </w:p>
  </w:footnote>
  <w:footnote w:id="13">
    <w:p>
      <w:pPr>
        <w:pStyle w:val="FootnoteText"/>
      </w:pPr>
      <w:r>
        <w:rPr>
          <w:rStyle w:val="FootnoteReference"/>
        </w:rPr>
        <w:footnoteRef/>
      </w:r>
      <w:r>
        <w:tab/>
        <w:t>Commission staff working document - Annex to the Proposal for a Regulation of the European Parliament and of the Council on type approval of motor vehicles with respect to emissions and on access to vehicle repair information, amending Directive 72/306/EEC and Directive ../../EC - Impact Assessment {COM(2005) 683 final}.</w:t>
      </w:r>
    </w:p>
    <w:p>
      <w:pPr>
        <w:pStyle w:val="FootnoteText"/>
      </w:pPr>
      <w:r>
        <w:t>/* SEC/2005/1745 */</w:t>
      </w:r>
    </w:p>
  </w:footnote>
  <w:footnote w:id="14">
    <w:p>
      <w:pPr>
        <w:pStyle w:val="FootnoteText"/>
      </w:pPr>
      <w:r>
        <w:rPr>
          <w:rStyle w:val="FootnoteReference"/>
        </w:rPr>
        <w:footnoteRef/>
      </w:r>
      <w:r>
        <w:tab/>
        <w:t>OJ C , , p. .</w:t>
      </w:r>
    </w:p>
  </w:footnote>
  <w:footnote w:id="15">
    <w:p>
      <w:pPr>
        <w:pStyle w:val="FootnoteText"/>
      </w:pPr>
      <w:r>
        <w:rPr>
          <w:rStyle w:val="FootnoteReference"/>
        </w:rPr>
        <w:footnoteRef/>
      </w:r>
      <w:r>
        <w:tab/>
        <w:t>Regulation (EC) No 715/2007 of the European Parliament and of the Council of 20 June 2007 on type approval of motor vehicles with respect to emissions from light passenger and commercial vehicles (Euro 5 and Euro 6) and on access to vehicle repair and maintenance information (OJ L 171, 29.6.2007, p. 1).</w:t>
      </w:r>
    </w:p>
  </w:footnote>
  <w:footnote w:id="16">
    <w:p>
      <w:pPr>
        <w:pStyle w:val="FootnoteText"/>
      </w:pPr>
      <w:r>
        <w:rPr>
          <w:rStyle w:val="FootnoteReference"/>
        </w:rPr>
        <w:footnoteRef/>
      </w:r>
      <w:r>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footnote>
  <w:footnote w:id="17">
    <w:p>
      <w:pPr>
        <w:pStyle w:val="FootnoteText"/>
      </w:pPr>
      <w:r>
        <w:rPr>
          <w:rStyle w:val="FootnoteReference"/>
        </w:rPr>
        <w:footnoteRef/>
      </w:r>
      <w:r>
        <w:tab/>
        <w:t>Commission Regulation (EC) No 692/2008 of 18 July 2008 implementing and amending Regulation (EC) No 715/2007 of the European Parliament and of the Council on type-approval of motor vehicles with respect to emissions from light passenger and commercial vehicles (Euro 5 and Euro 6) and on access to vehicle repair and maintenance information (OJ L 199, 28.7.2008, p. 1).</w:t>
      </w:r>
    </w:p>
  </w:footnote>
  <w:footnote w:id="18">
    <w:p>
      <w:pPr>
        <w:pStyle w:val="FootnoteText"/>
      </w:pPr>
      <w:r>
        <w:rPr>
          <w:rStyle w:val="FootnoteReference"/>
        </w:rPr>
        <w:footnoteRef/>
      </w:r>
      <w:r>
        <w:tab/>
        <w:t>Commission Regulation (EU) 2017/1151 of 1 June 2017 supplementing Regulation (EC) No 715/2007 of the European Parliament and of the Council on type-approval of motor vehicles with respect to emissions from light passenger and commercial vehicles (Euro 5 and Euro 6) and on access to vehicle repair and maintenance information, amending Directive 2007/46/EC of the European Parliament and of the Council, Commission Regulation (EC) No 692/2008 and Commission Regulation (EU) No 1230/2012 and repealing Commission Regulation (EC) No 692/2008 (OJ L 175, 7.7.2017, p. 1).</w:t>
      </w:r>
    </w:p>
  </w:footnote>
  <w:footnote w:id="19">
    <w:p>
      <w:pPr>
        <w:pStyle w:val="FootnoteText"/>
      </w:pPr>
      <w:r>
        <w:rPr>
          <w:rStyle w:val="FootnoteReference"/>
        </w:rPr>
        <w:footnoteRef/>
      </w:r>
      <w:r>
        <w:tab/>
      </w:r>
      <w:r>
        <w:rPr>
          <w:bCs/>
        </w:rPr>
        <w:t>Commission Regulation (EU) 2016/427 of 10 March 2016 amending Regulation (EC) No 692/2008 as regards emissions from light passenger and commercial vehicles (Euro 6) (OJ L 82, 31.03.2016, p.1).</w:t>
      </w:r>
    </w:p>
  </w:footnote>
  <w:footnote w:id="20">
    <w:p>
      <w:pPr>
        <w:pStyle w:val="FootnoteText"/>
      </w:pPr>
      <w:r>
        <w:rPr>
          <w:rStyle w:val="FootnoteReference"/>
        </w:rPr>
        <w:footnoteRef/>
      </w:r>
      <w:r>
        <w:tab/>
      </w:r>
      <w:r>
        <w:rPr>
          <w:bCs/>
        </w:rPr>
        <w:t>Commission Regulation (EU) 2016/646 of 20 April 2016 amending Regulation (EC) No 692/2008 as regards emissions from light passenger and commercial vehicles (Euro 6) (OJ L 109, 26.04.2016, p.1).</w:t>
      </w:r>
    </w:p>
  </w:footnote>
  <w:footnote w:id="21">
    <w:p>
      <w:pPr>
        <w:pStyle w:val="FootnoteText"/>
      </w:pPr>
      <w:r>
        <w:rPr>
          <w:rStyle w:val="FootnoteReference"/>
        </w:rPr>
        <w:footnoteRef/>
      </w:r>
      <w:r>
        <w:tab/>
        <w:t>Commission Regulation (EU) 2017/1154 of 7 June 2017 amending Regulation (EU) 2017/1151 supplementing Regulation (EC) No 715/2007 of the European Parliament and of the Council on type-approval of motor vehicles with respect to emissions from light passenger and commercial vehicles (Euro 5 and Euro 6) and on access to vehicle repair and maintenance information, amending Directive 2007/46/EC of the European Parliament and of the Council, Commission Regulation (EC) No 692/2008 and Commission Regulation (EU) No 1230/2012 and repealing Regulation (EC) No 692/2008 and Directive 2007/46/EC of the European Parliament and of the Council as regards real-driving as regards emissions from light passenger and commercial vehicles (Euro 6) (OJ L 175, 07.07.2017, p.708)</w:t>
      </w:r>
    </w:p>
  </w:footnote>
  <w:footnote w:id="22">
    <w:p>
      <w:pPr>
        <w:pStyle w:val="FootnoteText"/>
      </w:pPr>
      <w:r>
        <w:rPr>
          <w:rStyle w:val="FootnoteReference"/>
        </w:rPr>
        <w:footnoteRef/>
      </w:r>
      <w:r>
        <w:tab/>
      </w:r>
      <w:r>
        <w:rPr>
          <w:bCs/>
        </w:rPr>
        <w:t>Commission Regulation (EU) 2016/646 of 20 April 2016 amending Regulation (EC) No 692/2008 as regards emissions from light passenger and commercial vehicles (Euro 6) (OJ L 109, 26.04.2016, p.1).</w:t>
      </w:r>
    </w:p>
  </w:footnote>
  <w:footnote w:id="23">
    <w:p>
      <w:pPr>
        <w:pStyle w:val="FootnoteText"/>
        <w:rPr>
          <w:lang w:val="fr-BE"/>
        </w:rPr>
      </w:pPr>
      <w:r>
        <w:rPr>
          <w:rStyle w:val="FootnoteReference"/>
        </w:rPr>
        <w:footnoteRef/>
      </w:r>
      <w:r>
        <w:rPr>
          <w:lang w:val="fr-BE"/>
        </w:rPr>
        <w:tab/>
        <w:t xml:space="preserve">Judgment of 13 December 2018, </w:t>
      </w:r>
      <w:r>
        <w:rPr>
          <w:i/>
          <w:lang w:val="fr-BE"/>
        </w:rPr>
        <w:t>Ville de Paris, Ville de Bruxelles</w:t>
      </w:r>
      <w:r>
        <w:rPr>
          <w:lang w:val="fr-BE"/>
        </w:rPr>
        <w:t xml:space="preserve"> and </w:t>
      </w:r>
      <w:r>
        <w:rPr>
          <w:i/>
          <w:szCs w:val="24"/>
          <w:lang w:val="fr-BE"/>
        </w:rPr>
        <w:t>Ayuntamiento de Madrid</w:t>
      </w:r>
      <w:r>
        <w:rPr>
          <w:i/>
          <w:lang w:val="fr-BE"/>
        </w:rPr>
        <w:t xml:space="preserve"> v Commission</w:t>
      </w:r>
      <w:r>
        <w:rPr>
          <w:lang w:val="fr-BE"/>
        </w:rPr>
        <w:t>, T-339/16, T-352/16 and T-391/16, EU:T:2018:927.</w:t>
      </w:r>
    </w:p>
  </w:footnote>
  <w:footnote w:id="24">
    <w:p>
      <w:pPr>
        <w:pStyle w:val="FootnoteText"/>
      </w:pPr>
      <w:r>
        <w:rPr>
          <w:rStyle w:val="FootnoteReference"/>
        </w:rPr>
        <w:footnoteRef/>
      </w:r>
      <w:r>
        <w:tab/>
        <w:t>Council Decision 1999/468/EC of 28 June 1999 laying down the procedures for the exercise of implementing powers conferred on the Commission (OJ L 184, 17.7.1999, p. 23).</w:t>
      </w:r>
    </w:p>
  </w:footnote>
  <w:footnote w:id="25">
    <w:p>
      <w:pPr>
        <w:pStyle w:val="FootnoteText"/>
      </w:pPr>
      <w:r>
        <w:rPr>
          <w:rStyle w:val="FootnoteReference"/>
        </w:rPr>
        <w:footnoteRef/>
      </w:r>
      <w:r>
        <w:tab/>
        <w:t>Regulation (EU) 182/2011 of the European Parliament and of the Council of 16 February 2011 laying down the rules and general principles concerning mechanisms for control by Member States of the Commission’s exercise of implementing powers (OJ L 55,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BD2420C"/>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ADECED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8E81F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8215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CAD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C28F3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58BC04"/>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0D54A4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0"/>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2"/>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1:43: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44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C3993D7-239B-449E-AA73-6DB9BCD62344"/>
    <w:docVar w:name="LW_COVERPAGE_TYPE" w:val="1"/>
    <w:docVar w:name="LW_CROSSREFERENCE" w:val="&lt;UNUSED&gt;"/>
    <w:docVar w:name="LW_DocType" w:val="COM"/>
    <w:docVar w:name="LW_EMISSION" w:val="14.6.2019"/>
    <w:docVar w:name="LW_EMISSION_ISODATE" w:val="2019-06-1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1"/>
    <w:docVar w:name="LW_REF.II.NEW.CP_YEAR" w:val="2019"/>
    <w:docVar w:name="LW_REF.INST.NEW" w:val="COM"/>
    <w:docVar w:name="LW_REF.INST.NEW_ADOPTED" w:val="final"/>
    <w:docVar w:name="LW_REF.INST.NEW_TEXT" w:val="(2019) 2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C) No 715/2007 on type approval of motor vehicles with respect to emissions from light passenger and commercial vehicles (Euro 5 and Euro 6) and on access to vehicle repair and maintenance information_x000b__x000b_"/>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Marker">
    <w:name w:val="CR Marker"/>
    <w:uiPriority w:val="99"/>
    <w:rPr>
      <w:rFonts w:ascii="Wingdings" w:hAnsi="Wingdings" w:cs="Wingdings"/>
    </w:rPr>
  </w:style>
  <w:style w:type="character" w:customStyle="1" w:styleId="CRRefNum">
    <w:name w:val="CR RefNum"/>
    <w:uiPriority w:val="99"/>
    <w:rPr>
      <w:vertAlign w:val="subscript"/>
    </w:rPr>
  </w:style>
  <w:style w:type="paragraph" w:styleId="ListNumber4">
    <w:name w:val="List Number 4"/>
    <w:basedOn w:val="Normal"/>
    <w:uiPriority w:val="99"/>
    <w:pPr>
      <w:numPr>
        <w:numId w:val="5"/>
      </w:numPr>
      <w:contextualSpacing/>
    </w:pPr>
    <w:rPr>
      <w:rFonts w:eastAsia="Times New Roman"/>
      <w:szCs w:val="20"/>
      <w:lang w:eastAsia="en-GB"/>
    </w:rPr>
  </w:style>
  <w:style w:type="paragraph" w:styleId="ListNumber">
    <w:name w:val="List Number"/>
    <w:basedOn w:val="Normal"/>
    <w:uiPriority w:val="99"/>
    <w:pPr>
      <w:numPr>
        <w:numId w:val="6"/>
      </w:numPr>
      <w:contextualSpacing/>
    </w:pPr>
    <w:rPr>
      <w:rFonts w:eastAsia="Times New Roman"/>
      <w:szCs w:val="20"/>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character" w:customStyle="1" w:styleId="subscript">
    <w:name w:val="subscript"/>
    <w:basedOn w:val="DefaultParagraphFont"/>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Marker">
    <w:name w:val="CR Marker"/>
    <w:uiPriority w:val="99"/>
    <w:rPr>
      <w:rFonts w:ascii="Wingdings" w:hAnsi="Wingdings" w:cs="Wingdings"/>
    </w:rPr>
  </w:style>
  <w:style w:type="character" w:customStyle="1" w:styleId="CRRefNum">
    <w:name w:val="CR RefNum"/>
    <w:uiPriority w:val="99"/>
    <w:rPr>
      <w:vertAlign w:val="subscript"/>
    </w:rPr>
  </w:style>
  <w:style w:type="paragraph" w:styleId="ListNumber4">
    <w:name w:val="List Number 4"/>
    <w:basedOn w:val="Normal"/>
    <w:uiPriority w:val="99"/>
    <w:pPr>
      <w:numPr>
        <w:numId w:val="5"/>
      </w:numPr>
      <w:contextualSpacing/>
    </w:pPr>
    <w:rPr>
      <w:rFonts w:eastAsia="Times New Roman"/>
      <w:szCs w:val="20"/>
      <w:lang w:eastAsia="en-GB"/>
    </w:rPr>
  </w:style>
  <w:style w:type="paragraph" w:styleId="ListNumber">
    <w:name w:val="List Number"/>
    <w:basedOn w:val="Normal"/>
    <w:uiPriority w:val="99"/>
    <w:pPr>
      <w:numPr>
        <w:numId w:val="6"/>
      </w:numPr>
      <w:contextualSpacing/>
    </w:pPr>
    <w:rPr>
      <w:rFonts w:eastAsia="Times New Roman"/>
      <w:szCs w:val="20"/>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character" w:customStyle="1" w:styleId="subscript">
    <w:name w:val="subscript"/>
    <w:basedOn w:val="DefaultParagraphFont"/>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29">
      <w:bodyDiv w:val="1"/>
      <w:marLeft w:val="0"/>
      <w:marRight w:val="0"/>
      <w:marTop w:val="0"/>
      <w:marBottom w:val="0"/>
      <w:divBdr>
        <w:top w:val="none" w:sz="0" w:space="0" w:color="auto"/>
        <w:left w:val="none" w:sz="0" w:space="0" w:color="auto"/>
        <w:bottom w:val="none" w:sz="0" w:space="0" w:color="auto"/>
        <w:right w:val="none" w:sz="0" w:space="0" w:color="auto"/>
      </w:divBdr>
    </w:div>
    <w:div w:id="446706826">
      <w:bodyDiv w:val="1"/>
      <w:marLeft w:val="0"/>
      <w:marRight w:val="0"/>
      <w:marTop w:val="0"/>
      <w:marBottom w:val="0"/>
      <w:divBdr>
        <w:top w:val="none" w:sz="0" w:space="0" w:color="auto"/>
        <w:left w:val="none" w:sz="0" w:space="0" w:color="auto"/>
        <w:bottom w:val="none" w:sz="0" w:space="0" w:color="auto"/>
        <w:right w:val="none" w:sz="0" w:space="0" w:color="auto"/>
      </w:divBdr>
    </w:div>
    <w:div w:id="644969006">
      <w:bodyDiv w:val="1"/>
      <w:marLeft w:val="0"/>
      <w:marRight w:val="0"/>
      <w:marTop w:val="0"/>
      <w:marBottom w:val="0"/>
      <w:divBdr>
        <w:top w:val="none" w:sz="0" w:space="0" w:color="auto"/>
        <w:left w:val="none" w:sz="0" w:space="0" w:color="auto"/>
        <w:bottom w:val="none" w:sz="0" w:space="0" w:color="auto"/>
        <w:right w:val="none" w:sz="0" w:space="0" w:color="auto"/>
      </w:divBdr>
    </w:div>
    <w:div w:id="703751810">
      <w:bodyDiv w:val="1"/>
      <w:marLeft w:val="0"/>
      <w:marRight w:val="0"/>
      <w:marTop w:val="0"/>
      <w:marBottom w:val="0"/>
      <w:divBdr>
        <w:top w:val="none" w:sz="0" w:space="0" w:color="auto"/>
        <w:left w:val="none" w:sz="0" w:space="0" w:color="auto"/>
        <w:bottom w:val="none" w:sz="0" w:space="0" w:color="auto"/>
        <w:right w:val="none" w:sz="0" w:space="0" w:color="auto"/>
      </w:divBdr>
    </w:div>
    <w:div w:id="718360136">
      <w:bodyDiv w:val="1"/>
      <w:marLeft w:val="0"/>
      <w:marRight w:val="0"/>
      <w:marTop w:val="0"/>
      <w:marBottom w:val="0"/>
      <w:divBdr>
        <w:top w:val="none" w:sz="0" w:space="0" w:color="auto"/>
        <w:left w:val="none" w:sz="0" w:space="0" w:color="auto"/>
        <w:bottom w:val="none" w:sz="0" w:space="0" w:color="auto"/>
        <w:right w:val="none" w:sz="0" w:space="0" w:color="auto"/>
      </w:divBdr>
    </w:div>
    <w:div w:id="724379253">
      <w:bodyDiv w:val="1"/>
      <w:marLeft w:val="0"/>
      <w:marRight w:val="0"/>
      <w:marTop w:val="0"/>
      <w:marBottom w:val="0"/>
      <w:divBdr>
        <w:top w:val="none" w:sz="0" w:space="0" w:color="auto"/>
        <w:left w:val="none" w:sz="0" w:space="0" w:color="auto"/>
        <w:bottom w:val="none" w:sz="0" w:space="0" w:color="auto"/>
        <w:right w:val="none" w:sz="0" w:space="0" w:color="auto"/>
      </w:divBdr>
    </w:div>
    <w:div w:id="1136025582">
      <w:bodyDiv w:val="1"/>
      <w:marLeft w:val="0"/>
      <w:marRight w:val="0"/>
      <w:marTop w:val="0"/>
      <w:marBottom w:val="0"/>
      <w:divBdr>
        <w:top w:val="none" w:sz="0" w:space="0" w:color="auto"/>
        <w:left w:val="none" w:sz="0" w:space="0" w:color="auto"/>
        <w:bottom w:val="none" w:sz="0" w:space="0" w:color="auto"/>
        <w:right w:val="none" w:sz="0" w:space="0" w:color="auto"/>
      </w:divBdr>
    </w:div>
    <w:div w:id="1140808204">
      <w:bodyDiv w:val="1"/>
      <w:marLeft w:val="0"/>
      <w:marRight w:val="0"/>
      <w:marTop w:val="0"/>
      <w:marBottom w:val="0"/>
      <w:divBdr>
        <w:top w:val="none" w:sz="0" w:space="0" w:color="auto"/>
        <w:left w:val="none" w:sz="0" w:space="0" w:color="auto"/>
        <w:bottom w:val="none" w:sz="0" w:space="0" w:color="auto"/>
        <w:right w:val="none" w:sz="0" w:space="0" w:color="auto"/>
      </w:divBdr>
    </w:div>
    <w:div w:id="1148401114">
      <w:bodyDiv w:val="1"/>
      <w:marLeft w:val="0"/>
      <w:marRight w:val="0"/>
      <w:marTop w:val="0"/>
      <w:marBottom w:val="0"/>
      <w:divBdr>
        <w:top w:val="none" w:sz="0" w:space="0" w:color="auto"/>
        <w:left w:val="none" w:sz="0" w:space="0" w:color="auto"/>
        <w:bottom w:val="none" w:sz="0" w:space="0" w:color="auto"/>
        <w:right w:val="none" w:sz="0" w:space="0" w:color="auto"/>
      </w:divBdr>
    </w:div>
    <w:div w:id="1266115336">
      <w:bodyDiv w:val="1"/>
      <w:marLeft w:val="0"/>
      <w:marRight w:val="0"/>
      <w:marTop w:val="0"/>
      <w:marBottom w:val="0"/>
      <w:divBdr>
        <w:top w:val="none" w:sz="0" w:space="0" w:color="auto"/>
        <w:left w:val="none" w:sz="0" w:space="0" w:color="auto"/>
        <w:bottom w:val="none" w:sz="0" w:space="0" w:color="auto"/>
        <w:right w:val="none" w:sz="0" w:space="0" w:color="auto"/>
      </w:divBdr>
      <w:divsChild>
        <w:div w:id="599946151">
          <w:marLeft w:val="0"/>
          <w:marRight w:val="0"/>
          <w:marTop w:val="0"/>
          <w:marBottom w:val="0"/>
          <w:divBdr>
            <w:top w:val="none" w:sz="0" w:space="0" w:color="auto"/>
            <w:left w:val="none" w:sz="0" w:space="0" w:color="auto"/>
            <w:bottom w:val="none" w:sz="0" w:space="0" w:color="auto"/>
            <w:right w:val="none" w:sz="0" w:space="0" w:color="auto"/>
          </w:divBdr>
        </w:div>
        <w:div w:id="2014913246">
          <w:marLeft w:val="0"/>
          <w:marRight w:val="0"/>
          <w:marTop w:val="0"/>
          <w:marBottom w:val="0"/>
          <w:divBdr>
            <w:top w:val="none" w:sz="0" w:space="0" w:color="auto"/>
            <w:left w:val="none" w:sz="0" w:space="0" w:color="auto"/>
            <w:bottom w:val="none" w:sz="0" w:space="0" w:color="auto"/>
            <w:right w:val="none" w:sz="0" w:space="0" w:color="auto"/>
          </w:divBdr>
        </w:div>
        <w:div w:id="552162340">
          <w:marLeft w:val="240"/>
          <w:marRight w:val="0"/>
          <w:marTop w:val="0"/>
          <w:marBottom w:val="0"/>
          <w:divBdr>
            <w:top w:val="none" w:sz="0" w:space="0" w:color="auto"/>
            <w:left w:val="none" w:sz="0" w:space="0" w:color="auto"/>
            <w:bottom w:val="none" w:sz="0" w:space="0" w:color="auto"/>
            <w:right w:val="none" w:sz="0" w:space="0" w:color="auto"/>
          </w:divBdr>
        </w:div>
        <w:div w:id="191262625">
          <w:marLeft w:val="240"/>
          <w:marRight w:val="0"/>
          <w:marTop w:val="0"/>
          <w:marBottom w:val="0"/>
          <w:divBdr>
            <w:top w:val="none" w:sz="0" w:space="0" w:color="auto"/>
            <w:left w:val="none" w:sz="0" w:space="0" w:color="auto"/>
            <w:bottom w:val="none" w:sz="0" w:space="0" w:color="auto"/>
            <w:right w:val="none" w:sz="0" w:space="0" w:color="auto"/>
          </w:divBdr>
        </w:div>
        <w:div w:id="1071930926">
          <w:marLeft w:val="1200"/>
          <w:marRight w:val="0"/>
          <w:marTop w:val="0"/>
          <w:marBottom w:val="0"/>
          <w:divBdr>
            <w:top w:val="none" w:sz="0" w:space="0" w:color="auto"/>
            <w:left w:val="none" w:sz="0" w:space="0" w:color="auto"/>
            <w:bottom w:val="none" w:sz="0" w:space="0" w:color="auto"/>
            <w:right w:val="none" w:sz="0" w:space="0" w:color="auto"/>
          </w:divBdr>
        </w:div>
        <w:div w:id="665867220">
          <w:marLeft w:val="1200"/>
          <w:marRight w:val="0"/>
          <w:marTop w:val="0"/>
          <w:marBottom w:val="0"/>
          <w:divBdr>
            <w:top w:val="none" w:sz="0" w:space="0" w:color="auto"/>
            <w:left w:val="none" w:sz="0" w:space="0" w:color="auto"/>
            <w:bottom w:val="none" w:sz="0" w:space="0" w:color="auto"/>
            <w:right w:val="none" w:sz="0" w:space="0" w:color="auto"/>
          </w:divBdr>
        </w:div>
        <w:div w:id="527062807">
          <w:marLeft w:val="1200"/>
          <w:marRight w:val="0"/>
          <w:marTop w:val="0"/>
          <w:marBottom w:val="0"/>
          <w:divBdr>
            <w:top w:val="none" w:sz="0" w:space="0" w:color="auto"/>
            <w:left w:val="none" w:sz="0" w:space="0" w:color="auto"/>
            <w:bottom w:val="none" w:sz="0" w:space="0" w:color="auto"/>
            <w:right w:val="none" w:sz="0" w:space="0" w:color="auto"/>
          </w:divBdr>
        </w:div>
        <w:div w:id="446463019">
          <w:marLeft w:val="1200"/>
          <w:marRight w:val="0"/>
          <w:marTop w:val="0"/>
          <w:marBottom w:val="0"/>
          <w:divBdr>
            <w:top w:val="none" w:sz="0" w:space="0" w:color="auto"/>
            <w:left w:val="none" w:sz="0" w:space="0" w:color="auto"/>
            <w:bottom w:val="none" w:sz="0" w:space="0" w:color="auto"/>
            <w:right w:val="none" w:sz="0" w:space="0" w:color="auto"/>
          </w:divBdr>
        </w:div>
        <w:div w:id="871766150">
          <w:marLeft w:val="1200"/>
          <w:marRight w:val="0"/>
          <w:marTop w:val="0"/>
          <w:marBottom w:val="0"/>
          <w:divBdr>
            <w:top w:val="none" w:sz="0" w:space="0" w:color="auto"/>
            <w:left w:val="none" w:sz="0" w:space="0" w:color="auto"/>
            <w:bottom w:val="none" w:sz="0" w:space="0" w:color="auto"/>
            <w:right w:val="none" w:sz="0" w:space="0" w:color="auto"/>
          </w:divBdr>
        </w:div>
        <w:div w:id="1293443109">
          <w:marLeft w:val="1440"/>
          <w:marRight w:val="0"/>
          <w:marTop w:val="0"/>
          <w:marBottom w:val="0"/>
          <w:divBdr>
            <w:top w:val="none" w:sz="0" w:space="0" w:color="auto"/>
            <w:left w:val="none" w:sz="0" w:space="0" w:color="auto"/>
            <w:bottom w:val="none" w:sz="0" w:space="0" w:color="auto"/>
            <w:right w:val="none" w:sz="0" w:space="0" w:color="auto"/>
          </w:divBdr>
        </w:div>
        <w:div w:id="101536382">
          <w:marLeft w:val="240"/>
          <w:marRight w:val="0"/>
          <w:marTop w:val="0"/>
          <w:marBottom w:val="0"/>
          <w:divBdr>
            <w:top w:val="none" w:sz="0" w:space="0" w:color="auto"/>
            <w:left w:val="none" w:sz="0" w:space="0" w:color="auto"/>
            <w:bottom w:val="none" w:sz="0" w:space="0" w:color="auto"/>
            <w:right w:val="none" w:sz="0" w:space="0" w:color="auto"/>
          </w:divBdr>
        </w:div>
        <w:div w:id="1511990867">
          <w:marLeft w:val="240"/>
          <w:marRight w:val="0"/>
          <w:marTop w:val="0"/>
          <w:marBottom w:val="0"/>
          <w:divBdr>
            <w:top w:val="none" w:sz="0" w:space="0" w:color="auto"/>
            <w:left w:val="none" w:sz="0" w:space="0" w:color="auto"/>
            <w:bottom w:val="none" w:sz="0" w:space="0" w:color="auto"/>
            <w:right w:val="none" w:sz="0" w:space="0" w:color="auto"/>
          </w:divBdr>
        </w:div>
        <w:div w:id="1162543489">
          <w:marLeft w:val="1200"/>
          <w:marRight w:val="0"/>
          <w:marTop w:val="0"/>
          <w:marBottom w:val="0"/>
          <w:divBdr>
            <w:top w:val="none" w:sz="0" w:space="0" w:color="auto"/>
            <w:left w:val="none" w:sz="0" w:space="0" w:color="auto"/>
            <w:bottom w:val="none" w:sz="0" w:space="0" w:color="auto"/>
            <w:right w:val="none" w:sz="0" w:space="0" w:color="auto"/>
          </w:divBdr>
        </w:div>
        <w:div w:id="837892287">
          <w:marLeft w:val="1200"/>
          <w:marRight w:val="0"/>
          <w:marTop w:val="0"/>
          <w:marBottom w:val="0"/>
          <w:divBdr>
            <w:top w:val="none" w:sz="0" w:space="0" w:color="auto"/>
            <w:left w:val="none" w:sz="0" w:space="0" w:color="auto"/>
            <w:bottom w:val="none" w:sz="0" w:space="0" w:color="auto"/>
            <w:right w:val="none" w:sz="0" w:space="0" w:color="auto"/>
          </w:divBdr>
        </w:div>
        <w:div w:id="1091245543">
          <w:marLeft w:val="720"/>
          <w:marRight w:val="0"/>
          <w:marTop w:val="0"/>
          <w:marBottom w:val="0"/>
          <w:divBdr>
            <w:top w:val="none" w:sz="0" w:space="0" w:color="auto"/>
            <w:left w:val="none" w:sz="0" w:space="0" w:color="auto"/>
            <w:bottom w:val="none" w:sz="0" w:space="0" w:color="auto"/>
            <w:right w:val="none" w:sz="0" w:space="0" w:color="auto"/>
          </w:divBdr>
        </w:div>
        <w:div w:id="1010377820">
          <w:marLeft w:val="720"/>
          <w:marRight w:val="0"/>
          <w:marTop w:val="0"/>
          <w:marBottom w:val="0"/>
          <w:divBdr>
            <w:top w:val="none" w:sz="0" w:space="0" w:color="auto"/>
            <w:left w:val="none" w:sz="0" w:space="0" w:color="auto"/>
            <w:bottom w:val="none" w:sz="0" w:space="0" w:color="auto"/>
            <w:right w:val="none" w:sz="0" w:space="0" w:color="auto"/>
          </w:divBdr>
        </w:div>
        <w:div w:id="1564638836">
          <w:marLeft w:val="720"/>
          <w:marRight w:val="0"/>
          <w:marTop w:val="0"/>
          <w:marBottom w:val="0"/>
          <w:divBdr>
            <w:top w:val="none" w:sz="0" w:space="0" w:color="auto"/>
            <w:left w:val="none" w:sz="0" w:space="0" w:color="auto"/>
            <w:bottom w:val="none" w:sz="0" w:space="0" w:color="auto"/>
            <w:right w:val="none" w:sz="0" w:space="0" w:color="auto"/>
          </w:divBdr>
        </w:div>
        <w:div w:id="1399790732">
          <w:marLeft w:val="720"/>
          <w:marRight w:val="0"/>
          <w:marTop w:val="0"/>
          <w:marBottom w:val="0"/>
          <w:divBdr>
            <w:top w:val="none" w:sz="0" w:space="0" w:color="auto"/>
            <w:left w:val="none" w:sz="0" w:space="0" w:color="auto"/>
            <w:bottom w:val="none" w:sz="0" w:space="0" w:color="auto"/>
            <w:right w:val="none" w:sz="0" w:space="0" w:color="auto"/>
          </w:divBdr>
        </w:div>
        <w:div w:id="718044212">
          <w:marLeft w:val="720"/>
          <w:marRight w:val="0"/>
          <w:marTop w:val="0"/>
          <w:marBottom w:val="0"/>
          <w:divBdr>
            <w:top w:val="none" w:sz="0" w:space="0" w:color="auto"/>
            <w:left w:val="none" w:sz="0" w:space="0" w:color="auto"/>
            <w:bottom w:val="none" w:sz="0" w:space="0" w:color="auto"/>
            <w:right w:val="none" w:sz="0" w:space="0" w:color="auto"/>
          </w:divBdr>
        </w:div>
        <w:div w:id="321004750">
          <w:marLeft w:val="960"/>
          <w:marRight w:val="0"/>
          <w:marTop w:val="0"/>
          <w:marBottom w:val="0"/>
          <w:divBdr>
            <w:top w:val="none" w:sz="0" w:space="0" w:color="auto"/>
            <w:left w:val="none" w:sz="0" w:space="0" w:color="auto"/>
            <w:bottom w:val="none" w:sz="0" w:space="0" w:color="auto"/>
            <w:right w:val="none" w:sz="0" w:space="0" w:color="auto"/>
          </w:divBdr>
        </w:div>
        <w:div w:id="385882036">
          <w:marLeft w:val="960"/>
          <w:marRight w:val="0"/>
          <w:marTop w:val="0"/>
          <w:marBottom w:val="0"/>
          <w:divBdr>
            <w:top w:val="none" w:sz="0" w:space="0" w:color="auto"/>
            <w:left w:val="none" w:sz="0" w:space="0" w:color="auto"/>
            <w:bottom w:val="none" w:sz="0" w:space="0" w:color="auto"/>
            <w:right w:val="none" w:sz="0" w:space="0" w:color="auto"/>
          </w:divBdr>
        </w:div>
        <w:div w:id="1854681212">
          <w:marLeft w:val="960"/>
          <w:marRight w:val="0"/>
          <w:marTop w:val="0"/>
          <w:marBottom w:val="0"/>
          <w:divBdr>
            <w:top w:val="none" w:sz="0" w:space="0" w:color="auto"/>
            <w:left w:val="none" w:sz="0" w:space="0" w:color="auto"/>
            <w:bottom w:val="none" w:sz="0" w:space="0" w:color="auto"/>
            <w:right w:val="none" w:sz="0" w:space="0" w:color="auto"/>
          </w:divBdr>
        </w:div>
        <w:div w:id="278101665">
          <w:marLeft w:val="960"/>
          <w:marRight w:val="0"/>
          <w:marTop w:val="0"/>
          <w:marBottom w:val="0"/>
          <w:divBdr>
            <w:top w:val="none" w:sz="0" w:space="0" w:color="auto"/>
            <w:left w:val="none" w:sz="0" w:space="0" w:color="auto"/>
            <w:bottom w:val="none" w:sz="0" w:space="0" w:color="auto"/>
            <w:right w:val="none" w:sz="0" w:space="0" w:color="auto"/>
          </w:divBdr>
        </w:div>
        <w:div w:id="135463665">
          <w:marLeft w:val="960"/>
          <w:marRight w:val="0"/>
          <w:marTop w:val="0"/>
          <w:marBottom w:val="0"/>
          <w:divBdr>
            <w:top w:val="none" w:sz="0" w:space="0" w:color="auto"/>
            <w:left w:val="none" w:sz="0" w:space="0" w:color="auto"/>
            <w:bottom w:val="none" w:sz="0" w:space="0" w:color="auto"/>
            <w:right w:val="none" w:sz="0" w:space="0" w:color="auto"/>
          </w:divBdr>
        </w:div>
        <w:div w:id="1934781426">
          <w:marLeft w:val="960"/>
          <w:marRight w:val="0"/>
          <w:marTop w:val="0"/>
          <w:marBottom w:val="0"/>
          <w:divBdr>
            <w:top w:val="none" w:sz="0" w:space="0" w:color="auto"/>
            <w:left w:val="none" w:sz="0" w:space="0" w:color="auto"/>
            <w:bottom w:val="none" w:sz="0" w:space="0" w:color="auto"/>
            <w:right w:val="none" w:sz="0" w:space="0" w:color="auto"/>
          </w:divBdr>
        </w:div>
        <w:div w:id="1052777191">
          <w:marLeft w:val="960"/>
          <w:marRight w:val="0"/>
          <w:marTop w:val="0"/>
          <w:marBottom w:val="0"/>
          <w:divBdr>
            <w:top w:val="none" w:sz="0" w:space="0" w:color="auto"/>
            <w:left w:val="none" w:sz="0" w:space="0" w:color="auto"/>
            <w:bottom w:val="none" w:sz="0" w:space="0" w:color="auto"/>
            <w:right w:val="none" w:sz="0" w:space="0" w:color="auto"/>
          </w:divBdr>
        </w:div>
        <w:div w:id="459614477">
          <w:marLeft w:val="960"/>
          <w:marRight w:val="0"/>
          <w:marTop w:val="0"/>
          <w:marBottom w:val="0"/>
          <w:divBdr>
            <w:top w:val="none" w:sz="0" w:space="0" w:color="auto"/>
            <w:left w:val="none" w:sz="0" w:space="0" w:color="auto"/>
            <w:bottom w:val="none" w:sz="0" w:space="0" w:color="auto"/>
            <w:right w:val="none" w:sz="0" w:space="0" w:color="auto"/>
          </w:divBdr>
        </w:div>
        <w:div w:id="2091269199">
          <w:marLeft w:val="960"/>
          <w:marRight w:val="0"/>
          <w:marTop w:val="0"/>
          <w:marBottom w:val="0"/>
          <w:divBdr>
            <w:top w:val="none" w:sz="0" w:space="0" w:color="auto"/>
            <w:left w:val="none" w:sz="0" w:space="0" w:color="auto"/>
            <w:bottom w:val="none" w:sz="0" w:space="0" w:color="auto"/>
            <w:right w:val="none" w:sz="0" w:space="0" w:color="auto"/>
          </w:divBdr>
        </w:div>
        <w:div w:id="1061251534">
          <w:marLeft w:val="960"/>
          <w:marRight w:val="0"/>
          <w:marTop w:val="0"/>
          <w:marBottom w:val="0"/>
          <w:divBdr>
            <w:top w:val="none" w:sz="0" w:space="0" w:color="auto"/>
            <w:left w:val="none" w:sz="0" w:space="0" w:color="auto"/>
            <w:bottom w:val="none" w:sz="0" w:space="0" w:color="auto"/>
            <w:right w:val="none" w:sz="0" w:space="0" w:color="auto"/>
          </w:divBdr>
        </w:div>
        <w:div w:id="1019281591">
          <w:marLeft w:val="1200"/>
          <w:marRight w:val="0"/>
          <w:marTop w:val="0"/>
          <w:marBottom w:val="0"/>
          <w:divBdr>
            <w:top w:val="none" w:sz="0" w:space="0" w:color="auto"/>
            <w:left w:val="none" w:sz="0" w:space="0" w:color="auto"/>
            <w:bottom w:val="none" w:sz="0" w:space="0" w:color="auto"/>
            <w:right w:val="none" w:sz="0" w:space="0" w:color="auto"/>
          </w:divBdr>
        </w:div>
        <w:div w:id="1696734254">
          <w:marLeft w:val="1200"/>
          <w:marRight w:val="0"/>
          <w:marTop w:val="0"/>
          <w:marBottom w:val="0"/>
          <w:divBdr>
            <w:top w:val="none" w:sz="0" w:space="0" w:color="auto"/>
            <w:left w:val="none" w:sz="0" w:space="0" w:color="auto"/>
            <w:bottom w:val="none" w:sz="0" w:space="0" w:color="auto"/>
            <w:right w:val="none" w:sz="0" w:space="0" w:color="auto"/>
          </w:divBdr>
        </w:div>
        <w:div w:id="391930989">
          <w:marLeft w:val="1200"/>
          <w:marRight w:val="0"/>
          <w:marTop w:val="0"/>
          <w:marBottom w:val="0"/>
          <w:divBdr>
            <w:top w:val="none" w:sz="0" w:space="0" w:color="auto"/>
            <w:left w:val="none" w:sz="0" w:space="0" w:color="auto"/>
            <w:bottom w:val="none" w:sz="0" w:space="0" w:color="auto"/>
            <w:right w:val="none" w:sz="0" w:space="0" w:color="auto"/>
          </w:divBdr>
        </w:div>
        <w:div w:id="1601377033">
          <w:marLeft w:val="1200"/>
          <w:marRight w:val="0"/>
          <w:marTop w:val="0"/>
          <w:marBottom w:val="0"/>
          <w:divBdr>
            <w:top w:val="none" w:sz="0" w:space="0" w:color="auto"/>
            <w:left w:val="none" w:sz="0" w:space="0" w:color="auto"/>
            <w:bottom w:val="none" w:sz="0" w:space="0" w:color="auto"/>
            <w:right w:val="none" w:sz="0" w:space="0" w:color="auto"/>
          </w:divBdr>
        </w:div>
        <w:div w:id="1281256754">
          <w:marLeft w:val="1200"/>
          <w:marRight w:val="0"/>
          <w:marTop w:val="0"/>
          <w:marBottom w:val="0"/>
          <w:divBdr>
            <w:top w:val="none" w:sz="0" w:space="0" w:color="auto"/>
            <w:left w:val="none" w:sz="0" w:space="0" w:color="auto"/>
            <w:bottom w:val="none" w:sz="0" w:space="0" w:color="auto"/>
            <w:right w:val="none" w:sz="0" w:space="0" w:color="auto"/>
          </w:divBdr>
        </w:div>
      </w:divsChild>
    </w:div>
    <w:div w:id="1600792029">
      <w:bodyDiv w:val="1"/>
      <w:marLeft w:val="0"/>
      <w:marRight w:val="0"/>
      <w:marTop w:val="0"/>
      <w:marBottom w:val="0"/>
      <w:divBdr>
        <w:top w:val="none" w:sz="0" w:space="0" w:color="auto"/>
        <w:left w:val="none" w:sz="0" w:space="0" w:color="auto"/>
        <w:bottom w:val="none" w:sz="0" w:space="0" w:color="auto"/>
        <w:right w:val="none" w:sz="0" w:space="0" w:color="auto"/>
      </w:divBdr>
    </w:div>
    <w:div w:id="1853454064">
      <w:bodyDiv w:val="1"/>
      <w:marLeft w:val="0"/>
      <w:marRight w:val="0"/>
      <w:marTop w:val="0"/>
      <w:marBottom w:val="0"/>
      <w:divBdr>
        <w:top w:val="none" w:sz="0" w:space="0" w:color="auto"/>
        <w:left w:val="none" w:sz="0" w:space="0" w:color="auto"/>
        <w:bottom w:val="none" w:sz="0" w:space="0" w:color="auto"/>
        <w:right w:val="none" w:sz="0" w:space="0" w:color="auto"/>
      </w:divBdr>
    </w:div>
    <w:div w:id="1906380406">
      <w:bodyDiv w:val="1"/>
      <w:marLeft w:val="0"/>
      <w:marRight w:val="0"/>
      <w:marTop w:val="0"/>
      <w:marBottom w:val="0"/>
      <w:divBdr>
        <w:top w:val="none" w:sz="0" w:space="0" w:color="auto"/>
        <w:left w:val="none" w:sz="0" w:space="0" w:color="auto"/>
        <w:bottom w:val="none" w:sz="0" w:space="0" w:color="auto"/>
        <w:right w:val="none" w:sz="0" w:space="0" w:color="auto"/>
      </w:divBdr>
    </w:div>
    <w:div w:id="1909461682">
      <w:bodyDiv w:val="1"/>
      <w:marLeft w:val="0"/>
      <w:marRight w:val="0"/>
      <w:marTop w:val="0"/>
      <w:marBottom w:val="0"/>
      <w:divBdr>
        <w:top w:val="none" w:sz="0" w:space="0" w:color="auto"/>
        <w:left w:val="none" w:sz="0" w:space="0" w:color="auto"/>
        <w:bottom w:val="none" w:sz="0" w:space="0" w:color="auto"/>
        <w:right w:val="none" w:sz="0" w:space="0" w:color="auto"/>
      </w:divBdr>
    </w:div>
    <w:div w:id="1947074999">
      <w:bodyDiv w:val="1"/>
      <w:marLeft w:val="0"/>
      <w:marRight w:val="0"/>
      <w:marTop w:val="0"/>
      <w:marBottom w:val="0"/>
      <w:divBdr>
        <w:top w:val="none" w:sz="0" w:space="0" w:color="auto"/>
        <w:left w:val="none" w:sz="0" w:space="0" w:color="auto"/>
        <w:bottom w:val="none" w:sz="0" w:space="0" w:color="auto"/>
        <w:right w:val="none" w:sz="0" w:space="0" w:color="auto"/>
      </w:divBdr>
    </w:div>
    <w:div w:id="2013681468">
      <w:bodyDiv w:val="1"/>
      <w:marLeft w:val="0"/>
      <w:marRight w:val="0"/>
      <w:marTop w:val="0"/>
      <w:marBottom w:val="0"/>
      <w:divBdr>
        <w:top w:val="none" w:sz="0" w:space="0" w:color="auto"/>
        <w:left w:val="none" w:sz="0" w:space="0" w:color="auto"/>
        <w:bottom w:val="none" w:sz="0" w:space="0" w:color="auto"/>
        <w:right w:val="none" w:sz="0" w:space="0" w:color="auto"/>
      </w:divBdr>
    </w:div>
    <w:div w:id="213386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ea.europa.eu/publications/air-quality-in-europe-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1EE8D4-F4DA-4AE5-B763-230DF483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14</Pages>
  <Words>5115</Words>
  <Characters>27419</Characters>
  <Application>Microsoft Office Word</Application>
  <DocSecurity>0</DocSecurity>
  <Lines>472</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2019-03-29T08:32:00Z</cp:lastPrinted>
  <dcterms:created xsi:type="dcterms:W3CDTF">2019-04-12T13:38:00Z</dcterms:created>
  <dcterms:modified xsi:type="dcterms:W3CDTF">2019-06-12T09:43:00Z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