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63CFBB6-A2CA-4F38-86D1-D389B34DDA3C"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spacing w:after="360"/>
        <w:rPr>
          <w:noProof/>
        </w:rPr>
      </w:pPr>
      <w:bookmarkStart w:id="0" w:name="_GoBack"/>
      <w:bookmarkEnd w:id="0"/>
      <w:r>
        <w:rPr>
          <w:noProof/>
        </w:rPr>
        <w:lastRenderedPageBreak/>
        <w:t>ATTACHMENT</w:t>
      </w:r>
    </w:p>
    <w:p>
      <w:pPr>
        <w:spacing w:line="360" w:lineRule="auto"/>
        <w:jc w:val="center"/>
        <w:rPr>
          <w:noProof/>
        </w:rPr>
      </w:pPr>
      <w:r>
        <w:rPr>
          <w:noProof/>
        </w:rPr>
        <w:t>DECISION No</w:t>
      </w:r>
      <w:r>
        <w:rPr>
          <w:rFonts w:hint="eastAsia"/>
          <w:noProof/>
        </w:rPr>
        <w:t>.</w:t>
      </w:r>
      <w:r>
        <w:rPr>
          <w:noProof/>
        </w:rPr>
        <w:t xml:space="preserve"> 3 OF THE KOREA</w:t>
      </w:r>
      <w:r>
        <w:rPr>
          <w:rFonts w:hint="eastAsia"/>
          <w:noProof/>
        </w:rPr>
        <w:t>-EU</w:t>
      </w:r>
      <w:r>
        <w:rPr>
          <w:noProof/>
        </w:rPr>
        <w:t xml:space="preserve"> TRADE COMMITTEE </w:t>
      </w:r>
    </w:p>
    <w:p>
      <w:pPr>
        <w:spacing w:line="360" w:lineRule="auto"/>
        <w:jc w:val="center"/>
        <w:rPr>
          <w:noProof/>
        </w:rPr>
      </w:pPr>
      <w:r>
        <w:rPr>
          <w:noProof/>
        </w:rPr>
        <w:t>of xx</w:t>
      </w:r>
      <w:r>
        <w:rPr>
          <w:rFonts w:hint="eastAsia"/>
          <w:noProof/>
        </w:rPr>
        <w:t xml:space="preserve"> April 2019</w:t>
      </w:r>
    </w:p>
    <w:p>
      <w:pPr>
        <w:spacing w:line="360" w:lineRule="auto"/>
        <w:jc w:val="center"/>
        <w:rPr>
          <w:noProof/>
        </w:rPr>
      </w:pPr>
      <w:r>
        <w:rPr>
          <w:noProof/>
        </w:rPr>
        <w:t>on the amendment of Appendices 2-C-2 and 2-C-3 of the Annex 2-C of the Korea</w:t>
      </w:r>
      <w:r>
        <w:rPr>
          <w:rFonts w:hint="eastAsia"/>
          <w:noProof/>
        </w:rPr>
        <w:t>-EU</w:t>
      </w:r>
      <w:r>
        <w:rPr>
          <w:noProof/>
        </w:rPr>
        <w:t xml:space="preserve"> Free Trade Agreement </w:t>
      </w:r>
    </w:p>
    <w:p>
      <w:pPr>
        <w:rPr>
          <w:noProof/>
        </w:rPr>
      </w:pPr>
      <w:r>
        <w:rPr>
          <w:noProof/>
        </w:rPr>
        <w:t>THE TRADE COMMITTEE,</w:t>
      </w:r>
    </w:p>
    <w:p>
      <w:pPr>
        <w:rPr>
          <w:noProof/>
        </w:rPr>
      </w:pPr>
      <w:r>
        <w:rPr>
          <w:noProof/>
        </w:rPr>
        <w:t>Having regard to the Free Trade Agreement between the Republic of Korea (‘Korea’), of the one part, and the European Union (‘EU’) and its Member States,</w:t>
      </w:r>
      <w:r>
        <w:rPr>
          <w:rFonts w:hint="eastAsia"/>
          <w:noProof/>
        </w:rPr>
        <w:t xml:space="preserve"> </w:t>
      </w:r>
      <w:r>
        <w:rPr>
          <w:noProof/>
        </w:rPr>
        <w:t>of the other part, (hereinafter the ‘Agreement’ and the ‘Parties’, respectively), and in particular Articles 15.1.4(c) and 15.5.2 thereof, and Article 3(d) of Annex 2-C thereof,</w:t>
      </w:r>
    </w:p>
    <w:p>
      <w:pPr>
        <w:rPr>
          <w:noProof/>
        </w:rPr>
      </w:pPr>
      <w:r>
        <w:rPr>
          <w:noProof/>
        </w:rPr>
        <w:t>Whereas:</w:t>
      </w:r>
    </w:p>
    <w:p>
      <w:pPr>
        <w:pStyle w:val="Point0"/>
        <w:rPr>
          <w:noProof/>
        </w:rPr>
      </w:pPr>
      <w:r>
        <w:rPr>
          <w:noProof/>
        </w:rPr>
        <w:t>(1)</w:t>
      </w:r>
      <w:r>
        <w:rPr>
          <w:noProof/>
        </w:rPr>
        <w:tab/>
        <w:t xml:space="preserve">Pursuant to Article 15.1.4(c) of the Agreement, the Trade Committee established by the Parties may consider amendments to the Agreement or amend provisions of the Agreement in cases specifically provided for in the Agreement. </w:t>
      </w:r>
    </w:p>
    <w:p>
      <w:pPr>
        <w:pStyle w:val="Point0"/>
        <w:rPr>
          <w:noProof/>
        </w:rPr>
      </w:pPr>
      <w:r>
        <w:rPr>
          <w:noProof/>
        </w:rPr>
        <w:t>(2)</w:t>
      </w:r>
      <w:r>
        <w:rPr>
          <w:noProof/>
        </w:rPr>
        <w:tab/>
        <w:t xml:space="preserve">Article 15.5.2 of the Agreement provides that a decision of the Trade Committee to amend the Annexes, Appendices, Protocols and Notes to the Agreement may be adopted by the Parties, subject to their respective applicable legal requirements and procedures. </w:t>
      </w:r>
    </w:p>
    <w:p>
      <w:pPr>
        <w:pStyle w:val="Point0"/>
        <w:rPr>
          <w:noProof/>
        </w:rPr>
      </w:pPr>
      <w:r>
        <w:rPr>
          <w:noProof/>
        </w:rPr>
        <w:t>(3)</w:t>
      </w:r>
      <w:r>
        <w:rPr>
          <w:noProof/>
        </w:rPr>
        <w:tab/>
        <w:t>Article 3(d) of Annex 2-C of the Agreement mandates the Parties to review Appendices 2-C-2 and 2-C-3 of Annex 2-C no less than every three years from the entry into force of the Agreement with a view to furthering the acceptance of products as set out in subparagraph (a) of the same Article, taking into account any regulatory developments that may have occurred internationally or in the Parties. It further specifies that any modifications to Appendices 2-C-2 and 2-C-3 shall be decided upon by the Trade Committee.</w:t>
      </w:r>
    </w:p>
    <w:p>
      <w:pPr>
        <w:pStyle w:val="Point0"/>
        <w:rPr>
          <w:noProof/>
        </w:rPr>
      </w:pPr>
      <w:r>
        <w:rPr>
          <w:noProof/>
        </w:rPr>
        <w:t>(4)</w:t>
      </w:r>
      <w:r>
        <w:rPr>
          <w:noProof/>
        </w:rPr>
        <w:tab/>
        <w:t>Korea</w:t>
      </w:r>
      <w:r>
        <w:rPr>
          <w:rFonts w:hint="eastAsia"/>
          <w:noProof/>
        </w:rPr>
        <w:t xml:space="preserve"> and EU</w:t>
      </w:r>
      <w:r>
        <w:rPr>
          <w:noProof/>
        </w:rPr>
        <w:t xml:space="preserve"> have modified the technical regulations in order to maintain the same degree of market access covered by Article 1.2 of Annex 2-C of the Agreement. Moreover, the reference to “UNECE” in Appendices 2-C-2 and 2-C-3 should now read as references to “UN Reg.” following the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(Revision 3)</w:t>
      </w:r>
      <w:r>
        <w:rPr>
          <w:rStyle w:val="FootnoteReference"/>
          <w:noProof/>
        </w:rPr>
        <w:footnoteReference w:id="1"/>
      </w:r>
      <w:r>
        <w:rPr>
          <w:noProof/>
        </w:rPr>
        <w:t xml:space="preserve"> of 20 October 2017.</w:t>
      </w:r>
    </w:p>
    <w:p>
      <w:pPr>
        <w:pStyle w:val="Point0"/>
        <w:rPr>
          <w:noProof/>
        </w:rPr>
      </w:pPr>
      <w:r>
        <w:rPr>
          <w:noProof/>
        </w:rPr>
        <w:t>(5)</w:t>
      </w:r>
      <w:r>
        <w:rPr>
          <w:noProof/>
        </w:rPr>
        <w:tab/>
        <w:t xml:space="preserve">Table 1 of Appendix 2-C-2 has been modified in the following way: </w:t>
      </w:r>
    </w:p>
    <w:p>
      <w:pPr>
        <w:pStyle w:val="Point1"/>
        <w:rPr>
          <w:noProof/>
        </w:rPr>
      </w:pPr>
      <w:r>
        <w:rPr>
          <w:noProof/>
        </w:rPr>
        <w:t>(a)</w:t>
      </w:r>
      <w:r>
        <w:rPr>
          <w:noProof/>
        </w:rPr>
        <w:tab/>
        <w:t xml:space="preserve">Since UN Regulations apply on a compulsory basis in the EU, for simplicity reasons it has been decided to delete the references to EU Regulations (e.g. GSR) and Directives in the “Corresponding EU Technical Regulation” column. and the column has been left blank. </w:t>
      </w:r>
    </w:p>
    <w:p>
      <w:pPr>
        <w:pStyle w:val="Point1"/>
        <w:rPr>
          <w:noProof/>
        </w:rPr>
      </w:pPr>
      <w:r>
        <w:rPr>
          <w:noProof/>
        </w:rPr>
        <w:t>(b)</w:t>
      </w:r>
      <w:r>
        <w:rPr>
          <w:noProof/>
        </w:rPr>
        <w:tab/>
        <w:t>However, where there are no applicable UN Regulations or where the scope of UN Regulations is inadequate, such as in the case of “Permissible sound level” for example, then the EU Regulations or Directives replace or complement the UN regulations. For this reason, a reference to “if existing” has been introduced in the “Corresponding EU Technical Regulation” line.</w:t>
      </w:r>
    </w:p>
    <w:p>
      <w:pPr>
        <w:pStyle w:val="Point1"/>
        <w:rPr>
          <w:noProof/>
        </w:rPr>
      </w:pPr>
      <w:r>
        <w:rPr>
          <w:noProof/>
        </w:rPr>
        <w:t>(c) Concerning “Permissible sound level” and “Replacement silencing systems”, Regulation (EU) No 540/2014 has been added under the Corresponding EU Technical Regulation because it repeals Directive 70/157/EEC and applies in a time-staggered fashion.</w:t>
      </w:r>
    </w:p>
    <w:p>
      <w:pPr>
        <w:pStyle w:val="Point1"/>
        <w:rPr>
          <w:noProof/>
        </w:rPr>
      </w:pPr>
      <w:r>
        <w:rPr>
          <w:noProof/>
        </w:rPr>
        <w:t>(d)</w:t>
      </w:r>
      <w:r>
        <w:rPr>
          <w:noProof/>
        </w:rPr>
        <w:tab/>
        <w:t>“Emissions” has been replaced with “Emissions light vehicles” because the UN Reg. 83 requirement applies to M1 and N1 vehicle categories only. Moreover, the reference to “Directive 70/220/EEC” has been deleted because it has been repealed and replaced by Regulations (EC) No 715/2007, (EC) No 692/2008, (EU) No 459/2012, Regulation (EU) 2016/427, Regulation (EU) 2016/646, Regulation (EU) 2017/1151, Regulation (EU) 2017/1154 and Regulation (EU) 2018/1832, which have been added under the Corresponding EU Technical Regulation.</w:t>
      </w:r>
    </w:p>
    <w:p>
      <w:pPr>
        <w:pStyle w:val="Point1"/>
        <w:rPr>
          <w:noProof/>
        </w:rPr>
      </w:pPr>
      <w:r>
        <w:rPr>
          <w:noProof/>
        </w:rPr>
        <w:t>(e)</w:t>
      </w:r>
      <w:r>
        <w:rPr>
          <w:noProof/>
        </w:rPr>
        <w:tab/>
        <w:t xml:space="preserve">Concerning “Replacement catalytic converters”, the reference to “Directive 70/220/EEC” has been deleted because it has been repealed and replaced by and Regulations (EC) No 715/2007 and (EC) No 692/2008 which have been added under the Corresponding EU Technical Regulation. </w:t>
      </w:r>
    </w:p>
    <w:p>
      <w:pPr>
        <w:pStyle w:val="Point1"/>
        <w:rPr>
          <w:noProof/>
        </w:rPr>
      </w:pPr>
      <w:r>
        <w:rPr>
          <w:noProof/>
        </w:rPr>
        <w:t>(f)</w:t>
      </w:r>
      <w:r>
        <w:rPr>
          <w:noProof/>
        </w:rPr>
        <w:tab/>
        <w:t xml:space="preserve">Moreover, for those subjects whose names change, such as from “Braking” and “Braking” which have been replaced with “Braking heavy vehicles” and “Braking light vehicles”, these were done for clarity purposes. </w:t>
      </w:r>
    </w:p>
    <w:p>
      <w:pPr>
        <w:pStyle w:val="Point1"/>
        <w:rPr>
          <w:noProof/>
        </w:rPr>
      </w:pPr>
      <w:r>
        <w:rPr>
          <w:noProof/>
        </w:rPr>
        <w:t>(g)</w:t>
      </w:r>
      <w:r>
        <w:rPr>
          <w:noProof/>
        </w:rPr>
        <w:tab/>
        <w:t xml:space="preserve">On “Diesel smoke”, “Directive 72/306/EEC” has been deleted since it has been replaced by “Regulation (EC) No 692/2008” which has been added in Table 1 under the Corresponding EU Technical Regulation. </w:t>
      </w:r>
    </w:p>
    <w:p>
      <w:pPr>
        <w:pStyle w:val="Point1"/>
        <w:rPr>
          <w:noProof/>
        </w:rPr>
      </w:pPr>
      <w:r>
        <w:rPr>
          <w:noProof/>
        </w:rPr>
        <w:t>(h)</w:t>
      </w:r>
      <w:r>
        <w:rPr>
          <w:noProof/>
        </w:rPr>
        <w:tab/>
        <w:t xml:space="preserve">On “CO2 emissions – Fuel consumption”, “Directive 80/1268/EEC” has been replaced by Regulation (EC) No 692/2008 which has been added in Table 1 under the Corresponding EU Technical Regulation, and the subject now refers to “CO2 emissions - Fuel consumption passenger cars with no more than eight seats in addition to the driver's seat” in order to fully respect the scope of that regulation. </w:t>
      </w:r>
    </w:p>
    <w:p>
      <w:pPr>
        <w:pStyle w:val="Point1"/>
        <w:rPr>
          <w:noProof/>
        </w:rPr>
      </w:pPr>
      <w:r>
        <w:rPr>
          <w:noProof/>
        </w:rPr>
        <w:t>(i)</w:t>
      </w:r>
      <w:r>
        <w:rPr>
          <w:noProof/>
        </w:rPr>
        <w:tab/>
        <w:t>On “Engine power”, “Directive 80/1269/EEC” has been deleted since it has been replaced by Regulations (EC) No 692/2008 and (EU) No 582/2011 which have been added in Table 1 under the Corresponding EU Technical Regulation.</w:t>
      </w:r>
    </w:p>
    <w:p>
      <w:pPr>
        <w:pStyle w:val="Point1"/>
        <w:rPr>
          <w:noProof/>
        </w:rPr>
      </w:pPr>
      <w:r>
        <w:rPr>
          <w:noProof/>
        </w:rPr>
        <w:t>(j)</w:t>
      </w:r>
      <w:r>
        <w:rPr>
          <w:noProof/>
        </w:rPr>
        <w:tab/>
        <w:t>On “Emissions heavy duty vehicles”, “Directive 2005/55/EC” has been replaced by Regulation (EC) No 595/2009, Regulation (EU) No 582/2011 and Regulation (EU) 2016/1718, which have been added in Table 1 under the Corresponding EU Technical Regulation. The subject has also been renamed “Emissions heavy duty vehicles” because UN Regulation 49 applies to heavy duty vehicles (i.e. vehicles with a reference mass exceeding 2,610 kg).</w:t>
      </w:r>
    </w:p>
    <w:p>
      <w:pPr>
        <w:pStyle w:val="Point0"/>
        <w:rPr>
          <w:noProof/>
        </w:rPr>
      </w:pPr>
      <w:r>
        <w:rPr>
          <w:noProof/>
        </w:rPr>
        <w:t>(6)</w:t>
      </w:r>
      <w:r>
        <w:rPr>
          <w:noProof/>
        </w:rPr>
        <w:tab/>
        <w:t xml:space="preserve">Table 2 of Appendix 2-C-2 remains unchanged. </w:t>
      </w:r>
    </w:p>
    <w:p>
      <w:pPr>
        <w:pStyle w:val="Point0"/>
        <w:rPr>
          <w:noProof/>
        </w:rPr>
      </w:pPr>
      <w:r>
        <w:rPr>
          <w:noProof/>
        </w:rPr>
        <w:t>(7)</w:t>
      </w:r>
      <w:r>
        <w:rPr>
          <w:noProof/>
        </w:rPr>
        <w:tab/>
        <w:t>Table 1 of Appendix 2-C-3 has been modified in the following way:</w:t>
      </w:r>
    </w:p>
    <w:p>
      <w:pPr>
        <w:pStyle w:val="Point1"/>
        <w:rPr>
          <w:noProof/>
        </w:rPr>
      </w:pPr>
      <w:r>
        <w:rPr>
          <w:noProof/>
        </w:rPr>
        <w:t>(a) On “Occupant crash protection” “Frontal”, “KMVSS Article 102 Paragraphs 1,3” have replaced the reference to “KMVSS Article 102” under the Corresponding Korean Technical Regulations due to a revision of KMVSS.</w:t>
      </w:r>
    </w:p>
    <w:p>
      <w:pPr>
        <w:pStyle w:val="Point1"/>
        <w:rPr>
          <w:noProof/>
        </w:rPr>
      </w:pPr>
      <w:r>
        <w:rPr>
          <w:noProof/>
        </w:rPr>
        <w:t>(b)</w:t>
      </w:r>
      <w:r>
        <w:rPr>
          <w:noProof/>
        </w:rPr>
        <w:tab/>
        <w:t>On “Occupant crash protection” “Side”, “KMVSS Article 102 Paragraph 1” has replaced the reference to “KMVSS Article 102” under the Corresponding Korean Technical Regulations due to a revision of KMVSS.</w:t>
      </w:r>
    </w:p>
    <w:p>
      <w:pPr>
        <w:pStyle w:val="Point1"/>
        <w:rPr>
          <w:noProof/>
        </w:rPr>
      </w:pPr>
      <w:r>
        <w:rPr>
          <w:noProof/>
        </w:rPr>
        <w:t>(c)</w:t>
      </w:r>
      <w:r>
        <w:rPr>
          <w:noProof/>
        </w:rPr>
        <w:tab/>
        <w:t>The whole line on “Towing hook” has been replaced. Specifically, “Towing hook” has been replaced by “Towing devices”, as “Towing devices” is the official concept referred to in Regulation (EU) No 1005/2010. Moreover, the requirements for “Towing devices” are now “Regulation (EU) No 1005/2010” instead of “77/389/EEC”. Finally, the Corresponding Korean Technical Regulations now read “KMVSS Article 20 paragraph 1” which has replaced the previous reference to “KMVSS Article 20 Items 1, 2, 4”.</w:t>
      </w:r>
    </w:p>
    <w:p>
      <w:pPr>
        <w:pStyle w:val="Point1"/>
        <w:rPr>
          <w:noProof/>
        </w:rPr>
      </w:pPr>
      <w:r>
        <w:rPr>
          <w:noProof/>
        </w:rPr>
        <w:t>(d)</w:t>
      </w:r>
      <w:r>
        <w:rPr>
          <w:noProof/>
        </w:rPr>
        <w:tab/>
        <w:t>On “Lighting and signalling system”, KMVSS Article 106 Items 1 to 10 have been deleted from the corresponding Korean Technical Regulations on “Head lamp”, “Front fog lamp”, Backup lamp”, “Clearance lamp”, “Registration plate lamp”, “Tail lamp”, “Stop lamp”, “Centre high mounted stop lamp”, “Turn signal”, “Auxiliary turn signal” and “Rear fog lamp” due to a revision of KMVSS.</w:t>
      </w:r>
    </w:p>
    <w:p>
      <w:pPr>
        <w:pStyle w:val="Point1"/>
        <w:rPr>
          <w:noProof/>
        </w:rPr>
      </w:pPr>
      <w:r>
        <w:rPr>
          <w:noProof/>
        </w:rPr>
        <w:t>(e)</w:t>
      </w:r>
      <w:r>
        <w:rPr>
          <w:noProof/>
        </w:rPr>
        <w:tab/>
        <w:t>On “Lighting and signalling system” “Installation”, the Corresponding Korean Technical Regulations now read “KMVSS Articles 38, 38-2, 38-3, 38-4, 38-5, 39, 40, 41, 42, 43, 44, 44-2, 45, 45-2, 47 and 49” which have replaced the previous reference to “KMVSS Articles 38, 39, 40, 41, 42, 43, 44, 45 and 47”. This is due to a revision of KMVSs.</w:t>
      </w:r>
    </w:p>
    <w:p>
      <w:pPr>
        <w:pStyle w:val="Point1"/>
        <w:rPr>
          <w:noProof/>
        </w:rPr>
      </w:pPr>
      <w:r>
        <w:rPr>
          <w:noProof/>
        </w:rPr>
        <w:t>(f)</w:t>
      </w:r>
      <w:r>
        <w:rPr>
          <w:noProof/>
        </w:rPr>
        <w:tab/>
        <w:t>“Lighting and signalling system”, “Daytime running lamp” and “Cornering lamp” have been added to the table due to a revision of KMVSS and in order to reflect the updated installation requirements on “Lighting and signalling system”.</w:t>
      </w:r>
    </w:p>
    <w:p>
      <w:pPr>
        <w:pStyle w:val="Point1"/>
        <w:rPr>
          <w:noProof/>
        </w:rPr>
      </w:pPr>
      <w:r>
        <w:rPr>
          <w:noProof/>
        </w:rPr>
        <w:t>(g)</w:t>
      </w:r>
      <w:r>
        <w:rPr>
          <w:noProof/>
        </w:rPr>
        <w:tab/>
        <w:t>On “Lighting and signalling system”, “Centre high mounted stop lamp”, in addition to the deletion of KMVSS Article 106 Item 8, paragraph 3 of KMVSS Article 43 has also been deleted because it has been replaced by the Corresponding Korean Technical Regulations “KMVSS Article 43 Paragraph 2”.</w:t>
      </w:r>
    </w:p>
    <w:p>
      <w:pPr>
        <w:pStyle w:val="Point1"/>
        <w:rPr>
          <w:noProof/>
        </w:rPr>
      </w:pPr>
      <w:r>
        <w:rPr>
          <w:noProof/>
        </w:rPr>
        <w:t>(h)</w:t>
      </w:r>
      <w:r>
        <w:rPr>
          <w:noProof/>
        </w:rPr>
        <w:tab/>
        <w:t>On “Lighting and signalling system”, “Side marker lamp” has been added to the table due to a revision of KMVSS and in order reflect the updated installation requirements on “Lighting and signalling system”.</w:t>
      </w:r>
    </w:p>
    <w:p>
      <w:pPr>
        <w:pStyle w:val="Point1"/>
        <w:rPr>
          <w:noProof/>
        </w:rPr>
      </w:pPr>
      <w:r>
        <w:rPr>
          <w:noProof/>
        </w:rPr>
        <w:t>(i)</w:t>
      </w:r>
      <w:r>
        <w:rPr>
          <w:noProof/>
        </w:rPr>
        <w:tab/>
        <w:t xml:space="preserve">On “Lighting and signalling system”, “Retro-reflection devices”, the Corresponding Korean Technical Regulations now read “KMVSS Article 49” which has replaced the previous reference to “KMVSS Article 49 paragraphs 1, 2, Article 107”. This is due to a revision of KMVSS. </w:t>
      </w:r>
    </w:p>
    <w:p>
      <w:pPr>
        <w:pStyle w:val="Point1"/>
        <w:rPr>
          <w:noProof/>
        </w:rPr>
      </w:pPr>
      <w:r>
        <w:rPr>
          <w:noProof/>
        </w:rPr>
        <w:t>(j)</w:t>
      </w:r>
      <w:r>
        <w:rPr>
          <w:noProof/>
        </w:rPr>
        <w:tab/>
        <w:t>On “Engine power”, the Corresponding Korean Technical Regulations now read “KMVSS Article 111” which has replaced the previous reference to “KMVSS Article 11 Paragraph 1 Item 2, Article 111”. This is due to a revision of KMVSS.</w:t>
      </w:r>
    </w:p>
    <w:p>
      <w:pPr>
        <w:pStyle w:val="Point1"/>
        <w:rPr>
          <w:noProof/>
        </w:rPr>
      </w:pPr>
      <w:r>
        <w:rPr>
          <w:noProof/>
        </w:rPr>
        <w:t>(k)</w:t>
      </w:r>
      <w:r>
        <w:rPr>
          <w:noProof/>
        </w:rPr>
        <w:tab/>
        <w:t>On “Device for securing driver’s visibility”, the references under “Requirements” to “78/318/EEC” and “78/317/EEC” have been deleted since they have been repealed and replaced by “Regulation (EU) No 1008/2010” or “Regulation (EU) No 672/2010”. The Corresponding Korean Technical Regulations remain unchanged.</w:t>
      </w:r>
    </w:p>
    <w:p>
      <w:pPr>
        <w:pStyle w:val="Point1"/>
        <w:rPr>
          <w:noProof/>
        </w:rPr>
      </w:pPr>
      <w:r>
        <w:rPr>
          <w:noProof/>
        </w:rPr>
        <w:t>(l)</w:t>
      </w:r>
      <w:r>
        <w:rPr>
          <w:noProof/>
        </w:rPr>
        <w:tab/>
        <w:t xml:space="preserve">On “Seat belt assembly anchorages”, the Corresponding Korean Technical Regulations now read “KMVSS Article 27 Paragraphs 1, 2, 3, 4; Article 103” which have replaced the previous references to “KMVSS Article 27 Paragraphs 1, 2, 3, 4, 5; Article 103 Paragraphs 1, 2, 3”. This is due to a revision of KMVSS. </w:t>
      </w:r>
    </w:p>
    <w:p>
      <w:pPr>
        <w:pStyle w:val="Point1"/>
        <w:rPr>
          <w:noProof/>
        </w:rPr>
      </w:pPr>
      <w:r>
        <w:rPr>
          <w:noProof/>
        </w:rPr>
        <w:t>(m)</w:t>
      </w:r>
      <w:r>
        <w:rPr>
          <w:noProof/>
        </w:rPr>
        <w:tab/>
        <w:t>On “Emission and noise (except the passer-by noise of 3 or 4 wheels) for motor cycles”, the references under “Requirements” to, inter alia, “Directives 2002/51/EC, 2003/77/EC, 97/24/EC Chapters 5 and 9” have been deleted, since they have been repealed and replaced by, inter alia, “Regulations (EU) No 168/2013, (EU) No 134/2014”. The Corresponding Korean Technical Regulations remain unchanged.</w:t>
      </w:r>
    </w:p>
    <w:p>
      <w:pPr>
        <w:pStyle w:val="Point1"/>
        <w:rPr>
          <w:noProof/>
        </w:rPr>
      </w:pPr>
      <w:r>
        <w:rPr>
          <w:noProof/>
        </w:rPr>
        <w:t>(n)</w:t>
      </w:r>
      <w:r>
        <w:rPr>
          <w:noProof/>
        </w:rPr>
        <w:tab/>
        <w:t>On “Emission Diesel (incl. OBD)” “Below 3.5t vehicle”, the following references under “Requirements” have been added: “Regulations (EC) No 715/2007” and “(EU) No 459/2012” because these are the applicable Regulations that correspond to KMVSS. The Corresponding Korean Technical Regulations remain unchanged.</w:t>
      </w:r>
    </w:p>
    <w:p>
      <w:pPr>
        <w:pStyle w:val="Point1"/>
        <w:rPr>
          <w:noProof/>
        </w:rPr>
      </w:pPr>
      <w:r>
        <w:rPr>
          <w:noProof/>
        </w:rPr>
        <w:t>(o)</w:t>
      </w:r>
      <w:r>
        <w:rPr>
          <w:noProof/>
        </w:rPr>
        <w:tab/>
        <w:t>On “Emission Diesel (incl. OBD)” “Over 3.5t vehicle”, the reference under “Requirements” to, inter alia, “Regulation (EC) No 692/2008” has been deleted and replaced with, inter alia, “Regulations (EC) No 595/2009, (EU) No 582/2011” because “Regulation (EC) No 692/2008” does not deal with heavy duty vehicles. The Corresponding Korean Technical Regulations remain unchanged.</w:t>
      </w:r>
    </w:p>
    <w:p>
      <w:pPr>
        <w:pStyle w:val="Point1"/>
        <w:rPr>
          <w:noProof/>
        </w:rPr>
      </w:pPr>
      <w:r>
        <w:rPr>
          <w:noProof/>
        </w:rPr>
        <w:t>(p)</w:t>
      </w:r>
      <w:r>
        <w:rPr>
          <w:noProof/>
        </w:rPr>
        <w:tab/>
        <w:t xml:space="preserve">On “Tyres” the Corresponding Korean Technical Regulations now read “Electrical Appliances and Consumer Products Safety Control Act Articles 15, 18 and 19; Enforcement Rules of Electrical Appliances and Consumer Products Safety Control Act Article 3, paragraph </w:t>
      </w:r>
      <w:r>
        <w:rPr>
          <w:rFonts w:hint="eastAsia"/>
          <w:noProof/>
        </w:rPr>
        <w:t>4</w:t>
      </w:r>
      <w:r>
        <w:rPr>
          <w:noProof/>
        </w:rPr>
        <w:t>, Article 26; KMVSS Article 12 Paragraph 1” which have replaced the previous reference to “Quality Management Safety and Control of Industrial Products Act (QMSCIPA) (Articles 19, 20, 21); Enforcement Rules of QMSCIPA Article 2 paragraph 2, Article 19.” This is because QMSCIPA has been replaced by the “Electrical Appliances and Consumer Products Safety Control Act”.</w:t>
      </w:r>
    </w:p>
    <w:p>
      <w:pPr>
        <w:pStyle w:val="Point0"/>
        <w:rPr>
          <w:noProof/>
        </w:rPr>
      </w:pPr>
      <w:r>
        <w:rPr>
          <w:noProof/>
        </w:rPr>
        <w:t>(8)</w:t>
      </w:r>
      <w:r>
        <w:rPr>
          <w:noProof/>
        </w:rPr>
        <w:tab/>
        <w:t xml:space="preserve">Table 2 of Appendix 2-C-3 remains unchanged. </w:t>
      </w:r>
    </w:p>
    <w:p>
      <w:pPr>
        <w:pStyle w:val="Point0"/>
        <w:rPr>
          <w:noProof/>
        </w:rPr>
      </w:pPr>
      <w:r>
        <w:rPr>
          <w:noProof/>
        </w:rPr>
        <w:t>(9)</w:t>
      </w:r>
      <w:r>
        <w:rPr>
          <w:noProof/>
        </w:rPr>
        <w:tab/>
        <w:t>Pursuant to Article 12.2 in the Annex of of Decision No</w:t>
      </w:r>
      <w:r>
        <w:rPr>
          <w:rFonts w:hint="eastAsia"/>
          <w:noProof/>
        </w:rPr>
        <w:t>.</w:t>
      </w:r>
      <w:r>
        <w:rPr>
          <w:noProof/>
        </w:rPr>
        <w:t xml:space="preserve"> 1 of the Korea</w:t>
      </w:r>
      <w:r>
        <w:rPr>
          <w:rFonts w:hint="eastAsia"/>
          <w:noProof/>
        </w:rPr>
        <w:t>-EU</w:t>
      </w:r>
      <w:r>
        <w:rPr>
          <w:noProof/>
        </w:rPr>
        <w:t xml:space="preserve"> Trade Committee of 23 December 2011 on the adoption of the rules of procedure of the Trade Committee, in the period between the meetings of the Trade Committee, it can adopt decisions by written procedure if both Parties agree. The written procedure would consist of an exchange of notes between the Chairpersons of the Trade Committee,</w:t>
      </w:r>
    </w:p>
    <w:p>
      <w:pPr>
        <w:spacing w:line="276" w:lineRule="auto"/>
        <w:rPr>
          <w:noProof/>
        </w:rPr>
      </w:pPr>
      <w:r>
        <w:rPr>
          <w:noProof/>
        </w:rPr>
        <w:t>HAS ADOPTED THIS DECISION:</w:t>
      </w:r>
    </w:p>
    <w:p>
      <w:pPr>
        <w:spacing w:line="276" w:lineRule="auto"/>
        <w:jc w:val="center"/>
        <w:rPr>
          <w:i/>
          <w:noProof/>
        </w:rPr>
      </w:pPr>
      <w:r>
        <w:rPr>
          <w:i/>
          <w:noProof/>
        </w:rPr>
        <w:t>Article 1</w:t>
      </w:r>
    </w:p>
    <w:p>
      <w:pPr>
        <w:rPr>
          <w:noProof/>
        </w:rPr>
      </w:pPr>
      <w:r>
        <w:rPr>
          <w:noProof/>
        </w:rPr>
        <w:t>Table 1 of Appendix 2-C-2 of Annex 2-C of the Agreement shall be replaced by Table 1 of Annex 1 to this Decision.</w:t>
      </w:r>
    </w:p>
    <w:p>
      <w:pPr>
        <w:spacing w:line="276" w:lineRule="auto"/>
        <w:jc w:val="center"/>
        <w:rPr>
          <w:i/>
          <w:noProof/>
        </w:rPr>
      </w:pPr>
      <w:r>
        <w:rPr>
          <w:i/>
          <w:noProof/>
        </w:rPr>
        <w:t>Article 2</w:t>
      </w:r>
    </w:p>
    <w:p>
      <w:pPr>
        <w:rPr>
          <w:noProof/>
        </w:rPr>
      </w:pPr>
      <w:r>
        <w:rPr>
          <w:noProof/>
        </w:rPr>
        <w:t xml:space="preserve">Table 1 of Appendix 2-C-3 of Annex 2-C of the Agreement shall be replaced by Table 1 of Annex 2 to this Decision. </w:t>
      </w:r>
    </w:p>
    <w:p>
      <w:pPr>
        <w:spacing w:line="276" w:lineRule="auto"/>
        <w:jc w:val="center"/>
        <w:rPr>
          <w:i/>
          <w:noProof/>
        </w:rPr>
      </w:pPr>
      <w:r>
        <w:rPr>
          <w:i/>
          <w:noProof/>
        </w:rPr>
        <w:t>Article 3</w:t>
      </w:r>
    </w:p>
    <w:p>
      <w:pPr>
        <w:spacing w:after="480"/>
        <w:rPr>
          <w:noProof/>
        </w:rPr>
      </w:pPr>
      <w:r>
        <w:rPr>
          <w:noProof/>
        </w:rPr>
        <w:t>This Decision shall enter into force on the first day of the month following the date on which the Parties exchange written notifications</w:t>
      </w:r>
      <w:r>
        <w:rPr>
          <w:rFonts w:hint="eastAsia"/>
          <w:noProof/>
        </w:rPr>
        <w:t xml:space="preserve"> through diplomatic channels</w:t>
      </w:r>
      <w:r>
        <w:rPr>
          <w:noProof/>
        </w:rPr>
        <w:t xml:space="preserve"> certifying that they have completed their respective applicable legal requirements and procedures necessary for its entry into force.</w:t>
      </w:r>
    </w:p>
    <w:tbl>
      <w:tblPr>
        <w:tblW w:w="0" w:type="auto"/>
        <w:tblLook w:val="04A0" w:firstRow="1" w:lastRow="0" w:firstColumn="1" w:lastColumn="0" w:noHBand="0" w:noVBand="1"/>
      </w:tblPr>
      <w:tblGrid>
        <w:gridCol w:w="4379"/>
        <w:gridCol w:w="38"/>
        <w:gridCol w:w="4341"/>
        <w:gridCol w:w="76"/>
      </w:tblGrid>
      <w:tr>
        <w:trPr>
          <w:gridAfter w:val="1"/>
          <w:wAfter w:w="76" w:type="dxa"/>
        </w:trPr>
        <w:tc>
          <w:tcPr>
            <w:tcW w:w="4379" w:type="dxa"/>
          </w:tcPr>
          <w:p>
            <w:pPr>
              <w:rPr>
                <w:noProof/>
              </w:rPr>
            </w:pPr>
            <w:r>
              <w:rPr>
                <w:noProof/>
              </w:rPr>
              <w:t xml:space="preserve">For the Trade Committee </w:t>
            </w:r>
          </w:p>
        </w:tc>
        <w:tc>
          <w:tcPr>
            <w:tcW w:w="4379" w:type="dxa"/>
            <w:gridSpan w:val="2"/>
          </w:tcPr>
          <w:p>
            <w:pPr>
              <w:rPr>
                <w:noProof/>
              </w:rPr>
            </w:pPr>
          </w:p>
        </w:tc>
      </w:tr>
      <w:tr>
        <w:trPr>
          <w:gridAfter w:val="1"/>
          <w:wAfter w:w="76" w:type="dxa"/>
        </w:trPr>
        <w:tc>
          <w:tcPr>
            <w:tcW w:w="4379" w:type="dxa"/>
          </w:tcPr>
          <w:p>
            <w:pPr>
              <w:jc w:val="left"/>
              <w:rPr>
                <w:noProof/>
              </w:rPr>
            </w:pPr>
            <w:r>
              <w:rPr>
                <w:rFonts w:hint="eastAsia"/>
                <w:noProof/>
              </w:rPr>
              <w:t>Yoo Myung-hee</w:t>
            </w:r>
          </w:p>
          <w:p>
            <w:pPr>
              <w:jc w:val="left"/>
              <w:rPr>
                <w:noProof/>
              </w:rPr>
            </w:pPr>
            <w:r>
              <w:rPr>
                <w:noProof/>
              </w:rPr>
              <w:t xml:space="preserve">Minister </w:t>
            </w:r>
            <w:r>
              <w:rPr>
                <w:rFonts w:hint="eastAsia"/>
                <w:noProof/>
              </w:rPr>
              <w:t>for Trade</w:t>
            </w:r>
          </w:p>
          <w:p>
            <w:pPr>
              <w:rPr>
                <w:noProof/>
              </w:rPr>
            </w:pPr>
            <w:r>
              <w:rPr>
                <w:rFonts w:hint="eastAsia"/>
                <w:noProof/>
              </w:rPr>
              <w:t xml:space="preserve">Ministry </w:t>
            </w:r>
            <w:r>
              <w:rPr>
                <w:noProof/>
              </w:rPr>
              <w:t>of Trade, Industry and Energy of the Republic of Korea</w:t>
            </w:r>
          </w:p>
        </w:tc>
        <w:tc>
          <w:tcPr>
            <w:tcW w:w="4379" w:type="dxa"/>
            <w:gridSpan w:val="2"/>
          </w:tcPr>
          <w:p>
            <w:pPr>
              <w:jc w:val="left"/>
              <w:rPr>
                <w:noProof/>
              </w:rPr>
            </w:pPr>
            <w:r>
              <w:rPr>
                <w:noProof/>
              </w:rPr>
              <w:t>Cecilia MALMSTRÖM</w:t>
            </w:r>
          </w:p>
          <w:p>
            <w:pPr>
              <w:jc w:val="left"/>
              <w:rPr>
                <w:noProof/>
              </w:rPr>
            </w:pPr>
            <w:r>
              <w:rPr>
                <w:noProof/>
              </w:rPr>
              <w:t>Member of the European Commission responsible for Trade</w:t>
            </w:r>
          </w:p>
          <w:p>
            <w:pPr>
              <w:rPr>
                <w:noProof/>
              </w:rPr>
            </w:pPr>
          </w:p>
        </w:tc>
      </w:tr>
      <w:tr>
        <w:tblPrEx>
          <w:tblLook w:val="01E0" w:firstRow="1" w:lastRow="1" w:firstColumn="1" w:lastColumn="1" w:noHBand="0" w:noVBand="0"/>
        </w:tblPrEx>
        <w:tc>
          <w:tcPr>
            <w:tcW w:w="4417" w:type="dxa"/>
            <w:gridSpan w:val="2"/>
            <w:shd w:val="clear" w:color="auto" w:fill="auto"/>
          </w:tcPr>
          <w:p>
            <w:pPr>
              <w:spacing w:before="0" w:after="0" w:line="276" w:lineRule="auto"/>
              <w:rPr>
                <w:noProof/>
              </w:rPr>
            </w:pPr>
          </w:p>
        </w:tc>
        <w:tc>
          <w:tcPr>
            <w:tcW w:w="4417" w:type="dxa"/>
            <w:gridSpan w:val="2"/>
            <w:shd w:val="clear" w:color="auto" w:fill="auto"/>
          </w:tcPr>
          <w:p>
            <w:pPr>
              <w:spacing w:before="0" w:after="0" w:line="276" w:lineRule="auto"/>
              <w:rPr>
                <w:noProof/>
              </w:rPr>
            </w:pPr>
          </w:p>
        </w:tc>
      </w:tr>
    </w:tbl>
    <w:p>
      <w:pPr>
        <w:spacing w:before="0" w:after="200" w:line="276" w:lineRule="auto"/>
        <w:jc w:val="left"/>
        <w:rPr>
          <w:noProof/>
        </w:rPr>
        <w:sectPr>
          <w:footerReference w:type="default" r:id="rId16"/>
          <w:footerReference w:type="first" r:id="rId17"/>
          <w:pgSz w:w="11906" w:h="16838"/>
          <w:pgMar w:top="1020" w:right="1701" w:bottom="1020" w:left="1587" w:header="601" w:footer="1077" w:gutter="0"/>
          <w:cols w:space="720"/>
          <w:docGrid w:linePitch="326"/>
        </w:sectPr>
      </w:pPr>
    </w:p>
    <w:p>
      <w:pPr>
        <w:jc w:val="right"/>
        <w:rPr>
          <w:noProof/>
        </w:rPr>
      </w:pPr>
      <w:r>
        <w:rPr>
          <w:noProof/>
        </w:rPr>
        <w:t>Annex 1</w:t>
      </w:r>
    </w:p>
    <w:p>
      <w:pPr>
        <w:jc w:val="center"/>
        <w:rPr>
          <w:noProof/>
        </w:rPr>
      </w:pPr>
      <w:r>
        <w:rPr>
          <w:noProof/>
        </w:rPr>
        <w:t>Appendix 2-C-2</w:t>
      </w:r>
    </w:p>
    <w:p>
      <w:pPr>
        <w:jc w:val="center"/>
        <w:rPr>
          <w:noProof/>
        </w:rPr>
      </w:pPr>
      <w:r>
        <w:rPr>
          <w:noProof/>
        </w:rPr>
        <w:t>Table 1</w:t>
      </w:r>
    </w:p>
    <w:p>
      <w:pPr>
        <w:jc w:val="center"/>
        <w:rPr>
          <w:b/>
          <w:noProof/>
        </w:rPr>
      </w:pPr>
      <w:r>
        <w:rPr>
          <w:b/>
          <w:noProof/>
        </w:rPr>
        <w:t>List referred to in Article 3(a)(i) of Annex 2-C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1"/>
        <w:gridCol w:w="2932"/>
      </w:tblGrid>
      <w:tr>
        <w:trPr>
          <w:tblHeader/>
        </w:trPr>
        <w:tc>
          <w:tcPr>
            <w:tcW w:w="3080" w:type="dxa"/>
            <w:shd w:val="clear" w:color="auto" w:fill="auto"/>
            <w:vAlign w:val="center"/>
          </w:tcPr>
          <w:p>
            <w:pPr>
              <w:shd w:val="clear" w:color="auto" w:fill="FFFFFF"/>
              <w:spacing w:line="220" w:lineRule="exact"/>
              <w:jc w:val="left"/>
              <w:rPr>
                <w:noProof/>
              </w:rPr>
            </w:pPr>
            <w:r>
              <w:rPr>
                <w:noProof/>
              </w:rPr>
              <w:t>Subject</w:t>
            </w:r>
          </w:p>
        </w:tc>
        <w:tc>
          <w:tcPr>
            <w:tcW w:w="3081" w:type="dxa"/>
            <w:shd w:val="clear" w:color="auto" w:fill="auto"/>
            <w:vAlign w:val="center"/>
          </w:tcPr>
          <w:p>
            <w:pPr>
              <w:shd w:val="clear" w:color="auto" w:fill="FFFFFF"/>
              <w:spacing w:line="220" w:lineRule="exact"/>
              <w:ind w:left="280"/>
              <w:jc w:val="left"/>
              <w:rPr>
                <w:noProof/>
              </w:rPr>
            </w:pPr>
            <w:r>
              <w:rPr>
                <w:noProof/>
              </w:rPr>
              <w:t>Requirements</w:t>
            </w:r>
          </w:p>
        </w:tc>
        <w:tc>
          <w:tcPr>
            <w:tcW w:w="3081" w:type="dxa"/>
            <w:shd w:val="clear" w:color="auto" w:fill="auto"/>
            <w:vAlign w:val="bottom"/>
          </w:tcPr>
          <w:p>
            <w:pPr>
              <w:shd w:val="clear" w:color="auto" w:fill="FFFFFF"/>
              <w:spacing w:line="274" w:lineRule="exact"/>
              <w:jc w:val="left"/>
              <w:rPr>
                <w:noProof/>
              </w:rPr>
            </w:pPr>
            <w:r>
              <w:rPr>
                <w:noProof/>
              </w:rPr>
              <w:t>Corresponding EU Technical Regulation (if existing)</w:t>
            </w:r>
            <w:r>
              <w:rPr>
                <w:rStyle w:val="FootnoteReference"/>
                <w:noProof/>
              </w:rPr>
              <w:footnoteReference w:id="2"/>
            </w:r>
          </w:p>
        </w:tc>
      </w:tr>
      <w:tr>
        <w:tc>
          <w:tcPr>
            <w:tcW w:w="3080" w:type="dxa"/>
            <w:shd w:val="clear" w:color="auto" w:fill="auto"/>
            <w:vAlign w:val="center"/>
          </w:tcPr>
          <w:p>
            <w:pPr>
              <w:shd w:val="clear" w:color="auto" w:fill="FFFFFF"/>
              <w:spacing w:line="240" w:lineRule="atLeast"/>
              <w:jc w:val="left"/>
              <w:rPr>
                <w:noProof/>
              </w:rPr>
            </w:pPr>
            <w:r>
              <w:rPr>
                <w:noProof/>
              </w:rPr>
              <w:t>Permissible sound level</w:t>
            </w:r>
          </w:p>
        </w:tc>
        <w:tc>
          <w:tcPr>
            <w:tcW w:w="3081" w:type="dxa"/>
            <w:shd w:val="clear" w:color="auto" w:fill="auto"/>
            <w:vAlign w:val="center"/>
          </w:tcPr>
          <w:p>
            <w:pPr>
              <w:shd w:val="clear" w:color="auto" w:fill="FFFFFF"/>
              <w:spacing w:line="240" w:lineRule="atLeast"/>
              <w:ind w:left="20"/>
              <w:jc w:val="left"/>
              <w:rPr>
                <w:noProof/>
              </w:rPr>
            </w:pPr>
            <w:r>
              <w:rPr>
                <w:noProof/>
              </w:rPr>
              <w:t>UN Reg</w:t>
            </w:r>
            <w:r>
              <w:rPr>
                <w:rStyle w:val="FootnoteReference"/>
                <w:noProof/>
              </w:rPr>
              <w:footnoteReference w:id="3"/>
            </w:r>
            <w:r>
              <w:rPr>
                <w:noProof/>
              </w:rPr>
              <w:t>. 51</w:t>
            </w:r>
          </w:p>
        </w:tc>
        <w:tc>
          <w:tcPr>
            <w:tcW w:w="3081" w:type="dxa"/>
            <w:shd w:val="clear" w:color="auto" w:fill="auto"/>
            <w:vAlign w:val="center"/>
          </w:tcPr>
          <w:p>
            <w:pPr>
              <w:shd w:val="clear" w:color="auto" w:fill="FFFFFF"/>
              <w:spacing w:line="240" w:lineRule="atLeast"/>
              <w:ind w:left="20"/>
              <w:jc w:val="left"/>
              <w:rPr>
                <w:noProof/>
              </w:rPr>
            </w:pPr>
            <w:r>
              <w:rPr>
                <w:noProof/>
              </w:rPr>
              <w:t>Directive 70/157/EEC, Regulation (EU) No 540/2014</w:t>
            </w:r>
          </w:p>
        </w:tc>
      </w:tr>
      <w:tr>
        <w:tc>
          <w:tcPr>
            <w:tcW w:w="3080" w:type="dxa"/>
            <w:shd w:val="clear" w:color="auto" w:fill="auto"/>
            <w:vAlign w:val="center"/>
          </w:tcPr>
          <w:p>
            <w:pPr>
              <w:shd w:val="clear" w:color="auto" w:fill="FFFFFF"/>
              <w:spacing w:line="240" w:lineRule="atLeast"/>
              <w:jc w:val="left"/>
              <w:rPr>
                <w:noProof/>
              </w:rPr>
            </w:pPr>
            <w:r>
              <w:rPr>
                <w:noProof/>
              </w:rPr>
              <w:t>Replacement silencing systems</w:t>
            </w:r>
          </w:p>
        </w:tc>
        <w:tc>
          <w:tcPr>
            <w:tcW w:w="3081" w:type="dxa"/>
            <w:shd w:val="clear" w:color="auto" w:fill="auto"/>
            <w:vAlign w:val="bottom"/>
          </w:tcPr>
          <w:p>
            <w:pPr>
              <w:shd w:val="clear" w:color="auto" w:fill="FFFFFF"/>
              <w:spacing w:line="240" w:lineRule="atLeast"/>
              <w:jc w:val="left"/>
              <w:rPr>
                <w:noProof/>
              </w:rPr>
            </w:pPr>
            <w:r>
              <w:rPr>
                <w:noProof/>
              </w:rPr>
              <w:t>UN Reg. 59</w:t>
            </w:r>
          </w:p>
        </w:tc>
        <w:tc>
          <w:tcPr>
            <w:tcW w:w="3081" w:type="dxa"/>
            <w:shd w:val="clear" w:color="auto" w:fill="auto"/>
            <w:vAlign w:val="bottom"/>
          </w:tcPr>
          <w:p>
            <w:pPr>
              <w:shd w:val="clear" w:color="auto" w:fill="FFFFFF"/>
              <w:spacing w:line="240" w:lineRule="atLeast"/>
              <w:jc w:val="left"/>
              <w:rPr>
                <w:noProof/>
              </w:rPr>
            </w:pPr>
            <w:r>
              <w:rPr>
                <w:noProof/>
              </w:rPr>
              <w:t>Directive 70/157/EEC, Regulation (EU) No 540/2014</w:t>
            </w:r>
          </w:p>
        </w:tc>
      </w:tr>
      <w:tr>
        <w:tc>
          <w:tcPr>
            <w:tcW w:w="3080" w:type="dxa"/>
            <w:shd w:val="clear" w:color="auto" w:fill="auto"/>
          </w:tcPr>
          <w:p>
            <w:pPr>
              <w:shd w:val="clear" w:color="auto" w:fill="FFFFFF"/>
              <w:spacing w:line="240" w:lineRule="atLeast"/>
              <w:jc w:val="left"/>
              <w:rPr>
                <w:noProof/>
              </w:rPr>
            </w:pPr>
            <w:r>
              <w:rPr>
                <w:noProof/>
              </w:rPr>
              <w:t xml:space="preserve">Emissions light vehicles </w:t>
            </w:r>
          </w:p>
        </w:tc>
        <w:tc>
          <w:tcPr>
            <w:tcW w:w="3081" w:type="dxa"/>
            <w:shd w:val="clear" w:color="auto" w:fill="auto"/>
          </w:tcPr>
          <w:p>
            <w:pPr>
              <w:shd w:val="clear" w:color="auto" w:fill="FFFFFF"/>
              <w:spacing w:line="240" w:lineRule="atLeast"/>
              <w:jc w:val="left"/>
              <w:rPr>
                <w:noProof/>
              </w:rPr>
            </w:pPr>
            <w:r>
              <w:rPr>
                <w:noProof/>
              </w:rPr>
              <w:t>UN Reg. 83</w:t>
            </w:r>
          </w:p>
        </w:tc>
        <w:tc>
          <w:tcPr>
            <w:tcW w:w="3081" w:type="dxa"/>
            <w:shd w:val="clear" w:color="auto" w:fill="auto"/>
          </w:tcPr>
          <w:p>
            <w:pPr>
              <w:shd w:val="clear" w:color="auto" w:fill="FFFFFF"/>
              <w:spacing w:line="240" w:lineRule="atLeast"/>
              <w:jc w:val="left"/>
              <w:rPr>
                <w:noProof/>
              </w:rPr>
            </w:pPr>
            <w:r>
              <w:rPr>
                <w:noProof/>
              </w:rPr>
              <w:t>Regulations (EC) No 715/2007, (EC) No 692/2008, (EU) No 459/2012</w:t>
            </w:r>
          </w:p>
          <w:p>
            <w:pPr>
              <w:shd w:val="clear" w:color="auto" w:fill="FFFFFF"/>
              <w:spacing w:line="240" w:lineRule="atLeast"/>
              <w:jc w:val="left"/>
              <w:rPr>
                <w:noProof/>
                <w:lang w:val="fr-BE"/>
              </w:rPr>
            </w:pPr>
            <w:r>
              <w:rPr>
                <w:noProof/>
                <w:lang w:val="fr-BE"/>
              </w:rPr>
              <w:t xml:space="preserve">Regulations (EU) 2016/427, (EU) 2016/646, (EU) 2017/1151, (EU) 2017/1154 and (EU) 2018/1832 </w:t>
            </w:r>
          </w:p>
        </w:tc>
      </w:tr>
      <w:tr>
        <w:tc>
          <w:tcPr>
            <w:tcW w:w="3080" w:type="dxa"/>
            <w:shd w:val="clear" w:color="auto" w:fill="auto"/>
          </w:tcPr>
          <w:p>
            <w:pPr>
              <w:shd w:val="clear" w:color="auto" w:fill="FFFFFF"/>
              <w:spacing w:line="240" w:lineRule="atLeast"/>
              <w:jc w:val="left"/>
              <w:rPr>
                <w:noProof/>
              </w:rPr>
            </w:pPr>
            <w:r>
              <w:rPr>
                <w:noProof/>
              </w:rPr>
              <w:t>Replacement catalytic converters</w:t>
            </w:r>
          </w:p>
        </w:tc>
        <w:tc>
          <w:tcPr>
            <w:tcW w:w="3081" w:type="dxa"/>
            <w:shd w:val="clear" w:color="auto" w:fill="auto"/>
          </w:tcPr>
          <w:p>
            <w:pPr>
              <w:shd w:val="clear" w:color="auto" w:fill="FFFFFF"/>
              <w:spacing w:line="240" w:lineRule="atLeast"/>
              <w:jc w:val="left"/>
              <w:rPr>
                <w:noProof/>
              </w:rPr>
            </w:pPr>
            <w:r>
              <w:rPr>
                <w:noProof/>
              </w:rPr>
              <w:t>UN Reg. 103</w:t>
            </w:r>
          </w:p>
        </w:tc>
        <w:tc>
          <w:tcPr>
            <w:tcW w:w="3081" w:type="dxa"/>
            <w:shd w:val="clear" w:color="auto" w:fill="auto"/>
          </w:tcPr>
          <w:p>
            <w:pPr>
              <w:shd w:val="clear" w:color="auto" w:fill="FFFFFF"/>
              <w:spacing w:line="240" w:lineRule="atLeast"/>
              <w:jc w:val="left"/>
              <w:rPr>
                <w:noProof/>
              </w:rPr>
            </w:pPr>
            <w:r>
              <w:rPr>
                <w:noProof/>
              </w:rPr>
              <w:t>Regulations (EC) No 715/2007, (EC) No 692/2008</w:t>
            </w:r>
          </w:p>
        </w:tc>
      </w:tr>
      <w:tr>
        <w:tc>
          <w:tcPr>
            <w:tcW w:w="3080" w:type="dxa"/>
            <w:shd w:val="clear" w:color="auto" w:fill="auto"/>
          </w:tcPr>
          <w:p>
            <w:pPr>
              <w:shd w:val="clear" w:color="auto" w:fill="FFFFFF"/>
              <w:spacing w:line="240" w:lineRule="atLeast"/>
              <w:jc w:val="left"/>
              <w:rPr>
                <w:noProof/>
              </w:rPr>
            </w:pPr>
            <w:r>
              <w:rPr>
                <w:noProof/>
              </w:rPr>
              <w:t>Fuel tanks</w:t>
            </w:r>
          </w:p>
        </w:tc>
        <w:tc>
          <w:tcPr>
            <w:tcW w:w="3081" w:type="dxa"/>
            <w:shd w:val="clear" w:color="auto" w:fill="auto"/>
          </w:tcPr>
          <w:p>
            <w:pPr>
              <w:shd w:val="clear" w:color="auto" w:fill="FFFFFF"/>
              <w:spacing w:line="240" w:lineRule="atLeast"/>
              <w:jc w:val="left"/>
              <w:rPr>
                <w:noProof/>
              </w:rPr>
            </w:pPr>
            <w:r>
              <w:rPr>
                <w:noProof/>
              </w:rPr>
              <w:t>UN Reg. 34</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LPG tanks</w:t>
            </w:r>
          </w:p>
        </w:tc>
        <w:tc>
          <w:tcPr>
            <w:tcW w:w="3081" w:type="dxa"/>
            <w:shd w:val="clear" w:color="auto" w:fill="auto"/>
          </w:tcPr>
          <w:p>
            <w:pPr>
              <w:shd w:val="clear" w:color="auto" w:fill="FFFFFF"/>
              <w:spacing w:line="240" w:lineRule="atLeast"/>
              <w:jc w:val="left"/>
              <w:rPr>
                <w:noProof/>
              </w:rPr>
            </w:pPr>
            <w:r>
              <w:rPr>
                <w:noProof/>
              </w:rPr>
              <w:t>UN Reg. 67</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CNG tanks</w:t>
            </w:r>
          </w:p>
        </w:tc>
        <w:tc>
          <w:tcPr>
            <w:tcW w:w="3081" w:type="dxa"/>
            <w:shd w:val="clear" w:color="auto" w:fill="auto"/>
          </w:tcPr>
          <w:p>
            <w:pPr>
              <w:shd w:val="clear" w:color="auto" w:fill="FFFFFF"/>
              <w:spacing w:line="240" w:lineRule="atLeast"/>
              <w:jc w:val="left"/>
              <w:rPr>
                <w:noProof/>
              </w:rPr>
            </w:pPr>
            <w:r>
              <w:rPr>
                <w:noProof/>
              </w:rPr>
              <w:t>UN Reg. 110</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Rear protective device</w:t>
            </w:r>
          </w:p>
        </w:tc>
        <w:tc>
          <w:tcPr>
            <w:tcW w:w="3081" w:type="dxa"/>
            <w:shd w:val="clear" w:color="auto" w:fill="auto"/>
          </w:tcPr>
          <w:p>
            <w:pPr>
              <w:shd w:val="clear" w:color="auto" w:fill="FFFFFF"/>
              <w:spacing w:line="240" w:lineRule="atLeast"/>
              <w:jc w:val="left"/>
              <w:rPr>
                <w:noProof/>
              </w:rPr>
            </w:pPr>
            <w:r>
              <w:rPr>
                <w:noProof/>
              </w:rPr>
              <w:t>UN Reg. 58</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Steering effort</w:t>
            </w:r>
          </w:p>
        </w:tc>
        <w:tc>
          <w:tcPr>
            <w:tcW w:w="3081" w:type="dxa"/>
            <w:shd w:val="clear" w:color="auto" w:fill="auto"/>
            <w:vAlign w:val="bottom"/>
          </w:tcPr>
          <w:p>
            <w:pPr>
              <w:shd w:val="clear" w:color="auto" w:fill="FFFFFF"/>
              <w:spacing w:line="240" w:lineRule="atLeast"/>
              <w:jc w:val="left"/>
              <w:rPr>
                <w:noProof/>
              </w:rPr>
            </w:pPr>
            <w:r>
              <w:rPr>
                <w:noProof/>
              </w:rPr>
              <w:t>UN Reg. 79</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Door latches and hinges</w:t>
            </w:r>
          </w:p>
        </w:tc>
        <w:tc>
          <w:tcPr>
            <w:tcW w:w="3081" w:type="dxa"/>
            <w:shd w:val="clear" w:color="auto" w:fill="auto"/>
            <w:vAlign w:val="bottom"/>
          </w:tcPr>
          <w:p>
            <w:pPr>
              <w:shd w:val="clear" w:color="auto" w:fill="FFFFFF"/>
              <w:spacing w:line="240" w:lineRule="atLeast"/>
              <w:jc w:val="left"/>
              <w:rPr>
                <w:noProof/>
              </w:rPr>
            </w:pPr>
            <w:r>
              <w:rPr>
                <w:noProof/>
              </w:rPr>
              <w:t>UN Reg. 11</w:t>
            </w:r>
          </w:p>
        </w:tc>
        <w:tc>
          <w:tcPr>
            <w:tcW w:w="3081" w:type="dxa"/>
            <w:shd w:val="clear" w:color="auto" w:fill="auto"/>
            <w:vAlign w:val="bottom"/>
          </w:tcPr>
          <w:p>
            <w:pPr>
              <w:shd w:val="clear" w:color="auto" w:fill="FFFFFF"/>
              <w:spacing w:line="240" w:lineRule="atLeast"/>
              <w:jc w:val="left"/>
              <w:rPr>
                <w:noProof/>
              </w:rPr>
            </w:pPr>
            <w:r>
              <w:rPr>
                <w:noProof/>
              </w:rPr>
              <w:t xml:space="preserve"> </w:t>
            </w:r>
          </w:p>
        </w:tc>
      </w:tr>
      <w:tr>
        <w:tc>
          <w:tcPr>
            <w:tcW w:w="3080" w:type="dxa"/>
            <w:shd w:val="clear" w:color="auto" w:fill="auto"/>
            <w:vAlign w:val="bottom"/>
          </w:tcPr>
          <w:p>
            <w:pPr>
              <w:shd w:val="clear" w:color="auto" w:fill="FFFFFF"/>
              <w:spacing w:line="240" w:lineRule="atLeast"/>
              <w:jc w:val="left"/>
              <w:rPr>
                <w:noProof/>
              </w:rPr>
            </w:pPr>
            <w:r>
              <w:rPr>
                <w:noProof/>
              </w:rPr>
              <w:t>Audible warning</w:t>
            </w:r>
          </w:p>
        </w:tc>
        <w:tc>
          <w:tcPr>
            <w:tcW w:w="3081" w:type="dxa"/>
            <w:shd w:val="clear" w:color="auto" w:fill="auto"/>
            <w:vAlign w:val="bottom"/>
          </w:tcPr>
          <w:p>
            <w:pPr>
              <w:shd w:val="clear" w:color="auto" w:fill="FFFFFF"/>
              <w:spacing w:line="240" w:lineRule="atLeast"/>
              <w:jc w:val="left"/>
              <w:rPr>
                <w:noProof/>
              </w:rPr>
            </w:pPr>
            <w:r>
              <w:rPr>
                <w:noProof/>
              </w:rPr>
              <w:t>UN Reg. 28</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Indirect vision devices</w:t>
            </w:r>
          </w:p>
        </w:tc>
        <w:tc>
          <w:tcPr>
            <w:tcW w:w="3081" w:type="dxa"/>
            <w:shd w:val="clear" w:color="auto" w:fill="auto"/>
            <w:vAlign w:val="bottom"/>
          </w:tcPr>
          <w:p>
            <w:pPr>
              <w:shd w:val="clear" w:color="auto" w:fill="FFFFFF"/>
              <w:spacing w:line="240" w:lineRule="atLeast"/>
              <w:jc w:val="left"/>
              <w:rPr>
                <w:noProof/>
              </w:rPr>
            </w:pPr>
            <w:r>
              <w:rPr>
                <w:noProof/>
              </w:rPr>
              <w:t>UN Reg. 46</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Braking heavy vehicles</w:t>
            </w:r>
          </w:p>
        </w:tc>
        <w:tc>
          <w:tcPr>
            <w:tcW w:w="3081" w:type="dxa"/>
            <w:shd w:val="clear" w:color="auto" w:fill="auto"/>
            <w:vAlign w:val="bottom"/>
          </w:tcPr>
          <w:p>
            <w:pPr>
              <w:shd w:val="clear" w:color="auto" w:fill="FFFFFF"/>
              <w:spacing w:line="240" w:lineRule="atLeast"/>
              <w:jc w:val="left"/>
              <w:rPr>
                <w:noProof/>
              </w:rPr>
            </w:pPr>
            <w:r>
              <w:rPr>
                <w:noProof/>
              </w:rPr>
              <w:t>UN Reg. 13</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Braking light vehicles</w:t>
            </w:r>
          </w:p>
        </w:tc>
        <w:tc>
          <w:tcPr>
            <w:tcW w:w="3081" w:type="dxa"/>
            <w:shd w:val="clear" w:color="auto" w:fill="auto"/>
            <w:vAlign w:val="bottom"/>
          </w:tcPr>
          <w:p>
            <w:pPr>
              <w:shd w:val="clear" w:color="auto" w:fill="FFFFFF"/>
              <w:spacing w:line="240" w:lineRule="atLeast"/>
              <w:jc w:val="left"/>
              <w:rPr>
                <w:noProof/>
              </w:rPr>
            </w:pPr>
            <w:r>
              <w:rPr>
                <w:noProof/>
              </w:rPr>
              <w:t>UN Reg. 13H</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Brake linings</w:t>
            </w:r>
          </w:p>
        </w:tc>
        <w:tc>
          <w:tcPr>
            <w:tcW w:w="3081" w:type="dxa"/>
            <w:shd w:val="clear" w:color="auto" w:fill="auto"/>
            <w:vAlign w:val="bottom"/>
          </w:tcPr>
          <w:p>
            <w:pPr>
              <w:shd w:val="clear" w:color="auto" w:fill="FFFFFF"/>
              <w:spacing w:line="240" w:lineRule="atLeast"/>
              <w:jc w:val="left"/>
              <w:rPr>
                <w:noProof/>
              </w:rPr>
            </w:pPr>
            <w:r>
              <w:rPr>
                <w:noProof/>
              </w:rPr>
              <w:t>UN Reg. 90</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Radio interference (electromagnetic compatibility)</w:t>
            </w:r>
          </w:p>
        </w:tc>
        <w:tc>
          <w:tcPr>
            <w:tcW w:w="3081" w:type="dxa"/>
            <w:shd w:val="clear" w:color="auto" w:fill="auto"/>
          </w:tcPr>
          <w:p>
            <w:pPr>
              <w:shd w:val="clear" w:color="auto" w:fill="FFFFFF"/>
              <w:spacing w:line="240" w:lineRule="atLeast"/>
              <w:jc w:val="left"/>
              <w:rPr>
                <w:noProof/>
              </w:rPr>
            </w:pPr>
            <w:r>
              <w:rPr>
                <w:noProof/>
              </w:rPr>
              <w:t>UN Reg. 10</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Diesel smoke</w:t>
            </w:r>
          </w:p>
        </w:tc>
        <w:tc>
          <w:tcPr>
            <w:tcW w:w="3081" w:type="dxa"/>
            <w:shd w:val="clear" w:color="auto" w:fill="auto"/>
            <w:vAlign w:val="bottom"/>
          </w:tcPr>
          <w:p>
            <w:pPr>
              <w:shd w:val="clear" w:color="auto" w:fill="FFFFFF"/>
              <w:spacing w:line="240" w:lineRule="atLeast"/>
              <w:jc w:val="left"/>
              <w:rPr>
                <w:noProof/>
              </w:rPr>
            </w:pPr>
            <w:r>
              <w:rPr>
                <w:noProof/>
              </w:rPr>
              <w:t>UN Reg. 24</w:t>
            </w:r>
          </w:p>
        </w:tc>
        <w:tc>
          <w:tcPr>
            <w:tcW w:w="3081" w:type="dxa"/>
            <w:shd w:val="clear" w:color="auto" w:fill="auto"/>
            <w:vAlign w:val="bottom"/>
          </w:tcPr>
          <w:p>
            <w:pPr>
              <w:shd w:val="clear" w:color="auto" w:fill="FFFFFF"/>
              <w:spacing w:line="240" w:lineRule="atLeast"/>
              <w:jc w:val="left"/>
              <w:rPr>
                <w:noProof/>
              </w:rPr>
            </w:pPr>
            <w:r>
              <w:rPr>
                <w:noProof/>
              </w:rPr>
              <w:t>Regulation (EC) No 692/2008</w:t>
            </w:r>
          </w:p>
        </w:tc>
      </w:tr>
      <w:tr>
        <w:tc>
          <w:tcPr>
            <w:tcW w:w="3080" w:type="dxa"/>
            <w:shd w:val="clear" w:color="auto" w:fill="auto"/>
            <w:vAlign w:val="bottom"/>
          </w:tcPr>
          <w:p>
            <w:pPr>
              <w:shd w:val="clear" w:color="auto" w:fill="FFFFFF"/>
              <w:spacing w:line="240" w:lineRule="atLeast"/>
              <w:jc w:val="left"/>
              <w:rPr>
                <w:noProof/>
              </w:rPr>
            </w:pPr>
            <w:r>
              <w:rPr>
                <w:noProof/>
              </w:rPr>
              <w:t>Interior fittings</w:t>
            </w:r>
          </w:p>
        </w:tc>
        <w:tc>
          <w:tcPr>
            <w:tcW w:w="3081" w:type="dxa"/>
            <w:shd w:val="clear" w:color="auto" w:fill="auto"/>
            <w:vAlign w:val="bottom"/>
          </w:tcPr>
          <w:p>
            <w:pPr>
              <w:shd w:val="clear" w:color="auto" w:fill="FFFFFF"/>
              <w:spacing w:line="240" w:lineRule="atLeast"/>
              <w:jc w:val="left"/>
              <w:rPr>
                <w:noProof/>
              </w:rPr>
            </w:pPr>
            <w:r>
              <w:rPr>
                <w:noProof/>
              </w:rPr>
              <w:t>UN Reg. 21</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Anti-theft</w:t>
            </w:r>
          </w:p>
        </w:tc>
        <w:tc>
          <w:tcPr>
            <w:tcW w:w="3081" w:type="dxa"/>
            <w:shd w:val="clear" w:color="auto" w:fill="auto"/>
            <w:vAlign w:val="bottom"/>
          </w:tcPr>
          <w:p>
            <w:pPr>
              <w:shd w:val="clear" w:color="auto" w:fill="FFFFFF"/>
              <w:spacing w:line="240" w:lineRule="atLeast"/>
              <w:jc w:val="left"/>
              <w:rPr>
                <w:noProof/>
              </w:rPr>
            </w:pPr>
            <w:r>
              <w:rPr>
                <w:noProof/>
              </w:rPr>
              <w:t>UN Reg. 18</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Anti-theft and immobiliser</w:t>
            </w:r>
          </w:p>
        </w:tc>
        <w:tc>
          <w:tcPr>
            <w:tcW w:w="3081" w:type="dxa"/>
            <w:shd w:val="clear" w:color="auto" w:fill="auto"/>
            <w:vAlign w:val="bottom"/>
          </w:tcPr>
          <w:p>
            <w:pPr>
              <w:shd w:val="clear" w:color="auto" w:fill="FFFFFF"/>
              <w:spacing w:line="240" w:lineRule="atLeast"/>
              <w:jc w:val="left"/>
              <w:rPr>
                <w:noProof/>
              </w:rPr>
            </w:pPr>
            <w:r>
              <w:rPr>
                <w:noProof/>
              </w:rPr>
              <w:t>UN Reg. 116</w:t>
            </w:r>
          </w:p>
        </w:tc>
        <w:tc>
          <w:tcPr>
            <w:tcW w:w="3081" w:type="dxa"/>
            <w:shd w:val="clear" w:color="auto" w:fill="auto"/>
            <w:vAlign w:val="bottom"/>
          </w:tcPr>
          <w:p>
            <w:pPr>
              <w:shd w:val="clear" w:color="auto" w:fill="FFFFFF"/>
              <w:spacing w:line="240" w:lineRule="atLeast"/>
              <w:jc w:val="left"/>
              <w:rPr>
                <w:noProof/>
              </w:rPr>
            </w:pPr>
          </w:p>
        </w:tc>
      </w:tr>
      <w:tr>
        <w:tc>
          <w:tcPr>
            <w:tcW w:w="3080" w:type="dxa"/>
            <w:tcBorders>
              <w:bottom w:val="single" w:sz="4" w:space="0" w:color="auto"/>
            </w:tcBorders>
            <w:shd w:val="clear" w:color="auto" w:fill="auto"/>
          </w:tcPr>
          <w:p>
            <w:pPr>
              <w:shd w:val="clear" w:color="auto" w:fill="FFFFFF"/>
              <w:spacing w:line="240" w:lineRule="atLeast"/>
              <w:jc w:val="left"/>
              <w:rPr>
                <w:noProof/>
              </w:rPr>
            </w:pPr>
            <w:r>
              <w:rPr>
                <w:noProof/>
              </w:rPr>
              <w:t>Vehicle Alarm Systems</w:t>
            </w:r>
          </w:p>
        </w:tc>
        <w:tc>
          <w:tcPr>
            <w:tcW w:w="3081" w:type="dxa"/>
            <w:tcBorders>
              <w:bottom w:val="single" w:sz="4" w:space="0" w:color="auto"/>
            </w:tcBorders>
            <w:shd w:val="clear" w:color="auto" w:fill="auto"/>
            <w:vAlign w:val="bottom"/>
          </w:tcPr>
          <w:p>
            <w:pPr>
              <w:shd w:val="clear" w:color="auto" w:fill="FFFFFF"/>
              <w:spacing w:line="240" w:lineRule="atLeast"/>
              <w:jc w:val="left"/>
              <w:rPr>
                <w:noProof/>
              </w:rPr>
            </w:pPr>
            <w:r>
              <w:rPr>
                <w:noProof/>
              </w:rPr>
              <w:t xml:space="preserve">UN Reg. 97 </w:t>
            </w:r>
          </w:p>
          <w:p>
            <w:pPr>
              <w:shd w:val="clear" w:color="auto" w:fill="FFFFFF"/>
              <w:spacing w:line="240" w:lineRule="atLeast"/>
              <w:jc w:val="left"/>
              <w:rPr>
                <w:noProof/>
              </w:rPr>
            </w:pPr>
            <w:r>
              <w:rPr>
                <w:noProof/>
              </w:rPr>
              <w:t>UN Reg. 116</w:t>
            </w:r>
          </w:p>
        </w:tc>
        <w:tc>
          <w:tcPr>
            <w:tcW w:w="3081" w:type="dxa"/>
            <w:tcBorders>
              <w:bottom w:val="single" w:sz="4" w:space="0" w:color="auto"/>
            </w:tcBorders>
            <w:shd w:val="clear" w:color="auto" w:fill="auto"/>
          </w:tcPr>
          <w:p>
            <w:pPr>
              <w:shd w:val="clear" w:color="auto" w:fill="FFFFFF"/>
              <w:spacing w:line="240" w:lineRule="atLeast"/>
              <w:jc w:val="left"/>
              <w:rPr>
                <w:noProof/>
              </w:rPr>
            </w:pPr>
          </w:p>
        </w:tc>
      </w:tr>
      <w:tr>
        <w:tc>
          <w:tcPr>
            <w:tcW w:w="3080" w:type="dxa"/>
            <w:tcBorders>
              <w:bottom w:val="single" w:sz="4" w:space="0" w:color="auto"/>
            </w:tcBorders>
            <w:shd w:val="clear" w:color="auto" w:fill="auto"/>
            <w:vAlign w:val="bottom"/>
          </w:tcPr>
          <w:p>
            <w:pPr>
              <w:keepNext/>
              <w:keepLines/>
              <w:shd w:val="clear" w:color="auto" w:fill="FFFFFF"/>
              <w:spacing w:line="240" w:lineRule="atLeast"/>
              <w:jc w:val="left"/>
              <w:rPr>
                <w:noProof/>
              </w:rPr>
            </w:pPr>
            <w:r>
              <w:rPr>
                <w:noProof/>
              </w:rPr>
              <w:t>Behaviour of steering device under impact</w:t>
            </w:r>
          </w:p>
        </w:tc>
        <w:tc>
          <w:tcPr>
            <w:tcW w:w="3081" w:type="dxa"/>
            <w:tcBorders>
              <w:bottom w:val="single" w:sz="4" w:space="0" w:color="auto"/>
            </w:tcBorders>
            <w:shd w:val="clear" w:color="auto" w:fill="auto"/>
            <w:vAlign w:val="bottom"/>
          </w:tcPr>
          <w:p>
            <w:pPr>
              <w:keepNext/>
              <w:keepLines/>
              <w:shd w:val="clear" w:color="auto" w:fill="FFFFFF"/>
              <w:spacing w:line="240" w:lineRule="atLeast"/>
              <w:jc w:val="left"/>
              <w:rPr>
                <w:noProof/>
              </w:rPr>
            </w:pPr>
            <w:r>
              <w:rPr>
                <w:noProof/>
              </w:rPr>
              <w:t>UN Reg. 12</w:t>
            </w:r>
          </w:p>
        </w:tc>
        <w:tc>
          <w:tcPr>
            <w:tcW w:w="3081" w:type="dxa"/>
            <w:tcBorders>
              <w:bottom w:val="single" w:sz="4" w:space="0" w:color="auto"/>
            </w:tcBorders>
            <w:shd w:val="clear" w:color="auto" w:fill="auto"/>
            <w:vAlign w:val="bottom"/>
          </w:tcPr>
          <w:p>
            <w:pPr>
              <w:keepNext/>
              <w:keepLines/>
              <w:shd w:val="clear" w:color="auto" w:fill="FFFFFF"/>
              <w:spacing w:line="240" w:lineRule="atLeast"/>
              <w:jc w:val="left"/>
              <w:rPr>
                <w:noProof/>
              </w:rPr>
            </w:pPr>
          </w:p>
        </w:tc>
      </w:tr>
      <w:tr>
        <w:tc>
          <w:tcPr>
            <w:tcW w:w="3080" w:type="dxa"/>
            <w:tcBorders>
              <w:top w:val="single" w:sz="4" w:space="0" w:color="auto"/>
            </w:tcBorders>
            <w:shd w:val="clear" w:color="auto" w:fill="auto"/>
            <w:vAlign w:val="bottom"/>
          </w:tcPr>
          <w:p>
            <w:pPr>
              <w:shd w:val="clear" w:color="auto" w:fill="FFFFFF"/>
              <w:spacing w:line="240" w:lineRule="atLeast"/>
              <w:jc w:val="left"/>
              <w:rPr>
                <w:noProof/>
              </w:rPr>
            </w:pPr>
            <w:r>
              <w:rPr>
                <w:noProof/>
              </w:rPr>
              <w:t>Seat strength</w:t>
            </w:r>
          </w:p>
        </w:tc>
        <w:tc>
          <w:tcPr>
            <w:tcW w:w="3081" w:type="dxa"/>
            <w:tcBorders>
              <w:top w:val="single" w:sz="4" w:space="0" w:color="auto"/>
            </w:tcBorders>
            <w:shd w:val="clear" w:color="auto" w:fill="auto"/>
            <w:vAlign w:val="bottom"/>
          </w:tcPr>
          <w:p>
            <w:pPr>
              <w:shd w:val="clear" w:color="auto" w:fill="FFFFFF"/>
              <w:spacing w:line="240" w:lineRule="atLeast"/>
              <w:jc w:val="left"/>
              <w:rPr>
                <w:noProof/>
              </w:rPr>
            </w:pPr>
            <w:r>
              <w:rPr>
                <w:noProof/>
              </w:rPr>
              <w:t>UN Reg. 17</w:t>
            </w:r>
          </w:p>
        </w:tc>
        <w:tc>
          <w:tcPr>
            <w:tcW w:w="3081" w:type="dxa"/>
            <w:tcBorders>
              <w:top w:val="single" w:sz="4" w:space="0" w:color="auto"/>
            </w:tcBorders>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Seat strength (buses and coaches)</w:t>
            </w:r>
          </w:p>
        </w:tc>
        <w:tc>
          <w:tcPr>
            <w:tcW w:w="3081" w:type="dxa"/>
            <w:shd w:val="clear" w:color="auto" w:fill="auto"/>
            <w:vAlign w:val="bottom"/>
          </w:tcPr>
          <w:p>
            <w:pPr>
              <w:shd w:val="clear" w:color="auto" w:fill="FFFFFF"/>
              <w:spacing w:line="240" w:lineRule="atLeast"/>
              <w:jc w:val="left"/>
              <w:rPr>
                <w:noProof/>
              </w:rPr>
            </w:pPr>
            <w:r>
              <w:rPr>
                <w:noProof/>
              </w:rPr>
              <w:t>UN Reg. 80</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Exterior projections</w:t>
            </w:r>
          </w:p>
        </w:tc>
        <w:tc>
          <w:tcPr>
            <w:tcW w:w="3081" w:type="dxa"/>
            <w:shd w:val="clear" w:color="auto" w:fill="auto"/>
            <w:vAlign w:val="bottom"/>
          </w:tcPr>
          <w:p>
            <w:pPr>
              <w:shd w:val="clear" w:color="auto" w:fill="FFFFFF"/>
              <w:spacing w:line="240" w:lineRule="atLeast"/>
              <w:jc w:val="left"/>
              <w:rPr>
                <w:noProof/>
              </w:rPr>
            </w:pPr>
            <w:r>
              <w:rPr>
                <w:noProof/>
              </w:rPr>
              <w:t>UN Reg. 26</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Speedometer</w:t>
            </w:r>
          </w:p>
        </w:tc>
        <w:tc>
          <w:tcPr>
            <w:tcW w:w="3081" w:type="dxa"/>
            <w:shd w:val="clear" w:color="auto" w:fill="auto"/>
            <w:vAlign w:val="bottom"/>
          </w:tcPr>
          <w:p>
            <w:pPr>
              <w:shd w:val="clear" w:color="auto" w:fill="FFFFFF"/>
              <w:spacing w:line="240" w:lineRule="atLeast"/>
              <w:jc w:val="left"/>
              <w:rPr>
                <w:noProof/>
              </w:rPr>
            </w:pPr>
            <w:r>
              <w:rPr>
                <w:noProof/>
              </w:rPr>
              <w:t>UN Reg. 39</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Seat belt anchorages</w:t>
            </w:r>
          </w:p>
        </w:tc>
        <w:tc>
          <w:tcPr>
            <w:tcW w:w="3081" w:type="dxa"/>
            <w:shd w:val="clear" w:color="auto" w:fill="auto"/>
            <w:vAlign w:val="bottom"/>
          </w:tcPr>
          <w:p>
            <w:pPr>
              <w:shd w:val="clear" w:color="auto" w:fill="FFFFFF"/>
              <w:spacing w:line="240" w:lineRule="atLeast"/>
              <w:jc w:val="left"/>
              <w:rPr>
                <w:noProof/>
              </w:rPr>
            </w:pPr>
            <w:r>
              <w:rPr>
                <w:noProof/>
              </w:rPr>
              <w:t>UN Reg. 14</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Installation of lighting and light signalling devices</w:t>
            </w:r>
          </w:p>
        </w:tc>
        <w:tc>
          <w:tcPr>
            <w:tcW w:w="3081" w:type="dxa"/>
            <w:shd w:val="clear" w:color="auto" w:fill="auto"/>
          </w:tcPr>
          <w:p>
            <w:pPr>
              <w:shd w:val="clear" w:color="auto" w:fill="FFFFFF"/>
              <w:spacing w:line="240" w:lineRule="atLeast"/>
              <w:jc w:val="left"/>
              <w:rPr>
                <w:noProof/>
              </w:rPr>
            </w:pPr>
            <w:r>
              <w:rPr>
                <w:noProof/>
              </w:rPr>
              <w:t>UN Reg. 48</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Retro reflectors</w:t>
            </w:r>
          </w:p>
        </w:tc>
        <w:tc>
          <w:tcPr>
            <w:tcW w:w="3081" w:type="dxa"/>
            <w:shd w:val="clear" w:color="auto" w:fill="auto"/>
            <w:vAlign w:val="bottom"/>
          </w:tcPr>
          <w:p>
            <w:pPr>
              <w:shd w:val="clear" w:color="auto" w:fill="FFFFFF"/>
              <w:spacing w:line="240" w:lineRule="atLeast"/>
              <w:jc w:val="left"/>
              <w:rPr>
                <w:noProof/>
              </w:rPr>
            </w:pPr>
            <w:r>
              <w:rPr>
                <w:noProof/>
              </w:rPr>
              <w:t>UN Reg. 3</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End-outline/front-position (side)/rear- position (side)/stop lamps</w:t>
            </w:r>
          </w:p>
        </w:tc>
        <w:tc>
          <w:tcPr>
            <w:tcW w:w="3081" w:type="dxa"/>
            <w:shd w:val="clear" w:color="auto" w:fill="auto"/>
          </w:tcPr>
          <w:p>
            <w:pPr>
              <w:shd w:val="clear" w:color="auto" w:fill="FFFFFF"/>
              <w:spacing w:line="240" w:lineRule="atLeast"/>
              <w:jc w:val="left"/>
              <w:rPr>
                <w:noProof/>
              </w:rPr>
            </w:pPr>
            <w:r>
              <w:rPr>
                <w:noProof/>
              </w:rPr>
              <w:t>UN Reg. 7</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Daytime running lamps</w:t>
            </w:r>
          </w:p>
        </w:tc>
        <w:tc>
          <w:tcPr>
            <w:tcW w:w="3081" w:type="dxa"/>
            <w:shd w:val="clear" w:color="auto" w:fill="auto"/>
            <w:vAlign w:val="bottom"/>
          </w:tcPr>
          <w:p>
            <w:pPr>
              <w:shd w:val="clear" w:color="auto" w:fill="FFFFFF"/>
              <w:spacing w:line="240" w:lineRule="atLeast"/>
              <w:jc w:val="left"/>
              <w:rPr>
                <w:noProof/>
              </w:rPr>
            </w:pPr>
            <w:r>
              <w:rPr>
                <w:noProof/>
              </w:rPr>
              <w:t>UN Reg. 87</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Side marker lamps</w:t>
            </w:r>
          </w:p>
        </w:tc>
        <w:tc>
          <w:tcPr>
            <w:tcW w:w="3081" w:type="dxa"/>
            <w:shd w:val="clear" w:color="auto" w:fill="auto"/>
          </w:tcPr>
          <w:p>
            <w:pPr>
              <w:shd w:val="clear" w:color="auto" w:fill="FFFFFF"/>
              <w:spacing w:line="240" w:lineRule="atLeast"/>
              <w:jc w:val="left"/>
              <w:rPr>
                <w:noProof/>
              </w:rPr>
            </w:pPr>
            <w:r>
              <w:rPr>
                <w:noProof/>
              </w:rPr>
              <w:t>UN Reg. 91</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Direction indicators</w:t>
            </w:r>
          </w:p>
        </w:tc>
        <w:tc>
          <w:tcPr>
            <w:tcW w:w="3081" w:type="dxa"/>
            <w:shd w:val="clear" w:color="auto" w:fill="auto"/>
            <w:vAlign w:val="bottom"/>
          </w:tcPr>
          <w:p>
            <w:pPr>
              <w:shd w:val="clear" w:color="auto" w:fill="FFFFFF"/>
              <w:spacing w:line="240" w:lineRule="atLeast"/>
              <w:jc w:val="left"/>
              <w:rPr>
                <w:noProof/>
              </w:rPr>
            </w:pPr>
            <w:r>
              <w:rPr>
                <w:noProof/>
              </w:rPr>
              <w:t>UN Reg. 6</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Rear registration plate lamp</w:t>
            </w:r>
          </w:p>
        </w:tc>
        <w:tc>
          <w:tcPr>
            <w:tcW w:w="3081" w:type="dxa"/>
            <w:shd w:val="clear" w:color="auto" w:fill="auto"/>
            <w:vAlign w:val="bottom"/>
          </w:tcPr>
          <w:p>
            <w:pPr>
              <w:shd w:val="clear" w:color="auto" w:fill="FFFFFF"/>
              <w:spacing w:line="240" w:lineRule="atLeast"/>
              <w:jc w:val="left"/>
              <w:rPr>
                <w:noProof/>
              </w:rPr>
            </w:pPr>
            <w:r>
              <w:rPr>
                <w:noProof/>
              </w:rPr>
              <w:t>UN Reg. 4</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Headlamps (R2 and HS1)</w:t>
            </w:r>
          </w:p>
        </w:tc>
        <w:tc>
          <w:tcPr>
            <w:tcW w:w="3081" w:type="dxa"/>
            <w:shd w:val="clear" w:color="auto" w:fill="auto"/>
            <w:vAlign w:val="bottom"/>
          </w:tcPr>
          <w:p>
            <w:pPr>
              <w:shd w:val="clear" w:color="auto" w:fill="FFFFFF"/>
              <w:spacing w:line="240" w:lineRule="atLeast"/>
              <w:jc w:val="left"/>
              <w:rPr>
                <w:noProof/>
              </w:rPr>
            </w:pPr>
            <w:r>
              <w:rPr>
                <w:noProof/>
              </w:rPr>
              <w:t>UN Reg. 1</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Headlamps (sealed beam)</w:t>
            </w:r>
          </w:p>
        </w:tc>
        <w:tc>
          <w:tcPr>
            <w:tcW w:w="3081" w:type="dxa"/>
            <w:shd w:val="clear" w:color="auto" w:fill="auto"/>
            <w:vAlign w:val="bottom"/>
          </w:tcPr>
          <w:p>
            <w:pPr>
              <w:shd w:val="clear" w:color="auto" w:fill="FFFFFF"/>
              <w:spacing w:line="240" w:lineRule="atLeast"/>
              <w:jc w:val="left"/>
              <w:rPr>
                <w:noProof/>
              </w:rPr>
            </w:pPr>
            <w:r>
              <w:rPr>
                <w:noProof/>
              </w:rPr>
              <w:t>UN Reg. 5</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Headlamps (H1, H2, H3, HB3, HB4, H7, and/or H8. H9 ,HIR1, HIR2 and/or H11)</w:t>
            </w:r>
          </w:p>
        </w:tc>
        <w:tc>
          <w:tcPr>
            <w:tcW w:w="3081" w:type="dxa"/>
            <w:shd w:val="clear" w:color="auto" w:fill="auto"/>
          </w:tcPr>
          <w:p>
            <w:pPr>
              <w:shd w:val="clear" w:color="auto" w:fill="FFFFFF"/>
              <w:spacing w:line="240" w:lineRule="atLeast"/>
              <w:jc w:val="left"/>
              <w:rPr>
                <w:noProof/>
              </w:rPr>
            </w:pPr>
            <w:r>
              <w:rPr>
                <w:noProof/>
              </w:rPr>
              <w:t>UN Reg. 8</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Headlamps (H4)</w:t>
            </w:r>
          </w:p>
        </w:tc>
        <w:tc>
          <w:tcPr>
            <w:tcW w:w="3081" w:type="dxa"/>
            <w:shd w:val="clear" w:color="auto" w:fill="auto"/>
            <w:vAlign w:val="bottom"/>
          </w:tcPr>
          <w:p>
            <w:pPr>
              <w:shd w:val="clear" w:color="auto" w:fill="FFFFFF"/>
              <w:spacing w:line="240" w:lineRule="atLeast"/>
              <w:jc w:val="left"/>
              <w:rPr>
                <w:noProof/>
              </w:rPr>
            </w:pPr>
            <w:r>
              <w:rPr>
                <w:noProof/>
              </w:rPr>
              <w:t>UN Reg. 20</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Headlamps (halogen sealed beam)</w:t>
            </w:r>
          </w:p>
        </w:tc>
        <w:tc>
          <w:tcPr>
            <w:tcW w:w="3081" w:type="dxa"/>
            <w:shd w:val="clear" w:color="auto" w:fill="auto"/>
          </w:tcPr>
          <w:p>
            <w:pPr>
              <w:shd w:val="clear" w:color="auto" w:fill="FFFFFF"/>
              <w:spacing w:line="240" w:lineRule="atLeast"/>
              <w:jc w:val="left"/>
              <w:rPr>
                <w:noProof/>
              </w:rPr>
            </w:pPr>
            <w:r>
              <w:rPr>
                <w:noProof/>
              </w:rPr>
              <w:t>UN Reg. 31</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Filament lamps for use in approved lamp units</w:t>
            </w:r>
          </w:p>
        </w:tc>
        <w:tc>
          <w:tcPr>
            <w:tcW w:w="3081" w:type="dxa"/>
            <w:shd w:val="clear" w:color="auto" w:fill="auto"/>
          </w:tcPr>
          <w:p>
            <w:pPr>
              <w:shd w:val="clear" w:color="auto" w:fill="FFFFFF"/>
              <w:spacing w:line="240" w:lineRule="atLeast"/>
              <w:jc w:val="left"/>
              <w:rPr>
                <w:noProof/>
              </w:rPr>
            </w:pPr>
            <w:r>
              <w:rPr>
                <w:noProof/>
              </w:rPr>
              <w:t>UN Reg. 37</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Headlamps with gas-discharge light sources</w:t>
            </w:r>
          </w:p>
        </w:tc>
        <w:tc>
          <w:tcPr>
            <w:tcW w:w="3081" w:type="dxa"/>
            <w:shd w:val="clear" w:color="auto" w:fill="auto"/>
          </w:tcPr>
          <w:p>
            <w:pPr>
              <w:shd w:val="clear" w:color="auto" w:fill="FFFFFF"/>
              <w:spacing w:line="240" w:lineRule="atLeast"/>
              <w:jc w:val="left"/>
              <w:rPr>
                <w:noProof/>
              </w:rPr>
            </w:pPr>
            <w:r>
              <w:rPr>
                <w:noProof/>
              </w:rPr>
              <w:t>UN Reg. 98</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Gas-discharge light sources for use in approved gas-discharge lamp units</w:t>
            </w:r>
          </w:p>
        </w:tc>
        <w:tc>
          <w:tcPr>
            <w:tcW w:w="3081" w:type="dxa"/>
            <w:shd w:val="clear" w:color="auto" w:fill="auto"/>
          </w:tcPr>
          <w:p>
            <w:pPr>
              <w:shd w:val="clear" w:color="auto" w:fill="FFFFFF"/>
              <w:spacing w:line="240" w:lineRule="atLeast"/>
              <w:jc w:val="left"/>
              <w:rPr>
                <w:noProof/>
              </w:rPr>
            </w:pPr>
            <w:r>
              <w:rPr>
                <w:noProof/>
              </w:rPr>
              <w:t>UN Reg. 99</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Headlamps (asymmetrical passing beam)</w:t>
            </w:r>
          </w:p>
        </w:tc>
        <w:tc>
          <w:tcPr>
            <w:tcW w:w="3081" w:type="dxa"/>
            <w:shd w:val="clear" w:color="auto" w:fill="auto"/>
            <w:vAlign w:val="bottom"/>
          </w:tcPr>
          <w:p>
            <w:pPr>
              <w:shd w:val="clear" w:color="auto" w:fill="FFFFFF"/>
              <w:spacing w:line="240" w:lineRule="atLeast"/>
              <w:jc w:val="left"/>
              <w:rPr>
                <w:noProof/>
              </w:rPr>
            </w:pPr>
            <w:r>
              <w:rPr>
                <w:noProof/>
              </w:rPr>
              <w:t>UN Reg. 112</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Adaptative front-lighting systems</w:t>
            </w:r>
          </w:p>
        </w:tc>
        <w:tc>
          <w:tcPr>
            <w:tcW w:w="3081" w:type="dxa"/>
            <w:shd w:val="clear" w:color="auto" w:fill="auto"/>
            <w:vAlign w:val="bottom"/>
          </w:tcPr>
          <w:p>
            <w:pPr>
              <w:shd w:val="clear" w:color="auto" w:fill="FFFFFF"/>
              <w:spacing w:line="240" w:lineRule="atLeast"/>
              <w:jc w:val="left"/>
              <w:rPr>
                <w:noProof/>
              </w:rPr>
            </w:pPr>
            <w:r>
              <w:rPr>
                <w:noProof/>
              </w:rPr>
              <w:t>UN Reg. 123</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Front fog lamps</w:t>
            </w:r>
          </w:p>
        </w:tc>
        <w:tc>
          <w:tcPr>
            <w:tcW w:w="3081" w:type="dxa"/>
            <w:shd w:val="clear" w:color="auto" w:fill="auto"/>
            <w:vAlign w:val="bottom"/>
          </w:tcPr>
          <w:p>
            <w:pPr>
              <w:shd w:val="clear" w:color="auto" w:fill="FFFFFF"/>
              <w:spacing w:line="240" w:lineRule="atLeast"/>
              <w:jc w:val="left"/>
              <w:rPr>
                <w:noProof/>
              </w:rPr>
            </w:pPr>
            <w:r>
              <w:rPr>
                <w:noProof/>
              </w:rPr>
              <w:t>UN Reg. 19</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Rear fog lamps</w:t>
            </w:r>
          </w:p>
        </w:tc>
        <w:tc>
          <w:tcPr>
            <w:tcW w:w="3081" w:type="dxa"/>
            <w:shd w:val="clear" w:color="auto" w:fill="auto"/>
            <w:vAlign w:val="bottom"/>
          </w:tcPr>
          <w:p>
            <w:pPr>
              <w:shd w:val="clear" w:color="auto" w:fill="FFFFFF"/>
              <w:spacing w:line="240" w:lineRule="atLeast"/>
              <w:jc w:val="left"/>
              <w:rPr>
                <w:noProof/>
              </w:rPr>
            </w:pPr>
            <w:r>
              <w:rPr>
                <w:noProof/>
              </w:rPr>
              <w:t>UN Reg. 38</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Reversing lamps</w:t>
            </w:r>
          </w:p>
        </w:tc>
        <w:tc>
          <w:tcPr>
            <w:tcW w:w="3081" w:type="dxa"/>
            <w:shd w:val="clear" w:color="auto" w:fill="auto"/>
            <w:vAlign w:val="bottom"/>
          </w:tcPr>
          <w:p>
            <w:pPr>
              <w:shd w:val="clear" w:color="auto" w:fill="FFFFFF"/>
              <w:spacing w:line="240" w:lineRule="atLeast"/>
              <w:jc w:val="left"/>
              <w:rPr>
                <w:noProof/>
              </w:rPr>
            </w:pPr>
            <w:r>
              <w:rPr>
                <w:noProof/>
              </w:rPr>
              <w:t>UN Reg. 23</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Parking lamps</w:t>
            </w:r>
          </w:p>
        </w:tc>
        <w:tc>
          <w:tcPr>
            <w:tcW w:w="3081" w:type="dxa"/>
            <w:shd w:val="clear" w:color="auto" w:fill="auto"/>
            <w:vAlign w:val="bottom"/>
          </w:tcPr>
          <w:p>
            <w:pPr>
              <w:shd w:val="clear" w:color="auto" w:fill="FFFFFF"/>
              <w:spacing w:line="240" w:lineRule="atLeast"/>
              <w:jc w:val="left"/>
              <w:rPr>
                <w:noProof/>
              </w:rPr>
            </w:pPr>
            <w:r>
              <w:rPr>
                <w:noProof/>
              </w:rPr>
              <w:t>UN Reg. 77</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Seat belts and restraint systems</w:t>
            </w:r>
          </w:p>
        </w:tc>
        <w:tc>
          <w:tcPr>
            <w:tcW w:w="3081" w:type="dxa"/>
            <w:shd w:val="clear" w:color="auto" w:fill="auto"/>
            <w:vAlign w:val="bottom"/>
          </w:tcPr>
          <w:p>
            <w:pPr>
              <w:shd w:val="clear" w:color="auto" w:fill="FFFFFF"/>
              <w:spacing w:line="240" w:lineRule="atLeast"/>
              <w:jc w:val="left"/>
              <w:rPr>
                <w:noProof/>
              </w:rPr>
            </w:pPr>
            <w:r>
              <w:rPr>
                <w:noProof/>
              </w:rPr>
              <w:t>UN Reg. 16</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Child restraints</w:t>
            </w:r>
          </w:p>
        </w:tc>
        <w:tc>
          <w:tcPr>
            <w:tcW w:w="3081" w:type="dxa"/>
            <w:shd w:val="clear" w:color="auto" w:fill="auto"/>
            <w:vAlign w:val="bottom"/>
          </w:tcPr>
          <w:p>
            <w:pPr>
              <w:shd w:val="clear" w:color="auto" w:fill="FFFFFF"/>
              <w:spacing w:line="240" w:lineRule="atLeast"/>
              <w:jc w:val="left"/>
              <w:rPr>
                <w:noProof/>
              </w:rPr>
            </w:pPr>
            <w:r>
              <w:rPr>
                <w:noProof/>
              </w:rPr>
              <w:t xml:space="preserve">UN Reg. 44 </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Front forward field of vision</w:t>
            </w:r>
          </w:p>
        </w:tc>
        <w:tc>
          <w:tcPr>
            <w:tcW w:w="3081" w:type="dxa"/>
            <w:shd w:val="clear" w:color="auto" w:fill="auto"/>
            <w:vAlign w:val="bottom"/>
          </w:tcPr>
          <w:p>
            <w:pPr>
              <w:shd w:val="clear" w:color="auto" w:fill="FFFFFF"/>
              <w:spacing w:line="240" w:lineRule="atLeast"/>
              <w:jc w:val="left"/>
              <w:rPr>
                <w:noProof/>
              </w:rPr>
            </w:pPr>
            <w:r>
              <w:rPr>
                <w:noProof/>
              </w:rPr>
              <w:t>UN Reg. 125</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keepNext/>
              <w:keepLines/>
              <w:shd w:val="clear" w:color="auto" w:fill="FFFFFF"/>
              <w:spacing w:line="240" w:lineRule="atLeast"/>
              <w:jc w:val="left"/>
              <w:rPr>
                <w:noProof/>
              </w:rPr>
            </w:pPr>
            <w:r>
              <w:rPr>
                <w:noProof/>
              </w:rPr>
              <w:t>Identification of controls, tell-tales and indicators</w:t>
            </w:r>
          </w:p>
        </w:tc>
        <w:tc>
          <w:tcPr>
            <w:tcW w:w="3081" w:type="dxa"/>
            <w:shd w:val="clear" w:color="auto" w:fill="auto"/>
          </w:tcPr>
          <w:p>
            <w:pPr>
              <w:keepNext/>
              <w:keepLines/>
              <w:shd w:val="clear" w:color="auto" w:fill="FFFFFF"/>
              <w:spacing w:line="240" w:lineRule="atLeast"/>
              <w:jc w:val="left"/>
              <w:rPr>
                <w:noProof/>
              </w:rPr>
            </w:pPr>
            <w:r>
              <w:rPr>
                <w:noProof/>
              </w:rPr>
              <w:t>UN Reg. 121</w:t>
            </w:r>
          </w:p>
        </w:tc>
        <w:tc>
          <w:tcPr>
            <w:tcW w:w="3081" w:type="dxa"/>
            <w:shd w:val="clear" w:color="auto" w:fill="auto"/>
          </w:tcPr>
          <w:p>
            <w:pPr>
              <w:keepNext/>
              <w:keepLines/>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Heating systems</w:t>
            </w:r>
          </w:p>
        </w:tc>
        <w:tc>
          <w:tcPr>
            <w:tcW w:w="3081" w:type="dxa"/>
            <w:shd w:val="clear" w:color="auto" w:fill="auto"/>
            <w:vAlign w:val="bottom"/>
          </w:tcPr>
          <w:p>
            <w:pPr>
              <w:shd w:val="clear" w:color="auto" w:fill="FFFFFF"/>
              <w:spacing w:line="240" w:lineRule="atLeast"/>
              <w:jc w:val="left"/>
              <w:rPr>
                <w:noProof/>
              </w:rPr>
            </w:pPr>
            <w:r>
              <w:rPr>
                <w:noProof/>
              </w:rPr>
              <w:t>UN Reg. 122</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Head restraints (combined with seats)</w:t>
            </w:r>
          </w:p>
        </w:tc>
        <w:tc>
          <w:tcPr>
            <w:tcW w:w="3081" w:type="dxa"/>
            <w:shd w:val="clear" w:color="auto" w:fill="auto"/>
            <w:vAlign w:val="bottom"/>
          </w:tcPr>
          <w:p>
            <w:pPr>
              <w:shd w:val="clear" w:color="auto" w:fill="FFFFFF"/>
              <w:spacing w:line="240" w:lineRule="atLeast"/>
              <w:jc w:val="left"/>
              <w:rPr>
                <w:noProof/>
              </w:rPr>
            </w:pPr>
            <w:r>
              <w:rPr>
                <w:noProof/>
              </w:rPr>
              <w:t>UN Reg. 17</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Head restraints</w:t>
            </w:r>
          </w:p>
        </w:tc>
        <w:tc>
          <w:tcPr>
            <w:tcW w:w="3081" w:type="dxa"/>
            <w:shd w:val="clear" w:color="auto" w:fill="auto"/>
          </w:tcPr>
          <w:p>
            <w:pPr>
              <w:shd w:val="clear" w:color="auto" w:fill="FFFFFF"/>
              <w:spacing w:line="240" w:lineRule="atLeast"/>
              <w:jc w:val="left"/>
              <w:rPr>
                <w:noProof/>
              </w:rPr>
            </w:pPr>
            <w:r>
              <w:rPr>
                <w:noProof/>
              </w:rPr>
              <w:t>UN Reg. 25</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CO2 emissions - Fuel consumption passenger cars with no more than eight seats in addition to the driver's seat</w:t>
            </w:r>
          </w:p>
        </w:tc>
        <w:tc>
          <w:tcPr>
            <w:tcW w:w="3081" w:type="dxa"/>
            <w:shd w:val="clear" w:color="auto" w:fill="auto"/>
          </w:tcPr>
          <w:p>
            <w:pPr>
              <w:shd w:val="clear" w:color="auto" w:fill="FFFFFF"/>
              <w:spacing w:line="240" w:lineRule="atLeast"/>
              <w:jc w:val="left"/>
              <w:rPr>
                <w:noProof/>
              </w:rPr>
            </w:pPr>
            <w:r>
              <w:rPr>
                <w:noProof/>
              </w:rPr>
              <w:t>UN Reg. 101</w:t>
            </w:r>
          </w:p>
        </w:tc>
        <w:tc>
          <w:tcPr>
            <w:tcW w:w="3081" w:type="dxa"/>
            <w:shd w:val="clear" w:color="auto" w:fill="auto"/>
          </w:tcPr>
          <w:p>
            <w:pPr>
              <w:shd w:val="clear" w:color="auto" w:fill="FFFFFF"/>
              <w:spacing w:line="240" w:lineRule="atLeast"/>
              <w:jc w:val="left"/>
              <w:rPr>
                <w:noProof/>
              </w:rPr>
            </w:pPr>
            <w:r>
              <w:rPr>
                <w:noProof/>
              </w:rPr>
              <w:t xml:space="preserve">Regulation (EC) No 692/2008 </w:t>
            </w:r>
          </w:p>
        </w:tc>
      </w:tr>
      <w:tr>
        <w:tc>
          <w:tcPr>
            <w:tcW w:w="3080" w:type="dxa"/>
            <w:shd w:val="clear" w:color="auto" w:fill="auto"/>
            <w:vAlign w:val="bottom"/>
          </w:tcPr>
          <w:p>
            <w:pPr>
              <w:shd w:val="clear" w:color="auto" w:fill="FFFFFF"/>
              <w:spacing w:line="240" w:lineRule="atLeast"/>
              <w:jc w:val="left"/>
              <w:rPr>
                <w:noProof/>
              </w:rPr>
            </w:pPr>
            <w:r>
              <w:rPr>
                <w:noProof/>
              </w:rPr>
              <w:t xml:space="preserve">Engine power </w:t>
            </w:r>
          </w:p>
        </w:tc>
        <w:tc>
          <w:tcPr>
            <w:tcW w:w="3081" w:type="dxa"/>
            <w:shd w:val="clear" w:color="auto" w:fill="auto"/>
            <w:vAlign w:val="bottom"/>
          </w:tcPr>
          <w:p>
            <w:pPr>
              <w:shd w:val="clear" w:color="auto" w:fill="FFFFFF"/>
              <w:spacing w:line="240" w:lineRule="atLeast"/>
              <w:jc w:val="left"/>
              <w:rPr>
                <w:noProof/>
              </w:rPr>
            </w:pPr>
            <w:r>
              <w:rPr>
                <w:noProof/>
              </w:rPr>
              <w:t>UN Reg. 85</w:t>
            </w:r>
          </w:p>
        </w:tc>
        <w:tc>
          <w:tcPr>
            <w:tcW w:w="3081" w:type="dxa"/>
            <w:shd w:val="clear" w:color="auto" w:fill="auto"/>
            <w:vAlign w:val="bottom"/>
          </w:tcPr>
          <w:p>
            <w:pPr>
              <w:shd w:val="clear" w:color="auto" w:fill="FFFFFF"/>
              <w:spacing w:line="240" w:lineRule="atLeast"/>
              <w:jc w:val="left"/>
              <w:rPr>
                <w:noProof/>
              </w:rPr>
            </w:pPr>
            <w:r>
              <w:rPr>
                <w:noProof/>
              </w:rPr>
              <w:t xml:space="preserve">Regulations (EC) No 692/2008, (EU) No 582/2011 </w:t>
            </w:r>
          </w:p>
        </w:tc>
      </w:tr>
      <w:tr>
        <w:tc>
          <w:tcPr>
            <w:tcW w:w="3080" w:type="dxa"/>
            <w:shd w:val="clear" w:color="auto" w:fill="auto"/>
          </w:tcPr>
          <w:p>
            <w:pPr>
              <w:shd w:val="clear" w:color="auto" w:fill="FFFFFF"/>
              <w:spacing w:line="240" w:lineRule="atLeast"/>
              <w:jc w:val="left"/>
              <w:rPr>
                <w:noProof/>
              </w:rPr>
            </w:pPr>
            <w:r>
              <w:rPr>
                <w:noProof/>
              </w:rPr>
              <w:t>Emissions heavy duty vehicles</w:t>
            </w:r>
          </w:p>
        </w:tc>
        <w:tc>
          <w:tcPr>
            <w:tcW w:w="3081" w:type="dxa"/>
            <w:shd w:val="clear" w:color="auto" w:fill="auto"/>
          </w:tcPr>
          <w:p>
            <w:pPr>
              <w:shd w:val="clear" w:color="auto" w:fill="FFFFFF"/>
              <w:spacing w:line="240" w:lineRule="atLeast"/>
              <w:jc w:val="left"/>
              <w:rPr>
                <w:noProof/>
              </w:rPr>
            </w:pPr>
            <w:r>
              <w:rPr>
                <w:noProof/>
              </w:rPr>
              <w:t>UN Reg. 49</w:t>
            </w:r>
          </w:p>
        </w:tc>
        <w:tc>
          <w:tcPr>
            <w:tcW w:w="3081" w:type="dxa"/>
            <w:shd w:val="clear" w:color="auto" w:fill="auto"/>
          </w:tcPr>
          <w:p>
            <w:pPr>
              <w:shd w:val="clear" w:color="auto" w:fill="FFFFFF"/>
              <w:spacing w:line="240" w:lineRule="atLeast"/>
              <w:jc w:val="left"/>
              <w:rPr>
                <w:noProof/>
              </w:rPr>
            </w:pPr>
            <w:r>
              <w:rPr>
                <w:noProof/>
              </w:rPr>
              <w:t xml:space="preserve">Regulation (EC) No 595/2009, Regulation (EU) No 582/2011 </w:t>
            </w:r>
          </w:p>
          <w:p>
            <w:pPr>
              <w:shd w:val="clear" w:color="auto" w:fill="FFFFFF"/>
              <w:spacing w:line="240" w:lineRule="atLeast"/>
              <w:jc w:val="left"/>
              <w:rPr>
                <w:noProof/>
              </w:rPr>
            </w:pPr>
            <w:r>
              <w:rPr>
                <w:noProof/>
              </w:rPr>
              <w:t>Regulation (EU) 2016/1718</w:t>
            </w:r>
          </w:p>
        </w:tc>
      </w:tr>
      <w:tr>
        <w:tc>
          <w:tcPr>
            <w:tcW w:w="3080" w:type="dxa"/>
            <w:shd w:val="clear" w:color="auto" w:fill="auto"/>
            <w:vAlign w:val="bottom"/>
          </w:tcPr>
          <w:p>
            <w:pPr>
              <w:shd w:val="clear" w:color="auto" w:fill="FFFFFF"/>
              <w:spacing w:line="240" w:lineRule="atLeast"/>
              <w:jc w:val="left"/>
              <w:rPr>
                <w:noProof/>
              </w:rPr>
            </w:pPr>
            <w:r>
              <w:rPr>
                <w:noProof/>
              </w:rPr>
              <w:t>Lateral protection</w:t>
            </w:r>
          </w:p>
        </w:tc>
        <w:tc>
          <w:tcPr>
            <w:tcW w:w="3081" w:type="dxa"/>
            <w:shd w:val="clear" w:color="auto" w:fill="auto"/>
            <w:vAlign w:val="bottom"/>
          </w:tcPr>
          <w:p>
            <w:pPr>
              <w:shd w:val="clear" w:color="auto" w:fill="FFFFFF"/>
              <w:spacing w:line="240" w:lineRule="atLeast"/>
              <w:jc w:val="left"/>
              <w:rPr>
                <w:noProof/>
              </w:rPr>
            </w:pPr>
            <w:r>
              <w:rPr>
                <w:noProof/>
              </w:rPr>
              <w:t>UN Reg. 73</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Safety glazing</w:t>
            </w:r>
          </w:p>
        </w:tc>
        <w:tc>
          <w:tcPr>
            <w:tcW w:w="3081" w:type="dxa"/>
            <w:shd w:val="clear" w:color="auto" w:fill="auto"/>
          </w:tcPr>
          <w:p>
            <w:pPr>
              <w:shd w:val="clear" w:color="auto" w:fill="FFFFFF"/>
              <w:spacing w:line="240" w:lineRule="atLeast"/>
              <w:jc w:val="left"/>
              <w:rPr>
                <w:noProof/>
              </w:rPr>
            </w:pPr>
            <w:r>
              <w:rPr>
                <w:noProof/>
              </w:rPr>
              <w:t>UN Reg. 43</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Tyres, motor vehicles and their trailers</w:t>
            </w:r>
          </w:p>
        </w:tc>
        <w:tc>
          <w:tcPr>
            <w:tcW w:w="3081" w:type="dxa"/>
            <w:shd w:val="clear" w:color="auto" w:fill="auto"/>
            <w:vAlign w:val="bottom"/>
          </w:tcPr>
          <w:p>
            <w:pPr>
              <w:shd w:val="clear" w:color="auto" w:fill="FFFFFF"/>
              <w:spacing w:line="240" w:lineRule="atLeast"/>
              <w:jc w:val="left"/>
              <w:rPr>
                <w:noProof/>
              </w:rPr>
            </w:pPr>
            <w:r>
              <w:rPr>
                <w:noProof/>
              </w:rPr>
              <w:t>UN Reg. 30</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Tyres, commercial vehicles and their trailers</w:t>
            </w:r>
          </w:p>
        </w:tc>
        <w:tc>
          <w:tcPr>
            <w:tcW w:w="3081" w:type="dxa"/>
            <w:shd w:val="clear" w:color="auto" w:fill="auto"/>
          </w:tcPr>
          <w:p>
            <w:pPr>
              <w:shd w:val="clear" w:color="auto" w:fill="FFFFFF"/>
              <w:spacing w:line="240" w:lineRule="atLeast"/>
              <w:jc w:val="left"/>
              <w:rPr>
                <w:noProof/>
              </w:rPr>
            </w:pPr>
            <w:r>
              <w:rPr>
                <w:noProof/>
              </w:rPr>
              <w:t>UN Reg. 54</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Temporary-use spare wheels/tyres</w:t>
            </w:r>
          </w:p>
        </w:tc>
        <w:tc>
          <w:tcPr>
            <w:tcW w:w="3081" w:type="dxa"/>
            <w:shd w:val="clear" w:color="auto" w:fill="auto"/>
            <w:vAlign w:val="bottom"/>
          </w:tcPr>
          <w:p>
            <w:pPr>
              <w:shd w:val="clear" w:color="auto" w:fill="FFFFFF"/>
              <w:spacing w:line="240" w:lineRule="atLeast"/>
              <w:jc w:val="left"/>
              <w:rPr>
                <w:noProof/>
              </w:rPr>
            </w:pPr>
            <w:r>
              <w:rPr>
                <w:noProof/>
              </w:rPr>
              <w:t>UN Reg. 64</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Rolling sound</w:t>
            </w:r>
          </w:p>
        </w:tc>
        <w:tc>
          <w:tcPr>
            <w:tcW w:w="3081" w:type="dxa"/>
            <w:shd w:val="clear" w:color="auto" w:fill="auto"/>
          </w:tcPr>
          <w:p>
            <w:pPr>
              <w:shd w:val="clear" w:color="auto" w:fill="FFFFFF"/>
              <w:spacing w:line="240" w:lineRule="atLeast"/>
              <w:jc w:val="left"/>
              <w:rPr>
                <w:noProof/>
              </w:rPr>
            </w:pPr>
            <w:r>
              <w:rPr>
                <w:noProof/>
              </w:rPr>
              <w:t>UN Reg. 117</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Speed limitation devices</w:t>
            </w:r>
          </w:p>
        </w:tc>
        <w:tc>
          <w:tcPr>
            <w:tcW w:w="3081" w:type="dxa"/>
            <w:shd w:val="clear" w:color="auto" w:fill="auto"/>
            <w:vAlign w:val="bottom"/>
          </w:tcPr>
          <w:p>
            <w:pPr>
              <w:shd w:val="clear" w:color="auto" w:fill="FFFFFF"/>
              <w:spacing w:line="240" w:lineRule="atLeast"/>
              <w:jc w:val="left"/>
              <w:rPr>
                <w:noProof/>
              </w:rPr>
            </w:pPr>
            <w:r>
              <w:rPr>
                <w:noProof/>
              </w:rPr>
              <w:t>UN Reg. 89</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Couplings</w:t>
            </w:r>
          </w:p>
        </w:tc>
        <w:tc>
          <w:tcPr>
            <w:tcW w:w="3081" w:type="dxa"/>
            <w:shd w:val="clear" w:color="auto" w:fill="auto"/>
            <w:vAlign w:val="bottom"/>
          </w:tcPr>
          <w:p>
            <w:pPr>
              <w:shd w:val="clear" w:color="auto" w:fill="FFFFFF"/>
              <w:spacing w:line="240" w:lineRule="atLeast"/>
              <w:jc w:val="left"/>
              <w:rPr>
                <w:noProof/>
              </w:rPr>
            </w:pPr>
            <w:r>
              <w:rPr>
                <w:noProof/>
              </w:rPr>
              <w:t>UN Reg. 55</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Close-coupling device</w:t>
            </w:r>
          </w:p>
        </w:tc>
        <w:tc>
          <w:tcPr>
            <w:tcW w:w="3081" w:type="dxa"/>
            <w:shd w:val="clear" w:color="auto" w:fill="auto"/>
          </w:tcPr>
          <w:p>
            <w:pPr>
              <w:shd w:val="clear" w:color="auto" w:fill="FFFFFF"/>
              <w:spacing w:line="240" w:lineRule="atLeast"/>
              <w:jc w:val="left"/>
              <w:rPr>
                <w:noProof/>
              </w:rPr>
            </w:pPr>
            <w:r>
              <w:rPr>
                <w:noProof/>
              </w:rPr>
              <w:t>UN Reg. 102</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Flammability</w:t>
            </w:r>
          </w:p>
        </w:tc>
        <w:tc>
          <w:tcPr>
            <w:tcW w:w="3081" w:type="dxa"/>
            <w:shd w:val="clear" w:color="auto" w:fill="auto"/>
            <w:vAlign w:val="bottom"/>
          </w:tcPr>
          <w:p>
            <w:pPr>
              <w:shd w:val="clear" w:color="auto" w:fill="FFFFFF"/>
              <w:spacing w:line="240" w:lineRule="atLeast"/>
              <w:jc w:val="left"/>
              <w:rPr>
                <w:noProof/>
              </w:rPr>
            </w:pPr>
            <w:r>
              <w:rPr>
                <w:noProof/>
              </w:rPr>
              <w:t>UN Reg. 118</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Buses and coaches</w:t>
            </w:r>
          </w:p>
        </w:tc>
        <w:tc>
          <w:tcPr>
            <w:tcW w:w="3081" w:type="dxa"/>
            <w:shd w:val="clear" w:color="auto" w:fill="auto"/>
          </w:tcPr>
          <w:p>
            <w:pPr>
              <w:shd w:val="clear" w:color="auto" w:fill="FFFFFF"/>
              <w:spacing w:line="240" w:lineRule="atLeast"/>
              <w:jc w:val="left"/>
              <w:rPr>
                <w:noProof/>
              </w:rPr>
            </w:pPr>
            <w:r>
              <w:rPr>
                <w:noProof/>
              </w:rPr>
              <w:t>UN Reg. 107</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Strength of superstructure (buses and coaches)</w:t>
            </w:r>
          </w:p>
        </w:tc>
        <w:tc>
          <w:tcPr>
            <w:tcW w:w="3081" w:type="dxa"/>
            <w:shd w:val="clear" w:color="auto" w:fill="auto"/>
          </w:tcPr>
          <w:p>
            <w:pPr>
              <w:shd w:val="clear" w:color="auto" w:fill="FFFFFF"/>
              <w:spacing w:line="240" w:lineRule="atLeast"/>
              <w:jc w:val="left"/>
              <w:rPr>
                <w:noProof/>
              </w:rPr>
            </w:pPr>
            <w:r>
              <w:rPr>
                <w:noProof/>
              </w:rPr>
              <w:t>UN Reg. 66</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Frontal impact</w:t>
            </w:r>
          </w:p>
        </w:tc>
        <w:tc>
          <w:tcPr>
            <w:tcW w:w="3081" w:type="dxa"/>
            <w:shd w:val="clear" w:color="auto" w:fill="auto"/>
          </w:tcPr>
          <w:p>
            <w:pPr>
              <w:shd w:val="clear" w:color="auto" w:fill="FFFFFF"/>
              <w:spacing w:line="240" w:lineRule="atLeast"/>
              <w:jc w:val="left"/>
              <w:rPr>
                <w:noProof/>
              </w:rPr>
            </w:pPr>
            <w:r>
              <w:rPr>
                <w:noProof/>
              </w:rPr>
              <w:t>UN Reg. 94</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vAlign w:val="bottom"/>
          </w:tcPr>
          <w:p>
            <w:pPr>
              <w:shd w:val="clear" w:color="auto" w:fill="FFFFFF"/>
              <w:spacing w:line="240" w:lineRule="atLeast"/>
              <w:jc w:val="left"/>
              <w:rPr>
                <w:noProof/>
              </w:rPr>
            </w:pPr>
            <w:r>
              <w:rPr>
                <w:noProof/>
              </w:rPr>
              <w:t>Side impact</w:t>
            </w:r>
          </w:p>
        </w:tc>
        <w:tc>
          <w:tcPr>
            <w:tcW w:w="3081" w:type="dxa"/>
            <w:shd w:val="clear" w:color="auto" w:fill="auto"/>
            <w:vAlign w:val="bottom"/>
          </w:tcPr>
          <w:p>
            <w:pPr>
              <w:shd w:val="clear" w:color="auto" w:fill="FFFFFF"/>
              <w:spacing w:line="240" w:lineRule="atLeast"/>
              <w:jc w:val="left"/>
              <w:rPr>
                <w:noProof/>
              </w:rPr>
            </w:pPr>
            <w:r>
              <w:rPr>
                <w:noProof/>
              </w:rPr>
              <w:t>UN Reg. 95</w:t>
            </w:r>
          </w:p>
        </w:tc>
        <w:tc>
          <w:tcPr>
            <w:tcW w:w="3081" w:type="dxa"/>
            <w:shd w:val="clear" w:color="auto" w:fill="auto"/>
            <w:vAlign w:val="bottom"/>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Vehicles intended for the transport of dangerous goods</w:t>
            </w:r>
          </w:p>
        </w:tc>
        <w:tc>
          <w:tcPr>
            <w:tcW w:w="3081" w:type="dxa"/>
            <w:shd w:val="clear" w:color="auto" w:fill="auto"/>
          </w:tcPr>
          <w:p>
            <w:pPr>
              <w:shd w:val="clear" w:color="auto" w:fill="FFFFFF"/>
              <w:spacing w:line="240" w:lineRule="atLeast"/>
              <w:jc w:val="left"/>
              <w:rPr>
                <w:noProof/>
              </w:rPr>
            </w:pPr>
            <w:r>
              <w:rPr>
                <w:noProof/>
              </w:rPr>
              <w:t>UN Reg. 105</w:t>
            </w:r>
          </w:p>
        </w:tc>
        <w:tc>
          <w:tcPr>
            <w:tcW w:w="3081" w:type="dxa"/>
            <w:shd w:val="clear" w:color="auto" w:fill="auto"/>
          </w:tcPr>
          <w:p>
            <w:pPr>
              <w:shd w:val="clear" w:color="auto" w:fill="FFFFFF"/>
              <w:spacing w:line="240" w:lineRule="atLeast"/>
              <w:jc w:val="left"/>
              <w:rPr>
                <w:noProof/>
              </w:rPr>
            </w:pPr>
          </w:p>
        </w:tc>
      </w:tr>
      <w:tr>
        <w:tc>
          <w:tcPr>
            <w:tcW w:w="3080" w:type="dxa"/>
            <w:shd w:val="clear" w:color="auto" w:fill="auto"/>
          </w:tcPr>
          <w:p>
            <w:pPr>
              <w:shd w:val="clear" w:color="auto" w:fill="FFFFFF"/>
              <w:spacing w:line="240" w:lineRule="atLeast"/>
              <w:jc w:val="left"/>
              <w:rPr>
                <w:noProof/>
              </w:rPr>
            </w:pPr>
            <w:r>
              <w:rPr>
                <w:noProof/>
              </w:rPr>
              <w:t>Front underrun protection</w:t>
            </w:r>
          </w:p>
        </w:tc>
        <w:tc>
          <w:tcPr>
            <w:tcW w:w="3081" w:type="dxa"/>
            <w:shd w:val="clear" w:color="auto" w:fill="auto"/>
          </w:tcPr>
          <w:p>
            <w:pPr>
              <w:shd w:val="clear" w:color="auto" w:fill="FFFFFF"/>
              <w:spacing w:line="240" w:lineRule="atLeast"/>
              <w:jc w:val="left"/>
              <w:rPr>
                <w:noProof/>
              </w:rPr>
            </w:pPr>
            <w:r>
              <w:rPr>
                <w:noProof/>
              </w:rPr>
              <w:t>UN Reg. 93</w:t>
            </w:r>
          </w:p>
        </w:tc>
        <w:tc>
          <w:tcPr>
            <w:tcW w:w="3081" w:type="dxa"/>
            <w:shd w:val="clear" w:color="auto" w:fill="auto"/>
          </w:tcPr>
          <w:p>
            <w:pPr>
              <w:shd w:val="clear" w:color="auto" w:fill="FFFFFF"/>
              <w:spacing w:line="240" w:lineRule="atLeast"/>
              <w:jc w:val="left"/>
              <w:rPr>
                <w:noProof/>
              </w:rPr>
            </w:pPr>
          </w:p>
        </w:tc>
      </w:tr>
    </w:tbl>
    <w:p>
      <w:pPr>
        <w:widowControl w:val="0"/>
        <w:spacing w:after="0" w:line="360" w:lineRule="auto"/>
        <w:jc w:val="left"/>
        <w:outlineLvl w:val="0"/>
        <w:rPr>
          <w:noProof/>
        </w:rPr>
        <w:sectPr>
          <w:pgSz w:w="11906" w:h="16838"/>
          <w:pgMar w:top="1020" w:right="1701" w:bottom="1020" w:left="1587" w:header="601" w:footer="1077" w:gutter="0"/>
          <w:cols w:space="720"/>
          <w:docGrid w:linePitch="326"/>
        </w:sectPr>
      </w:pPr>
    </w:p>
    <w:p>
      <w:pPr>
        <w:widowControl w:val="0"/>
        <w:spacing w:after="0" w:line="360" w:lineRule="auto"/>
        <w:jc w:val="right"/>
        <w:outlineLvl w:val="0"/>
        <w:rPr>
          <w:noProof/>
        </w:rPr>
      </w:pPr>
      <w:r>
        <w:rPr>
          <w:noProof/>
        </w:rPr>
        <w:t>Annex 2</w:t>
      </w:r>
    </w:p>
    <w:p>
      <w:pPr>
        <w:widowControl w:val="0"/>
        <w:spacing w:after="0" w:line="360" w:lineRule="auto"/>
        <w:jc w:val="center"/>
        <w:outlineLvl w:val="0"/>
        <w:rPr>
          <w:noProof/>
        </w:rPr>
      </w:pPr>
      <w:r>
        <w:rPr>
          <w:noProof/>
        </w:rPr>
        <w:t>Appendix 2-C-3</w:t>
      </w:r>
    </w:p>
    <w:p>
      <w:pPr>
        <w:widowControl w:val="0"/>
        <w:spacing w:after="0" w:line="360" w:lineRule="auto"/>
        <w:jc w:val="center"/>
        <w:outlineLvl w:val="0"/>
        <w:rPr>
          <w:noProof/>
        </w:rPr>
      </w:pPr>
      <w:r>
        <w:rPr>
          <w:noProof/>
        </w:rPr>
        <w:t>Table 1</w:t>
      </w:r>
    </w:p>
    <w:p>
      <w:pPr>
        <w:widowControl w:val="0"/>
        <w:spacing w:after="0" w:line="360" w:lineRule="auto"/>
        <w:jc w:val="center"/>
        <w:outlineLvl w:val="0"/>
        <w:rPr>
          <w:b/>
          <w:noProof/>
        </w:rPr>
      </w:pPr>
      <w:r>
        <w:rPr>
          <w:b/>
          <w:noProof/>
        </w:rPr>
        <w:t>List referred to in Article 3(a)(ii) of Annex 2-C</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
        <w:gridCol w:w="1800"/>
        <w:gridCol w:w="270"/>
        <w:gridCol w:w="127"/>
        <w:gridCol w:w="1917"/>
        <w:gridCol w:w="6"/>
        <w:gridCol w:w="23"/>
        <w:gridCol w:w="1951"/>
        <w:gridCol w:w="8"/>
        <w:gridCol w:w="22"/>
        <w:gridCol w:w="2850"/>
        <w:gridCol w:w="11"/>
        <w:gridCol w:w="20"/>
      </w:tblGrid>
      <w:tr>
        <w:trPr>
          <w:gridAfter w:val="1"/>
          <w:wAfter w:w="20" w:type="dxa"/>
          <w:tblHeader/>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Subject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Requirements</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Corresponding Korean</w:t>
            </w:r>
            <w:r>
              <w:rPr>
                <w:noProof/>
              </w:rPr>
              <w:br/>
              <w:t>Technical Regulations</w:t>
            </w:r>
          </w:p>
        </w:tc>
      </w:tr>
      <w:tr>
        <w:trPr>
          <w:gridAfter w:val="1"/>
          <w:wAfter w:w="20" w:type="dxa"/>
          <w:jc w:val="center"/>
        </w:trPr>
        <w:tc>
          <w:tcPr>
            <w:tcW w:w="2226" w:type="dxa"/>
            <w:gridSpan w:val="4"/>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Occupant</w:t>
            </w:r>
          </w:p>
          <w:p>
            <w:pPr>
              <w:widowControl w:val="0"/>
              <w:spacing w:after="0" w:line="276" w:lineRule="auto"/>
              <w:jc w:val="left"/>
              <w:rPr>
                <w:noProof/>
              </w:rPr>
            </w:pPr>
            <w:r>
              <w:rPr>
                <w:noProof/>
              </w:rPr>
              <w:t>crash protection</w:t>
            </w:r>
          </w:p>
        </w:tc>
        <w:tc>
          <w:tcPr>
            <w:tcW w:w="192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Frontal</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94 </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w:t>
            </w:r>
            <w:r>
              <w:rPr>
                <w:rStyle w:val="FootnoteReference"/>
                <w:noProof/>
              </w:rPr>
              <w:footnoteReference w:id="4"/>
            </w:r>
            <w:r>
              <w:rPr>
                <w:noProof/>
              </w:rPr>
              <w:t xml:space="preserve"> Article 102</w:t>
            </w:r>
          </w:p>
          <w:p>
            <w:pPr>
              <w:widowControl w:val="0"/>
              <w:spacing w:after="0" w:line="276" w:lineRule="auto"/>
              <w:jc w:val="left"/>
              <w:rPr>
                <w:noProof/>
              </w:rPr>
            </w:pPr>
            <w:r>
              <w:rPr>
                <w:noProof/>
              </w:rPr>
              <w:t>Paragraphs 1, 3</w:t>
            </w:r>
          </w:p>
        </w:tc>
      </w:tr>
      <w:tr>
        <w:trPr>
          <w:gridAfter w:val="1"/>
          <w:wAfter w:w="20" w:type="dxa"/>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192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Side</w:t>
            </w:r>
          </w:p>
        </w:tc>
        <w:tc>
          <w:tcPr>
            <w:tcW w:w="1982"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UN Reg. 95</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102</w:t>
            </w:r>
          </w:p>
          <w:p>
            <w:pPr>
              <w:widowControl w:val="0"/>
              <w:spacing w:after="0" w:line="276" w:lineRule="auto"/>
              <w:jc w:val="left"/>
              <w:rPr>
                <w:noProof/>
              </w:rPr>
            </w:pPr>
            <w:r>
              <w:rPr>
                <w:noProof/>
              </w:rPr>
              <w:t>Paragraph 1</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Steering control rearward displacement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12</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89 paragraph 1 Item 2</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Impact protection for the driver from the steering control system</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12</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89 paragraph 1 Item 1</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Seating systems</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17</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97</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Head restraints</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lang w:val="fr-BE"/>
              </w:rPr>
            </w:pPr>
            <w:r>
              <w:rPr>
                <w:noProof/>
                <w:lang w:val="fr-BE"/>
              </w:rPr>
              <w:t xml:space="preserve">UN Reg. 17, </w:t>
            </w:r>
            <w:r>
              <w:rPr>
                <w:noProof/>
                <w:lang w:val="fr-BE"/>
              </w:rPr>
              <w:br/>
              <w:t>UN Reg. 25,</w:t>
            </w:r>
            <w:r>
              <w:rPr>
                <w:noProof/>
                <w:lang w:val="fr-BE"/>
              </w:rPr>
              <w:br/>
              <w:t>GTR 7</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Articles 26, 99</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Door locks and door retention components</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11,</w:t>
            </w:r>
            <w:r>
              <w:rPr>
                <w:noProof/>
              </w:rPr>
              <w:br/>
              <w:t>GTR 1</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104 Paragraph 2</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Instrument panel impact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21</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88</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Seat back impact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21</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98</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Armrest impact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21</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100</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Sun visor impact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21</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101</w:t>
            </w:r>
          </w:p>
        </w:tc>
      </w:tr>
      <w:tr>
        <w:trPr>
          <w:gridAfter w:val="1"/>
          <w:wAfter w:w="20" w:type="dxa"/>
          <w:jc w:val="center"/>
        </w:trPr>
        <w:tc>
          <w:tcPr>
            <w:tcW w:w="4149"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Inside rear view mirror impact</w:t>
            </w:r>
          </w:p>
        </w:tc>
        <w:tc>
          <w:tcPr>
            <w:tcW w:w="198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46</w:t>
            </w:r>
          </w:p>
        </w:tc>
        <w:tc>
          <w:tcPr>
            <w:tcW w:w="288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108</w:t>
            </w:r>
          </w:p>
        </w:tc>
      </w:tr>
      <w:tr>
        <w:trPr>
          <w:gridAfter w:val="2"/>
          <w:wAfter w:w="31" w:type="dxa"/>
          <w:jc w:val="center"/>
        </w:trPr>
        <w:tc>
          <w:tcPr>
            <w:tcW w:w="4143" w:type="dxa"/>
            <w:gridSpan w:val="5"/>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Towing devices</w:t>
            </w:r>
          </w:p>
        </w:tc>
        <w:tc>
          <w:tcPr>
            <w:tcW w:w="19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Regulation (EU) No 1005/2010</w:t>
            </w:r>
          </w:p>
        </w:tc>
        <w:tc>
          <w:tcPr>
            <w:tcW w:w="28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KMVSS Article 20 paragraph 1 </w:t>
            </w:r>
          </w:p>
        </w:tc>
      </w:tr>
      <w:tr>
        <w:trPr>
          <w:gridAfter w:val="2"/>
          <w:wAfter w:w="31" w:type="dxa"/>
          <w:jc w:val="center"/>
        </w:trPr>
        <w:tc>
          <w:tcPr>
            <w:tcW w:w="4143" w:type="dxa"/>
            <w:gridSpan w:val="5"/>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Rear under-run protection</w:t>
            </w:r>
          </w:p>
        </w:tc>
        <w:tc>
          <w:tcPr>
            <w:tcW w:w="19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58</w:t>
            </w:r>
          </w:p>
        </w:tc>
        <w:tc>
          <w:tcPr>
            <w:tcW w:w="28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KMVSS Article 19 Paragraph 4 and Article 96 </w:t>
            </w:r>
          </w:p>
        </w:tc>
      </w:tr>
      <w:tr>
        <w:trPr>
          <w:gridBefore w:val="1"/>
          <w:wBefore w:w="29" w:type="dxa"/>
          <w:jc w:val="center"/>
        </w:trPr>
        <w:tc>
          <w:tcPr>
            <w:tcW w:w="180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pageBreakBefore/>
              <w:widowControl w:val="0"/>
              <w:spacing w:after="0" w:line="276" w:lineRule="auto"/>
              <w:jc w:val="left"/>
              <w:rPr>
                <w:noProof/>
              </w:rPr>
            </w:pPr>
            <w:r>
              <w:rPr>
                <w:noProof/>
              </w:rPr>
              <w:t xml:space="preserve">Lighting and </w:t>
            </w:r>
            <w:r>
              <w:rPr>
                <w:noProof/>
              </w:rPr>
              <w:br w:type="page"/>
              <w:t>signalling system</w:t>
            </w: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Installation</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48</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Articles 38, 38-2, 38-3, 38-4, 38-5, 39, 40, 41, 42, 43, 44, 44-2, 45, 45-2, 47 and 49</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Head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1, 2, 5, 8, 20, 31, 37, </w:t>
            </w:r>
          </w:p>
          <w:p>
            <w:pPr>
              <w:widowControl w:val="0"/>
              <w:spacing w:after="0" w:line="276" w:lineRule="auto"/>
              <w:jc w:val="left"/>
              <w:rPr>
                <w:noProof/>
              </w:rPr>
            </w:pPr>
            <w:r>
              <w:rPr>
                <w:noProof/>
              </w:rPr>
              <w:t xml:space="preserve">UN Reg. 98, 99, 112, 113, 123 </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38, Article 48 Paragraph 3</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Front fog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19</w:t>
            </w:r>
          </w:p>
        </w:tc>
        <w:tc>
          <w:tcPr>
            <w:tcW w:w="2881" w:type="dxa"/>
            <w:gridSpan w:val="3"/>
            <w:tcBorders>
              <w:top w:val="single" w:sz="4" w:space="0" w:color="auto"/>
              <w:left w:val="single" w:sz="4" w:space="0" w:color="auto"/>
              <w:bottom w:val="single" w:sz="4" w:space="0" w:color="auto"/>
              <w:right w:val="single" w:sz="4" w:space="0" w:color="auto"/>
            </w:tcBorders>
            <w:vAlign w:val="center"/>
          </w:tcPr>
          <w:p>
            <w:pPr>
              <w:widowControl w:val="0"/>
              <w:spacing w:after="0" w:line="276" w:lineRule="auto"/>
              <w:jc w:val="left"/>
              <w:rPr>
                <w:noProof/>
              </w:rPr>
            </w:pPr>
            <w:r>
              <w:rPr>
                <w:noProof/>
              </w:rPr>
              <w:t>KMVSS Article 38-2 Paragraph 1</w:t>
            </w:r>
          </w:p>
          <w:p>
            <w:pPr>
              <w:widowControl w:val="0"/>
              <w:spacing w:after="0" w:line="276" w:lineRule="auto"/>
              <w:jc w:val="left"/>
              <w:rPr>
                <w:noProof/>
              </w:rPr>
            </w:pP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Daytime running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87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38-4</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Cornering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119</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38-5</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Backup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23</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39</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Clearance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40</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Registration plate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41</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Tail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42</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Stop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43 Paragraph 1</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Centre high mounted</w:t>
            </w:r>
          </w:p>
          <w:p>
            <w:pPr>
              <w:widowControl w:val="0"/>
              <w:spacing w:after="0" w:line="276" w:lineRule="auto"/>
              <w:jc w:val="left"/>
              <w:rPr>
                <w:noProof/>
              </w:rPr>
            </w:pPr>
            <w:r>
              <w:rPr>
                <w:noProof/>
              </w:rPr>
              <w:t>stop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43 Paragraph 2</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Turn signal</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6</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44</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Auxiliary turn signal</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44</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Side marker lamp</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91</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44-2</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Rear fog lamp </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38</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38-2</w:t>
            </w:r>
          </w:p>
          <w:p>
            <w:pPr>
              <w:widowControl w:val="0"/>
              <w:spacing w:after="0" w:line="276" w:lineRule="auto"/>
              <w:jc w:val="left"/>
              <w:rPr>
                <w:noProof/>
              </w:rPr>
            </w:pPr>
            <w:r>
              <w:rPr>
                <w:noProof/>
              </w:rPr>
              <w:t>Paragraph 2</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Retro-reflection devices</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70,</w:t>
            </w:r>
            <w:r>
              <w:rPr>
                <w:noProof/>
              </w:rPr>
              <w:br/>
              <w:t>UN Reg. 3</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 xml:space="preserve">KMVSS Article 49 </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pageBreakBefore/>
              <w:widowControl w:val="0"/>
              <w:spacing w:after="0" w:line="276" w:lineRule="auto"/>
              <w:jc w:val="left"/>
              <w:rPr>
                <w:noProof/>
              </w:rPr>
            </w:pPr>
            <w:r>
              <w:rPr>
                <w:noProof/>
              </w:rPr>
              <w:t>Driver's visibility</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46</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50</w:t>
            </w:r>
          </w:p>
          <w:p>
            <w:pPr>
              <w:widowControl w:val="0"/>
              <w:spacing w:after="0" w:line="276" w:lineRule="auto"/>
              <w:jc w:val="left"/>
              <w:rPr>
                <w:noProof/>
              </w:rPr>
            </w:pPr>
            <w:r>
              <w:rPr>
                <w:noProof/>
              </w:rPr>
              <w:t>Article 94</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Engine power</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85</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111</w:t>
            </w:r>
          </w:p>
        </w:tc>
      </w:tr>
      <w:tr>
        <w:trPr>
          <w:gridBefore w:val="1"/>
          <w:wBefore w:w="29" w:type="dxa"/>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 xml:space="preserve">Device </w:t>
            </w:r>
            <w:r>
              <w:rPr>
                <w:noProof/>
              </w:rPr>
              <w:br/>
              <w:t xml:space="preserve">for securing </w:t>
            </w:r>
            <w:r>
              <w:rPr>
                <w:noProof/>
              </w:rPr>
              <w:br/>
              <w:t xml:space="preserve">driver's </w:t>
            </w:r>
            <w:r>
              <w:rPr>
                <w:noProof/>
              </w:rPr>
              <w:br/>
              <w:t>visibility</w:t>
            </w: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Windshield wiping system</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Regulation </w:t>
            </w:r>
          </w:p>
          <w:p>
            <w:pPr>
              <w:widowControl w:val="0"/>
              <w:spacing w:after="0" w:line="276" w:lineRule="auto"/>
              <w:jc w:val="left"/>
              <w:rPr>
                <w:noProof/>
              </w:rPr>
            </w:pPr>
            <w:r>
              <w:rPr>
                <w:noProof/>
              </w:rPr>
              <w:t>(EU) No 1008/2010</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lang w:val="fr-BE"/>
              </w:rPr>
            </w:pPr>
            <w:r>
              <w:rPr>
                <w:noProof/>
                <w:lang w:val="fr-BE"/>
              </w:rPr>
              <w:t xml:space="preserve">KMVSS Article 51 Paragraph 2, Article 109 Item 1 </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lang w:val="fr-BE"/>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Defrosting system</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Regulation (EU) No 672/2010</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109 Item 2</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Defogging system </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Regulation (EU) No 672/2010</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109 Item 3</w:t>
            </w:r>
          </w:p>
        </w:tc>
      </w:tr>
      <w:tr>
        <w:trPr>
          <w:gridBefore w:val="1"/>
          <w:wBefore w:w="2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c>
          <w:tcPr>
            <w:tcW w:w="2343"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Windshield washing system</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Regulation (EU) No 1008/2010</w:t>
            </w:r>
          </w:p>
        </w:tc>
        <w:tc>
          <w:tcPr>
            <w:tcW w:w="28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KMVSS Article 109 Item 4</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Passenger car brake</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13H</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KMVSS Article 15, Article 90 Item 1 </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Brake system except passenger car and trailer</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13</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15, Article 90 Item 2</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Trailer brake system</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13</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15, Article 90 Item 3</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Anti-lock brake system, except trailer</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13 </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15, Article 90 Item 4</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Trailer anti-lock brake system</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13</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15, Article 90 Item 5</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br w:type="page"/>
              <w:t>Steering effort</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79</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14,</w:t>
            </w:r>
          </w:p>
          <w:p>
            <w:pPr>
              <w:widowControl w:val="0"/>
              <w:spacing w:after="0" w:line="276" w:lineRule="auto"/>
              <w:jc w:val="left"/>
              <w:rPr>
                <w:noProof/>
              </w:rPr>
            </w:pPr>
            <w:r>
              <w:rPr>
                <w:noProof/>
              </w:rPr>
              <w:t xml:space="preserve">Article 89 paragraph 2 </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Speed limiter</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89</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110-2</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Speedometer</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39</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KMVSS Article 110 </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Electro-magnetic compatibility</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10</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111-2</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Fuel leakage in collision</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lang w:val="fr-BE"/>
              </w:rPr>
            </w:pPr>
            <w:r>
              <w:rPr>
                <w:noProof/>
                <w:lang w:val="fr-BE"/>
              </w:rPr>
              <w:t>UN Reg. 34,</w:t>
            </w:r>
            <w:r>
              <w:rPr>
                <w:noProof/>
                <w:lang w:val="fr-BE"/>
              </w:rPr>
              <w:br/>
              <w:t>UN Reg. 94,</w:t>
            </w:r>
            <w:r>
              <w:rPr>
                <w:noProof/>
                <w:lang w:val="fr-BE"/>
              </w:rPr>
              <w:br/>
              <w:t>UN Reg. 95</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91</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pageBreakBefore/>
              <w:widowControl w:val="0"/>
              <w:spacing w:after="0" w:line="276" w:lineRule="auto"/>
              <w:jc w:val="left"/>
              <w:rPr>
                <w:noProof/>
              </w:rPr>
            </w:pPr>
            <w:r>
              <w:rPr>
                <w:noProof/>
              </w:rPr>
              <w:t>Bumper impact</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42</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93</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Seat belt assembly anchorages</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14, </w:t>
            </w:r>
          </w:p>
          <w:p>
            <w:pPr>
              <w:widowControl w:val="0"/>
              <w:spacing w:after="0" w:line="276" w:lineRule="auto"/>
              <w:jc w:val="left"/>
              <w:rPr>
                <w:noProof/>
              </w:rPr>
            </w:pPr>
            <w:r>
              <w:rPr>
                <w:noProof/>
              </w:rPr>
              <w:t>UN Reg. 16</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KMVSS Article 27 Paragraphs 1, 2, 3, 4; Article 103 </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Child seat anchorage</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14 </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 27-2, Article 103-2</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Horn noise, stationary noise and pass-by noise for vehicles (4 wheels)</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28,</w:t>
            </w:r>
          </w:p>
          <w:p>
            <w:pPr>
              <w:widowControl w:val="0"/>
              <w:spacing w:after="0" w:line="276" w:lineRule="auto"/>
              <w:jc w:val="left"/>
              <w:rPr>
                <w:noProof/>
              </w:rPr>
            </w:pPr>
            <w:r>
              <w:rPr>
                <w:noProof/>
              </w:rPr>
              <w:t>UN Reg. 51</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KMVSS Articles 35, 53, NVCA Article 30 and its Ordinance of MOE</w:t>
            </w:r>
            <w:r>
              <w:rPr>
                <w:rStyle w:val="FootnoteReference"/>
                <w:noProof/>
              </w:rPr>
              <w:footnoteReference w:id="5"/>
            </w:r>
            <w:r>
              <w:rPr>
                <w:noProof/>
              </w:rPr>
              <w:t xml:space="preserve"> Article 29</w:t>
            </w: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Emission and noise (except the passer-by noise of 3 or 4 wheels) for motor cycles</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lang w:val="fr-BE"/>
              </w:rPr>
            </w:pPr>
            <w:r>
              <w:rPr>
                <w:noProof/>
                <w:lang w:val="fr-BE"/>
              </w:rPr>
              <w:t xml:space="preserve">UN Reg. 40 </w:t>
            </w:r>
            <w:r>
              <w:rPr>
                <w:noProof/>
                <w:lang w:val="fr-BE"/>
              </w:rPr>
              <w:br/>
              <w:t xml:space="preserve">UN Reg. 41 </w:t>
            </w:r>
            <w:r>
              <w:rPr>
                <w:noProof/>
                <w:lang w:val="fr-BE"/>
              </w:rPr>
              <w:br/>
              <w:t xml:space="preserve">UN Reg. 47 </w:t>
            </w:r>
          </w:p>
          <w:p>
            <w:pPr>
              <w:widowControl w:val="0"/>
              <w:spacing w:after="0" w:line="276" w:lineRule="auto"/>
              <w:jc w:val="left"/>
              <w:rPr>
                <w:noProof/>
              </w:rPr>
            </w:pPr>
            <w:r>
              <w:rPr>
                <w:noProof/>
              </w:rPr>
              <w:t>Regulations (EU) No 168/2013, (EU) No 134/2014</w:t>
            </w:r>
          </w:p>
        </w:tc>
        <w:tc>
          <w:tcPr>
            <w:tcW w:w="28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CACA</w:t>
            </w:r>
            <w:r>
              <w:rPr>
                <w:rStyle w:val="FootnoteReference"/>
                <w:noProof/>
              </w:rPr>
              <w:footnoteReference w:id="6"/>
            </w:r>
            <w:r>
              <w:rPr>
                <w:noProof/>
              </w:rPr>
              <w:t xml:space="preserve"> Article 46 and its Ordinance of MOE Article 62, NVCA Article 30 and its Ordinance of MOE Article 29</w:t>
            </w:r>
          </w:p>
        </w:tc>
      </w:tr>
      <w:tr>
        <w:trPr>
          <w:gridBefore w:val="1"/>
          <w:wBefore w:w="29" w:type="dxa"/>
          <w:jc w:val="center"/>
        </w:trPr>
        <w:tc>
          <w:tcPr>
            <w:tcW w:w="2070" w:type="dxa"/>
            <w:gridSpan w:val="2"/>
            <w:vMerge w:val="restart"/>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 xml:space="preserve">Emission Diesel </w:t>
            </w:r>
            <w:r>
              <w:rPr>
                <w:noProof/>
              </w:rPr>
              <w:br/>
              <w:t>(incl. OBD)</w:t>
            </w:r>
          </w:p>
        </w:tc>
        <w:tc>
          <w:tcPr>
            <w:tcW w:w="2073" w:type="dxa"/>
            <w:gridSpan w:val="4"/>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Below 3.5t vehicle</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 xml:space="preserve">UN Reg. 83, </w:t>
            </w:r>
            <w:r>
              <w:rPr>
                <w:noProof/>
              </w:rPr>
              <w:br/>
              <w:t>UN Reg. 24</w:t>
            </w:r>
          </w:p>
          <w:p>
            <w:pPr>
              <w:widowControl w:val="0"/>
              <w:spacing w:after="0" w:line="276" w:lineRule="auto"/>
              <w:jc w:val="left"/>
              <w:rPr>
                <w:noProof/>
              </w:rPr>
            </w:pPr>
            <w:r>
              <w:rPr>
                <w:noProof/>
              </w:rPr>
              <w:t>Regulations (EC) No 715/2007, (EC) No 692/2008, (EC) No. 459/2012</w:t>
            </w:r>
          </w:p>
        </w:tc>
        <w:tc>
          <w:tcPr>
            <w:tcW w:w="2881" w:type="dxa"/>
            <w:gridSpan w:val="3"/>
            <w:vMerge w:val="restart"/>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CACA Article 46 and its Ordinance of MOE Article 62</w:t>
            </w:r>
          </w:p>
        </w:tc>
      </w:tr>
      <w:tr>
        <w:trPr>
          <w:gridBefore w:val="1"/>
          <w:wBefore w:w="29" w:type="dxa"/>
          <w:jc w:val="center"/>
        </w:trPr>
        <w:tc>
          <w:tcPr>
            <w:tcW w:w="0" w:type="auto"/>
            <w:gridSpan w:val="2"/>
            <w:vMerge/>
            <w:tcBorders>
              <w:top w:val="single" w:sz="4" w:space="0" w:color="auto"/>
              <w:left w:val="single" w:sz="4" w:space="0" w:color="auto"/>
              <w:bottom w:val="single" w:sz="4" w:space="0" w:color="auto"/>
              <w:right w:val="nil"/>
            </w:tcBorders>
            <w:vAlign w:val="center"/>
            <w:hideMark/>
          </w:tcPr>
          <w:p>
            <w:pPr>
              <w:spacing w:after="0"/>
              <w:jc w:val="left"/>
              <w:rPr>
                <w:noProof/>
              </w:rPr>
            </w:pPr>
          </w:p>
        </w:tc>
        <w:tc>
          <w:tcPr>
            <w:tcW w:w="2073" w:type="dxa"/>
            <w:gridSpan w:val="4"/>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Over 3.5t vehicle</w:t>
            </w:r>
          </w:p>
        </w:tc>
        <w:tc>
          <w:tcPr>
            <w:tcW w:w="198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pPr>
              <w:widowControl w:val="0"/>
              <w:spacing w:after="0" w:line="276" w:lineRule="auto"/>
              <w:jc w:val="left"/>
              <w:rPr>
                <w:noProof/>
              </w:rPr>
            </w:pPr>
            <w:r>
              <w:rPr>
                <w:noProof/>
              </w:rPr>
              <w:t>UN Reg. 49</w:t>
            </w:r>
          </w:p>
          <w:p>
            <w:pPr>
              <w:widowControl w:val="0"/>
              <w:spacing w:after="0" w:line="276" w:lineRule="auto"/>
              <w:jc w:val="left"/>
              <w:rPr>
                <w:noProof/>
              </w:rPr>
            </w:pPr>
          </w:p>
          <w:p>
            <w:pPr>
              <w:widowControl w:val="0"/>
              <w:spacing w:before="0" w:after="0" w:line="276" w:lineRule="auto"/>
              <w:jc w:val="left"/>
              <w:rPr>
                <w:noProof/>
              </w:rPr>
            </w:pPr>
            <w:r>
              <w:rPr>
                <w:noProof/>
              </w:rPr>
              <w:t>Regulations (EC) No 595/2009, (EU) No 582/2011</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pPr>
              <w:spacing w:after="0"/>
              <w:jc w:val="left"/>
              <w:rPr>
                <w:noProof/>
              </w:rPr>
            </w:pPr>
          </w:p>
        </w:tc>
      </w:tr>
      <w:tr>
        <w:trPr>
          <w:gridBefore w:val="1"/>
          <w:wBefore w:w="29" w:type="dxa"/>
          <w:jc w:val="center"/>
        </w:trPr>
        <w:tc>
          <w:tcPr>
            <w:tcW w:w="4143" w:type="dxa"/>
            <w:gridSpan w:val="6"/>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 xml:space="preserve">Tyres </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pPr>
              <w:widowControl w:val="0"/>
              <w:spacing w:after="0" w:line="276" w:lineRule="auto"/>
              <w:jc w:val="left"/>
              <w:rPr>
                <w:noProof/>
              </w:rPr>
            </w:pPr>
            <w:r>
              <w:rPr>
                <w:noProof/>
              </w:rPr>
              <w:t>UN Reg. 30, 54, 75, 106, 117, 108, 109</w:t>
            </w:r>
          </w:p>
        </w:tc>
        <w:tc>
          <w:tcPr>
            <w:tcW w:w="2881" w:type="dxa"/>
            <w:gridSpan w:val="3"/>
            <w:tcBorders>
              <w:top w:val="single" w:sz="4" w:space="0" w:color="auto"/>
              <w:left w:val="single" w:sz="4" w:space="0" w:color="auto"/>
              <w:bottom w:val="single" w:sz="4" w:space="0" w:color="auto"/>
              <w:right w:val="single" w:sz="4" w:space="0" w:color="auto"/>
            </w:tcBorders>
            <w:vAlign w:val="center"/>
          </w:tcPr>
          <w:p>
            <w:pPr>
              <w:widowControl w:val="0"/>
              <w:spacing w:after="0" w:line="276" w:lineRule="auto"/>
              <w:jc w:val="left"/>
              <w:rPr>
                <w:noProof/>
              </w:rPr>
            </w:pPr>
            <w:r>
              <w:rPr>
                <w:noProof/>
              </w:rPr>
              <w:t>Electrical Appliances and Consumer Products Safety Control Act Articles 15, 18 and 19;</w:t>
            </w:r>
          </w:p>
          <w:p>
            <w:pPr>
              <w:widowControl w:val="0"/>
              <w:spacing w:after="0" w:line="276" w:lineRule="auto"/>
              <w:jc w:val="left"/>
              <w:rPr>
                <w:noProof/>
              </w:rPr>
            </w:pPr>
            <w:r>
              <w:rPr>
                <w:noProof/>
              </w:rPr>
              <w:t xml:space="preserve">Enforcement Rules of Electrical Appliances and Consumer Products Safety Control Act Article 3 paragraph </w:t>
            </w:r>
            <w:r>
              <w:rPr>
                <w:rFonts w:hint="eastAsia"/>
                <w:noProof/>
              </w:rPr>
              <w:t>4</w:t>
            </w:r>
            <w:r>
              <w:rPr>
                <w:noProof/>
              </w:rPr>
              <w:t>, Article 26;</w:t>
            </w:r>
          </w:p>
          <w:p>
            <w:pPr>
              <w:widowControl w:val="0"/>
              <w:spacing w:after="0" w:line="276" w:lineRule="auto"/>
              <w:jc w:val="left"/>
              <w:rPr>
                <w:noProof/>
              </w:rPr>
            </w:pPr>
            <w:r>
              <w:rPr>
                <w:noProof/>
              </w:rPr>
              <w:t>KMVSS Article 12 Paragraph 1</w:t>
            </w: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한컴돋움">
    <w:charset w:val="81"/>
    <w:family w:val="roman"/>
    <w:pitch w:val="variable"/>
    <w:sig w:usb0="F7FFAFFF" w:usb1="FBDFFFFF" w:usb2="00FFFFFF" w:usb3="00000000" w:csb0="8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E/ECE/TRANS/505/Rev.3.</w:t>
      </w:r>
    </w:p>
  </w:footnote>
  <w:footnote w:id="2">
    <w:p>
      <w:pPr>
        <w:pStyle w:val="FootnoteText"/>
        <w:rPr>
          <w:rFonts w:eastAsiaTheme="minorEastAsia"/>
          <w:color w:val="000000" w:themeColor="text1"/>
          <w:lang w:eastAsia="ko-KR"/>
        </w:rPr>
      </w:pPr>
      <w:r>
        <w:rPr>
          <w:rStyle w:val="FootnoteReference"/>
        </w:rPr>
        <w:footnoteRef/>
      </w:r>
      <w:r>
        <w:rPr>
          <w:rFonts w:eastAsia="한컴돋움"/>
          <w:lang w:eastAsia="ko-KR"/>
        </w:rPr>
        <w:tab/>
      </w:r>
      <w:r>
        <w:rPr>
          <w:rFonts w:eastAsiaTheme="minorEastAsia"/>
          <w:color w:val="000000" w:themeColor="text1"/>
          <w:lang w:eastAsia="ko-KR"/>
        </w:rPr>
        <w:t>Blank in the third column (Corresponding EU Technical Regulation) means the corresponding Regulation is the same as the UN Regulation in the second column (Requirements).</w:t>
      </w:r>
    </w:p>
  </w:footnote>
  <w:footnote w:id="3">
    <w:p>
      <w:pPr>
        <w:pStyle w:val="FootnoteText"/>
      </w:pPr>
      <w:r>
        <w:rPr>
          <w:rStyle w:val="FootnoteReference"/>
        </w:rPr>
        <w:footnoteRef/>
      </w:r>
      <w:r>
        <w:tab/>
        <w:t>Abbreviation of "UN Regulation", formerly known as</w:t>
      </w:r>
      <w:r>
        <w:rPr>
          <w:i/>
        </w:rPr>
        <w:t xml:space="preserve"> </w:t>
      </w:r>
      <w:r>
        <w:t>"UNECE".</w:t>
      </w:r>
    </w:p>
  </w:footnote>
  <w:footnote w:id="4">
    <w:p>
      <w:pPr>
        <w:pStyle w:val="FootnoteText"/>
        <w:rPr>
          <w:lang w:eastAsia="en-GB"/>
        </w:rPr>
      </w:pPr>
      <w:r>
        <w:rPr>
          <w:rStyle w:val="FootnoteReference"/>
        </w:rPr>
        <w:footnoteRef/>
      </w:r>
      <w:r>
        <w:tab/>
        <w:t>Formerly known as Korea Motor Vehicle Safety Standards, renamed "Rules on the Performances and Standards of Korean Motor Vehicles and Parts" as of 1 July 2014</w:t>
      </w:r>
    </w:p>
  </w:footnote>
  <w:footnote w:id="5">
    <w:p>
      <w:pPr>
        <w:pStyle w:val="FootnoteText"/>
      </w:pPr>
      <w:r>
        <w:rPr>
          <w:rStyle w:val="FootnoteReference"/>
        </w:rPr>
        <w:footnoteRef/>
      </w:r>
      <w:r>
        <w:tab/>
        <w:t>Ministry of Environment of Korea.</w:t>
      </w:r>
    </w:p>
  </w:footnote>
  <w:footnote w:id="6">
    <w:p>
      <w:pPr>
        <w:pStyle w:val="FootnoteText"/>
      </w:pPr>
      <w:r>
        <w:rPr>
          <w:rStyle w:val="FootnoteReference"/>
        </w:rPr>
        <w:footnoteRef/>
      </w:r>
      <w:r>
        <w:tab/>
        <w:t>Clean Air Conservation Act of Korea.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FE2CB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5EB08E"/>
    <w:lvl w:ilvl="0">
      <w:start w:val="1"/>
      <w:numFmt w:val="decimal"/>
      <w:pStyle w:val="ListNumber3"/>
      <w:lvlText w:val="%1."/>
      <w:lvlJc w:val="left"/>
      <w:pPr>
        <w:tabs>
          <w:tab w:val="num" w:pos="926"/>
        </w:tabs>
        <w:ind w:left="926" w:hanging="360"/>
      </w:pPr>
    </w:lvl>
  </w:abstractNum>
  <w:abstractNum w:abstractNumId="2">
    <w:nsid w:val="FFFFFF7F"/>
    <w:multiLevelType w:val="singleLevel"/>
    <w:tmpl w:val="73921648"/>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5A33B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8A21C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E5A93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93A3ADC"/>
    <w:lvl w:ilvl="0">
      <w:start w:val="1"/>
      <w:numFmt w:val="decimal"/>
      <w:pStyle w:val="ListNumber"/>
      <w:lvlText w:val="%1."/>
      <w:lvlJc w:val="left"/>
      <w:pPr>
        <w:tabs>
          <w:tab w:val="num" w:pos="360"/>
        </w:tabs>
        <w:ind w:left="360" w:hanging="360"/>
      </w:pPr>
    </w:lvl>
  </w:abstractNum>
  <w:abstractNum w:abstractNumId="7">
    <w:nsid w:val="FFFFFF89"/>
    <w:multiLevelType w:val="singleLevel"/>
    <w:tmpl w:val="51A6CF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04 11:52: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F63CFBB6-A2CA-4F38-86D1-D389B34DDA3C"/>
    <w:docVar w:name="LW_COVERPAGE_TYPE" w:val="1"/>
    <w:docVar w:name="LW_CROSSREFERENCE" w:val="&lt;UNUSED&gt;"/>
    <w:docVar w:name="LW_DocType" w:val="ANNEX"/>
    <w:docVar w:name="LW_EMISSION" w:val="12.6.2019"/>
    <w:docVar w:name="LW_EMISSION_ISODATE" w:val="2019-06-1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within the Trade Committee established by the Free Trade Agreement between the European Union and its Member States, of the one part, and the Republic of Korea, of the other part, as regards the amendment of Appendices 2-C-2 and 2-C-3 of Annex 2-C of the Agreement"/>
    <w:docVar w:name="LW_OBJETACTEPRINCIPAL.CP" w:val="on the position to be taken on behalf of the European Union within the Trade Committee established by the Free Trade Agreement between the European Union and its Member States, of the one part, and the Republic of Korea, of the other part, as regards the amendment of Appendices 2-C-2 and 2-C-3 of Annex 2-C of the Agreement"/>
    <w:docVar w:name="LW_PART_NBR" w:val="1"/>
    <w:docVar w:name="LW_PART_NBR_TOTAL" w:val="1"/>
    <w:docVar w:name="LW_REF.INST.NEW" w:val="COM"/>
    <w:docVar w:name="LW_REF.INST.NEW_ADOPTED" w:val="final"/>
    <w:docVar w:name="LW_REF.INST.NEW_TEXT" w:val="(2019) 2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1">
    <w:name w:val="En-tête #1_"/>
    <w:link w:val="En-tte10"/>
    <w:uiPriority w:val="99"/>
    <w:locked/>
    <w:rPr>
      <w:b/>
      <w:bCs/>
      <w:smallCaps/>
      <w:sz w:val="26"/>
      <w:szCs w:val="26"/>
      <w:shd w:val="clear" w:color="auto" w:fill="FFFFFF"/>
    </w:rPr>
  </w:style>
  <w:style w:type="paragraph" w:customStyle="1" w:styleId="En-tte10">
    <w:name w:val="En-tête #1"/>
    <w:basedOn w:val="Normal"/>
    <w:link w:val="En-tte1"/>
    <w:uiPriority w:val="99"/>
    <w:pPr>
      <w:widowControl w:val="0"/>
      <w:shd w:val="clear" w:color="auto" w:fill="FFFFFF"/>
      <w:spacing w:before="0" w:after="720" w:line="240" w:lineRule="atLeast"/>
      <w:jc w:val="center"/>
      <w:outlineLvl w:val="0"/>
    </w:pPr>
    <w:rPr>
      <w:rFonts w:asciiTheme="minorHAnsi" w:hAnsiTheme="minorHAnsi" w:cstheme="minorBidi"/>
      <w:b/>
      <w:bCs/>
      <w:smallCaps/>
      <w:sz w:val="26"/>
      <w:szCs w:val="26"/>
      <w:lang w:val="en-US"/>
    </w:rPr>
  </w:style>
  <w:style w:type="character" w:customStyle="1" w:styleId="Lgendedutableau">
    <w:name w:val="Légende du tableau_"/>
    <w:link w:val="Lgendedutableau0"/>
    <w:uiPriority w:val="99"/>
    <w:locked/>
    <w:rPr>
      <w:b/>
      <w:bCs/>
      <w:shd w:val="clear" w:color="auto" w:fill="FFFFFF"/>
    </w:rPr>
  </w:style>
  <w:style w:type="paragraph" w:customStyle="1" w:styleId="Lgendedutableau0">
    <w:name w:val="Légende du tableau"/>
    <w:basedOn w:val="Normal"/>
    <w:link w:val="Lgendedutableau"/>
    <w:uiPriority w:val="99"/>
    <w:pPr>
      <w:widowControl w:val="0"/>
      <w:shd w:val="clear" w:color="auto" w:fill="FFFFFF"/>
      <w:spacing w:before="0" w:after="60" w:line="240" w:lineRule="atLeast"/>
      <w:jc w:val="center"/>
    </w:pPr>
    <w:rPr>
      <w:rFonts w:asciiTheme="minorHAnsi" w:hAnsiTheme="minorHAnsi" w:cstheme="minorBidi"/>
      <w:b/>
      <w:bCs/>
      <w:sz w:val="22"/>
      <w:lang w:val="en-US"/>
    </w:rPr>
  </w:style>
  <w:style w:type="paragraph" w:styleId="CommentText">
    <w:name w:val="annotation text"/>
    <w:basedOn w:val="Normal"/>
    <w:link w:val="CommentTextChar"/>
    <w:uiPriority w:val="99"/>
    <w:semiHidden/>
    <w:unhideWhenUsed/>
    <w:rPr>
      <w:rFonts w:eastAsia="Calibri"/>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paragraph" w:styleId="BalloonText">
    <w:name w:val="Balloon Text"/>
    <w:basedOn w:val="Normal"/>
    <w:link w:val="BalloonTextChar"/>
    <w:uiPriority w:val="99"/>
    <w:semiHidden/>
    <w:unhideWhenUsed/>
    <w:pPr>
      <w:spacing w:before="0" w:after="0"/>
    </w:pPr>
    <w:rPr>
      <w:rFonts w:ascii="Tahoma" w:eastAsia="Calibri" w:hAnsi="Tahoma" w:cs="Tahoma"/>
      <w:sz w:val="16"/>
      <w:szCs w:val="16"/>
    </w:rPr>
  </w:style>
  <w:style w:type="paragraph" w:styleId="ListParagraph">
    <w:name w:val="List Paragraph"/>
    <w:basedOn w:val="Normal"/>
    <w:uiPriority w:val="34"/>
    <w:qFormat/>
    <w:pPr>
      <w:ind w:left="720"/>
      <w:contextualSpacing/>
    </w:pPr>
    <w:rPr>
      <w:rFonts w:eastAsia="Calibri"/>
    </w:rPr>
  </w:style>
  <w:style w:type="table" w:styleId="TableGrid">
    <w:name w:val="Table Grid"/>
    <w:basedOn w:val="TableNormal"/>
    <w:uiPriority w:val="59"/>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1">
    <w:name w:val="En-tête #1_"/>
    <w:link w:val="En-tte10"/>
    <w:uiPriority w:val="99"/>
    <w:locked/>
    <w:rPr>
      <w:b/>
      <w:bCs/>
      <w:smallCaps/>
      <w:sz w:val="26"/>
      <w:szCs w:val="26"/>
      <w:shd w:val="clear" w:color="auto" w:fill="FFFFFF"/>
    </w:rPr>
  </w:style>
  <w:style w:type="paragraph" w:customStyle="1" w:styleId="En-tte10">
    <w:name w:val="En-tête #1"/>
    <w:basedOn w:val="Normal"/>
    <w:link w:val="En-tte1"/>
    <w:uiPriority w:val="99"/>
    <w:pPr>
      <w:widowControl w:val="0"/>
      <w:shd w:val="clear" w:color="auto" w:fill="FFFFFF"/>
      <w:spacing w:before="0" w:after="720" w:line="240" w:lineRule="atLeast"/>
      <w:jc w:val="center"/>
      <w:outlineLvl w:val="0"/>
    </w:pPr>
    <w:rPr>
      <w:rFonts w:asciiTheme="minorHAnsi" w:hAnsiTheme="minorHAnsi" w:cstheme="minorBidi"/>
      <w:b/>
      <w:bCs/>
      <w:smallCaps/>
      <w:sz w:val="26"/>
      <w:szCs w:val="26"/>
      <w:lang w:val="en-US"/>
    </w:rPr>
  </w:style>
  <w:style w:type="character" w:customStyle="1" w:styleId="Lgendedutableau">
    <w:name w:val="Légende du tableau_"/>
    <w:link w:val="Lgendedutableau0"/>
    <w:uiPriority w:val="99"/>
    <w:locked/>
    <w:rPr>
      <w:b/>
      <w:bCs/>
      <w:shd w:val="clear" w:color="auto" w:fill="FFFFFF"/>
    </w:rPr>
  </w:style>
  <w:style w:type="paragraph" w:customStyle="1" w:styleId="Lgendedutableau0">
    <w:name w:val="Légende du tableau"/>
    <w:basedOn w:val="Normal"/>
    <w:link w:val="Lgendedutableau"/>
    <w:uiPriority w:val="99"/>
    <w:pPr>
      <w:widowControl w:val="0"/>
      <w:shd w:val="clear" w:color="auto" w:fill="FFFFFF"/>
      <w:spacing w:before="0" w:after="60" w:line="240" w:lineRule="atLeast"/>
      <w:jc w:val="center"/>
    </w:pPr>
    <w:rPr>
      <w:rFonts w:asciiTheme="minorHAnsi" w:hAnsiTheme="minorHAnsi" w:cstheme="minorBidi"/>
      <w:b/>
      <w:bCs/>
      <w:sz w:val="22"/>
      <w:lang w:val="en-US"/>
    </w:rPr>
  </w:style>
  <w:style w:type="paragraph" w:styleId="CommentText">
    <w:name w:val="annotation text"/>
    <w:basedOn w:val="Normal"/>
    <w:link w:val="CommentTextChar"/>
    <w:uiPriority w:val="99"/>
    <w:semiHidden/>
    <w:unhideWhenUsed/>
    <w:rPr>
      <w:rFonts w:eastAsia="Calibri"/>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paragraph" w:styleId="BalloonText">
    <w:name w:val="Balloon Text"/>
    <w:basedOn w:val="Normal"/>
    <w:link w:val="BalloonTextChar"/>
    <w:uiPriority w:val="99"/>
    <w:semiHidden/>
    <w:unhideWhenUsed/>
    <w:pPr>
      <w:spacing w:before="0" w:after="0"/>
    </w:pPr>
    <w:rPr>
      <w:rFonts w:ascii="Tahoma" w:eastAsia="Calibri" w:hAnsi="Tahoma" w:cs="Tahoma"/>
      <w:sz w:val="16"/>
      <w:szCs w:val="16"/>
    </w:rPr>
  </w:style>
  <w:style w:type="paragraph" w:styleId="ListParagraph">
    <w:name w:val="List Paragraph"/>
    <w:basedOn w:val="Normal"/>
    <w:uiPriority w:val="34"/>
    <w:qFormat/>
    <w:pPr>
      <w:ind w:left="720"/>
      <w:contextualSpacing/>
    </w:pPr>
    <w:rPr>
      <w:rFonts w:eastAsia="Calibri"/>
    </w:rPr>
  </w:style>
  <w:style w:type="table" w:styleId="TableGrid">
    <w:name w:val="Table Grid"/>
    <w:basedOn w:val="TableNormal"/>
    <w:uiPriority w:val="59"/>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C02A322-5BED-4678-90E3-7AB27AF4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19</Pages>
  <Words>3286</Words>
  <Characters>16925</Characters>
  <Application>Microsoft Office Word</Application>
  <DocSecurity>0</DocSecurity>
  <Lines>805</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WES PDFC Administrator</cp:lastModifiedBy>
  <cp:revision>8</cp:revision>
  <cp:lastPrinted>2019-05-24T12:30:00Z</cp:lastPrinted>
  <dcterms:created xsi:type="dcterms:W3CDTF">2019-05-24T12:39:00Z</dcterms:created>
  <dcterms:modified xsi:type="dcterms:W3CDTF">2019-06-04T09:52:00Z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