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34CE194-7175-447A-91D6-6B7576108A14" style="width:450.8pt;height:338.7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bookmarkStart w:id="1" w:name="_Toc484762486"/>
      <w:r>
        <w:rPr>
          <w:noProof/>
        </w:rPr>
        <w:t>1.</w:t>
      </w:r>
      <w:r>
        <w:rPr>
          <w:noProof/>
        </w:rPr>
        <w:tab/>
        <w:t>Πλαίσιο της πρότασης</w:t>
      </w:r>
      <w:bookmarkEnd w:id="1"/>
    </w:p>
    <w:p>
      <w:pPr>
        <w:rPr>
          <w:noProof/>
        </w:rPr>
      </w:pPr>
      <w:r>
        <w:rPr>
          <w:noProof/>
        </w:rPr>
        <w:t>Η παρούσα απόφαση καλύπτει την κινητοποίηση του Ταμείου Αλληλεγγύης της Ευρωπαϊκής Ένωσης (ΤΑΕΕ) για ποσό ύψους 293 551 794 EUR με σκοπό την παροχή βοήθειας προς τη Ρουμανία, την Ιταλία και την Αυστρία μετά τις καταστροφές που σημειώθηκαν σε αυτές τις χώρες κατά τη διάρκεια του 2018. Η κινητοποίηση αυτή συνοδεύεται από το σχέδιο διορθωτικού προϋπολογισμού (ΣΔΠ) αριθ. 3/2019</w:t>
      </w:r>
      <w:r>
        <w:rPr>
          <w:rStyle w:val="FootnoteReference"/>
          <w:noProof/>
        </w:rPr>
        <w:footnoteReference w:id="1"/>
      </w:r>
      <w:r>
        <w:rPr>
          <w:noProof/>
        </w:rPr>
        <w:t xml:space="preserve">, που προτείνει την εγγραφή των αναγκαίων πιστώσεων στον γενικό προϋπολογισμό του 2019, τόσο για τις αναλήψεις υποχρεώσεων όσο και για τις πληρωμές. </w:t>
      </w:r>
    </w:p>
    <w:p>
      <w:pPr>
        <w:pStyle w:val="ManualHeading1"/>
        <w:rPr>
          <w:noProof/>
        </w:rPr>
      </w:pPr>
      <w:bookmarkStart w:id="2" w:name="_Toc484762487"/>
      <w:r>
        <w:rPr>
          <w:noProof/>
        </w:rPr>
        <w:t>2.</w:t>
      </w:r>
      <w:r>
        <w:rPr>
          <w:noProof/>
        </w:rPr>
        <w:tab/>
        <w:t>Πληροφορίες και όροι</w:t>
      </w:r>
      <w:bookmarkEnd w:id="2"/>
    </w:p>
    <w:p>
      <w:pPr>
        <w:pStyle w:val="ManualHeading2"/>
        <w:spacing w:before="240"/>
        <w:ind w:left="851" w:hanging="851"/>
        <w:rPr>
          <w:noProof/>
        </w:rPr>
      </w:pPr>
      <w:r>
        <w:rPr>
          <w:noProof/>
        </w:rPr>
        <w:t>2.1</w:t>
      </w:r>
      <w:r>
        <w:rPr>
          <w:noProof/>
        </w:rPr>
        <w:tab/>
        <w:t>Ρουμανία – πλημμύρες στη βορειοανατολική περιφέρεια το καλοκαίρι του 2018</w:t>
      </w:r>
    </w:p>
    <w:p>
      <w:pPr>
        <w:rPr>
          <w:noProof/>
        </w:rPr>
      </w:pPr>
      <w:r>
        <w:rPr>
          <w:noProof/>
        </w:rPr>
        <w:t>Από τα μέσα Ιουνίου έως τις αρχές Αυγούστου 2018, η βορειοανατολική περιφέρεια της Ρουμανίας επλήγη από επανειλημμένες σφοδρές βροχοπτώσεις και επακόλουθες εκτεταμένες πλημμύρες που προκάλεσαν σημαντικές ζημίες σε υποδομές και νοικοκυριά και απώλειες στη γεωργία.</w:t>
      </w:r>
    </w:p>
    <w:p>
      <w:pPr>
        <w:pStyle w:val="Point0number"/>
        <w:numPr>
          <w:ilvl w:val="0"/>
          <w:numId w:val="1"/>
        </w:numPr>
        <w:rPr>
          <w:noProof/>
        </w:rPr>
      </w:pPr>
      <w:r>
        <w:rPr>
          <w:noProof/>
        </w:rPr>
        <w:t xml:space="preserve">Η Ρουμανία υπέβαλε αίτηση για ενίσχυση από το ΤΑΕΕ στις 7 Σεπτεμβρίου 2018, εντός της προθεσμίας των 12 εβδομάδων μετά την πρώτη επέλευση ζημίας. Η αίτηση περιοριζόταν στη βορειοανατολική περιφέρεια, μακράν την περιοχή που επλήγη περισσότερο από τις πλημμύρες, όπου η πρώτη ζημία καταγράφηκε στις 16 Ιουνίου. Στη γραπτή αίτησή τους, οι ρουμανικές αρχές ανακοίνωσαν ότι σύντομα επρόκειτο να σταλεί επικαιροποίηση, δεδομένου ότι η εκτίμηση της ζημίας δεν ήταν ακόμη πλήρης λόγω της μεγάλης διάρκειας των πλημμυρών. </w:t>
      </w:r>
    </w:p>
    <w:p>
      <w:pPr>
        <w:pStyle w:val="Point0number"/>
        <w:rPr>
          <w:noProof/>
        </w:rPr>
      </w:pPr>
      <w:r>
        <w:rPr>
          <w:noProof/>
        </w:rPr>
        <w:t>Πρόκειται για φυσική καταστροφή.</w:t>
      </w:r>
    </w:p>
    <w:p>
      <w:pPr>
        <w:pStyle w:val="Point0number"/>
        <w:rPr>
          <w:noProof/>
        </w:rPr>
      </w:pPr>
      <w:r>
        <w:rPr>
          <w:noProof/>
        </w:rPr>
        <w:t>Η αίτηση υποβλήθηκε βάσει των κριτηρίων για «περιφερειακή φυσική καταστροφή» όπως ορίζεται στο άρθρο 2 παράγραφος 3 του κανονισμού. Σύμφωνα με τις εκτιμήσεις των ρουμανικών αρχών, στην αρχική τους αίτηση της 7ης Σεπτεμβρίου, οι  συνολικές άμεσες ζημίες ανέρχονταν σε 196,8 εκατ. EUR. Δεδομένου ότι το ποσό αυτό αντιπροσωπεύει μόνο το 1,24 % του ΑΕΠ της πληγείσας βορειοανατολικής περιφέρειας NUTS 2, η αρχική αίτηση δεν πληρούσε τον ουσιώδη όρο που προβλέπεται στον κανονισμό για την κινητοποίηση του ΤΑΕΕ και, ως εκ τούτου, δεν ήταν επιλέξιμη για ενίσχυση από το Ταμείο Αλληλεγγύης.</w:t>
      </w:r>
    </w:p>
    <w:p>
      <w:pPr>
        <w:pStyle w:val="Point0number"/>
        <w:rPr>
          <w:noProof/>
        </w:rPr>
      </w:pPr>
      <w:r>
        <w:rPr>
          <w:noProof/>
        </w:rPr>
        <w:t>Στις 9 Οκτωβρίου 2018 οι ρουμανικές αρχές υπέβαλαν, όπως είχε ανακοινωθεί νωρίτερα, αναθεωρημένη αίτηση βάσει της οποίας οι συνολικές άμεσες ζημίες ανέρχονται πλέον σε 327,7 εκατ. EUR. Το ποσό αυτό αντιπροσωπεύει το 2,07 % του περιφερειακού ΑΕΠ και, ως εκ τούτου, υπερβαίνει το απαιτούμενο όριο του 1,5 % του περιφερειακού ΑΕΠ (δηλ. 238 εκατ. EUR στην περίπτωση της βορειοανατολικής περιφέρειας).</w:t>
      </w:r>
    </w:p>
    <w:p>
      <w:pPr>
        <w:pStyle w:val="Point0number"/>
        <w:rPr>
          <w:noProof/>
        </w:rPr>
      </w:pPr>
      <w:r>
        <w:rPr>
          <w:noProof/>
        </w:rPr>
        <w:t xml:space="preserve">Η αναλυτική εξέταση της αναθεωρημένης αίτησης της Ρουμανίας από την Επιτροπή αποκάλυψε ορισμένες ασυνέπειες. Ως εκ τούτου, η Επιτροπή ζήτησε από τις ρουμανικές αρχές διευκρινίσεις, οι οποίες διαβιβάστηκαν στις 14 Δεκεμβρίου 2018. </w:t>
      </w:r>
    </w:p>
    <w:p>
      <w:pPr>
        <w:spacing w:before="0" w:after="200" w:line="276" w:lineRule="auto"/>
        <w:jc w:val="left"/>
        <w:rPr>
          <w:noProof/>
        </w:rPr>
      </w:pPr>
      <w:r>
        <w:rPr>
          <w:noProof/>
        </w:rPr>
        <w:br w:type="page"/>
      </w:r>
    </w:p>
    <w:p>
      <w:pPr>
        <w:pStyle w:val="Point0number"/>
        <w:rPr>
          <w:noProof/>
        </w:rPr>
      </w:pPr>
      <w:r>
        <w:rPr>
          <w:noProof/>
        </w:rPr>
        <w:lastRenderedPageBreak/>
        <w:t xml:space="preserve">Στην αίτησή τους, οι ρουμανικές αρχές περιγράφουν λεπτομερώς τις επιπτώσεις της καταστροφής. Τα επαναλαμβανόμενα κύματα έντονων βροχοπτώσεων από τα μέσα Ιουνίου έως τις αρχές Αυγούστου οδήγησαν σε πλημμύρες και σε επακόλουθη ζημία στις υποδομές, στη γεωργία και σε ιδιωτικά νοικοκυριά και στις έξι επαρχίες της βορειοανατολικής περιφέρειας, ειδικότερα στις περιοχές Neamt, Bacau και Suceava. Οι ζημίες αφορούσαν αναχώματα και φράγματα σε εσωτερικά υδατορρεύματα, πάνω από 4 000 km οδικού δικτύου (εθνικού και τοπικού), γέφυρες, συστήματα επεξεργασίας υδάτων και αποχέτευσης, τη διανομή ηλεκτρικής ενέργειας και φυσικού αερίου, την παροχή πόσιμου ύδατος και αρδευτικά συστήματα, 32 σχολεία και άλλα δημόσια κτίρια. </w:t>
      </w:r>
    </w:p>
    <w:p>
      <w:pPr>
        <w:pStyle w:val="Point0number"/>
        <w:rPr>
          <w:noProof/>
        </w:rPr>
      </w:pPr>
      <w:r>
        <w:rPr>
          <w:noProof/>
        </w:rPr>
        <w:t xml:space="preserve">Οι ρουμανικές αρχές εκτίμησαν το κόστος των ενεργειών έκτακτης ανάγκης και αποκατάστασης, που είναι επιλέξιμες σύμφωνα με το άρθρο 3 παράγραφος 2 του κανονισμού, σε 294 εκατ. EUR και το κατένειμαν ανά είδος ενέργειας. Το μεγαλύτερο μέρος (πάνω από 154 εκατ. EUR) αφορά τις δαπάνες για την εξασφάλιση των προστατευτικών υποδομών (επιχωματώσεις), και ακολουθούν οι δαπάνες για την αποκατάσταση των υποδομών μεταφορών ύψους άνω των 127 εκατ. EUR. </w:t>
      </w:r>
    </w:p>
    <w:p>
      <w:pPr>
        <w:pStyle w:val="Point0number"/>
        <w:rPr>
          <w:noProof/>
        </w:rPr>
      </w:pPr>
      <w:r>
        <w:rPr>
          <w:noProof/>
        </w:rPr>
        <w:t>Η Ρουμανία δεν ζήτησε την πληρωμή προκαταβολής.</w:t>
      </w:r>
    </w:p>
    <w:p>
      <w:pPr>
        <w:pStyle w:val="Point0number"/>
        <w:spacing w:before="240"/>
        <w:rPr>
          <w:noProof/>
        </w:rPr>
      </w:pPr>
      <w:r>
        <w:rPr>
          <w:noProof/>
        </w:rPr>
        <w:t xml:space="preserve">Οι ρουμανικές αρχές επιβεβαίωσαν ότι δεν υπάρχει ασφαλιστική κάλυψη για τις επιλέξιμες δαπάνες. </w:t>
      </w:r>
    </w:p>
    <w:p>
      <w:pPr>
        <w:pStyle w:val="Point0number"/>
        <w:spacing w:before="240"/>
        <w:rPr>
          <w:noProof/>
        </w:rPr>
      </w:pPr>
      <w:r>
        <w:rPr>
          <w:noProof/>
        </w:rPr>
        <w:t>Η πληγείσα περιφέρεια εντάσσεται στις «λιγότερο ανεπτυγμένες περιφέρειες» στο πλαίσιο των Ευρωπαϊκών Διαρθρωτικών και Επενδυτικών Ταμείων (ΕΔΕΤ) (2014-2020). Στην αίτησή τους, οι ρουμανικές αρχές δεν δήλωσαν στην Επιτροπή την πρόθεση να ανακατανείμουν τη χρηματοδότηση από τα προγράμματα των ΕΔΕΤ σε μέτρα ανάκαμψης.</w:t>
      </w:r>
    </w:p>
    <w:p>
      <w:pPr>
        <w:pStyle w:val="Point0number"/>
        <w:spacing w:before="240"/>
        <w:rPr>
          <w:noProof/>
        </w:rPr>
      </w:pPr>
      <w:r>
        <w:rPr>
          <w:noProof/>
        </w:rPr>
        <w:t xml:space="preserve">Η Ρουμανία δεν ενεργοποίησε τον μηχανισμό πολιτικής προστασίας της Ένωσης. </w:t>
      </w:r>
    </w:p>
    <w:p>
      <w:pPr>
        <w:pStyle w:val="Point0number"/>
        <w:rPr>
          <w:noProof/>
        </w:rPr>
      </w:pPr>
      <w:r>
        <w:rPr>
          <w:noProof/>
        </w:rPr>
        <w:t>Όσον αφορά την εφαρμογή της ενωσιακής νομοθεσίας για την πρόληψη και τη διαχείριση των κινδύνων καταστροφών, δεν εκκρεμεί επί του παρόντος διαδικασία επί παραβάσει.</w:t>
      </w:r>
    </w:p>
    <w:p>
      <w:pPr>
        <w:pStyle w:val="ManualHeading2"/>
        <w:spacing w:before="240"/>
        <w:ind w:left="851" w:hanging="851"/>
        <w:rPr>
          <w:noProof/>
        </w:rPr>
      </w:pPr>
      <w:r>
        <w:rPr>
          <w:noProof/>
        </w:rPr>
        <w:t>2.2</w:t>
      </w:r>
      <w:r>
        <w:rPr>
          <w:noProof/>
        </w:rPr>
        <w:tab/>
        <w:t xml:space="preserve">Ιταλία – ακραία καιρικά φαινόμενα το φθινόπωρο του 2018 </w:t>
      </w:r>
    </w:p>
    <w:p>
      <w:pPr>
        <w:rPr>
          <w:noProof/>
        </w:rPr>
      </w:pPr>
      <w:r>
        <w:rPr>
          <w:noProof/>
        </w:rPr>
        <w:t>Τον Οκτώβριο και στις αρχές Νοεμβρίου 2018, η πλειονότητα των ιταλικών περιφερειών, από τις αλπικές περιοχές στον βορρά έως τη Σικελία, υπέφεραν από σφοδρές επαναλαμβανόμενες βροχοπτώσεις και ισχυρούς ανέμους, με επακόλουθες πλημμύρες και κατολισθήσεις, με αποτέλεσμα την πιο καταστροφική φθινοπωρινή περίοδο στην πρόσφατη ιστορία με μεγάλο αριθμό θυμάτων και εκτεταμένες φυσικές ζημίες.</w:t>
      </w:r>
    </w:p>
    <w:p>
      <w:pPr>
        <w:pStyle w:val="Point0number"/>
        <w:numPr>
          <w:ilvl w:val="0"/>
          <w:numId w:val="10"/>
        </w:numPr>
        <w:rPr>
          <w:noProof/>
        </w:rPr>
      </w:pPr>
      <w:r>
        <w:rPr>
          <w:noProof/>
        </w:rPr>
        <w:t>Η Ιταλία υπέβαλε αίτηση για οικονομική ενίσχυση από το Ταμείο Αλληλεγγύης στις 20 Δεκεμβρίου 2018, εντός της προθεσμίας των 12 εβδομάδων από την καταγραφή της πρώτης ζημίας στις 2 Οκτωβρίου 2018. Στις 27 Μαρτίου 2019, η Ιταλία υπέβαλε, με δική της πρωτοβουλία, επικαιροποιημένες πληροφορίες με υψηλότερες εκτιμήσεις ζημιών για τρεις από τις πληγείσες περιφέρειες.</w:t>
      </w:r>
    </w:p>
    <w:p>
      <w:pPr>
        <w:pStyle w:val="Point0number"/>
        <w:rPr>
          <w:noProof/>
        </w:rPr>
      </w:pPr>
      <w:r>
        <w:rPr>
          <w:noProof/>
        </w:rPr>
        <w:t>Πρόκειται για φυσική καταστροφή.</w:t>
      </w:r>
    </w:p>
    <w:p>
      <w:pPr>
        <w:pStyle w:val="Point0number"/>
        <w:rPr>
          <w:noProof/>
        </w:rPr>
      </w:pPr>
      <w:r>
        <w:rPr>
          <w:noProof/>
        </w:rPr>
        <w:t xml:space="preserve">Η αίτηση υποβλήθηκε βάσει των κριτηρίων για «περιφερειακή φυσική καταστροφή» όπως ορίζεται στο άρθρο 2 παράγραφος 2 του κανονισμού. Οι ιταλικές αρχές εκτιμούν τη συνολική άμεση ζημία που προκλήθηκε από την καταστροφή σε 6,6 δισ. </w:t>
      </w:r>
      <w:r>
        <w:rPr>
          <w:noProof/>
        </w:rPr>
        <w:lastRenderedPageBreak/>
        <w:t>EUR (επικαιροποιημένο ποσό). Το ποσό αυτό αντιπροσωπεύει πάνω από το 192 % του κατώτατου ορίου των 3,4 δισ. EUR που ισχύει για την Ιταλία.</w:t>
      </w:r>
    </w:p>
    <w:p>
      <w:pPr>
        <w:spacing w:before="0" w:after="200" w:line="276" w:lineRule="auto"/>
        <w:jc w:val="left"/>
        <w:rPr>
          <w:noProof/>
        </w:rPr>
      </w:pPr>
      <w:r>
        <w:rPr>
          <w:noProof/>
        </w:rPr>
        <w:br w:type="page"/>
      </w:r>
    </w:p>
    <w:p>
      <w:pPr>
        <w:pStyle w:val="Point0number"/>
        <w:rPr>
          <w:noProof/>
        </w:rPr>
      </w:pPr>
      <w:r>
        <w:rPr>
          <w:noProof/>
        </w:rPr>
        <w:lastRenderedPageBreak/>
        <w:t xml:space="preserve">Στην αίτησή τους, οι ιταλικές αρχές περιγράφουν λεπτομερώς τη φύση και την έκταση της καταστροφής που προκλήθηκε από τα ακραία καιρικά φαινόμενα που οδήγησαν στη χειρότερη φθινοπωρινή περίοδο της πρόσφατης ιστορίας. 34 άτομα έχασαν τη ζωή τους και ένα άτομο αγνοείται. Η καταστροφή έπληξε όλες σχεδόν τις ιταλικές περιφέρειες από τον βορρά μέχρι τον νότο, μεταξύ άλλων την περιφέρεια Friuli Venezia Giulia, τις αυτόνομες επαρχίες Trento και Bolzano, τη Λιγουρία, τη Λομβαρδία, την Τοσκάνη, την Emilia Romagna, το Λάτσιο, την Καμπανία, τη Σικελία, τη Σαρδηνία και κυρίως την περιφέρεια του Veneto. Στη Valle d’Aosta και στο Abruzzo αναφέρθηκαν  λιγότερες ζημίες. </w:t>
      </w:r>
    </w:p>
    <w:p>
      <w:pPr>
        <w:pStyle w:val="Point0number"/>
        <w:rPr>
          <w:noProof/>
        </w:rPr>
      </w:pPr>
      <w:r>
        <w:rPr>
          <w:noProof/>
        </w:rPr>
        <w:t>Η καταστροφή προκάλεσε ιδιαίτερα μεγάλες διαταραχές στο οδικό δίκτυο σε κρατικό, περιφερειακό, επαρχιακό και δημοτικό επίπεδο, κατολισθήσεις και πτώσεις δέντρων, με αποτέλεσμα τον αποκλεισμό ορισμένων απομονωμένων ορεινών και παράκτιων δήμων. Στις περισσότερες περιοχές σημειώθηκαν διαταραχές των ποτάμιων δικτύων,  μετακινήσεις πρανών, κατολισθήσεις και πλημμύρες. Η λειτουργία των σχολείων και άλλων δημόσιων υπηρεσιών διεκόπη. Ριπές ανέμου έως και 200 km/h προκάλεσαν σημαντικές απώλειες στα δάση (περίπου 8,5 εκατομμύρια κυβικά μέτρα ξυλείας) με σοβαρές συνέπειες για την οικονομία που σχετίζεται με την ξυλεία και τον τουρισμό (καταστράφηκαν αναβατόρια, παραπήγματα κ.λπ.). Στο Veneto, ειδικότερα, περίπου 130 προστατευόμενες περιοχές του δικτύου Natura 2 000 υπέστησαν ζημίες σε περισσότερα από 414 000 εκτάρια γης. Σε όλες σχεδόν τις περιφέρειες αναφέρθηκαν πλημμύρες σε δημόσια και ιδιωτικά κτίρια. Οι σταθμοί επεξεργασίας λυμάτων αποκλείστηκαν. Η παροχή ηλεκτρικής ενέργειας και φυσικού αερίου διεκόπη.</w:t>
      </w:r>
    </w:p>
    <w:p>
      <w:pPr>
        <w:pStyle w:val="Point0number"/>
        <w:rPr>
          <w:noProof/>
        </w:rPr>
      </w:pPr>
      <w:r>
        <w:rPr>
          <w:noProof/>
        </w:rPr>
        <w:t>Σύμφωνα με την ανάλυση της Επιτροπής, τα καιρικά φαινόμενα κατά την περίοδο που καλύπτει η αίτηση μπορούν να εκληφθούν ως ενιαίο συμβάν από μετεωρολογικής και υδρολογικής απόψεως. Επιπλέον, η γεωγραφική έκταση και τάξη μεγέθους των ζημιών που δηλώθηκαν από τις ιταλικές αρχές φαίνονται εύλογες, λαμβανομένων υπόψη των επιπτώσεων που αναφέρθηκαν από τις ενεργοποιήσεις του προγράμματος ταχείας χαρτογράφησης Copernicus και τη βάση δεδομένων του European Severe Storms Laboratory (ευρωπαϊκό εργαστήριο καταιγίδων).</w:t>
      </w:r>
    </w:p>
    <w:p>
      <w:pPr>
        <w:pStyle w:val="Point0number"/>
        <w:rPr>
          <w:noProof/>
        </w:rPr>
      </w:pPr>
      <w:r>
        <w:rPr>
          <w:noProof/>
        </w:rPr>
        <w:t xml:space="preserve">Η Ιταλία εκτίμησε το κόστος των ενεργειών έκτακτης ανάγκης και αποκατάστασης, που είναι επιλέξιμες σύμφωνα με το άρθρο 3 παράγραφος 2 του κανονισμού, σε 1 700 εκατ. EUR και το παρουσίασε κατανεμημένο ανά είδος ενέργειας. Το μεγαλύτερο μέρος (πάνω από 810 εκατ. EUR) των επιλέξιμων δαπανών αφορά δαπάνες για την ασφάλεια των προστατευτικών υποδομών. Το δεύτερο μεγαλύτερο μερίδιο αφορά δαπάνες για την αποκατάσταση υποδομών ύψους άνω των 478 εκατ. EUR. </w:t>
      </w:r>
    </w:p>
    <w:p>
      <w:pPr>
        <w:pStyle w:val="Point0number"/>
        <w:rPr>
          <w:noProof/>
        </w:rPr>
      </w:pPr>
      <w:r>
        <w:rPr>
          <w:noProof/>
        </w:rPr>
        <w:t>Η Ιταλία δεν ζήτησε την πληρωμή προκαταβολής.</w:t>
      </w:r>
    </w:p>
    <w:p>
      <w:pPr>
        <w:pStyle w:val="Point0number"/>
        <w:rPr>
          <w:noProof/>
        </w:rPr>
      </w:pPr>
      <w:r>
        <w:rPr>
          <w:noProof/>
        </w:rPr>
        <w:t>Οι ιταλικές αρχές επιβεβαίωσαν ότι δεν υπάρχει ασφαλιστική κάλυψη για τις επιλέξιμες δαπάνες.</w:t>
      </w:r>
    </w:p>
    <w:p>
      <w:pPr>
        <w:pStyle w:val="Point0number"/>
        <w:rPr>
          <w:noProof/>
        </w:rPr>
      </w:pPr>
      <w:r>
        <w:rPr>
          <w:noProof/>
        </w:rPr>
        <w:t>Τρεις από τις πληγείσες περιφέρειες θεωρούνται «λιγότερο ανεπτυγμένες περιφέρειες» στο πλαίσιο των ΕΔΕΤ 2014-2020 (Καλαβρία, Καμπανία και Σικελία), δύο θεωρούνται «περιφέρειες σε μετάβαση» (Abruzzo και Sardina), ενώ οι υπόλοιπες 9 περιφέρειες συγκαταλέγονται στις «περισσότερο ανεπτυγμένες περιφέρειες». Οι ιταλικές αρχές δεν δήλωσαν στην Επιτροπή την πρόθεση να ανακατανείμουν τη χρηματοδότηση από τα προγράμματα ΕΔΕΤ σε μέτρα αποκατάστασης.</w:t>
      </w:r>
    </w:p>
    <w:p>
      <w:pPr>
        <w:pStyle w:val="Point0number"/>
        <w:rPr>
          <w:noProof/>
        </w:rPr>
      </w:pPr>
      <w:r>
        <w:rPr>
          <w:noProof/>
        </w:rPr>
        <w:lastRenderedPageBreak/>
        <w:t>Η Ιταλία δεν ζήτησε την ενεργοποίηση του μηχανισμού πολιτικής προστασίας της Ένωσης. Εστάλη, ωστόσο, ενημερωτικό σημείωμα στο Κέντρο Συντονισμού Αντιμετώπισης Εκτάκτων Αναγκών (ΚΣΑΕΑ) μέσω του κοινού συστήματος επικοινωνίας και πληροφόρησης έκτακτης ανάγκης (CECIS).</w:t>
      </w:r>
    </w:p>
    <w:p>
      <w:pPr>
        <w:pStyle w:val="Point0number"/>
        <w:rPr>
          <w:noProof/>
        </w:rPr>
      </w:pPr>
      <w:r>
        <w:rPr>
          <w:noProof/>
        </w:rPr>
        <w:t>Όσον αφορά την εφαρμογή της ενωσιακής νομοθεσίας για την πρόληψη και τη διαχείριση των κινδύνων καταστροφών, δεν εκκρεμεί επί του παρόντος διαδικασία επί παραβάσει.</w:t>
      </w:r>
    </w:p>
    <w:p>
      <w:pPr>
        <w:spacing w:before="0" w:after="200" w:line="276" w:lineRule="auto"/>
        <w:jc w:val="left"/>
        <w:rPr>
          <w:b/>
          <w:noProof/>
        </w:rPr>
      </w:pPr>
      <w:r>
        <w:rPr>
          <w:noProof/>
        </w:rPr>
        <w:br w:type="page"/>
      </w:r>
    </w:p>
    <w:p>
      <w:pPr>
        <w:pStyle w:val="ManualHeading2"/>
        <w:spacing w:before="240"/>
        <w:ind w:left="851" w:hanging="851"/>
        <w:rPr>
          <w:noProof/>
        </w:rPr>
      </w:pPr>
      <w:r>
        <w:rPr>
          <w:noProof/>
        </w:rPr>
        <w:lastRenderedPageBreak/>
        <w:t>2.3</w:t>
      </w:r>
      <w:r>
        <w:rPr>
          <w:noProof/>
        </w:rPr>
        <w:tab/>
        <w:t>Αυστρία – ακραία καιρικά φαινόμενα το φθινόπωρο του 2018</w:t>
      </w:r>
    </w:p>
    <w:p>
      <w:pPr>
        <w:rPr>
          <w:noProof/>
        </w:rPr>
      </w:pPr>
      <w:r>
        <w:rPr>
          <w:noProof/>
        </w:rPr>
        <w:t>Στα τέλη Οκτωβρίου 2018, τα μετεωρολογικά φαινόμενα που έπληξαν την Ιταλία είχαν επίσης επιπτώσεις σε ορισμένες αλπικές/νότιες περιφέρειες της Αυστρίας, ειδικότερα στην Καρινθία και το Ανατολικό Τιρόλο.</w:t>
      </w:r>
    </w:p>
    <w:p>
      <w:pPr>
        <w:pStyle w:val="Point0number"/>
        <w:numPr>
          <w:ilvl w:val="0"/>
          <w:numId w:val="11"/>
        </w:numPr>
        <w:spacing w:before="240"/>
        <w:rPr>
          <w:noProof/>
        </w:rPr>
      </w:pPr>
      <w:r>
        <w:rPr>
          <w:noProof/>
        </w:rPr>
        <w:t>Η Αυστρία υπέβαλε αίτηση για ενίσχυση από το Ταμείο Αλληλεγγύης στις 14 Ιανουαρίου 2019, εντός της προθεσμίας των 12 εβδομάδων από την καταγραφή της πρώτης ζημίας στις 28 Οκτωβρίου 2018. Στις 20 Φεβρουαρίου 2019, η Αυστρία υπέβαλε, με δική της πρωτοβουλία, επικαιροποιημένες πληροφορίες με ελαφρώς υψηλότερες εκτιμήσεις ζημιών για τις πληγείσες περιοχές.</w:t>
      </w:r>
    </w:p>
    <w:p>
      <w:pPr>
        <w:pStyle w:val="Point0number"/>
        <w:numPr>
          <w:ilvl w:val="0"/>
          <w:numId w:val="1"/>
        </w:numPr>
        <w:spacing w:before="240"/>
        <w:rPr>
          <w:noProof/>
        </w:rPr>
      </w:pPr>
      <w:r>
        <w:rPr>
          <w:noProof/>
        </w:rPr>
        <w:t>Πρόκειται για φυσική καταστροφή.</w:t>
      </w:r>
    </w:p>
    <w:p>
      <w:pPr>
        <w:pStyle w:val="Point0number"/>
        <w:numPr>
          <w:ilvl w:val="0"/>
          <w:numId w:val="1"/>
        </w:numPr>
        <w:spacing w:before="240"/>
        <w:rPr>
          <w:noProof/>
        </w:rPr>
      </w:pPr>
      <w:r>
        <w:rPr>
          <w:noProof/>
        </w:rPr>
        <w:t>Οι αυστριακές αρχές εκτιμούν ότι η συνολική άμεση ζημία που προκάλεσε η καταστροφή ανέρχεται σε 326,2 εκατ. EUR. Το ποσό αυτό είναι σημαντικά χαμηλότερο από το κατώτατο όριο μείζονος καταστροφής ύψους 2,1 δισ. EUR που ίσχυε για την Αυστρία το 2018. Επίσης, παραμένει κάτω από το κατώτατο όριο της λεγόμενης περιφερειακής καταστροφής, δηλ. 1,5 % του περιφερειακού ακαθάριστου εγχώριου προϊόντος σταθμιζόμενου σύμφωνα με το μερίδιο ζημιών στις πληγείσες περιοχές. Επομένως, η καταστροφή δεν χαρακτηρίζεται ούτε ως «μείζων φυσική καταστροφή» ούτε ως «περιφερειακή φυσική καταστροφή» σύμφωνα με τους όρους του κανονισμού. Ωστόσο, δεδομένου ότι η καταστροφή προκλήθηκε από τα ίδια μετεωρολογικά φαινόμενα που προκάλεσαν τη μείζονα καταστροφή στην Ιταλία, οι αυστριακές αρχές υπέβαλαν την αίτησή τους στο πλαίσιο της λεγόμενης «διάταξης για τις γειτονικές χώρες», όπως ορίζεται στο άρθρο 2 παράγραφος 4 του κανονισμού, σύμφωνα με το οποίο μια επιλέξιμη χώρα που πλήττεται από την ίδια καταστροφή που χαρακτηρίζεται ως μείζων καταστροφή σε γειτονική επιλέξιμη χώρα μπορεί επίσης να λάβει ενίσχυση από το Ταμείο Αλληλεγγύης.</w:t>
      </w:r>
    </w:p>
    <w:p>
      <w:pPr>
        <w:pStyle w:val="Point0number"/>
        <w:numPr>
          <w:ilvl w:val="0"/>
          <w:numId w:val="1"/>
        </w:numPr>
        <w:spacing w:before="240"/>
        <w:rPr>
          <w:noProof/>
        </w:rPr>
      </w:pPr>
      <w:r>
        <w:rPr>
          <w:noProof/>
        </w:rPr>
        <w:t>Οι αυστριακές αρχές παρείχαν λεπτομερή περιγραφή του αντίκτυπου της καταστροφής. Η μεγαλύτερη ζημία μακράν προκλήθηκε στο νοτιότερο αυστριακό ομόσπονδο κράτος της Καρινθίας και στην παρακείμενη επαρχία του Ανατολικού Τιρόλου, αμφότερες αλπικές περιοχές που συνορεύουν με την Ιταλία. Το σύστημα έγκαιρης προειδοποίησης για τις πλημμύρες, οι προειδοποιήσεις προς τον πληθυσμό και η ταχεία παρέμβαση των δυνάμεων πολιτικής προστασίας απέτρεψαν τραυματισμούς ή θανάτους. Ορισμένοι οικισμοί εκκενώθηκαν ως προληπτικό μέτρο. Οι σφοδρές βροχοπτώσεις και η καταιγίδα με ταχύτητες ανέμου έως 130 km/h είχαν, ωστόσο, ως αποτέλεσμα να πλημμυρίσουν κτίρια και να σημειωθούν σημαντικές απροσδόκητες ζημίες στα δάση, κατολισθήσεις που έφραξαν δρόμους, καθώς και διακοπές ηλεκτροδότησης. Επί αρκετές ημέρες επιχειρούσαν πάνω από 7 000 μέλη των υπηρεσιών έκτακτης ανάγκης, συμπεριλαμβανομένου του στρατού, και 5 ελικόπτερα.</w:t>
      </w:r>
    </w:p>
    <w:p>
      <w:pPr>
        <w:pStyle w:val="Point0number"/>
        <w:numPr>
          <w:ilvl w:val="0"/>
          <w:numId w:val="1"/>
        </w:numPr>
        <w:spacing w:before="240"/>
        <w:rPr>
          <w:noProof/>
        </w:rPr>
      </w:pPr>
      <w:r>
        <w:rPr>
          <w:noProof/>
        </w:rPr>
        <w:t xml:space="preserve">Η Αυστρία εκτίμησε το κόστος των ενεργειών έκτακτης ανάγκης και αποκατάστασης, που είναι επιλέξιμες σύμφωνα με το άρθρο 3 παράγραφος 2 του κανονισμού, σε 214,5 εκατ. EUR και το κατένειμε ανά είδος ενέργειας. Το μεγαλύτερο μέρος (πάνω από 85 εκατ. EUR) των επιλέξιμων δαπανών αφορά δαπάνες για την ασφάλεια των προστατευτικών υποδομών (αναχώματα ποταμών). Το δεύτερο μεγαλύτερο μέρος αφορά τα μέτρα για την αποφυγή της διάβρωσης του εδάφους και ανέρχεται περίπου σε 72 εκατ. EUR. </w:t>
      </w:r>
    </w:p>
    <w:p>
      <w:pPr>
        <w:pStyle w:val="Point0number"/>
        <w:numPr>
          <w:ilvl w:val="0"/>
          <w:numId w:val="1"/>
        </w:numPr>
        <w:rPr>
          <w:noProof/>
        </w:rPr>
      </w:pPr>
      <w:r>
        <w:rPr>
          <w:noProof/>
        </w:rPr>
        <w:lastRenderedPageBreak/>
        <w:t xml:space="preserve">Οι αυστριακές αρχές δεν ζήτησαν την πληρωμή προκαταβολής. </w:t>
      </w:r>
    </w:p>
    <w:p>
      <w:pPr>
        <w:pStyle w:val="Point0number"/>
        <w:numPr>
          <w:ilvl w:val="0"/>
          <w:numId w:val="1"/>
        </w:numPr>
        <w:rPr>
          <w:noProof/>
        </w:rPr>
      </w:pPr>
      <w:r>
        <w:rPr>
          <w:noProof/>
        </w:rPr>
        <w:t>Οι αυστριακές αρχές επιβεβαίωσαν ότι δεν υπάρχει ασφαλιστική κάλυψη για τις επιλέξιμες δαπάνες.</w:t>
      </w:r>
    </w:p>
    <w:p>
      <w:pPr>
        <w:pStyle w:val="Point0number"/>
        <w:numPr>
          <w:ilvl w:val="0"/>
          <w:numId w:val="1"/>
        </w:numPr>
        <w:spacing w:before="240"/>
        <w:rPr>
          <w:noProof/>
        </w:rPr>
      </w:pPr>
      <w:r>
        <w:rPr>
          <w:noProof/>
        </w:rPr>
        <w:t>Οι πληγείσες περιφέρειες εμπίπτουν στις «περισσότερο ανεπτυγμένες περιφέρειες» στο πλαίσιο των Ευρωπαϊκών Διαρθρωτικών και Επενδυτικών Ταμείων (2014-2020). Στην αίτησή τους, οι αυστριακές αρχές ανέφεραν ότι προτίθενται να χρησιμοποιήσουν πόρους από το αυστριακό πρόγραμμα αγροτικής ανάπτυξης που χρηματοδοτείται από το Ευρωπαϊκό Γεωργικό Ταμείο Αγροτικής Ανάπτυξης για την αποκατάσταση των προστατευτικών δασών.</w:t>
      </w:r>
    </w:p>
    <w:p>
      <w:pPr>
        <w:pStyle w:val="Point0number"/>
        <w:rPr>
          <w:noProof/>
        </w:rPr>
      </w:pPr>
      <w:r>
        <w:rPr>
          <w:noProof/>
        </w:rPr>
        <w:t>Η Αυστρία δεν ζήτησε την ενεργοποίηση του μηχανισμού πολιτικής προστασίας της Ένωσης.</w:t>
      </w:r>
    </w:p>
    <w:p>
      <w:pPr>
        <w:pStyle w:val="Point0number"/>
        <w:rPr>
          <w:noProof/>
        </w:rPr>
      </w:pPr>
      <w:r>
        <w:rPr>
          <w:noProof/>
        </w:rPr>
        <w:t>Όσον αφορά την εφαρμογή της ενωσιακής νομοθεσίας για την πρόληψη και τη διαχείριση των κινδύνων καταστροφών, δεν εκκρεμεί επί του παρόντος διαδικασία επί παραβάσει.</w:t>
      </w:r>
    </w:p>
    <w:p>
      <w:pPr>
        <w:pStyle w:val="ManualHeading2"/>
        <w:spacing w:before="240"/>
        <w:ind w:left="851" w:hanging="851"/>
        <w:rPr>
          <w:noProof/>
        </w:rPr>
      </w:pPr>
      <w:bookmarkStart w:id="3" w:name="_Toc484762488"/>
      <w:r>
        <w:rPr>
          <w:noProof/>
        </w:rPr>
        <w:t>2.5</w:t>
      </w:r>
      <w:r>
        <w:rPr>
          <w:noProof/>
        </w:rPr>
        <w:tab/>
        <w:t>Συμπέρασμα</w:t>
      </w:r>
    </w:p>
    <w:p>
      <w:pPr>
        <w:spacing w:before="360"/>
        <w:rPr>
          <w:noProof/>
        </w:rPr>
      </w:pPr>
      <w:r>
        <w:rPr>
          <w:noProof/>
        </w:rPr>
        <w:t>Για τους λόγους που εκτέθηκαν ανωτέρω, οι καταστροφές που αναφέρονται στις αιτήσεις που υποβλήθηκαν από τη Ρουμανία, την Ιταλία και την Αυστρία πληρούν τις προϋποθέσεις που ορίζονται στον κανονισμό για την κινητοποίηση του ΤΑΕΕ.</w:t>
      </w:r>
    </w:p>
    <w:p>
      <w:pPr>
        <w:pStyle w:val="ManualHeading1"/>
        <w:rPr>
          <w:noProof/>
        </w:rPr>
      </w:pPr>
      <w:r>
        <w:rPr>
          <w:noProof/>
        </w:rPr>
        <w:t>3.</w:t>
      </w:r>
      <w:r>
        <w:rPr>
          <w:noProof/>
        </w:rPr>
        <w:tab/>
        <w:t>Χρηματοδότηση από τα κονδύλια του ΤΑΕΕ για το έτος 201</w:t>
      </w:r>
      <w:bookmarkEnd w:id="3"/>
      <w:r>
        <w:rPr>
          <w:noProof/>
        </w:rPr>
        <w:t>9</w:t>
      </w:r>
    </w:p>
    <w:p>
      <w:pPr>
        <w:rPr>
          <w:noProof/>
        </w:rPr>
      </w:pPr>
      <w:r>
        <w:rPr>
          <w:noProof/>
        </w:rPr>
        <w:t>Ο κανονισμός (ΕΕ, Ευρατόμ) αριθ. 1311/2013 του Συμβουλίου, της 2ας Δεκεμβρίου 2013, για τον καθορισμό του πολυετούς δημοσιονομικού πλαισίου για την περίοδο 2014-2020</w:t>
      </w:r>
      <w:r>
        <w:rPr>
          <w:rStyle w:val="FootnoteReference"/>
          <w:noProof/>
        </w:rPr>
        <w:footnoteReference w:id="2"/>
      </w:r>
      <w:r>
        <w:rPr>
          <w:noProof/>
        </w:rPr>
        <w:t xml:space="preserve"> (εφεξής ο «κανονισμός για το ΠΔΠ»), και ιδίως το άρθρο 10, επιτρέπει την κινητοποίηση του ΤΑΕΕ εντός ετήσιου ανώτατου ορίου 500 000 000 EUR (τιμές 2011). Το σημείο 11 της διοργανικής συμφωνίας, της 2ας Δεκεμβρίου 2013, μεταξύ του Ευρωπαϊκού Κοινοβουλίου, του Συμβουλίου και της Επιτροπής για τη δημοσιονομική πειθαρχία, τη συνεργασία σε δημοσιονομικά θέματα και τη χρηστή δημοσιονομική διαχείριση</w:t>
      </w:r>
      <w:r>
        <w:rPr>
          <w:rStyle w:val="FootnoteReference"/>
          <w:noProof/>
        </w:rPr>
        <w:footnoteReference w:id="3"/>
      </w:r>
      <w:r>
        <w:rPr>
          <w:noProof/>
        </w:rPr>
        <w:t xml:space="preserve"> καθορίζει τις λεπτομέρειες για την κινητοποίηση του ΤΑΕΕ.</w:t>
      </w:r>
    </w:p>
    <w:p>
      <w:pPr>
        <w:rPr>
          <w:noProof/>
          <w:snapToGrid w:val="0"/>
        </w:rPr>
      </w:pPr>
      <w:r>
        <w:rPr>
          <w:noProof/>
          <w:snapToGrid w:val="0"/>
        </w:rPr>
        <w:t>Δεδομένου ότι η αλληλεγγύη αποτελούσε τον κύριο λόγο ίδρυσης του ΤΑΕΕ, η Επιτροπή θεωρεί ότι η ενίσχυση θα πρέπει να έχει προοδευτικό χαρακτήρα. Αυτό σημαίνει ότι, σύμφωνα με την προγενέστερη πρακτική, το μέρος των ζημιών που υπερβαίνει το κατώτατο όριο «μείζονος φυσικής καταστροφής» για την κινητοποίηση του ΤΑΕΕ (δηλαδή, το 0,6 % του ΑΕΕ ή 3 δισ. EUR σε τιμές 2011, ανάλογα με το ποιο είναι το χαμηλότερο ποσό) θα πρέπει να οδηγήσει σε μεγαλύτερη ένταση ενίσχυσης σε σχέση με τις ζημίες που δεν υπερβαίνουν το κατώτατο όριο. Το ποσοστό που εφαρμόστηκε κατά το παρελθόν για τον υπολογισμό των κονδυλίων σε περιπτώσεις μειζόνων καταστροφών είναι 2,5 % του συνόλου των άμεσων ζημιών κάτω από το κατώτατο όριο και 6 % για το τμήμα των ζημιών πάνω από αυτό. Για τις περιφερειακές καταστροφές και τις καταστροφές που γίνονται δεκτές στο πλαίσιο της διάταξης για τις «γειτονικές χώρες», το ποσοστό είναι 2,5 %.</w:t>
      </w:r>
    </w:p>
    <w:p>
      <w:pPr>
        <w:rPr>
          <w:noProof/>
          <w:snapToGrid w:val="0"/>
        </w:rPr>
      </w:pPr>
      <w:r>
        <w:rPr>
          <w:noProof/>
          <w:snapToGrid w:val="0"/>
        </w:rPr>
        <w:t>Η ενίσχυση δεν μπορεί να υπερβεί το εκτιμώμενο συνολικό κόστος των επιλέξιμων ενεργειών. Η μέθοδος υπολογισμού της ενίσχυσης καθορίστηκε στην ετήσια έκθεση 2002-2003 για το ΤΑΕΕ και εγκρίθηκε από το Συμβούλιο και το Ευρωπαϊκό Κοινοβούλιο.</w:t>
      </w:r>
    </w:p>
    <w:p>
      <w:pPr>
        <w:rPr>
          <w:noProof/>
        </w:rPr>
      </w:pPr>
      <w:r>
        <w:rPr>
          <w:noProof/>
        </w:rPr>
        <w:lastRenderedPageBreak/>
        <w:t>Βάσει των αιτήσεων που έχουν υποβάλει η Ρουμανία, η Ιταλία και η Αυστρία, ο υπολογισμός της οικονομικής ενίσχυσης από το ΤΑΕΕ, με βάση την εκτίμηση των συνολικών άμεσων ζημιών που προκλήθηκαν, έχει ως εξής:</w:t>
      </w:r>
    </w:p>
    <w:p>
      <w:pPr>
        <w:rPr>
          <w:noProof/>
        </w:rPr>
      </w:pPr>
    </w:p>
    <w:tbl>
      <w:tblPr>
        <w:tblW w:w="1077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429"/>
        <w:gridCol w:w="1497"/>
        <w:gridCol w:w="1338"/>
        <w:gridCol w:w="1417"/>
        <w:gridCol w:w="1101"/>
        <w:gridCol w:w="1417"/>
      </w:tblGrid>
      <w:tr>
        <w:trPr>
          <w:trHeight w:val="788"/>
          <w:jc w:val="center"/>
        </w:trPr>
        <w:tc>
          <w:tcPr>
            <w:tcW w:w="1248" w:type="dxa"/>
            <w:tcBorders>
              <w:bottom w:val="dotted" w:sz="4" w:space="0" w:color="auto"/>
            </w:tcBorders>
            <w:shd w:val="clear" w:color="auto" w:fill="EEECE1"/>
            <w:vAlign w:val="center"/>
            <w:hideMark/>
          </w:tcPr>
          <w:p>
            <w:pPr>
              <w:spacing w:after="0"/>
              <w:rPr>
                <w:b/>
                <w:noProof/>
                <w:snapToGrid w:val="0"/>
                <w:sz w:val="18"/>
                <w:szCs w:val="18"/>
              </w:rPr>
            </w:pPr>
            <w:r>
              <w:rPr>
                <w:b/>
                <w:noProof/>
                <w:snapToGrid w:val="0"/>
                <w:sz w:val="18"/>
                <w:szCs w:val="18"/>
              </w:rPr>
              <w:t>Κράτη μέλη</w:t>
            </w:r>
          </w:p>
        </w:tc>
        <w:tc>
          <w:tcPr>
            <w:tcW w:w="1329" w:type="dxa"/>
            <w:tcBorders>
              <w:bottom w:val="dotted" w:sz="4" w:space="0" w:color="auto"/>
            </w:tcBorders>
            <w:shd w:val="clear" w:color="auto" w:fill="EEECE1"/>
          </w:tcPr>
          <w:p>
            <w:pPr>
              <w:spacing w:before="0" w:after="0"/>
              <w:ind w:right="59"/>
              <w:jc w:val="center"/>
              <w:rPr>
                <w:i/>
                <w:noProof/>
                <w:snapToGrid w:val="0"/>
                <w:sz w:val="18"/>
                <w:szCs w:val="18"/>
              </w:rPr>
            </w:pPr>
            <w:r>
              <w:rPr>
                <w:i/>
                <w:noProof/>
                <w:snapToGrid w:val="0"/>
                <w:sz w:val="18"/>
                <w:szCs w:val="18"/>
              </w:rPr>
              <w:t>Χαρακτηρισμός καταστροφής</w:t>
            </w:r>
          </w:p>
        </w:tc>
        <w:tc>
          <w:tcPr>
            <w:tcW w:w="1429" w:type="dxa"/>
            <w:tcBorders>
              <w:bottom w:val="dotted" w:sz="4" w:space="0" w:color="auto"/>
            </w:tcBorders>
            <w:shd w:val="clear" w:color="auto" w:fill="EEECE1"/>
          </w:tcPr>
          <w:p>
            <w:pPr>
              <w:spacing w:before="0" w:after="0"/>
              <w:ind w:right="59"/>
              <w:jc w:val="center"/>
              <w:rPr>
                <w:i/>
                <w:noProof/>
                <w:snapToGrid w:val="0"/>
                <w:sz w:val="18"/>
                <w:szCs w:val="18"/>
              </w:rPr>
            </w:pPr>
            <w:r>
              <w:rPr>
                <w:i/>
                <w:noProof/>
                <w:snapToGrid w:val="0"/>
                <w:sz w:val="18"/>
                <w:szCs w:val="18"/>
              </w:rPr>
              <w:t>Σύνολο άμεσων ζημιών</w:t>
            </w:r>
          </w:p>
          <w:p>
            <w:pPr>
              <w:spacing w:before="0" w:after="0"/>
              <w:ind w:right="59"/>
              <w:jc w:val="center"/>
              <w:rPr>
                <w:i/>
                <w:noProof/>
                <w:snapToGrid w:val="0"/>
                <w:sz w:val="18"/>
                <w:szCs w:val="18"/>
              </w:rPr>
            </w:pPr>
          </w:p>
          <w:p>
            <w:pPr>
              <w:spacing w:before="0" w:after="0"/>
              <w:ind w:right="59"/>
              <w:jc w:val="center"/>
              <w:rPr>
                <w:i/>
                <w:noProof/>
                <w:snapToGrid w:val="0"/>
                <w:sz w:val="18"/>
                <w:szCs w:val="18"/>
              </w:rPr>
            </w:pPr>
          </w:p>
          <w:p>
            <w:pPr>
              <w:spacing w:before="0" w:after="0"/>
              <w:ind w:right="59"/>
              <w:jc w:val="center"/>
              <w:rPr>
                <w:i/>
                <w:noProof/>
                <w:snapToGrid w:val="0"/>
                <w:sz w:val="18"/>
                <w:szCs w:val="18"/>
              </w:rPr>
            </w:pPr>
            <w:r>
              <w:rPr>
                <w:i/>
                <w:noProof/>
                <w:snapToGrid w:val="0"/>
                <w:sz w:val="18"/>
                <w:szCs w:val="18"/>
              </w:rPr>
              <w:t>(σε εκατ. EUR)</w:t>
            </w:r>
          </w:p>
        </w:tc>
        <w:tc>
          <w:tcPr>
            <w:tcW w:w="1497"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Κατώτατο όριο για μείζονες καταστροφές</w:t>
            </w:r>
          </w:p>
          <w:p>
            <w:pPr>
              <w:spacing w:before="0" w:after="0"/>
              <w:jc w:val="center"/>
              <w:rPr>
                <w:i/>
                <w:noProof/>
                <w:snapToGrid w:val="0"/>
                <w:sz w:val="18"/>
                <w:szCs w:val="18"/>
              </w:rPr>
            </w:pP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(σε εκατ. EUR)</w:t>
            </w:r>
          </w:p>
        </w:tc>
        <w:tc>
          <w:tcPr>
            <w:tcW w:w="1338"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2,5 % των άμεσων ζημιών μέχρι το κατώτατο όριο</w:t>
            </w: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(σε EUR)</w:t>
            </w:r>
          </w:p>
        </w:tc>
        <w:tc>
          <w:tcPr>
            <w:tcW w:w="1417"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6 % των άμεσων ζημιών πάνω από το κατώτατο όριο</w:t>
            </w:r>
          </w:p>
          <w:p>
            <w:pPr>
              <w:spacing w:before="0" w:after="0"/>
              <w:jc w:val="center"/>
              <w:rPr>
                <w:i/>
                <w:noProof/>
                <w:snapToGrid w:val="0"/>
                <w:sz w:val="18"/>
                <w:szCs w:val="18"/>
              </w:rPr>
            </w:pPr>
          </w:p>
          <w:p>
            <w:pPr>
              <w:spacing w:before="0" w:after="0"/>
              <w:jc w:val="center"/>
              <w:rPr>
                <w:b/>
                <w:i/>
                <w:noProof/>
                <w:snapToGrid w:val="0"/>
                <w:sz w:val="18"/>
                <w:szCs w:val="18"/>
              </w:rPr>
            </w:pPr>
            <w:r>
              <w:rPr>
                <w:i/>
                <w:noProof/>
                <w:snapToGrid w:val="0"/>
                <w:sz w:val="18"/>
                <w:szCs w:val="18"/>
              </w:rPr>
              <w:t>(σε EUR)</w:t>
            </w:r>
          </w:p>
        </w:tc>
        <w:tc>
          <w:tcPr>
            <w:tcW w:w="1101" w:type="dxa"/>
            <w:tcBorders>
              <w:bottom w:val="dotted" w:sz="4" w:space="0" w:color="auto"/>
            </w:tcBorders>
            <w:shd w:val="clear" w:color="auto" w:fill="EEECE1"/>
          </w:tcPr>
          <w:p>
            <w:pPr>
              <w:spacing w:before="0" w:after="0"/>
              <w:jc w:val="center"/>
              <w:rPr>
                <w:b/>
                <w:i/>
                <w:noProof/>
                <w:snapToGrid w:val="0"/>
                <w:sz w:val="18"/>
                <w:szCs w:val="18"/>
              </w:rPr>
            </w:pPr>
            <w:r>
              <w:rPr>
                <w:b/>
                <w:i/>
                <w:noProof/>
                <w:snapToGrid w:val="0"/>
                <w:sz w:val="18"/>
                <w:szCs w:val="18"/>
              </w:rPr>
              <w:t>Συνολικό ποσό προτεινόμενης ενίσχυσης</w:t>
            </w:r>
          </w:p>
          <w:p>
            <w:pPr>
              <w:spacing w:before="0" w:after="0"/>
              <w:jc w:val="center"/>
              <w:rPr>
                <w:i/>
                <w:noProof/>
                <w:snapToGrid w:val="0"/>
                <w:sz w:val="18"/>
                <w:szCs w:val="18"/>
              </w:rPr>
            </w:pPr>
            <w:r>
              <w:rPr>
                <w:b/>
                <w:i/>
                <w:noProof/>
                <w:snapToGrid w:val="0"/>
                <w:sz w:val="18"/>
                <w:szCs w:val="18"/>
              </w:rPr>
              <w:t>(σε EUR)</w:t>
            </w:r>
          </w:p>
        </w:tc>
        <w:tc>
          <w:tcPr>
            <w:tcW w:w="1417" w:type="dxa"/>
            <w:tcBorders>
              <w:bottom w:val="dotted" w:sz="4" w:space="0" w:color="auto"/>
            </w:tcBorders>
            <w:shd w:val="clear" w:color="auto" w:fill="EEECE1"/>
          </w:tcPr>
          <w:p>
            <w:pPr>
              <w:spacing w:before="0" w:after="0"/>
              <w:jc w:val="center"/>
              <w:rPr>
                <w:b/>
                <w:i/>
                <w:noProof/>
                <w:snapToGrid w:val="0"/>
                <w:sz w:val="18"/>
                <w:szCs w:val="18"/>
              </w:rPr>
            </w:pPr>
            <w:r>
              <w:rPr>
                <w:b/>
                <w:i/>
                <w:noProof/>
                <w:snapToGrid w:val="0"/>
                <w:sz w:val="18"/>
                <w:szCs w:val="18"/>
              </w:rPr>
              <w:t>Καταβληθείσες προκαταβολές</w:t>
            </w:r>
          </w:p>
          <w:p>
            <w:pPr>
              <w:spacing w:before="0" w:after="0"/>
              <w:jc w:val="center"/>
              <w:rPr>
                <w:b/>
                <w:i/>
                <w:noProof/>
                <w:snapToGrid w:val="0"/>
                <w:sz w:val="18"/>
                <w:szCs w:val="18"/>
              </w:rPr>
            </w:pPr>
          </w:p>
          <w:p>
            <w:pPr>
              <w:spacing w:before="0" w:after="0"/>
              <w:jc w:val="center"/>
              <w:rPr>
                <w:b/>
                <w:i/>
                <w:noProof/>
                <w:snapToGrid w:val="0"/>
                <w:sz w:val="18"/>
                <w:szCs w:val="18"/>
              </w:rPr>
            </w:pPr>
          </w:p>
          <w:p>
            <w:pPr>
              <w:spacing w:before="0" w:after="0"/>
              <w:jc w:val="center"/>
              <w:rPr>
                <w:b/>
                <w:i/>
                <w:noProof/>
                <w:snapToGrid w:val="0"/>
                <w:sz w:val="18"/>
                <w:szCs w:val="18"/>
              </w:rPr>
            </w:pPr>
            <w:r>
              <w:rPr>
                <w:b/>
                <w:i/>
                <w:noProof/>
                <w:snapToGrid w:val="0"/>
                <w:sz w:val="18"/>
                <w:szCs w:val="18"/>
              </w:rPr>
              <w:t>(σε EUR)</w:t>
            </w:r>
          </w:p>
        </w:tc>
      </w:tr>
      <w:tr>
        <w:trPr>
          <w:jc w:val="center"/>
        </w:trPr>
        <w:tc>
          <w:tcPr>
            <w:tcW w:w="1248" w:type="dxa"/>
            <w:tcBorders>
              <w:top w:val="dotted" w:sz="4" w:space="0" w:color="auto"/>
              <w:bottom w:val="dotted" w:sz="4" w:space="0" w:color="auto"/>
            </w:tcBorders>
            <w:shd w:val="clear" w:color="auto" w:fill="EEECE1"/>
            <w:vAlign w:val="center"/>
          </w:tcPr>
          <w:p>
            <w:pPr>
              <w:spacing w:before="60" w:after="0"/>
              <w:jc w:val="left"/>
              <w:rPr>
                <w:noProof/>
                <w:snapToGrid w:val="0"/>
                <w:sz w:val="18"/>
                <w:szCs w:val="18"/>
              </w:rPr>
            </w:pPr>
            <w:r>
              <w:rPr>
                <w:noProof/>
                <w:snapToGrid w:val="0"/>
                <w:sz w:val="18"/>
                <w:szCs w:val="18"/>
              </w:rPr>
              <w:t>ΡΟΥΜΑΝΙΑ</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 xml:space="preserve">Περιφερειακή </w:t>
            </w:r>
          </w:p>
          <w:p>
            <w:pPr>
              <w:spacing w:before="60" w:after="0"/>
              <w:jc w:val="center"/>
              <w:rPr>
                <w:i/>
                <w:iCs/>
                <w:noProof/>
                <w:sz w:val="18"/>
                <w:szCs w:val="18"/>
              </w:rPr>
            </w:pPr>
            <w:r>
              <w:rPr>
                <w:i/>
                <w:iCs/>
                <w:noProof/>
                <w:sz w:val="18"/>
                <w:szCs w:val="18"/>
              </w:rPr>
              <w:t>(άρθρο 2 παρ. 3)</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327,692</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986,378</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8 192 300</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w:t>
            </w:r>
          </w:p>
        </w:tc>
        <w:tc>
          <w:tcPr>
            <w:tcW w:w="1101"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8 192 300</w:t>
            </w:r>
          </w:p>
        </w:tc>
        <w:tc>
          <w:tcPr>
            <w:tcW w:w="1417"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dotted" w:sz="4" w:space="0" w:color="auto"/>
              <w:bottom w:val="dotted" w:sz="4" w:space="0" w:color="auto"/>
            </w:tcBorders>
            <w:shd w:val="clear" w:color="auto" w:fill="EEECE1"/>
            <w:vAlign w:val="center"/>
            <w:hideMark/>
          </w:tcPr>
          <w:p>
            <w:pPr>
              <w:spacing w:before="60" w:after="0"/>
              <w:jc w:val="left"/>
              <w:rPr>
                <w:noProof/>
                <w:snapToGrid w:val="0"/>
                <w:sz w:val="18"/>
                <w:szCs w:val="18"/>
              </w:rPr>
            </w:pPr>
            <w:r>
              <w:rPr>
                <w:noProof/>
                <w:snapToGrid w:val="0"/>
                <w:sz w:val="18"/>
                <w:szCs w:val="18"/>
              </w:rPr>
              <w:t>ΙΤΑΛΙΑ</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Εθνική</w:t>
            </w:r>
          </w:p>
          <w:p>
            <w:pPr>
              <w:spacing w:before="60" w:after="0"/>
              <w:jc w:val="center"/>
              <w:rPr>
                <w:i/>
                <w:iCs/>
                <w:noProof/>
                <w:sz w:val="18"/>
                <w:szCs w:val="18"/>
              </w:rPr>
            </w:pPr>
            <w:r>
              <w:rPr>
                <w:i/>
                <w:iCs/>
                <w:noProof/>
                <w:sz w:val="18"/>
                <w:szCs w:val="18"/>
              </w:rPr>
              <w:t>(άρθρο 2 παρ. 2)</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6 630,276</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3 446,057</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86 151 425</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191 053 170</w:t>
            </w:r>
          </w:p>
        </w:tc>
        <w:tc>
          <w:tcPr>
            <w:tcW w:w="1101"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277 204 595</w:t>
            </w:r>
          </w:p>
        </w:tc>
        <w:tc>
          <w:tcPr>
            <w:tcW w:w="1417"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dotted" w:sz="4" w:space="0" w:color="auto"/>
              <w:bottom w:val="dotted" w:sz="4" w:space="0" w:color="auto"/>
            </w:tcBorders>
            <w:shd w:val="clear" w:color="auto" w:fill="EEECE1"/>
            <w:vAlign w:val="center"/>
          </w:tcPr>
          <w:p>
            <w:pPr>
              <w:spacing w:before="60" w:after="0"/>
              <w:jc w:val="left"/>
              <w:rPr>
                <w:noProof/>
                <w:snapToGrid w:val="0"/>
                <w:sz w:val="18"/>
                <w:szCs w:val="18"/>
              </w:rPr>
            </w:pPr>
            <w:r>
              <w:rPr>
                <w:noProof/>
                <w:snapToGrid w:val="0"/>
                <w:sz w:val="18"/>
                <w:szCs w:val="18"/>
              </w:rPr>
              <w:t>ΑΥΣΤΡΙΑ</w:t>
            </w:r>
          </w:p>
        </w:tc>
        <w:tc>
          <w:tcPr>
            <w:tcW w:w="1329" w:type="dxa"/>
            <w:tcBorders>
              <w:top w:val="dotted" w:sz="4" w:space="0" w:color="auto"/>
              <w:bottom w:val="dotted" w:sz="4" w:space="0" w:color="auto"/>
            </w:tcBorders>
          </w:tcPr>
          <w:p>
            <w:pPr>
              <w:spacing w:before="60" w:after="0"/>
              <w:jc w:val="center"/>
              <w:rPr>
                <w:i/>
                <w:iCs/>
                <w:noProof/>
                <w:sz w:val="18"/>
                <w:szCs w:val="18"/>
              </w:rPr>
            </w:pPr>
            <w:r>
              <w:rPr>
                <w:i/>
                <w:iCs/>
                <w:noProof/>
                <w:sz w:val="18"/>
                <w:szCs w:val="18"/>
              </w:rPr>
              <w:t>Γειτονική χώρα</w:t>
            </w:r>
          </w:p>
          <w:p>
            <w:pPr>
              <w:spacing w:before="60" w:after="0"/>
              <w:jc w:val="center"/>
              <w:rPr>
                <w:i/>
                <w:iCs/>
                <w:noProof/>
                <w:sz w:val="18"/>
                <w:szCs w:val="18"/>
              </w:rPr>
            </w:pPr>
            <w:r>
              <w:rPr>
                <w:i/>
                <w:iCs/>
                <w:noProof/>
                <w:sz w:val="18"/>
                <w:szCs w:val="18"/>
              </w:rPr>
              <w:t>(άρθρο 2 παρ. 4)</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iCs/>
                <w:noProof/>
                <w:sz w:val="18"/>
                <w:szCs w:val="18"/>
              </w:rPr>
              <w:t>326,196</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2 118,701</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szCs w:val="18"/>
              </w:rPr>
              <w:t>8 154 899</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szCs w:val="18"/>
              </w:rPr>
              <w:t>-</w:t>
            </w:r>
          </w:p>
        </w:tc>
        <w:tc>
          <w:tcPr>
            <w:tcW w:w="1101"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iCs/>
                <w:noProof/>
                <w:sz w:val="18"/>
                <w:szCs w:val="18"/>
              </w:rPr>
              <w:t>8 154 899</w:t>
            </w:r>
          </w:p>
        </w:tc>
        <w:tc>
          <w:tcPr>
            <w:tcW w:w="1417" w:type="dxa"/>
            <w:tcBorders>
              <w:top w:val="dotted" w:sz="4" w:space="0" w:color="auto"/>
              <w:bottom w:val="dotted" w:sz="4" w:space="0" w:color="auto"/>
            </w:tcBorders>
            <w:vAlign w:val="center"/>
          </w:tcPr>
          <w:p>
            <w:pPr>
              <w:spacing w:before="60" w:after="0"/>
              <w:jc w:val="right"/>
              <w:rPr>
                <w:b/>
                <w:i/>
                <w:iCs/>
                <w:noProof/>
                <w:sz w:val="18"/>
                <w:szCs w:val="18"/>
              </w:rPr>
            </w:pPr>
            <w:r>
              <w:rPr>
                <w:b/>
                <w:i/>
                <w:iCs/>
                <w:noProof/>
                <w:sz w:val="18"/>
                <w:szCs w:val="18"/>
              </w:rPr>
              <w:t>0</w:t>
            </w:r>
          </w:p>
        </w:tc>
      </w:tr>
      <w:tr>
        <w:trPr>
          <w:jc w:val="center"/>
        </w:trPr>
        <w:tc>
          <w:tcPr>
            <w:tcW w:w="1248" w:type="dxa"/>
            <w:tcBorders>
              <w:top w:val="single" w:sz="4" w:space="0" w:color="auto"/>
              <w:bottom w:val="single" w:sz="4" w:space="0" w:color="auto"/>
            </w:tcBorders>
            <w:shd w:val="clear" w:color="auto" w:fill="EEECE1"/>
          </w:tcPr>
          <w:p>
            <w:pPr>
              <w:spacing w:before="60" w:after="0"/>
              <w:jc w:val="left"/>
              <w:rPr>
                <w:b/>
                <w:noProof/>
                <w:snapToGrid w:val="0"/>
                <w:sz w:val="18"/>
                <w:szCs w:val="18"/>
              </w:rPr>
            </w:pPr>
          </w:p>
        </w:tc>
        <w:tc>
          <w:tcPr>
            <w:tcW w:w="7010" w:type="dxa"/>
            <w:gridSpan w:val="5"/>
            <w:tcBorders>
              <w:top w:val="single" w:sz="4" w:space="0" w:color="auto"/>
              <w:bottom w:val="single" w:sz="4" w:space="0" w:color="auto"/>
            </w:tcBorders>
            <w:shd w:val="clear" w:color="auto" w:fill="EEECE1"/>
            <w:vAlign w:val="center"/>
          </w:tcPr>
          <w:p>
            <w:pPr>
              <w:spacing w:before="60" w:after="0"/>
              <w:jc w:val="left"/>
              <w:rPr>
                <w:i/>
                <w:iCs/>
                <w:noProof/>
                <w:sz w:val="18"/>
                <w:szCs w:val="18"/>
                <w:highlight w:val="yellow"/>
              </w:rPr>
            </w:pPr>
            <w:r>
              <w:rPr>
                <w:b/>
                <w:noProof/>
                <w:snapToGrid w:val="0"/>
                <w:sz w:val="18"/>
                <w:szCs w:val="18"/>
              </w:rPr>
              <w:t>ΣΥΝΟΛΟ</w:t>
            </w:r>
          </w:p>
        </w:tc>
        <w:tc>
          <w:tcPr>
            <w:tcW w:w="1101" w:type="dxa"/>
            <w:tcBorders>
              <w:top w:val="single" w:sz="4" w:space="0" w:color="auto"/>
              <w:bottom w:val="single" w:sz="4" w:space="0" w:color="auto"/>
            </w:tcBorders>
            <w:vAlign w:val="center"/>
          </w:tcPr>
          <w:p>
            <w:pPr>
              <w:spacing w:before="60" w:after="0"/>
              <w:jc w:val="right"/>
              <w:rPr>
                <w:b/>
                <w:bCs/>
                <w:i/>
                <w:iCs/>
                <w:noProof/>
                <w:sz w:val="18"/>
                <w:szCs w:val="18"/>
              </w:rPr>
            </w:pPr>
            <w:r>
              <w:rPr>
                <w:b/>
                <w:bCs/>
                <w:i/>
                <w:iCs/>
                <w:noProof/>
                <w:sz w:val="18"/>
                <w:szCs w:val="18"/>
              </w:rPr>
              <w:t>293 551 794</w:t>
            </w:r>
          </w:p>
        </w:tc>
        <w:tc>
          <w:tcPr>
            <w:tcW w:w="1417" w:type="dxa"/>
            <w:tcBorders>
              <w:top w:val="single" w:sz="4" w:space="0" w:color="auto"/>
              <w:bottom w:val="single" w:sz="4" w:space="0" w:color="auto"/>
            </w:tcBorders>
          </w:tcPr>
          <w:p>
            <w:pPr>
              <w:spacing w:before="60" w:after="0"/>
              <w:jc w:val="right"/>
              <w:rPr>
                <w:b/>
                <w:bCs/>
                <w:i/>
                <w:iCs/>
                <w:noProof/>
                <w:sz w:val="18"/>
                <w:szCs w:val="18"/>
              </w:rPr>
            </w:pPr>
            <w:r>
              <w:rPr>
                <w:b/>
                <w:bCs/>
                <w:i/>
                <w:iCs/>
                <w:noProof/>
                <w:sz w:val="18"/>
                <w:szCs w:val="18"/>
              </w:rPr>
              <w:t>0</w:t>
            </w:r>
          </w:p>
        </w:tc>
      </w:tr>
    </w:tbl>
    <w:p>
      <w:pPr>
        <w:rPr>
          <w:noProof/>
        </w:rPr>
      </w:pPr>
      <w:r>
        <w:rPr>
          <w:noProof/>
        </w:rPr>
        <w:t>Σύμφωνα με το άρθρο 10 παράγραφος 1 του κανονισμού για το ΠΔΠ, το συνολικό ποσό που ήταν διαθέσιμο για κινητοποίηση του ΤΑΕΕ στις αρχές του 2019 ανερχόταν σε 851 082 072 EUR και είναι το άθροισμα των κονδυλίων του 2019 ύψους 585 829 691 EUR και του ποσού των κονδυλίων του έτους 2018 ύψους 265 252 381 EUR που παρέμεινε αδιάθετο και μεταφέρθηκε στο 2019.</w:t>
      </w:r>
    </w:p>
    <w:p>
      <w:pPr>
        <w:rPr>
          <w:noProof/>
        </w:rPr>
      </w:pPr>
      <w:r>
        <w:rPr>
          <w:noProof/>
        </w:rPr>
        <w:t>Το ποσό που μπορεί να κινητοποιηθεί στο παρόν στάδιο του έτους 2019 ανέρχεται σε 704 624 649 EUR. Το ποσό αυτό αντιστοιχεί στο συνολικό ποσό που ήταν διαθέσιμο για την κινητοποίηση του ΤΑΕΕ στις αρχές του 2019 (851 082 072 EUR), μείον το παρακρατηθέν ποσό ύψους 146 457 423 EUR, προκειμένου να τηρηθεί η υποχρέωση παραμονής σε διαθεσιμότητα του 25 % των ετήσιων πιστώσεων του 2019 έως την 1η Οκτωβρίου 2018, όπως προβλέπεται στο άρθρο 10 παράγραφος 1 του κανονισμού για το ΠΔΠ.</w:t>
      </w:r>
    </w:p>
    <w:tbl>
      <w:tblPr>
        <w:tblStyle w:val="TableGrid"/>
        <w:tblW w:w="0" w:type="auto"/>
        <w:jc w:val="center"/>
        <w:tblLook w:val="04A0" w:firstRow="1" w:lastRow="0" w:firstColumn="1" w:lastColumn="0" w:noHBand="0" w:noVBand="1"/>
      </w:tblPr>
      <w:tblGrid>
        <w:gridCol w:w="6644"/>
        <w:gridCol w:w="1897"/>
      </w:tblGrid>
      <w:tr>
        <w:trPr>
          <w:trHeight w:val="490"/>
          <w:jc w:val="center"/>
        </w:trPr>
        <w:tc>
          <w:tcPr>
            <w:tcW w:w="6644" w:type="dxa"/>
            <w:shd w:val="clear" w:color="auto" w:fill="D9D9D9" w:themeFill="background1" w:themeFillShade="D9"/>
            <w:vAlign w:val="center"/>
          </w:tcPr>
          <w:p>
            <w:pPr>
              <w:keepNext/>
              <w:spacing w:after="0"/>
              <w:jc w:val="center"/>
              <w:rPr>
                <w:b/>
                <w:noProof/>
                <w:sz w:val="20"/>
                <w:szCs w:val="20"/>
              </w:rPr>
            </w:pPr>
            <w:r>
              <w:rPr>
                <w:b/>
                <w:noProof/>
                <w:sz w:val="20"/>
                <w:szCs w:val="20"/>
              </w:rPr>
              <w:t>Συνοπτικός πίνακας χρηματοδότησης για το ΤΑΕΕ</w:t>
            </w:r>
          </w:p>
        </w:tc>
        <w:tc>
          <w:tcPr>
            <w:tcW w:w="1897" w:type="dxa"/>
            <w:shd w:val="clear" w:color="auto" w:fill="D9D9D9" w:themeFill="background1" w:themeFillShade="D9"/>
            <w:vAlign w:val="center"/>
          </w:tcPr>
          <w:p>
            <w:pPr>
              <w:keepNext/>
              <w:spacing w:after="0"/>
              <w:jc w:val="center"/>
              <w:rPr>
                <w:b/>
                <w:noProof/>
                <w:sz w:val="20"/>
                <w:szCs w:val="20"/>
              </w:rPr>
            </w:pPr>
            <w:r>
              <w:rPr>
                <w:b/>
                <w:noProof/>
                <w:sz w:val="20"/>
                <w:szCs w:val="20"/>
              </w:rPr>
              <w:t>Ποσό</w:t>
            </w:r>
          </w:p>
          <w:p>
            <w:pPr>
              <w:keepNext/>
              <w:spacing w:after="0"/>
              <w:jc w:val="center"/>
              <w:rPr>
                <w:noProof/>
                <w:sz w:val="20"/>
                <w:szCs w:val="20"/>
              </w:rPr>
            </w:pPr>
            <w:r>
              <w:rPr>
                <w:b/>
                <w:noProof/>
                <w:sz w:val="20"/>
                <w:szCs w:val="20"/>
              </w:rPr>
              <w:t>EUR</w:t>
            </w:r>
          </w:p>
        </w:tc>
      </w:tr>
      <w:tr>
        <w:trPr>
          <w:trHeight w:val="258"/>
          <w:jc w:val="center"/>
        </w:trPr>
        <w:tc>
          <w:tcPr>
            <w:tcW w:w="6644" w:type="dxa"/>
          </w:tcPr>
          <w:p>
            <w:pPr>
              <w:keepNext/>
              <w:spacing w:after="0"/>
              <w:rPr>
                <w:noProof/>
                <w:sz w:val="20"/>
                <w:szCs w:val="20"/>
              </w:rPr>
            </w:pPr>
            <w:r>
              <w:rPr>
                <w:noProof/>
                <w:sz w:val="20"/>
                <w:szCs w:val="20"/>
              </w:rPr>
              <w:t>Κονδύλια του 2018 που μεταφέρθηκαν στο 2019</w:t>
            </w:r>
          </w:p>
        </w:tc>
        <w:tc>
          <w:tcPr>
            <w:tcW w:w="1897" w:type="dxa"/>
          </w:tcPr>
          <w:p>
            <w:pPr>
              <w:keepNext/>
              <w:spacing w:after="0"/>
              <w:jc w:val="right"/>
              <w:rPr>
                <w:noProof/>
                <w:sz w:val="20"/>
                <w:szCs w:val="20"/>
              </w:rPr>
            </w:pPr>
            <w:r>
              <w:rPr>
                <w:noProof/>
                <w:sz w:val="20"/>
                <w:szCs w:val="20"/>
              </w:rPr>
              <w:t>265 252 381</w:t>
            </w:r>
          </w:p>
        </w:tc>
      </w:tr>
      <w:tr>
        <w:trPr>
          <w:trHeight w:val="297"/>
          <w:jc w:val="center"/>
        </w:trPr>
        <w:tc>
          <w:tcPr>
            <w:tcW w:w="6644" w:type="dxa"/>
          </w:tcPr>
          <w:p>
            <w:pPr>
              <w:keepNext/>
              <w:spacing w:after="0"/>
              <w:rPr>
                <w:noProof/>
                <w:sz w:val="20"/>
                <w:szCs w:val="20"/>
              </w:rPr>
            </w:pPr>
            <w:r>
              <w:rPr>
                <w:noProof/>
                <w:sz w:val="20"/>
                <w:szCs w:val="20"/>
              </w:rPr>
              <w:t>Κονδύλια του 2019</w:t>
            </w:r>
          </w:p>
        </w:tc>
        <w:tc>
          <w:tcPr>
            <w:tcW w:w="1897" w:type="dxa"/>
          </w:tcPr>
          <w:p>
            <w:pPr>
              <w:keepNext/>
              <w:spacing w:after="0"/>
              <w:jc w:val="right"/>
              <w:rPr>
                <w:noProof/>
                <w:sz w:val="20"/>
                <w:szCs w:val="20"/>
              </w:rPr>
            </w:pPr>
            <w:r>
              <w:rPr>
                <w:noProof/>
                <w:sz w:val="20"/>
                <w:szCs w:val="20"/>
              </w:rPr>
              <w:t>585 829 691</w:t>
            </w:r>
          </w:p>
          <w:p>
            <w:pPr>
              <w:keepNext/>
              <w:spacing w:after="0"/>
              <w:jc w:val="right"/>
              <w:rPr>
                <w:noProof/>
                <w:sz w:val="20"/>
                <w:szCs w:val="20"/>
              </w:rPr>
            </w:pPr>
            <w:r>
              <w:rPr>
                <w:noProof/>
                <w:sz w:val="20"/>
                <w:szCs w:val="20"/>
              </w:rPr>
              <w:t>---------------</w:t>
            </w:r>
          </w:p>
        </w:tc>
      </w:tr>
      <w:tr>
        <w:trPr>
          <w:trHeight w:val="245"/>
          <w:jc w:val="center"/>
        </w:trPr>
        <w:tc>
          <w:tcPr>
            <w:tcW w:w="6644" w:type="dxa"/>
          </w:tcPr>
          <w:p>
            <w:pPr>
              <w:keepNext/>
              <w:spacing w:after="0"/>
              <w:rPr>
                <w:b/>
                <w:noProof/>
                <w:sz w:val="20"/>
                <w:szCs w:val="20"/>
              </w:rPr>
            </w:pPr>
            <w:r>
              <w:rPr>
                <w:b/>
                <w:noProof/>
                <w:sz w:val="20"/>
                <w:szCs w:val="20"/>
              </w:rPr>
              <w:t>Σύνολο διαθέσιμο στις αρχές του 2019</w:t>
            </w:r>
          </w:p>
        </w:tc>
        <w:tc>
          <w:tcPr>
            <w:tcW w:w="1897" w:type="dxa"/>
          </w:tcPr>
          <w:p>
            <w:pPr>
              <w:keepNext/>
              <w:spacing w:after="0"/>
              <w:jc w:val="right"/>
              <w:rPr>
                <w:b/>
                <w:noProof/>
                <w:sz w:val="20"/>
                <w:szCs w:val="20"/>
              </w:rPr>
            </w:pPr>
            <w:r>
              <w:rPr>
                <w:b/>
                <w:noProof/>
                <w:sz w:val="20"/>
                <w:szCs w:val="20"/>
              </w:rPr>
              <w:t>851 082 072</w:t>
            </w:r>
          </w:p>
        </w:tc>
      </w:tr>
      <w:tr>
        <w:trPr>
          <w:trHeight w:val="299"/>
          <w:jc w:val="center"/>
        </w:trPr>
        <w:tc>
          <w:tcPr>
            <w:tcW w:w="6644" w:type="dxa"/>
          </w:tcPr>
          <w:p>
            <w:pPr>
              <w:keepNext/>
              <w:spacing w:after="0"/>
              <w:rPr>
                <w:noProof/>
                <w:sz w:val="20"/>
                <w:szCs w:val="20"/>
              </w:rPr>
            </w:pPr>
            <w:r>
              <w:rPr>
                <w:noProof/>
                <w:sz w:val="20"/>
                <w:szCs w:val="20"/>
              </w:rPr>
              <w:t>Μείον 25 % των κονδυλίων του 2019 που παρακρατούνται</w:t>
            </w:r>
          </w:p>
        </w:tc>
        <w:tc>
          <w:tcPr>
            <w:tcW w:w="1897" w:type="dxa"/>
          </w:tcPr>
          <w:p>
            <w:pPr>
              <w:keepNext/>
              <w:spacing w:after="0"/>
              <w:jc w:val="right"/>
              <w:rPr>
                <w:noProof/>
                <w:sz w:val="20"/>
                <w:szCs w:val="20"/>
              </w:rPr>
            </w:pPr>
            <w:r>
              <w:rPr>
                <w:noProof/>
                <w:sz w:val="20"/>
                <w:szCs w:val="20"/>
              </w:rPr>
              <w:t>-146 457 423</w:t>
            </w:r>
          </w:p>
          <w:p>
            <w:pPr>
              <w:keepNext/>
              <w:spacing w:after="0"/>
              <w:jc w:val="right"/>
              <w:rPr>
                <w:noProof/>
                <w:sz w:val="20"/>
                <w:szCs w:val="20"/>
              </w:rPr>
            </w:pPr>
            <w:r>
              <w:rPr>
                <w:noProof/>
                <w:sz w:val="20"/>
                <w:szCs w:val="20"/>
              </w:rPr>
              <w:t>----------------</w:t>
            </w:r>
          </w:p>
        </w:tc>
      </w:tr>
      <w:tr>
        <w:trPr>
          <w:trHeight w:val="245"/>
          <w:jc w:val="center"/>
        </w:trPr>
        <w:tc>
          <w:tcPr>
            <w:tcW w:w="6644" w:type="dxa"/>
          </w:tcPr>
          <w:p>
            <w:pPr>
              <w:keepNext/>
              <w:spacing w:after="0"/>
              <w:rPr>
                <w:b/>
                <w:noProof/>
                <w:sz w:val="20"/>
                <w:szCs w:val="20"/>
              </w:rPr>
            </w:pPr>
            <w:r>
              <w:rPr>
                <w:b/>
                <w:noProof/>
                <w:sz w:val="20"/>
                <w:szCs w:val="20"/>
              </w:rPr>
              <w:t>Μέγιστο ποσό που είναι επί του παρόντος διαθέσιμο (πιστώσεις 2018 +2019)</w:t>
            </w:r>
          </w:p>
        </w:tc>
        <w:tc>
          <w:tcPr>
            <w:tcW w:w="1897" w:type="dxa"/>
          </w:tcPr>
          <w:p>
            <w:pPr>
              <w:keepNext/>
              <w:spacing w:after="0"/>
              <w:jc w:val="right"/>
              <w:rPr>
                <w:b/>
                <w:noProof/>
                <w:sz w:val="20"/>
                <w:szCs w:val="20"/>
              </w:rPr>
            </w:pPr>
            <w:r>
              <w:rPr>
                <w:b/>
                <w:noProof/>
                <w:sz w:val="20"/>
                <w:szCs w:val="20"/>
              </w:rPr>
              <w:t>704 624 649</w:t>
            </w:r>
          </w:p>
        </w:tc>
      </w:tr>
      <w:tr>
        <w:trPr>
          <w:trHeight w:val="245"/>
          <w:jc w:val="center"/>
        </w:trPr>
        <w:tc>
          <w:tcPr>
            <w:tcW w:w="6644" w:type="dxa"/>
          </w:tcPr>
          <w:p>
            <w:pPr>
              <w:keepNext/>
              <w:spacing w:after="0"/>
              <w:rPr>
                <w:bCs/>
                <w:noProof/>
                <w:sz w:val="20"/>
                <w:szCs w:val="20"/>
              </w:rPr>
            </w:pPr>
            <w:r>
              <w:rPr>
                <w:bCs/>
                <w:noProof/>
                <w:sz w:val="20"/>
                <w:szCs w:val="20"/>
              </w:rPr>
              <w:t>Συνολικό ποσό της ενίσχυσης που προτείνεται να κινητοποιηθεί για τη Ρουμανία, την Ιταλία και την Αυστρία</w:t>
            </w:r>
          </w:p>
        </w:tc>
        <w:tc>
          <w:tcPr>
            <w:tcW w:w="1897" w:type="dxa"/>
          </w:tcPr>
          <w:p>
            <w:pPr>
              <w:keepNext/>
              <w:spacing w:after="0"/>
              <w:jc w:val="right"/>
              <w:rPr>
                <w:bCs/>
                <w:noProof/>
                <w:sz w:val="20"/>
                <w:szCs w:val="20"/>
              </w:rPr>
            </w:pPr>
            <w:r>
              <w:rPr>
                <w:bCs/>
                <w:noProof/>
                <w:sz w:val="20"/>
                <w:szCs w:val="20"/>
              </w:rPr>
              <w:t>- 293 551 794</w:t>
            </w:r>
          </w:p>
          <w:p>
            <w:pPr>
              <w:keepNext/>
              <w:spacing w:after="0"/>
              <w:jc w:val="right"/>
              <w:rPr>
                <w:bCs/>
                <w:noProof/>
                <w:sz w:val="20"/>
                <w:szCs w:val="20"/>
                <w:u w:val="single"/>
              </w:rPr>
            </w:pPr>
            <w:r>
              <w:rPr>
                <w:noProof/>
                <w:sz w:val="20"/>
                <w:szCs w:val="20"/>
              </w:rPr>
              <w:t>----------------</w:t>
            </w:r>
          </w:p>
        </w:tc>
      </w:tr>
      <w:tr>
        <w:trPr>
          <w:trHeight w:val="258"/>
          <w:jc w:val="center"/>
        </w:trPr>
        <w:tc>
          <w:tcPr>
            <w:tcW w:w="6644" w:type="dxa"/>
          </w:tcPr>
          <w:p>
            <w:pPr>
              <w:keepNext/>
              <w:spacing w:after="0"/>
              <w:rPr>
                <w:b/>
                <w:noProof/>
                <w:sz w:val="20"/>
                <w:szCs w:val="20"/>
              </w:rPr>
            </w:pPr>
            <w:r>
              <w:rPr>
                <w:b/>
                <w:noProof/>
                <w:sz w:val="20"/>
                <w:szCs w:val="20"/>
              </w:rPr>
              <w:t>Εναπομένοντα διαθέσιμα έως την 1η Οκτωβρίου 2018</w:t>
            </w:r>
          </w:p>
        </w:tc>
        <w:tc>
          <w:tcPr>
            <w:tcW w:w="1897" w:type="dxa"/>
          </w:tcPr>
          <w:p>
            <w:pPr>
              <w:keepNext/>
              <w:spacing w:after="0"/>
              <w:jc w:val="right"/>
              <w:rPr>
                <w:b/>
                <w:noProof/>
                <w:sz w:val="20"/>
                <w:szCs w:val="20"/>
              </w:rPr>
            </w:pPr>
            <w:r>
              <w:rPr>
                <w:b/>
                <w:noProof/>
                <w:sz w:val="20"/>
                <w:szCs w:val="20"/>
              </w:rPr>
              <w:t>411 072 855</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lastRenderedPageBreak/>
        <w:t>Πρόταση</w:t>
      </w:r>
    </w:p>
    <w:p>
      <w:pPr>
        <w:pStyle w:val="Typedudocument"/>
        <w:rPr>
          <w:noProof/>
        </w:rPr>
      </w:pPr>
      <w:r>
        <w:rPr>
          <w:noProof/>
        </w:rPr>
        <w:t>ΑΠΟΦΑΣΗ ΤΟΥ ΕΥΡΩΠΑΪΚΟΥ ΚΟΙΝΟΒΟΥΛΙΟΥ ΚΑΙ ΤΟΥ ΣΥΜΒΟΥΛΙΟΥ</w:t>
      </w:r>
    </w:p>
    <w:p>
      <w:pPr>
        <w:pStyle w:val="Titreobjet"/>
        <w:rPr>
          <w:noProof/>
        </w:rPr>
      </w:pPr>
      <w:r>
        <w:rPr>
          <w:noProof/>
        </w:rPr>
        <w:t>σχετικά με την κινητοποίηση του Ταμείου Αλληλεγγύης της Ευρωπαϊκής Ένωσης για την παροχή βοήθειας προς τη Ρουμανία, την Ιταλία και την Αυστρία</w:t>
      </w:r>
    </w:p>
    <w:p>
      <w:pPr>
        <w:pStyle w:val="Institutionquiagit"/>
        <w:spacing w:before="480" w:after="360"/>
        <w:rPr>
          <w:noProof/>
        </w:rPr>
      </w:pPr>
      <w:r>
        <w:rPr>
          <w:noProof/>
        </w:rPr>
        <w:t>ΤΟ ΕΥΡΩΠΑΪΚΟ ΚΟΙΝΟΒΟΥΛΙΟ ΚΑΙ ΤΟ ΣΥΜΒΟΥΛΙΟ ΤΗΣ ΕΥΡΩΠΑΪΚΗΣ ΕΝΩΣΗΣ,</w:t>
      </w:r>
    </w:p>
    <w:p>
      <w:pPr>
        <w:rPr>
          <w:noProof/>
        </w:rPr>
      </w:pPr>
      <w:r>
        <w:rPr>
          <w:noProof/>
        </w:rPr>
        <w:t>Έχοντας υπόψη τη Συνθήκη για τη λειτουργία της Ευρωπαϊκής Ένωσης,</w:t>
      </w:r>
    </w:p>
    <w:p>
      <w:pPr>
        <w:rPr>
          <w:noProof/>
        </w:rPr>
      </w:pPr>
      <w:r>
        <w:rPr>
          <w:noProof/>
        </w:rPr>
        <w:t>Έχοντας υπόψη τον κανονισμό (ΕΚ) αριθ. 2012/2002 του Συμβουλίου, της 11ης Νοεμβρίου 2002, για την ίδρυση του Ταμείου Αλληλεγγύης της Ευρωπαϊκής Ένωσης</w:t>
      </w:r>
      <w:r>
        <w:rPr>
          <w:rStyle w:val="FootnoteReference"/>
          <w:noProof/>
        </w:rPr>
        <w:footnoteReference w:id="4"/>
      </w:r>
      <w:r>
        <w:rPr>
          <w:noProof/>
        </w:rPr>
        <w:t>, και ιδίως το άρθρο 4 παράγραφος 3,</w:t>
      </w:r>
    </w:p>
    <w:p>
      <w:pPr>
        <w:rPr>
          <w:noProof/>
        </w:rPr>
      </w:pPr>
      <w:r>
        <w:rPr>
          <w:noProof/>
        </w:rPr>
        <w:t>Έχοντας υπόψη τη διοργανική συμφωνία της 2ας Δεκεμβρίου 2013 μεταξύ του Ευρωπαϊκού Κοινοβουλίου, του Συμβουλίου και της Επιτροπής για τη δημοσιονομική πειθαρχία, τη συνεργασία σε δημοσιονομικά θέματα και τη χρηστή δημοσιονομική διαχείριση</w:t>
      </w:r>
      <w:r>
        <w:rPr>
          <w:rStyle w:val="FootnoteReference"/>
          <w:noProof/>
        </w:rPr>
        <w:footnoteReference w:id="5"/>
      </w:r>
      <w:r>
        <w:rPr>
          <w:noProof/>
        </w:rPr>
        <w:t>, και ιδίως το σημείο 11,</w:t>
      </w:r>
    </w:p>
    <w:p>
      <w:pPr>
        <w:rPr>
          <w:noProof/>
        </w:rPr>
      </w:pPr>
      <w:r>
        <w:rPr>
          <w:noProof/>
        </w:rPr>
        <w:t>Έχοντας υπόψη την πρόταση της Ευρωπαϊκής Επιτροπής,</w:t>
      </w:r>
    </w:p>
    <w:p>
      <w:pPr>
        <w:spacing w:after="360"/>
        <w:rPr>
          <w:noProof/>
        </w:rPr>
      </w:pPr>
      <w:r>
        <w:rPr>
          <w:noProof/>
        </w:rPr>
        <w:t>Εκτιμώντας τα ακόλουθα:</w:t>
      </w:r>
    </w:p>
    <w:p>
      <w:pPr>
        <w:pStyle w:val="Point0number"/>
        <w:numPr>
          <w:ilvl w:val="0"/>
          <w:numId w:val="12"/>
        </w:numPr>
        <w:rPr>
          <w:noProof/>
        </w:rPr>
      </w:pPr>
      <w:r>
        <w:rPr>
          <w:noProof/>
        </w:rPr>
        <w:t xml:space="preserve">Το Ταμείο Αλληλεγγύης της Ευρωπαϊκής Ένωσης (εφεξής «Ταμείο») έχει ως στόχο να επιτρέψει στην Ένωση να αντιδρά με ταχύ, αποτελεσματικό και ευέλικτο τρόπο σε καταστάσεις επείγουσας ανάγκης, ώστε να εκφράζει την αλληλεγγύη της προς τον πληθυσμό των περιοχών που πλήττονται από φυσικές καταστροφές. </w:t>
      </w:r>
    </w:p>
    <w:p>
      <w:pPr>
        <w:pStyle w:val="Point0number"/>
        <w:rPr>
          <w:noProof/>
        </w:rPr>
      </w:pPr>
      <w:r>
        <w:rPr>
          <w:noProof/>
        </w:rPr>
        <w:t>Το Ταμείο δεν πρέπει να υπερβαίνει το μέγιστο ετήσιο ποσό των 500 000 000 EUR (τιμές 2011), όπως ορίζεται στο άρθρο 10 του κανονισμού (ΕΕ, Ευρατόμ) αριθ. 1311/2013 του Συμβουλίου</w:t>
      </w:r>
      <w:r>
        <w:rPr>
          <w:rStyle w:val="FootnoteReference"/>
          <w:noProof/>
        </w:rPr>
        <w:footnoteReference w:id="6"/>
      </w:r>
      <w:r>
        <w:rPr>
          <w:noProof/>
        </w:rPr>
        <w:t>.</w:t>
      </w:r>
    </w:p>
    <w:p>
      <w:pPr>
        <w:pStyle w:val="Point0number"/>
        <w:rPr>
          <w:noProof/>
        </w:rPr>
      </w:pPr>
      <w:r>
        <w:rPr>
          <w:noProof/>
        </w:rPr>
        <w:t>Στις 7 Σεπτεμβρίου 2018, η Ρουμανία υπέβαλε αίτηση για την κινητοποίηση του Ταμείου, έπειτα από ακραία καιρικά φαινόμενα που προκάλεσαν εκτεταμένες πλημμύρες.</w:t>
      </w:r>
    </w:p>
    <w:p>
      <w:pPr>
        <w:pStyle w:val="Point0number"/>
        <w:rPr>
          <w:noProof/>
        </w:rPr>
      </w:pPr>
      <w:r>
        <w:rPr>
          <w:noProof/>
        </w:rPr>
        <w:t>Στις 20 Δεκεμβρίου 2018, η Ρουμανία υπέβαλε αίτηση για την κινητοποίηση του Ταμείου, έπειτα από ακραία καιρικά φαινόμενα.</w:t>
      </w:r>
    </w:p>
    <w:p>
      <w:pPr>
        <w:pStyle w:val="Point0number"/>
        <w:rPr>
          <w:noProof/>
        </w:rPr>
      </w:pPr>
      <w:r>
        <w:rPr>
          <w:noProof/>
        </w:rPr>
        <w:t>Στις 14 Ιανουαρίου 2019, η Ρουμανία υπέβαλε αίτηση για την κινητοποίηση του Ταμείου, έπειτα από ακραία καιρικά φαινόμενα.</w:t>
      </w:r>
    </w:p>
    <w:p>
      <w:pPr>
        <w:pStyle w:val="Point0number"/>
        <w:rPr>
          <w:noProof/>
        </w:rPr>
      </w:pPr>
      <w:r>
        <w:rPr>
          <w:noProof/>
        </w:rPr>
        <w:t>Οι αιτήσεις της Ρουμανίας, της Ιταλίας και της Αυστρίας πληρούν τις προϋποθέσεις για την καταβολή οικονομικής ενίσχυσης από το Ταμείο, όπως ορίζεται στο άρθρο 4 του κανονισμού (ΕΚ) αριθ. 2012/2002.</w:t>
      </w:r>
    </w:p>
    <w:p>
      <w:pPr>
        <w:pStyle w:val="Point0number"/>
        <w:rPr>
          <w:noProof/>
        </w:rPr>
      </w:pPr>
      <w:r>
        <w:rPr>
          <w:noProof/>
        </w:rPr>
        <w:lastRenderedPageBreak/>
        <w:t>Επομένως, το Ταμείο θα πρέπει να κινητοποιηθεί για την καταβολή οικονομικής ενίσχυσης στη Ρουμανία, την Ιταλία και την Αυστρία.</w:t>
      </w:r>
    </w:p>
    <w:p>
      <w:pPr>
        <w:pStyle w:val="Point0number"/>
        <w:rPr>
          <w:noProof/>
        </w:rPr>
      </w:pPr>
      <w:r>
        <w:rPr>
          <w:noProof/>
        </w:rPr>
        <w:t>Προκειμένου να ελαχιστοποιηθεί ο χρόνος που χρειάζεται για την κινητοποίηση του Ταμείου, η παρούσα απόφαση θα πρέπει να εφαρμοστεί από την ημερομηνία έκδοσής της,</w:t>
      </w:r>
    </w:p>
    <w:p>
      <w:pPr>
        <w:pStyle w:val="Formuledadoption"/>
        <w:rPr>
          <w:noProof/>
        </w:rPr>
      </w:pPr>
      <w:r>
        <w:rPr>
          <w:noProof/>
        </w:rPr>
        <w:t>ΕΞΕΔΩΣΑΝ ΤΗΝ ΠΑΡΟΥΣΑ ΑΠΟΦΑΣΗ:</w:t>
      </w:r>
    </w:p>
    <w:p>
      <w:pPr>
        <w:pStyle w:val="Titrearticle"/>
        <w:spacing w:before="240"/>
        <w:rPr>
          <w:noProof/>
        </w:rPr>
      </w:pPr>
      <w:r>
        <w:rPr>
          <w:noProof/>
        </w:rPr>
        <w:t>Άρθρο 1</w:t>
      </w:r>
    </w:p>
    <w:p>
      <w:pPr>
        <w:pStyle w:val="FootnoteText"/>
        <w:spacing w:before="120" w:after="120"/>
        <w:ind w:left="0" w:firstLine="0"/>
        <w:rPr>
          <w:noProof/>
          <w:sz w:val="24"/>
          <w:szCs w:val="24"/>
        </w:rPr>
      </w:pPr>
      <w:r>
        <w:rPr>
          <w:noProof/>
          <w:sz w:val="24"/>
          <w:szCs w:val="24"/>
        </w:rPr>
        <w:t>Στο πλαίσιο του γενικού προϋπολογισμού της Ένωσης για το οικονομικό έτος 2019, το Ταμείο Αλληλεγγύης της Ευρωπαϊκής Ένωσης κινητοποιείται ως εξής σε πιστώσεις ανάληψης υποχρεώσεων και σε πιστώσεις πληρωμών:</w:t>
      </w:r>
    </w:p>
    <w:p>
      <w:pPr>
        <w:pStyle w:val="FootnoteText"/>
        <w:spacing w:before="120" w:after="120"/>
        <w:ind w:firstLine="0"/>
        <w:rPr>
          <w:noProof/>
          <w:sz w:val="24"/>
          <w:szCs w:val="24"/>
        </w:rPr>
      </w:pPr>
      <w:r>
        <w:rPr>
          <w:noProof/>
          <w:sz w:val="24"/>
          <w:szCs w:val="24"/>
        </w:rPr>
        <w:t>α) στη Ρουμανία χορηγείται ποσό ύψους 8 192 300 EUR·</w:t>
      </w:r>
    </w:p>
    <w:p>
      <w:pPr>
        <w:pStyle w:val="FootnoteText"/>
        <w:spacing w:before="120" w:after="120"/>
        <w:ind w:firstLine="0"/>
        <w:rPr>
          <w:noProof/>
          <w:sz w:val="24"/>
          <w:szCs w:val="24"/>
        </w:rPr>
      </w:pPr>
      <w:r>
        <w:rPr>
          <w:noProof/>
          <w:sz w:val="24"/>
          <w:szCs w:val="24"/>
        </w:rPr>
        <w:t>β) στην Ιταλία χορηγείται ποσό ύψους 277 204 595 EUR·</w:t>
      </w:r>
    </w:p>
    <w:p>
      <w:pPr>
        <w:pStyle w:val="FootnoteText"/>
        <w:spacing w:before="120" w:after="120"/>
        <w:ind w:firstLine="0"/>
        <w:rPr>
          <w:noProof/>
          <w:sz w:val="24"/>
          <w:szCs w:val="24"/>
        </w:rPr>
      </w:pPr>
      <w:r>
        <w:rPr>
          <w:noProof/>
          <w:sz w:val="24"/>
          <w:szCs w:val="24"/>
        </w:rPr>
        <w:t>γ) στην Αυστρία χορηγείται ποσό ύψους 8 154 899 EUR.</w:t>
      </w:r>
    </w:p>
    <w:p>
      <w:pPr>
        <w:pStyle w:val="Titrearticle"/>
        <w:rPr>
          <w:noProof/>
        </w:rPr>
      </w:pPr>
      <w:r>
        <w:rPr>
          <w:noProof/>
        </w:rPr>
        <w:t>Άρθρο 2</w:t>
      </w:r>
    </w:p>
    <w:p>
      <w:pPr>
        <w:rPr>
          <w:noProof/>
        </w:rPr>
      </w:pPr>
      <w:r>
        <w:rPr>
          <w:noProof/>
        </w:rPr>
        <w:t xml:space="preserve">Η παρούσα απόφαση αρχίζει να ισχύει την ημέρα της δημοσίευσής της στην </w:t>
      </w:r>
      <w:r>
        <w:rPr>
          <w:i/>
          <w:noProof/>
        </w:rPr>
        <w:t>Επίσημη Εφημερίδα της Ευρωπαϊκής Ένωσης</w:t>
      </w:r>
      <w:r>
        <w:rPr>
          <w:noProof/>
        </w:rPr>
        <w:t>.</w:t>
      </w:r>
    </w:p>
    <w:p>
      <w:pPr>
        <w:rPr>
          <w:i/>
          <w:noProof/>
        </w:rPr>
      </w:pPr>
      <w:r>
        <w:rPr>
          <w:noProof/>
        </w:rPr>
        <w:t>Εφαρμόζεται από … [</w:t>
      </w:r>
      <w:r>
        <w:rPr>
          <w:i/>
          <w:noProof/>
        </w:rPr>
        <w:t>την ημερομηνία της έκδοσής της</w:t>
      </w:r>
      <w:r>
        <w:rPr>
          <w:noProof/>
        </w:rPr>
        <w:t>]</w:t>
      </w:r>
      <w:r>
        <w:rPr>
          <w:rStyle w:val="FootnoteReference"/>
          <w:noProof/>
        </w:rPr>
        <w:footnoteReference w:customMarkFollows="1" w:id="7"/>
        <w:sym w:font="Symbol" w:char="F02A"/>
      </w:r>
      <w:r>
        <w:rPr>
          <w:rStyle w:val="FootnoteReference"/>
          <w:noProof/>
        </w:rPr>
        <w:sym w:font="Symbol" w:char="F02A"/>
      </w:r>
      <w:r>
        <w:rPr>
          <w:noProof/>
        </w:rPr>
        <w:t>.</w:t>
      </w:r>
    </w:p>
    <w:p>
      <w:pPr>
        <w:pStyle w:val="Fait"/>
        <w:rPr>
          <w:noProof/>
        </w:rPr>
      </w:pPr>
      <w:r>
        <w:t>Βρυξέλλες,</w:t>
      </w:r>
    </w:p>
    <w:p>
      <w:pPr>
        <w:pStyle w:val="Institutionquisigne"/>
        <w:rPr>
          <w:noProof/>
        </w:rPr>
      </w:pPr>
      <w:r>
        <w:rPr>
          <w:noProof/>
        </w:rPr>
        <w:t>Για το Ευρωπαϊκό Κοινοβούλιο</w:t>
      </w:r>
      <w:r>
        <w:rPr>
          <w:noProof/>
        </w:rPr>
        <w:tab/>
        <w:t>Για το Συμβούλιο</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COM(2019)205 της 25.5.2019.</w:t>
      </w:r>
    </w:p>
  </w:footnote>
  <w:footnote w:id="2">
    <w:p>
      <w:pPr>
        <w:pStyle w:val="FootnoteText"/>
      </w:pPr>
      <w:r>
        <w:rPr>
          <w:rStyle w:val="FootnoteReference"/>
        </w:rPr>
        <w:footnoteRef/>
      </w:r>
      <w:r>
        <w:tab/>
        <w:t>ΕΕ L 347 της 20.10.2013, σ. 884.</w:t>
      </w:r>
    </w:p>
  </w:footnote>
  <w:footnote w:id="3">
    <w:p>
      <w:pPr>
        <w:pStyle w:val="FootnoteText"/>
      </w:pPr>
      <w:r>
        <w:rPr>
          <w:rStyle w:val="FootnoteReference"/>
        </w:rPr>
        <w:footnoteRef/>
      </w:r>
      <w:r>
        <w:tab/>
        <w:t>ΕΕ C 373 της 20.12.2013, σ. 1.</w:t>
      </w:r>
    </w:p>
  </w:footnote>
  <w:footnote w:id="4">
    <w:p>
      <w:pPr>
        <w:pStyle w:val="FootnoteText"/>
      </w:pPr>
      <w:r>
        <w:rPr>
          <w:rStyle w:val="FootnoteReference"/>
        </w:rPr>
        <w:footnoteRef/>
      </w:r>
      <w:r>
        <w:tab/>
      </w:r>
      <w:r>
        <w:rPr>
          <w:shd w:val="clear" w:color="auto" w:fill="FFFFFF"/>
        </w:rPr>
        <w:t>ΕΕ L 311 της 14.11.2002, σ. 3.</w:t>
      </w:r>
    </w:p>
  </w:footnote>
  <w:footnote w:id="5">
    <w:p>
      <w:pPr>
        <w:pStyle w:val="FootnoteText"/>
      </w:pPr>
      <w:r>
        <w:rPr>
          <w:rStyle w:val="FootnoteReference"/>
        </w:rPr>
        <w:footnoteRef/>
      </w:r>
      <w:r>
        <w:tab/>
        <w:t>ΕΕ C 373 της 20.12.2013, σ. 1.</w:t>
      </w:r>
    </w:p>
  </w:footnote>
  <w:footnote w:id="6">
    <w:p>
      <w:pPr>
        <w:pStyle w:val="FootnoteText"/>
      </w:pPr>
      <w:r>
        <w:rPr>
          <w:rStyle w:val="FootnoteReference"/>
        </w:rPr>
        <w:footnoteRef/>
      </w:r>
      <w:r>
        <w:tab/>
        <w:t>Κανονισμός (EE, Euratom) αριθ. 1311/2013 του Συμβουλίου, της 2ας Δεκεμβρίου 2013, για τον καθορισμό του πολυετούς δημοσιονομικού πλαισίου για την περίοδο 2014-2020 (ΕΕ L 347 της 20.12.2013, σ. 884).</w:t>
      </w:r>
    </w:p>
  </w:footnote>
  <w:footnote w:id="7">
    <w:p>
      <w:pPr>
        <w:pStyle w:val="FootnoteText"/>
      </w:pPr>
      <w:r>
        <w:rPr>
          <w:rStyle w:val="FootnoteReference"/>
        </w:rPr>
        <w:sym w:font="Symbol" w:char="F02A"/>
      </w:r>
      <w:r>
        <w:rPr>
          <w:rStyle w:val="FootnoteReference"/>
        </w:rPr>
        <w:sym w:font="Symbol" w:char="F02A"/>
      </w:r>
      <w:r>
        <w:t xml:space="preserve"> </w:t>
      </w:r>
      <w:r>
        <w:rPr>
          <w:i/>
        </w:rPr>
        <w:t>Η ημερομηνία θα προστεθεί από το Κοινοβούλιο πριν από τη δημοσίευση στην Επίσημη Εφημερίδα.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6:43:11"/>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34CE194-7175-447A-91D6-6B7576108A14"/>
    <w:docVar w:name="LW_COVERPAGE_TYPE" w:val="1"/>
    <w:docVar w:name="LW_CROSSREFERENCE" w:val="&lt;UNUSED&gt;"/>
    <w:docVar w:name="LW_DocType" w:val="COM"/>
    <w:docVar w:name="LW_EMISSION" w:val="22.5.2019"/>
    <w:docVar w:name="LW_EMISSION_ISODATE" w:val="2019-05-22"/>
    <w:docVar w:name="LW_EMISSION_LOCATION" w:val="BRX"/>
    <w:docVar w:name="LW_EMISSION_PREFIX" w:val="Βρυξέλλες,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928?\u961?\u972?\u964?\u945?\u963?\u951?"/>
    <w:docVar w:name="LW_SUPERTITRE" w:val="&lt;UNUSED&gt;"/>
    <w:docVar w:name="LW_TITRE.OBJ.CP" w:val="\u963?\u967?\u949?\u964?\u953?\u954?\u940? \u956?\u949? \u964?\u951?\u957? \u954?\u953?\u957?\u951?\u964?\u959?\u960?\u959?\u943?\u951?\u963?\u951? \u964?\u959?\u965? \u932?\u945?\u956?\u949?\u943?\u959?\u965? \u913?\u955?\u955?\u951?\u955?\u949?\u947?\u947?\u973?\u951?\u962? \u964?\u951?\u962? \u917?\u965?\u961?\u969?\u960?\u945?\u970?\u954?\u942?\u962? \u904?\u957?\u969?\u963?\u951?\u962? \u947?\u953?\u945? \u964?\u951?\u957? \u960?\u945?\u961?\u959?\u967?\u942? \u946?\u959?\u942?\u952?\u949?\u953?\u945?\u962? \u960?\u961?\u959?\u962? \u964?\u951? \u929?\u959?\u965?\u956?\u945?\u957?\u943?\u945?, \u964?\u951?\u957? \u921?\u964?\u945?\u955?\u943?\u945? \u954?\u945?\u953? \u964?\u951?\u957? \u913?\u965?\u963?\u964?\u961?\u943?\u945?"/>
    <w:docVar w:name="LW_TYPE.DOC.CP" w:val="\u913?\u928?\u927?\u934?\u913?\u931?\u919? \u932?\u927?\u933? \u917?\u933?\u929?\u937?\u928?\u913?\u938?\u922?\u927?\u933? \u922?\u927?\u921?\u925?\u927?\u914?\u927?\u933?\u923?\u921?\u927?\u933? \u922?\u913?\u921?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rPr>
      <w:rFonts w:ascii="Times New Roman" w:hAnsi="Times New Roman" w:cs="Times New Roman"/>
      <w:sz w:val="24"/>
      <w:lang w:val="el-GR"/>
    </w:rPr>
  </w:style>
  <w:style w:type="character" w:customStyle="1" w:styleId="s6">
    <w:name w:val="s6"/>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rPr>
      <w:rFonts w:ascii="Times New Roman" w:hAnsi="Times New Roman" w:cs="Times New Roman"/>
      <w:sz w:val="24"/>
      <w:lang w:val="el-GR"/>
    </w:rPr>
  </w:style>
  <w:style w:type="character" w:customStyle="1" w:styleId="s6">
    <w:name w:val="s6"/>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C5B8-1CEE-42EC-BC14-245630F6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3072</Words>
  <Characters>17513</Characters>
  <Application>Microsoft Office Word</Application>
  <DocSecurity>0</DocSecurity>
  <Lines>398</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2019-05-29T16:43:00Z</dcterms:created>
  <dcterms:modified xsi:type="dcterms:W3CDTF">2019-06-04T14:43:00Z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