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694F7854-1C98-43D2-AEB0-CFA0F05D99DE" style="width:450.75pt;height:321pt">
            <v:imagedata r:id="rId9" o:title=""/>
          </v:shape>
        </w:pict>
      </w:r>
    </w:p>
    <w:bookmarkEnd w:id="0"/>
    <w:p>
      <w:pPr>
        <w:rPr>
          <w:noProof/>
        </w:rPr>
        <w:sectPr>
          <w:headerReference w:type="even" r:id="rId10"/>
          <w:headerReference w:type="default" r:id="rId11"/>
          <w:footerReference w:type="even" r:id="rId12"/>
          <w:footerReference w:type="default" r:id="rId13"/>
          <w:headerReference w:type="first" r:id="rId14"/>
          <w:footerReference w:type="first" r:id="rId15"/>
          <w:pgSz w:w="11900" w:h="16840"/>
          <w:pgMar w:top="1134" w:right="1417" w:bottom="1134" w:left="1417" w:header="709" w:footer="709" w:gutter="0"/>
          <w:pgNumType w:start="0"/>
          <w:cols w:space="720"/>
          <w:docGrid w:linePitch="326"/>
        </w:sectPr>
      </w:pPr>
    </w:p>
    <w:p>
      <w:pPr>
        <w:pStyle w:val="Body"/>
        <w:pBdr>
          <w:top w:val="single" w:sz="4" w:space="0" w:color="000000"/>
          <w:left w:val="single" w:sz="4" w:space="0" w:color="000000"/>
          <w:bottom w:val="single" w:sz="4" w:space="0" w:color="000000"/>
          <w:right w:val="single" w:sz="4" w:space="0" w:color="000000"/>
        </w:pBdr>
        <w:shd w:val="clear" w:color="auto" w:fill="F2F2F2"/>
        <w:spacing w:after="120" w:line="276" w:lineRule="auto"/>
        <w:jc w:val="both"/>
        <w:rPr>
          <w:rFonts w:ascii="Times New Roman" w:eastAsia="Times New Roman" w:hAnsi="Times New Roman" w:cs="Times New Roman"/>
          <w:b/>
          <w:bCs/>
          <w:noProof/>
          <w:color w:val="auto"/>
          <w:sz w:val="24"/>
          <w:szCs w:val="24"/>
        </w:rPr>
      </w:pPr>
      <w:bookmarkStart w:id="1" w:name="_GoBack"/>
      <w:bookmarkEnd w:id="1"/>
      <w:r>
        <w:rPr>
          <w:rFonts w:ascii="Times New Roman" w:hAnsi="Times New Roman"/>
          <w:b/>
          <w:noProof/>
          <w:color w:val="auto"/>
          <w:sz w:val="24"/>
        </w:rPr>
        <w:lastRenderedPageBreak/>
        <w:t>7. environmentálny akčný program</w:t>
      </w:r>
      <w:r>
        <w:rPr>
          <w:rStyle w:val="FootnoteReference"/>
          <w:rFonts w:ascii="Times New Roman" w:hAnsi="Times New Roman"/>
          <w:b/>
          <w:noProof/>
          <w:color w:val="auto"/>
          <w:sz w:val="24"/>
        </w:rPr>
        <w:footnoteReference w:id="2"/>
      </w:r>
      <w:r>
        <w:rPr>
          <w:rFonts w:ascii="Times New Roman" w:hAnsi="Times New Roman"/>
          <w:b/>
          <w:noProof/>
          <w:color w:val="auto"/>
          <w:sz w:val="24"/>
        </w:rPr>
        <w:t xml:space="preserve"> v skratke</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EÚ schvaľuje environmentálne akčné programy (EAP) s cieľom strategicky usmerňovať a zabezpečovať predvídateľné a koordinované opatrenia v oblasti európskej environmentálnej politiky a politiky v oblasti klímy. 7. environmentálny akčný program (ďalej len „7. EAP“) nadobudol účinnosť v roku 2014 a potrvá do konca roka 2020. Stanovuje sa v ňom vízia do roku 2050</w:t>
      </w:r>
      <w:r>
        <w:rPr>
          <w:noProof/>
          <w:color w:val="auto"/>
          <w:vertAlign w:val="superscript"/>
        </w:rPr>
        <w:footnoteReference w:id="3"/>
      </w:r>
      <w:r>
        <w:rPr>
          <w:noProof/>
          <w:color w:val="auto"/>
        </w:rPr>
        <w:t xml:space="preserve"> spolu s jasnou koncepciou integrovanej environmentálnej politiky, ktorá prispieva k udržateľnému hospodárskemu rastu, zdraviu a blahobytu ľudí. Je v úplnom súlade s myšlienkou cieľov OSN v oblasti trvalo udržateľného rozvoja. </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V programe je stanovených deväť prioritných cieľov opatrení:</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hanging="720"/>
        <w:rPr>
          <w:noProof/>
          <w:color w:val="auto"/>
        </w:rPr>
      </w:pPr>
      <w:r>
        <w:rPr>
          <w:noProof/>
        </w:rPr>
        <w:t>–</w:t>
      </w:r>
      <w:r>
        <w:rPr>
          <w:noProof/>
        </w:rPr>
        <w:tab/>
      </w:r>
      <w:r>
        <w:rPr>
          <w:noProof/>
          <w:color w:val="auto"/>
        </w:rPr>
        <w:t>Tri tematické priority: chrániť, zachovávať a zveľaďovať prírodný kapitál Únie; vytvoriť z Únie nízkouhlíkové ekologické a konkurencieschopné hospodárstvo efektívne využívajúce zdroje; chrániť občanov Únie pred environmentálnymi vplyvmi a rizikami ohrozujúcimi ich zdravie a blahobyt.</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hanging="720"/>
        <w:rPr>
          <w:noProof/>
          <w:color w:val="auto"/>
        </w:rPr>
      </w:pPr>
      <w:r>
        <w:rPr>
          <w:noProof/>
        </w:rPr>
        <w:t>–</w:t>
      </w:r>
      <w:r>
        <w:rPr>
          <w:noProof/>
        </w:rPr>
        <w:tab/>
      </w:r>
      <w:r>
        <w:rPr>
          <w:noProof/>
          <w:color w:val="auto"/>
        </w:rPr>
        <w:t>Štyri takzvané podporné podmienky: lepšie vykonávať právne predpisy; dosiahnuť lepšiu informovanosť prostredníctvom zlepšenia vedomostnej základne; rozumnejšie investovať; začleniť environmentálne aspekty do ostatných politík.</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hanging="720"/>
        <w:rPr>
          <w:noProof/>
          <w:color w:val="auto"/>
        </w:rPr>
      </w:pPr>
      <w:r>
        <w:rPr>
          <w:noProof/>
        </w:rPr>
        <w:t>–</w:t>
      </w:r>
      <w:r>
        <w:rPr>
          <w:noProof/>
        </w:rPr>
        <w:tab/>
      </w:r>
      <w:r>
        <w:rPr>
          <w:noProof/>
          <w:color w:val="auto"/>
        </w:rPr>
        <w:t>Dva horizontálne prioritné ciele: posilniť udržateľnosť miest v Únii a pomôcť Únii riešiť medzinárodné environmentálne a klimatické problémy.</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 xml:space="preserve">V rámci týchto deviatich prioritných cieľov sa v 7. EAP uvádza 36 čiastkových cieľov a 60 konkrétnych opatrení, ktoré má uskutočniť EÚ a jej členské štáty, ako aj podniky, zoskupenia zamestnávateľov a zamestnancov a jednotlivci. </w:t>
      </w:r>
    </w:p>
    <w:p>
      <w:pPr>
        <w:pStyle w:val="ListParagraph"/>
        <w:pBdr>
          <w:top w:val="single" w:sz="4" w:space="0" w:color="000000"/>
          <w:left w:val="single" w:sz="4" w:space="0" w:color="000000"/>
          <w:bottom w:val="single" w:sz="4" w:space="0" w:color="000000"/>
          <w:right w:val="single" w:sz="4" w:space="0" w:color="000000"/>
        </w:pBdr>
        <w:shd w:val="clear" w:color="auto" w:fill="F2F2F2"/>
        <w:spacing w:after="120" w:line="276" w:lineRule="auto"/>
        <w:ind w:left="0"/>
        <w:rPr>
          <w:noProof/>
          <w:color w:val="auto"/>
        </w:rPr>
      </w:pPr>
      <w:r>
        <w:rPr>
          <w:noProof/>
          <w:color w:val="auto"/>
        </w:rPr>
        <w:t>Environmentálne akčné programy sa schvaľujú v súlade s článkom 192 ods. 3 Zmluvy o fungovaní Európskej únie (ZFEÚ) a za ich vykonávanie spoločne zodpovedajú EÚ a členské štáty. V tomto hodnotení sa zohľadňuje správa Európskej environmentálnej agentúry o stave životného prostredia a o konzultáciách so zainteresovanými stranami.</w:t>
      </w:r>
    </w:p>
    <w:p>
      <w:pPr>
        <w:pStyle w:val="ListParagraph"/>
        <w:shd w:val="clear" w:color="auto" w:fill="FFFFFF"/>
        <w:spacing w:after="120" w:line="276" w:lineRule="auto"/>
        <w:ind w:left="0"/>
        <w:rPr>
          <w:noProof/>
          <w:color w:val="auto"/>
          <w:u w:val="single"/>
        </w:rPr>
      </w:pPr>
    </w:p>
    <w:p>
      <w:pPr>
        <w:pStyle w:val="ListParagraph"/>
        <w:numPr>
          <w:ilvl w:val="0"/>
          <w:numId w:val="2"/>
        </w:numPr>
        <w:spacing w:after="120" w:line="276" w:lineRule="auto"/>
        <w:rPr>
          <w:b/>
          <w:bCs/>
          <w:noProof/>
          <w:color w:val="auto"/>
        </w:rPr>
      </w:pPr>
      <w:r>
        <w:rPr>
          <w:b/>
          <w:noProof/>
          <w:color w:val="auto"/>
        </w:rPr>
        <w:t>7. EAP – moderný nástroj riadenia na riešenie súčasných environmentálnych problémov</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Podľa hodnotenia 7. EAP zo strany Komisie sa ukázalo, že program poskytuje strategický rámec, ktorým sa úspešne zaviedla koncepcia environmentálnej politiky ako hnacej sily ekologického rastu, zdravej planéty a väčšieho blahobytu jednotlivcov. Všetky zainteresované strany sa spojili, aby si stanovili priority. To umožňuje EÚ, členským štátom a aktérom na miestnej a regionálnej úrovni vrátane podnikov účinne a efektívne pracovať v oblasti tvorby environmentálnej politiky. Referenčný dokument na úrovni EÚ, na ktorom majú svoj podiel všetky strany, prispel k väčšej súdržnosti a odhodlaniu v oblasti environmentálnych politík a opatrení EÚ a členských štátov zameraných na zlepšenie stavu životného prostredia a blahobytu jednotlivcov. </w:t>
      </w:r>
    </w:p>
    <w:p>
      <w:pPr>
        <w:pStyle w:val="ListParagraph"/>
        <w:shd w:val="clear" w:color="auto" w:fill="FFFFFF"/>
        <w:spacing w:after="120" w:line="276" w:lineRule="auto"/>
        <w:ind w:left="0"/>
        <w:rPr>
          <w:noProof/>
          <w:color w:val="auto"/>
        </w:rPr>
      </w:pPr>
      <w:r>
        <w:rPr>
          <w:noProof/>
          <w:color w:val="auto"/>
        </w:rPr>
        <w:t>V rámci 7. EAP sa zvýšilo všeobecné povedomie o tom, že ochrana životného prostredia ide ruka v ruke s udržateľným hospodárskym modelom, v ktorom sa vytvárajú pracovné miesta a prosperita. Environmentálna politika EÚ sa vyvinula z cielených regulačných zásahov na silnejšie zameranie na začlenenie environmentálneho hľadiska do ďalších odvetvových politík so širšou perspektívou udržateľnosti napríklad v podobe balíka predpisov o obehovom hospodárstve</w:t>
      </w:r>
      <w:r>
        <w:rPr>
          <w:rStyle w:val="FootnoteReference"/>
          <w:noProof/>
          <w:color w:val="auto"/>
        </w:rPr>
        <w:footnoteReference w:id="4"/>
      </w:r>
      <w:r>
        <w:rPr>
          <w:noProof/>
          <w:color w:val="auto"/>
        </w:rPr>
        <w:t>, rámca politík v oblasti klímy a energetiky na obdobie do roku 2030</w:t>
      </w:r>
      <w:r>
        <w:rPr>
          <w:rStyle w:val="FootnoteReference"/>
          <w:noProof/>
          <w:color w:val="auto"/>
        </w:rPr>
        <w:footnoteReference w:id="5"/>
      </w:r>
      <w:r>
        <w:rPr>
          <w:noProof/>
          <w:color w:val="auto"/>
        </w:rPr>
        <w:t>, stratégie pre biohospodárstvo</w:t>
      </w:r>
      <w:r>
        <w:rPr>
          <w:rStyle w:val="FootnoteReference"/>
          <w:noProof/>
          <w:color w:val="auto"/>
        </w:rPr>
        <w:footnoteReference w:id="6"/>
      </w:r>
      <w:r>
        <w:rPr>
          <w:noProof/>
          <w:color w:val="auto"/>
        </w:rPr>
        <w:t xml:space="preserve"> a akčného plánu financovania udržateľného rastu</w:t>
      </w:r>
      <w:r>
        <w:rPr>
          <w:rStyle w:val="FootnoteReference"/>
          <w:noProof/>
          <w:color w:val="auto"/>
        </w:rPr>
        <w:footnoteReference w:id="7"/>
      </w:r>
      <w:r>
        <w:rPr>
          <w:noProof/>
          <w:color w:val="auto"/>
        </w:rPr>
        <w:t xml:space="preserve">. Konsenzus, ktorý sa dosiahol v súvislosti so 7. EAP, pomohol Európe vystupovať jednotne v globálnom kontexte multilaterálnej spolupráce, napríklad v rámci Agendy 2030 pre udržateľný rozvoj a Parížskej dohody na boj proti zmene klímy.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V pravidelných správach o stave životného prostredia v Európe sa poukazuje na určité zlepšenie</w:t>
      </w:r>
      <w:r>
        <w:rPr>
          <w:rFonts w:ascii="Times New Roman" w:hAnsi="Times New Roman"/>
          <w:noProof/>
          <w:color w:val="auto"/>
          <w:sz w:val="24"/>
          <w:vertAlign w:val="superscript"/>
        </w:rPr>
        <w:footnoteReference w:id="8"/>
      </w:r>
      <w:r>
        <w:rPr>
          <w:rFonts w:ascii="Times New Roman" w:hAnsi="Times New Roman"/>
          <w:noProof/>
          <w:color w:val="auto"/>
          <w:sz w:val="24"/>
        </w:rPr>
        <w:t>. EÚ pravdepodobne splní svoje ciele do roku 2020 v oblasti skleníkových plynov a obnoviteľnej energie a stanovila si ambiciózne ciele do roku 2030</w:t>
      </w:r>
      <w:r>
        <w:rPr>
          <w:rStyle w:val="FootnoteReference"/>
          <w:rFonts w:ascii="Times New Roman" w:hAnsi="Times New Roman"/>
          <w:noProof/>
          <w:color w:val="auto"/>
          <w:sz w:val="24"/>
        </w:rPr>
        <w:footnoteReference w:id="9"/>
      </w:r>
      <w:r>
        <w:rPr>
          <w:rFonts w:ascii="Times New Roman" w:hAnsi="Times New Roman"/>
          <w:noProof/>
          <w:color w:val="auto"/>
          <w:sz w:val="24"/>
        </w:rPr>
        <w:t>. Na splnenie cieľov v oblasti energetickej efektívnosti je potrebné ďalšie úsilie</w:t>
      </w:r>
      <w:r>
        <w:rPr>
          <w:rStyle w:val="FootnoteReference"/>
          <w:rFonts w:ascii="Times New Roman" w:hAnsi="Times New Roman"/>
          <w:noProof/>
          <w:color w:val="auto"/>
          <w:sz w:val="24"/>
        </w:rPr>
        <w:footnoteReference w:id="10"/>
      </w:r>
      <w:r>
        <w:rPr>
          <w:rFonts w:ascii="Times New Roman" w:hAnsi="Times New Roman"/>
          <w:noProof/>
          <w:color w:val="auto"/>
          <w:sz w:val="24"/>
        </w:rPr>
        <w:t>. Komisia okrem toho predstavila svoju víziu aktualizovanej stratégie EÚ pre biohospodárstvo a klimaticky neutrálneho hospodárstva EÚ do roku 2050 v súlade s Parížskou dohodou</w:t>
      </w:r>
      <w:r>
        <w:rPr>
          <w:rStyle w:val="FootnoteReference"/>
          <w:rFonts w:ascii="Times New Roman" w:hAnsi="Times New Roman"/>
          <w:noProof/>
          <w:color w:val="auto"/>
          <w:sz w:val="24"/>
        </w:rPr>
        <w:footnoteReference w:id="11"/>
      </w:r>
      <w:r>
        <w:rPr>
          <w:rFonts w:ascii="Times New Roman" w:hAnsi="Times New Roman"/>
          <w:noProof/>
          <w:color w:val="auto"/>
          <w:sz w:val="24"/>
        </w:rPr>
        <w:t xml:space="preserve">. Podniky profitujú z obehového hospodárstva, financovanie v oblasti klímy a životného prostredia z verejného a súkromného sektora sa zvyšuje, obhospodarovanie lesov v Európe je udržateľnejšie a kvalita vody na kúpanie sa zvyšuje.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Hlavné problémy však pretrvávajú a objavujú sa nové</w:t>
      </w:r>
      <w:r>
        <w:rPr>
          <w:noProof/>
          <w:color w:val="auto"/>
          <w:vertAlign w:val="superscript"/>
        </w:rPr>
        <w:footnoteReference w:id="12"/>
      </w:r>
      <w:r>
        <w:rPr>
          <w:rFonts w:ascii="Times New Roman" w:hAnsi="Times New Roman"/>
          <w:noProof/>
          <w:color w:val="auto"/>
          <w:sz w:val="24"/>
        </w:rPr>
        <w:t xml:space="preserve">. Čelíme globálnej ekologickej kríze – približujeme sa k hraniciam možností našej planéty a v niektorých oblastiach ich už prekračujeme. Komisia vo svojom diskusnom dokumente </w:t>
      </w:r>
      <w:r>
        <w:rPr>
          <w:rFonts w:ascii="Times New Roman" w:hAnsi="Times New Roman"/>
          <w:i/>
          <w:noProof/>
          <w:color w:val="auto"/>
          <w:sz w:val="24"/>
        </w:rPr>
        <w:t>„Smerom k udržateľnej Európe do roku 2030“</w:t>
      </w:r>
      <w:r>
        <w:rPr>
          <w:rFonts w:ascii="Times New Roman" w:hAnsi="Times New Roman"/>
          <w:noProof/>
          <w:color w:val="auto"/>
          <w:sz w:val="24"/>
        </w:rPr>
        <w:t xml:space="preserve"> priznáva náš ekologický dlh ako hlavný deficit Európy v oblasti udržateľnosti</w:t>
      </w:r>
      <w:r>
        <w:rPr>
          <w:noProof/>
          <w:color w:val="auto"/>
          <w:vertAlign w:val="superscript"/>
        </w:rPr>
        <w:footnoteReference w:id="13"/>
      </w:r>
      <w:r>
        <w:rPr>
          <w:rFonts w:ascii="Times New Roman" w:hAnsi="Times New Roman"/>
          <w:noProof/>
          <w:color w:val="auto"/>
          <w:sz w:val="24"/>
        </w:rPr>
        <w:t>. Táto environmentálna kríza má priamy vplyv na zdravie jednotlivcov. V mnohých mestách v Európe sa nedodržiavajú spoločne dohodnuté a právne záväzné normy kvality ovzdušia</w:t>
      </w:r>
      <w:r>
        <w:rPr>
          <w:noProof/>
          <w:color w:val="auto"/>
          <w:vertAlign w:val="superscript"/>
        </w:rPr>
        <w:footnoteReference w:id="14"/>
      </w:r>
      <w:r>
        <w:rPr>
          <w:rFonts w:ascii="Times New Roman" w:hAnsi="Times New Roman"/>
          <w:noProof/>
          <w:color w:val="auto"/>
          <w:sz w:val="24"/>
        </w:rPr>
        <w:t xml:space="preserve">. EÚ neplní svoj cieľ zastaviť stratu biodiverzity do roku 2020 a obnoviť potenciál ekosystémov tak, aby slúžili svojmu účelu. Ekologické vplyvy odvetvia mobility a potravinového systému je naďalej príliš vysoký.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Ak chceme tento negatívny trend zastaviť, vyžaduje si to predovšetkým neustále úsilie o uplatňovanie existujúcich právnych predpisov</w:t>
      </w:r>
      <w:r>
        <w:rPr>
          <w:noProof/>
          <w:color w:val="auto"/>
          <w:vertAlign w:val="superscript"/>
        </w:rPr>
        <w:footnoteReference w:id="15"/>
      </w:r>
      <w:r>
        <w:rPr>
          <w:rFonts w:ascii="Times New Roman" w:hAnsi="Times New Roman"/>
          <w:noProof/>
          <w:color w:val="auto"/>
          <w:sz w:val="24"/>
        </w:rPr>
        <w:t xml:space="preserve">. Hoci nás tieto opatrenia niečo stoja a vyžadujú si značné spoločné úsilie, náklady vyplývajúce z nečinnosti a s ňou súvisiacich sociálnych dôsledkov by boli omnoho vyššie.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V tejto súvislosti zohráva 7. EAP dôležitú úlohu ako nástroj riadenia v oblasti tvorby environmentálnej politiky v Európe. V tomto hodnotení sa poukazuje na najväčšie úspechy aj nedostatky programu. Na základe tejto analýzy sa v ňom určujú najdôležitejšie nadobudnuté skúsenosti. Celkovo sa v tejto fáze implementácie nepodarilo vykonať všetky opatrenia. Hoci možno všeobecne hovoriť o pokroku – v niektorých oblastiach nad rámec 7. EAP – sa musia jednoznačne prijať ďalšie záväzky.</w:t>
      </w:r>
    </w:p>
    <w:p>
      <w:pPr>
        <w:pStyle w:val="Body"/>
        <w:spacing w:after="120" w:line="276" w:lineRule="auto"/>
        <w:jc w:val="both"/>
        <w:rPr>
          <w:rFonts w:ascii="Times New Roman" w:eastAsia="Times New Roman" w:hAnsi="Times New Roman" w:cs="Times New Roman"/>
          <w:noProof/>
          <w:color w:val="auto"/>
          <w:sz w:val="24"/>
          <w:szCs w:val="24"/>
        </w:rPr>
      </w:pPr>
    </w:p>
    <w:p>
      <w:pPr>
        <w:pStyle w:val="ListParagraph"/>
        <w:numPr>
          <w:ilvl w:val="0"/>
          <w:numId w:val="2"/>
        </w:numPr>
        <w:spacing w:after="120" w:line="276" w:lineRule="auto"/>
        <w:rPr>
          <w:b/>
          <w:bCs/>
          <w:noProof/>
          <w:color w:val="auto"/>
        </w:rPr>
      </w:pPr>
      <w:r>
        <w:rPr>
          <w:b/>
          <w:noProof/>
          <w:color w:val="auto"/>
        </w:rPr>
        <w:t xml:space="preserve">Získané skúsenosti </w:t>
      </w:r>
    </w:p>
    <w:p>
      <w:pPr>
        <w:spacing w:after="120" w:line="276" w:lineRule="auto"/>
        <w:ind w:right="27"/>
        <w:rPr>
          <w:noProof/>
        </w:rPr>
      </w:pPr>
      <w:r>
        <w:rPr>
          <w:noProof/>
        </w:rPr>
        <w:t>V tomto hodnotení 7. EAP sa identifikovalo niekoľko hodnotných skúseností, ktoré sa využijú v budúcom environmentálnom akčnom programe.</w:t>
      </w:r>
    </w:p>
    <w:p>
      <w:pPr>
        <w:pStyle w:val="ListParagraph"/>
        <w:numPr>
          <w:ilvl w:val="0"/>
          <w:numId w:val="4"/>
        </w:numPr>
        <w:spacing w:after="120" w:line="276" w:lineRule="auto"/>
        <w:ind w:right="27"/>
        <w:rPr>
          <w:noProof/>
          <w:color w:val="auto"/>
        </w:rPr>
      </w:pPr>
      <w:r>
        <w:rPr>
          <w:b/>
          <w:noProof/>
          <w:color w:val="auto"/>
        </w:rPr>
        <w:t xml:space="preserve">Stratégia v oblasti tvorby environmentálnej politiky EÚ je pridanou hodnotou. </w:t>
      </w:r>
      <w:r>
        <w:rPr>
          <w:noProof/>
          <w:color w:val="auto"/>
        </w:rPr>
        <w:t xml:space="preserve">7. EAP je vnímaný ako spoľahlivá stratégia s pevným prepojením na vnútroštátne environmentálne stratégie. Mnohé členské štáty prijali 7. EAP ako koncepciu vo svojich stratégiách environmentálnej politiky alebo osobitných opatreniach. V dôsledku toho predstavuje 7. EAP pomoc pri poskytovaní predvídateľnejších, rýchlejších a lepšie koordinovaných opatrení v environmentálnej politike. Vďaka predvídateľnosti sme boli schopní tieto opatrenia zrealizovať. </w:t>
      </w:r>
    </w:p>
    <w:p>
      <w:pPr>
        <w:pStyle w:val="ListParagraph"/>
        <w:numPr>
          <w:ilvl w:val="0"/>
          <w:numId w:val="4"/>
        </w:numPr>
        <w:spacing w:after="120" w:line="276" w:lineRule="auto"/>
        <w:ind w:right="27"/>
        <w:rPr>
          <w:noProof/>
          <w:color w:val="auto"/>
        </w:rPr>
      </w:pPr>
      <w:r>
        <w:rPr>
          <w:b/>
          <w:noProof/>
          <w:color w:val="auto"/>
        </w:rPr>
        <w:t>7. EAP je vo všeobecnosti v súlade s postupmi dobrej verejnej správy</w:t>
      </w:r>
      <w:r>
        <w:rPr>
          <w:noProof/>
          <w:color w:val="auto"/>
        </w:rPr>
        <w:t xml:space="preserve">. Programu nechýba pevný analytický základ a politický záväzok, má primerané zdroje, jasnú víziu, zámery a ciele; okrem toho je zabezpečené monitorovanie, neustále vzdelávanie a zlepšovanie. Mohol však využiť </w:t>
      </w:r>
      <w:r>
        <w:rPr>
          <w:b/>
          <w:noProof/>
          <w:color w:val="auto"/>
        </w:rPr>
        <w:t>strategickejšie opatrenia</w:t>
      </w:r>
      <w:r>
        <w:rPr>
          <w:noProof/>
          <w:color w:val="auto"/>
        </w:rPr>
        <w:t xml:space="preserve">, ktoré by mali byť </w:t>
      </w:r>
      <w:r>
        <w:rPr>
          <w:b/>
          <w:noProof/>
          <w:color w:val="auto"/>
        </w:rPr>
        <w:t>čo najkonkrétnejšie a umožňovať hodnotenie v porovnaní s predchádzajúcim stavom</w:t>
      </w:r>
      <w:r>
        <w:rPr>
          <w:noProof/>
          <w:color w:val="auto"/>
        </w:rPr>
        <w:t xml:space="preserve">, ako aj </w:t>
      </w:r>
      <w:r>
        <w:rPr>
          <w:b/>
          <w:noProof/>
          <w:color w:val="auto"/>
        </w:rPr>
        <w:t xml:space="preserve">lepšie stanovenie priorít na základe obmedzeného súboru opatrení </w:t>
      </w:r>
      <w:r>
        <w:rPr>
          <w:noProof/>
          <w:color w:val="auto"/>
        </w:rPr>
        <w:t>na rozdiel od zahrnutia veľkého rozsahu pravidiel EÚ v oblasti životného prostredia.</w:t>
      </w:r>
      <w:r>
        <w:rPr>
          <w:b/>
          <w:noProof/>
          <w:color w:val="auto"/>
        </w:rPr>
        <w:t xml:space="preserve"> </w:t>
      </w:r>
      <w:r>
        <w:rPr>
          <w:noProof/>
          <w:color w:val="auto"/>
        </w:rPr>
        <w:t xml:space="preserve">Programu by okrem toho prospel </w:t>
      </w:r>
      <w:r>
        <w:rPr>
          <w:b/>
          <w:noProof/>
          <w:color w:val="auto"/>
        </w:rPr>
        <w:t>monitorovací mechanizmus</w:t>
      </w:r>
      <w:r>
        <w:rPr>
          <w:noProof/>
          <w:color w:val="auto"/>
        </w:rPr>
        <w:t xml:space="preserve"> na zabezpečenie prevzatia zodpovednosti za záväzky a ich plnenie, ako aj jasné a dohodnuté</w:t>
      </w:r>
      <w:r>
        <w:rPr>
          <w:b/>
          <w:noProof/>
          <w:color w:val="auto"/>
        </w:rPr>
        <w:t xml:space="preserve"> ukazovatele</w:t>
      </w:r>
      <w:r>
        <w:rPr>
          <w:noProof/>
          <w:color w:val="auto"/>
        </w:rPr>
        <w:t xml:space="preserve"> na meranie pokroku vo vykonávaní opatrení. </w:t>
      </w:r>
    </w:p>
    <w:p>
      <w:pPr>
        <w:pStyle w:val="ListParagraph"/>
        <w:numPr>
          <w:ilvl w:val="0"/>
          <w:numId w:val="4"/>
        </w:numPr>
        <w:spacing w:after="120" w:line="276" w:lineRule="auto"/>
        <w:ind w:right="27"/>
        <w:rPr>
          <w:noProof/>
          <w:color w:val="auto"/>
        </w:rPr>
      </w:pPr>
      <w:r>
        <w:rPr>
          <w:b/>
          <w:noProof/>
          <w:color w:val="auto"/>
        </w:rPr>
        <w:t>Široká účasť zainteresovaných strán je kľúčová</w:t>
      </w:r>
      <w:r>
        <w:rPr>
          <w:noProof/>
          <w:color w:val="auto"/>
        </w:rPr>
        <w:t xml:space="preserve"> pred začatím EAP aj v priebehu jeho vykonávania. Zvyšuje sa ňou zapojenie účastníkov do programu a z neho vyplývajúcich opatrení. 7. EAP bol sformulovaný v rámci rozsiahleho konzultačného procesu a prijatý </w:t>
      </w:r>
      <w:r>
        <w:rPr>
          <w:noProof/>
        </w:rPr>
        <w:t>riadnym legislatívnym postupom</w:t>
      </w:r>
      <w:r>
        <w:rPr>
          <w:noProof/>
          <w:color w:val="auto"/>
        </w:rPr>
        <w:t xml:space="preserve"> (spolurozhodovací postup). To viedlo k výraznejšiemu zapojeniu rôznych zainteresovaných strán a subjektov s rozhodovacími právomocami. Táto úroveň aktívnej účasti spred začatia uplatňovania programu sa však mohla zachovať aj počas celého priebehu jeho vykonávania. </w:t>
      </w:r>
    </w:p>
    <w:p>
      <w:pPr>
        <w:pStyle w:val="ListParagraph"/>
        <w:numPr>
          <w:ilvl w:val="0"/>
          <w:numId w:val="4"/>
        </w:numPr>
        <w:spacing w:after="120" w:line="276" w:lineRule="auto"/>
        <w:ind w:right="27"/>
        <w:rPr>
          <w:noProof/>
          <w:color w:val="auto"/>
        </w:rPr>
      </w:pPr>
      <w:r>
        <w:rPr>
          <w:b/>
          <w:noProof/>
          <w:color w:val="auto"/>
        </w:rPr>
        <w:t xml:space="preserve">7. EAP je z veľkej časti v súlade s politickým programom v Európe aj v rámci celého sveta. </w:t>
      </w:r>
      <w:r>
        <w:rPr>
          <w:noProof/>
          <w:color w:val="auto"/>
        </w:rPr>
        <w:t>Mohlo sa však urobiť viac v oblasti začlenenia environmentálnych požiadaviek do iných oblastí politiky EÚ.</w:t>
      </w:r>
      <w:r>
        <w:rPr>
          <w:b/>
          <w:noProof/>
          <w:color w:val="auto"/>
        </w:rPr>
        <w:t xml:space="preserve"> </w:t>
      </w:r>
      <w:r>
        <w:rPr>
          <w:noProof/>
          <w:color w:val="auto"/>
        </w:rPr>
        <w:t xml:space="preserve">Zainteresované strany súhlasia s tým, že environmentálne akčné programy by mali byť plne </w:t>
      </w:r>
      <w:r>
        <w:rPr>
          <w:b/>
          <w:noProof/>
          <w:color w:val="auto"/>
        </w:rPr>
        <w:t>v súlade s politickými prioritami inštitúcií EÚ</w:t>
      </w:r>
      <w:r>
        <w:rPr>
          <w:noProof/>
          <w:color w:val="auto"/>
        </w:rPr>
        <w:t xml:space="preserve">, pričom sa zaručí ich politická zodpovednosť. To sa mohlo dosiahnuť vo väčšej miere prepojením obdobia uplatňovania EAP s volebným obdobím Parlamentu v EÚ, ako aj s ďalšími kľúčovými dlhodobými strategickými rámcami, ako sú Parížska dohoda a Agenda 2030 pre udržateľný rozvoj. </w:t>
      </w:r>
    </w:p>
    <w:p>
      <w:pPr>
        <w:pStyle w:val="ListParagraph"/>
        <w:shd w:val="clear" w:color="auto" w:fill="FFFFFF"/>
        <w:spacing w:after="120" w:line="276" w:lineRule="auto"/>
        <w:ind w:left="0"/>
        <w:rPr>
          <w:noProof/>
          <w:color w:val="auto"/>
        </w:rPr>
      </w:pPr>
    </w:p>
    <w:p>
      <w:pPr>
        <w:pStyle w:val="ListParagraph"/>
        <w:numPr>
          <w:ilvl w:val="0"/>
          <w:numId w:val="5"/>
        </w:numPr>
        <w:spacing w:after="120" w:line="276" w:lineRule="auto"/>
        <w:rPr>
          <w:b/>
          <w:bCs/>
          <w:noProof/>
          <w:color w:val="auto"/>
        </w:rPr>
      </w:pPr>
      <w:r>
        <w:rPr>
          <w:b/>
          <w:noProof/>
          <w:color w:val="auto"/>
        </w:rPr>
        <w:t>Metodika hodnotenia</w:t>
      </w:r>
    </w:p>
    <w:p>
      <w:pPr>
        <w:pStyle w:val="Body"/>
        <w:spacing w:before="200" w:after="120" w:line="276" w:lineRule="auto"/>
        <w:jc w:val="both"/>
        <w:rPr>
          <w:rFonts w:ascii="Times New Roman" w:hAnsi="Times New Roman"/>
          <w:noProof/>
          <w:color w:val="auto"/>
          <w:sz w:val="24"/>
          <w:szCs w:val="24"/>
          <w:u w:color="333333"/>
        </w:rPr>
      </w:pPr>
      <w:r>
        <w:rPr>
          <w:rFonts w:ascii="Times New Roman" w:hAnsi="Times New Roman"/>
          <w:noProof/>
          <w:color w:val="auto"/>
          <w:sz w:val="24"/>
          <w:u w:color="333333"/>
        </w:rPr>
        <w:t>V tomto hodnotení sa skúma, do akej miery štruktúra, forma a strategická úloha dohodnutého rámca opatrení pomohli zabezpečiť lepšiu environmentálnu politiku a politiku v oblasti klímy v Európe. Týmto spôsobom sme preskúmali, v čom spočíva dobrá stratégia a do akej miery 7. EAP spĺňa tieto kritériá úspechu. Celkové závery sú založené na tejto analýze spolu s posúdením dosiahnutých cieľov a prijatých opatrení a zároveň sú v nich zohľadnené zásady lepšej regulácie Komisie</w:t>
      </w:r>
      <w:r>
        <w:rPr>
          <w:rStyle w:val="FootnoteReference"/>
          <w:rFonts w:ascii="Times New Roman" w:hAnsi="Times New Roman"/>
          <w:noProof/>
          <w:color w:val="auto"/>
          <w:sz w:val="24"/>
          <w:u w:color="333333"/>
        </w:rPr>
        <w:footnoteReference w:id="16"/>
      </w:r>
      <w:r>
        <w:rPr>
          <w:rFonts w:ascii="Times New Roman" w:hAnsi="Times New Roman"/>
          <w:noProof/>
          <w:color w:val="auto"/>
          <w:sz w:val="24"/>
          <w:u w:color="333333"/>
        </w:rPr>
        <w:t xml:space="preserve">. </w:t>
      </w:r>
    </w:p>
    <w:p>
      <w:pPr>
        <w:pStyle w:val="Body"/>
        <w:spacing w:before="200" w:after="120" w:line="276" w:lineRule="auto"/>
        <w:jc w:val="both"/>
        <w:rPr>
          <w:rFonts w:ascii="Times New Roman" w:hAnsi="Times New Roman"/>
          <w:noProof/>
          <w:color w:val="auto"/>
          <w:sz w:val="24"/>
          <w:szCs w:val="24"/>
          <w:u w:color="333333"/>
        </w:rPr>
      </w:pPr>
      <w:r>
        <w:rPr>
          <w:rFonts w:ascii="Times New Roman" w:hAnsi="Times New Roman"/>
          <w:noProof/>
          <w:color w:val="auto"/>
          <w:sz w:val="24"/>
          <w:u w:color="333333"/>
        </w:rPr>
        <w:t xml:space="preserve">V hodnotení sa v maximálnej možnej miere zohľadňuje pokrok dosiahnutý v praxi v podobe čistejšieho ovzdušia a vody, lepšieho nakladania s odpadom, nižšieho vystavenia účinkom toxických látok atď., pričom sa vychádza najmä zo správ Európskej environmentálnej agentúry. Vzhľadom na to, že vo všeobecnosti trvá viac ako päť rokov, kým sa environmentálny pokrok prejaví, a že je zložité pripísať ho konkrétnemu EAP, cieľom tohto hodnotenia je preskúmať pridanú hodnotu strategického rámca a spoločne odsúhlasených priorít v rámci smerovania v oblasti tvorby environmentálnej politiky EÚ. </w:t>
      </w:r>
    </w:p>
    <w:p>
      <w:pPr>
        <w:pStyle w:val="Body"/>
        <w:spacing w:before="200"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u w:color="333333"/>
        </w:rPr>
        <w:t xml:space="preserve">7. EAP je navyše jednou z viacerých hybných síl environmentálnej politiky; nie je jednoduché zistiť, ako mierou k nej prispela každá z nich. V tomto hodnotení sa zvolil prístup predloženia súboru hodnotiacich otázok bez toho, aby sa vychádzalo z konkrétneho EAP. </w:t>
      </w:r>
      <w:r>
        <w:rPr>
          <w:rFonts w:ascii="Times New Roman" w:hAnsi="Times New Roman"/>
          <w:noProof/>
          <w:color w:val="auto"/>
          <w:sz w:val="24"/>
        </w:rPr>
        <w:t xml:space="preserve">Hodnotenie 7. EAP zahŕňa úspechy dosiahnuté v rokoch 2014 – 2018 a vychádza z viacerých štúdií, konzultácií a preskúmaní, ktoré sa zaoberali doterajším pokrokom v rámci programu. </w:t>
      </w:r>
    </w:p>
    <w:p>
      <w:pPr>
        <w:pStyle w:val="Body"/>
        <w:spacing w:before="200"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Patria sem:</w:t>
      </w:r>
    </w:p>
    <w:p>
      <w:pPr>
        <w:pStyle w:val="ListParagraph"/>
        <w:numPr>
          <w:ilvl w:val="0"/>
          <w:numId w:val="7"/>
        </w:numPr>
        <w:spacing w:before="200" w:after="120" w:line="276" w:lineRule="auto"/>
        <w:rPr>
          <w:noProof/>
          <w:color w:val="auto"/>
        </w:rPr>
      </w:pPr>
      <w:r>
        <w:rPr>
          <w:noProof/>
          <w:color w:val="auto"/>
        </w:rPr>
        <w:t>konzultácia so zainteresovanými stranami (verejná konzultácia online, verejné semináre a cielená konzultácia),</w:t>
      </w:r>
    </w:p>
    <w:p>
      <w:pPr>
        <w:pStyle w:val="ListParagraph"/>
        <w:numPr>
          <w:ilvl w:val="0"/>
          <w:numId w:val="7"/>
        </w:numPr>
        <w:spacing w:before="200" w:after="120" w:line="276" w:lineRule="auto"/>
        <w:rPr>
          <w:noProof/>
          <w:color w:val="auto"/>
        </w:rPr>
      </w:pPr>
      <w:r>
        <w:rPr>
          <w:noProof/>
          <w:color w:val="auto"/>
        </w:rPr>
        <w:t>preskúmanie vykonávania environmentálnych právnych predpisov Komisiou</w:t>
      </w:r>
      <w:r>
        <w:rPr>
          <w:rStyle w:val="FootnoteReference"/>
          <w:noProof/>
          <w:color w:val="auto"/>
        </w:rPr>
        <w:footnoteReference w:id="17"/>
      </w:r>
      <w:r>
        <w:rPr>
          <w:noProof/>
          <w:color w:val="auto"/>
        </w:rPr>
        <w:t>,</w:t>
      </w:r>
    </w:p>
    <w:p>
      <w:pPr>
        <w:pStyle w:val="ListParagraph"/>
        <w:numPr>
          <w:ilvl w:val="0"/>
          <w:numId w:val="7"/>
        </w:numPr>
        <w:spacing w:before="200" w:after="120" w:line="276" w:lineRule="auto"/>
        <w:rPr>
          <w:noProof/>
          <w:color w:val="auto"/>
        </w:rPr>
      </w:pPr>
      <w:r>
        <w:rPr>
          <w:noProof/>
          <w:color w:val="auto"/>
        </w:rPr>
        <w:t>výročné správy o ukazovateľoch stavu životného prostredia Európskej environmentálnej agentúry (2016 – 2018)</w:t>
      </w:r>
      <w:r>
        <w:rPr>
          <w:rStyle w:val="FootnoteReference"/>
          <w:noProof/>
          <w:color w:val="auto"/>
        </w:rPr>
        <w:footnoteReference w:id="18"/>
      </w:r>
      <w:r>
        <w:rPr>
          <w:noProof/>
          <w:color w:val="auto"/>
        </w:rPr>
        <w:t xml:space="preserve">, </w:t>
      </w:r>
    </w:p>
    <w:p>
      <w:pPr>
        <w:pStyle w:val="ListParagraph"/>
        <w:numPr>
          <w:ilvl w:val="0"/>
          <w:numId w:val="7"/>
        </w:numPr>
        <w:spacing w:before="200" w:after="120" w:line="276" w:lineRule="auto"/>
        <w:rPr>
          <w:noProof/>
          <w:color w:val="auto"/>
        </w:rPr>
      </w:pPr>
      <w:r>
        <w:rPr>
          <w:noProof/>
          <w:color w:val="auto"/>
        </w:rPr>
        <w:t>správy Európskeho parlamentu a Výboru regiónov vrátane posúdenia vykonávania 7. EAP zo strany Európskeho parlamentu (november 2017)</w:t>
      </w:r>
      <w:r>
        <w:rPr>
          <w:rStyle w:val="FootnoteReference"/>
          <w:noProof/>
          <w:color w:val="auto"/>
        </w:rPr>
        <w:footnoteReference w:id="19"/>
      </w:r>
      <w:r>
        <w:rPr>
          <w:noProof/>
          <w:color w:val="auto"/>
        </w:rPr>
        <w:t xml:space="preserve">. </w:t>
      </w:r>
    </w:p>
    <w:p>
      <w:pPr>
        <w:pStyle w:val="ListParagraph"/>
        <w:spacing w:before="200" w:after="120" w:line="276" w:lineRule="auto"/>
        <w:rPr>
          <w:noProof/>
          <w:color w:val="auto"/>
        </w:rPr>
      </w:pPr>
    </w:p>
    <w:p>
      <w:pPr>
        <w:pStyle w:val="ListParagraph"/>
        <w:numPr>
          <w:ilvl w:val="0"/>
          <w:numId w:val="8"/>
        </w:numPr>
        <w:spacing w:after="120" w:line="276" w:lineRule="auto"/>
        <w:rPr>
          <w:b/>
          <w:bCs/>
          <w:noProof/>
          <w:color w:val="auto"/>
        </w:rPr>
      </w:pPr>
      <w:r>
        <w:rPr>
          <w:b/>
          <w:noProof/>
          <w:color w:val="auto"/>
        </w:rPr>
        <w:t>Zhrnutie analýzy</w:t>
      </w:r>
    </w:p>
    <w:p>
      <w:pPr>
        <w:spacing w:before="200" w:after="120" w:line="276" w:lineRule="auto"/>
        <w:rPr>
          <w:noProof/>
        </w:rPr>
      </w:pPr>
      <w:r>
        <w:rPr>
          <w:noProof/>
        </w:rPr>
        <w:t>Na základe podrobnej analýzy možno vyvodiť nasledujúce závery o tom, ako sa v rámci 7. EAP darilo plniť kritériá lepšej právnej regulácie</w:t>
      </w:r>
      <w:r>
        <w:rPr>
          <w:noProof/>
          <w:vertAlign w:val="superscript"/>
        </w:rPr>
        <w:footnoteReference w:id="20"/>
      </w:r>
      <w:r>
        <w:rPr>
          <w:noProof/>
        </w:rPr>
        <w:t xml:space="preserve"> v oblasti dobrej verejnej správy. </w:t>
      </w:r>
    </w:p>
    <w:p>
      <w:pPr>
        <w:pStyle w:val="ListParagraph"/>
        <w:numPr>
          <w:ilvl w:val="0"/>
          <w:numId w:val="12"/>
        </w:numPr>
        <w:spacing w:after="120" w:line="276" w:lineRule="auto"/>
        <w:rPr>
          <w:noProof/>
          <w:color w:val="auto"/>
        </w:rPr>
      </w:pPr>
      <w:bookmarkStart w:id="2" w:name="_ftnref16"/>
      <w:bookmarkEnd w:id="2"/>
      <w:r>
        <w:rPr>
          <w:b/>
          <w:noProof/>
          <w:color w:val="auto"/>
        </w:rPr>
        <w:t>Účinnosť: Dosiahli sme určitý pokrok v dosahovaní cieľov 7. EAP. 7. EAP prispel k prijímaniu predvídateľnejších, rýchlejších a lepšie koordinovaných opatrení v environmentálnej politike. Predvídateľnosť nám pomohla s ich vykonávaním</w:t>
      </w:r>
      <w:r>
        <w:rPr>
          <w:noProof/>
          <w:color w:val="auto"/>
        </w:rPr>
        <w:t xml:space="preserv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V analýze vykonávania 60 opatrení uvedených v 7. EAP Komisia vyvodila závery, že sa podarilo dosiahnuť </w:t>
      </w:r>
      <w:r>
        <w:rPr>
          <w:rFonts w:ascii="Times New Roman" w:hAnsi="Times New Roman"/>
          <w:i/>
          <w:noProof/>
          <w:color w:val="auto"/>
          <w:sz w:val="24"/>
        </w:rPr>
        <w:t>určitý pokrok</w:t>
      </w:r>
      <w:r>
        <w:rPr>
          <w:rFonts w:ascii="Times New Roman" w:hAnsi="Times New Roman"/>
          <w:noProof/>
          <w:color w:val="auto"/>
          <w:sz w:val="24"/>
        </w:rPr>
        <w:t xml:space="preserve"> v dosahovaní cieľov (hodnotenie 3 na stupnici od 1 do 5</w:t>
      </w:r>
      <w:r>
        <w:rPr>
          <w:rFonts w:ascii="Times New Roman" w:hAnsi="Times New Roman"/>
          <w:noProof/>
          <w:color w:val="auto"/>
          <w:sz w:val="24"/>
          <w:vertAlign w:val="superscript"/>
        </w:rPr>
        <w:footnoteReference w:id="21"/>
      </w:r>
      <w:r>
        <w:rPr>
          <w:rFonts w:ascii="Times New Roman" w:hAnsi="Times New Roman"/>
          <w:noProof/>
          <w:color w:val="auto"/>
          <w:sz w:val="24"/>
        </w:rPr>
        <w:t xml:space="preserve">). Najväčší pokrok sa dosiahol v opatreniach vykonávaných v súvislosti s druhým prioritným cieľom, </w:t>
      </w:r>
      <w:r>
        <w:rPr>
          <w:rFonts w:ascii="Times New Roman" w:hAnsi="Times New Roman"/>
          <w:i/>
          <w:noProof/>
          <w:color w:val="auto"/>
          <w:sz w:val="24"/>
        </w:rPr>
        <w:t>prechodom na nízkouhlíkové hospodárstvo efektívne využívajúce zdroje</w:t>
      </w:r>
      <w:r>
        <w:rPr>
          <w:rFonts w:ascii="Times New Roman" w:hAnsi="Times New Roman"/>
          <w:noProof/>
          <w:color w:val="auto"/>
          <w:sz w:val="24"/>
        </w:rPr>
        <w:t>. Najmenší pokrok bol zatiaľ, naopak, zaznamenaný v opatreniach súvisiacich s ochranou prírody, životným prostredím a zdravím a začleňovaním. Z nezávislých posúdení Európskej environmentálnej agentúry</w:t>
      </w:r>
      <w:r>
        <w:rPr>
          <w:rStyle w:val="FootnoteReference"/>
          <w:rFonts w:ascii="Times New Roman" w:hAnsi="Times New Roman"/>
          <w:noProof/>
          <w:color w:val="auto"/>
          <w:sz w:val="24"/>
        </w:rPr>
        <w:footnoteReference w:id="22"/>
      </w:r>
      <w:r>
        <w:rPr>
          <w:rFonts w:ascii="Times New Roman" w:hAnsi="Times New Roman"/>
          <w:noProof/>
          <w:color w:val="auto"/>
          <w:sz w:val="24"/>
        </w:rPr>
        <w:t xml:space="preserve"> vyplývajú podobné závery: sčasti významný pokrok, pričom ale v mnohých oblastiach sme stále pozadu. Je nepravdepodobné, že sa podarí splniť ciele súvisiace s ochranou prírody (ukazovatele týkajúce sa napr. živín, biodiverzity, sladkej alebo morskej vody), a nie je isté, či splníme všetky ciele súvisiace so životným prostredím a zdravím. EÚ je na veľmi dobrej ceste k dosiahnutiu cieľa na rok 2020 v oblasti zníženia emisií skleníkových plynov (20 % do roku 2020 v porovnaní s úrovňami v roku 1990) a cieľa v oblasti energie z obnoviteľných zdrojov. Ak však chceme dosiahnuť cieľ energetickej efektívnosti na rok 2020, je potrebné zvrátiť trendy v spotrebe energie.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V rámci 7. EAP sa zvýšila politická zodpovednosť za environmentálnu politiku prostredníctvom systematického zapájania zainteresovaných strán do procesu jej vytvárania, po ktorom nasledovala dohoda s Radou a Európskym parlamentom. Zainteresované strany sa zhodli na tom, že program umožňuje väčšiu predvídateľnosť v environmentálnej politike a v politike v oblasti klímy a uľahčuje koordináciu politík členských štátov. Skutočnosť, že prijatie 7. EAP a obdobie jeho uplatňovania sa nekryje s inštitucionálnym cyklom Únie, však mohla spôsobiť problémy.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Predvídateľnosť a rozsiahle politické diskusie v rámci legislatívneho procesu prijímania umožnili prijať niektoré opatrenia, napríklad preskúmanie vykonávania environmentálnych právnych predpisov,</w:t>
      </w:r>
      <w:r>
        <w:rPr>
          <w:rFonts w:ascii="Times New Roman" w:hAnsi="Times New Roman"/>
          <w:b/>
          <w:noProof/>
          <w:color w:val="auto"/>
          <w:sz w:val="24"/>
        </w:rPr>
        <w:t xml:space="preserve"> </w:t>
      </w:r>
      <w:r>
        <w:rPr>
          <w:rFonts w:ascii="Times New Roman" w:hAnsi="Times New Roman"/>
          <w:noProof/>
          <w:color w:val="auto"/>
          <w:sz w:val="24"/>
        </w:rPr>
        <w:t>vymenovanie malých dodávateľov pitnej vody, riešenie problému invazívnych nepôvodných druhov a opatrenia v nadväznosti na Agendu Rio+20</w:t>
      </w:r>
      <w:r>
        <w:rPr>
          <w:rStyle w:val="FootnoteReference"/>
          <w:rFonts w:ascii="Times New Roman" w:hAnsi="Times New Roman"/>
          <w:noProof/>
          <w:color w:val="auto"/>
          <w:sz w:val="24"/>
        </w:rPr>
        <w:footnoteReference w:id="23"/>
      </w:r>
      <w:r>
        <w:rPr>
          <w:rFonts w:ascii="Times New Roman" w:hAnsi="Times New Roman"/>
          <w:noProof/>
          <w:color w:val="auto"/>
          <w:sz w:val="24"/>
        </w:rPr>
        <w:t>, čo napokon viedlo k dohode o cieľoch OSN v oblasti udržateľného rozvoja.</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Ako vo väčšine rozsiahlych stratégií sa niektoré plánované opatrenia nezrealizovali, napríklad stratégia pre netoxické životné prostredie do roku 2018 a hlavný cieľ znížiť objem morského odpadu. Zároveň sa ale zrealizovali niektoré dodatočné opatrenia, napríklad stratégia EÚ pre plasty a rozšírenie koncepcie efektívneho využívania zdrojov na agendu obehového hospodárstva. Celkovo možno 7. EAP z hľadiska plnenia kritérií v oblasti dobrej správy a návrhu takýchto stratégií hodnotiť priaznivo</w:t>
      </w:r>
      <w:r>
        <w:rPr>
          <w:rStyle w:val="FootnoteReference"/>
          <w:rFonts w:ascii="Times New Roman" w:hAnsi="Times New Roman"/>
          <w:noProof/>
          <w:color w:val="auto"/>
          <w:sz w:val="24"/>
        </w:rPr>
        <w:footnoteReference w:id="24"/>
      </w:r>
      <w:r>
        <w:rPr>
          <w:rFonts w:ascii="Times New Roman" w:hAnsi="Times New Roman"/>
          <w:noProof/>
          <w:color w:val="auto"/>
          <w:sz w:val="24"/>
        </w:rPr>
        <w:t>.</w:t>
      </w:r>
    </w:p>
    <w:p>
      <w:pPr>
        <w:pStyle w:val="ListParagraph"/>
        <w:numPr>
          <w:ilvl w:val="0"/>
          <w:numId w:val="12"/>
        </w:numPr>
        <w:spacing w:after="120" w:line="276" w:lineRule="auto"/>
        <w:rPr>
          <w:noProof/>
          <w:color w:val="auto"/>
        </w:rPr>
      </w:pPr>
      <w:r>
        <w:rPr>
          <w:b/>
          <w:noProof/>
          <w:color w:val="auto"/>
        </w:rPr>
        <w:t>Efektívnosť: Štruktúra 7. EAP a najmä podporný rámec pomohli vytvárať synergické účinky. Zameranie programu na lepšie začlenenie a uplatňovanie podporuje politické opatrenia určené na dosiahnutie úspor nákladov a zvyšovanie efektívnosti.</w:t>
      </w:r>
    </w:p>
    <w:p>
      <w:pPr>
        <w:pStyle w:val="Body"/>
        <w:spacing w:after="120" w:line="276" w:lineRule="auto"/>
        <w:jc w:val="both"/>
        <w:rPr>
          <w:rFonts w:ascii="Times New Roman" w:eastAsia="Times New Roman" w:hAnsi="Times New Roman" w:cs="Times New Roman"/>
          <w:bCs/>
          <w:noProof/>
          <w:color w:val="auto"/>
          <w:sz w:val="24"/>
          <w:szCs w:val="24"/>
        </w:rPr>
      </w:pPr>
      <w:r>
        <w:rPr>
          <w:rFonts w:ascii="Times New Roman" w:hAnsi="Times New Roman"/>
          <w:noProof/>
          <w:color w:val="auto"/>
          <w:sz w:val="24"/>
        </w:rPr>
        <w:t>Neuplatňovanie environmentálnych právnych predpisov vytvára každý rok v hospodárstve EÚ náklady vo výške 55 miliárd EUR vo forme nákladov na zdravotnú starostlivosť a priamych nákladov na životné prostredie</w:t>
      </w:r>
      <w:r>
        <w:rPr>
          <w:rStyle w:val="FootnoteReference"/>
          <w:rFonts w:ascii="Times New Roman" w:hAnsi="Times New Roman"/>
          <w:noProof/>
          <w:color w:val="auto"/>
          <w:sz w:val="24"/>
        </w:rPr>
        <w:footnoteReference w:id="25"/>
      </w:r>
      <w:r>
        <w:rPr>
          <w:rFonts w:ascii="Times New Roman" w:hAnsi="Times New Roman"/>
          <w:noProof/>
          <w:color w:val="auto"/>
          <w:sz w:val="24"/>
        </w:rPr>
        <w:t>. V zisteniach uvedených v hodnotení sa poukazuje na niekoľko príkladov úspory nákladov v environmentálnej politike počas obdobia uplatňovania 7. EAP. Napriek čoraz ambicióznejším environmentálnym cieľom v mnohých oblastiach politiky zostávajú výdavky na ochranu životného prostredia v Európe mnoho rokov relatívne rovnaké (približne 2 % HDP</w:t>
      </w:r>
      <w:r>
        <w:rPr>
          <w:rStyle w:val="FootnoteReference"/>
          <w:rFonts w:ascii="Times New Roman" w:hAnsi="Times New Roman"/>
          <w:noProof/>
          <w:color w:val="auto"/>
          <w:sz w:val="24"/>
        </w:rPr>
        <w:footnoteReference w:id="26"/>
      </w:r>
      <w:r>
        <w:rPr>
          <w:rFonts w:ascii="Times New Roman" w:hAnsi="Times New Roman"/>
          <w:noProof/>
          <w:color w:val="auto"/>
          <w:sz w:val="24"/>
        </w:rPr>
        <w:t xml:space="preserve">). </w:t>
      </w:r>
    </w:p>
    <w:p>
      <w:pPr>
        <w:pStyle w:val="Body"/>
        <w:spacing w:after="120" w:line="276" w:lineRule="auto"/>
        <w:jc w:val="both"/>
        <w:rPr>
          <w:rFonts w:ascii="Times New Roman" w:eastAsia="Times New Roman" w:hAnsi="Times New Roman" w:cs="Times New Roman"/>
          <w:noProof/>
          <w:color w:val="auto"/>
          <w:sz w:val="24"/>
          <w:szCs w:val="24"/>
          <w:u w:color="333333"/>
        </w:rPr>
      </w:pPr>
      <w:r>
        <w:rPr>
          <w:rFonts w:ascii="Times New Roman" w:hAnsi="Times New Roman"/>
          <w:noProof/>
          <w:color w:val="auto"/>
          <w:sz w:val="24"/>
          <w:u w:color="333333"/>
        </w:rPr>
        <w:t xml:space="preserve">Od nadobudnutia účinnosti 7. EAP v roku 2014 sa dosiahol pokrok horizontálne (medzi oblasťami politiky) aj vertikálne (medzi úrovňami verejnej správy) v intenzívnejšom začleňovaní environmentálnych požiadaviek, čo podporuje opatrenia zamerané na dosiahnutie úspory nákladov a zvýšenie efektívnosti. </w:t>
      </w:r>
    </w:p>
    <w:p>
      <w:pPr>
        <w:pStyle w:val="Body"/>
        <w:spacing w:after="120" w:line="276" w:lineRule="auto"/>
        <w:jc w:val="both"/>
        <w:rPr>
          <w:rFonts w:ascii="Times New Roman" w:hAnsi="Times New Roman"/>
          <w:noProof/>
          <w:color w:val="auto"/>
          <w:sz w:val="24"/>
          <w:szCs w:val="24"/>
          <w:u w:color="333333"/>
        </w:rPr>
      </w:pPr>
      <w:r>
        <w:rPr>
          <w:rFonts w:ascii="Times New Roman" w:hAnsi="Times New Roman"/>
          <w:noProof/>
          <w:color w:val="auto"/>
          <w:sz w:val="24"/>
          <w:u w:color="333333"/>
        </w:rPr>
        <w:t>Komisia a členské štáty vyvinuli úsilie o zlepšenie v oblasti získavania a výmeny environmentálnych informácií</w:t>
      </w:r>
      <w:r>
        <w:rPr>
          <w:rStyle w:val="FootnoteReference"/>
          <w:rFonts w:ascii="Times New Roman" w:hAnsi="Times New Roman"/>
          <w:noProof/>
          <w:color w:val="auto"/>
          <w:sz w:val="24"/>
          <w:u w:color="333333"/>
        </w:rPr>
        <w:footnoteReference w:id="27"/>
      </w:r>
      <w:r>
        <w:rPr>
          <w:rFonts w:ascii="Times New Roman" w:hAnsi="Times New Roman"/>
          <w:noProof/>
          <w:color w:val="auto"/>
          <w:sz w:val="24"/>
          <w:u w:color="333333"/>
        </w:rPr>
        <w:t xml:space="preserve"> a jednotlivcom tak umožnili získavať informácie </w:t>
      </w:r>
      <w:r>
        <w:rPr>
          <w:rFonts w:ascii="Times New Roman" w:hAnsi="Times New Roman"/>
          <w:noProof/>
          <w:color w:val="auto"/>
          <w:sz w:val="24"/>
        </w:rPr>
        <w:t>o priemyselných emisiách či environmentálnom hluku, čím sa znížilo zaťaženie podnikov v oblasti poskytovania informácií a zabezpečila sa efektívnejšia spolupráca správnych orgánov na vnútroštátnej úrovni a na úrovni EÚ. Členské štáty by mohli byť transparentnejšie pri výmene informácií, ktoré zhromažďujú prostredníctvom hodnotení a činností zameraných na lepšiu právnu reguláciu. Vytvorili by tak ďalšie synergické účinky v rámci EÚ.</w:t>
      </w:r>
    </w:p>
    <w:p>
      <w:pPr>
        <w:pStyle w:val="ListParagraph"/>
        <w:numPr>
          <w:ilvl w:val="0"/>
          <w:numId w:val="12"/>
        </w:numPr>
        <w:spacing w:after="120" w:line="276" w:lineRule="auto"/>
        <w:rPr>
          <w:b/>
          <w:bCs/>
          <w:noProof/>
          <w:color w:val="auto"/>
        </w:rPr>
      </w:pPr>
      <w:r>
        <w:rPr>
          <w:b/>
          <w:noProof/>
          <w:color w:val="auto"/>
        </w:rPr>
        <w:t xml:space="preserve">Relevantnosť: 7. EAP je zameraný na tie správne oblasti a jeho vízia do roku 2050 je naďalej opodstatnená. So vznikom nových problémov však bude potrebné robiť úpravy.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Existuje všeobecná zhoda, že 7. EAP sa venuje tým správnym trom tematickým prioritným cieľom, zatiaľ čo podporné faktory by sa mohli riešiť konkrétnejším spôsobom, napríklad digitalizácia a správa v oblasti životného prostredia ako prostriedok na zvýšenie efektívnosti politiky. Vízia 7. EAP do roku 2050 je užitočná a naďalej opodstatnená.</w:t>
      </w:r>
    </w:p>
    <w:p>
      <w:pPr>
        <w:pStyle w:val="Body"/>
        <w:spacing w:after="120" w:line="276" w:lineRule="auto"/>
        <w:jc w:val="both"/>
        <w:rPr>
          <w:b/>
          <w:bCs/>
          <w:noProof/>
          <w:color w:val="auto"/>
          <w:sz w:val="24"/>
          <w:szCs w:val="24"/>
        </w:rPr>
      </w:pPr>
      <w:r>
        <w:rPr>
          <w:rFonts w:ascii="Times New Roman" w:hAnsi="Times New Roman"/>
          <w:noProof/>
          <w:color w:val="auto"/>
          <w:sz w:val="24"/>
        </w:rPr>
        <w:t>Celková štruktúra obmedzeného počtu tematických cieľov s podporou operatívnejších a špecifickejších čiastkových cieľov a opatrení umožňuje dosahovať prioritné ciele. Princíp viacúrovňového EAP</w:t>
      </w:r>
      <w:r>
        <w:rPr>
          <w:rStyle w:val="FootnoteReference"/>
          <w:rFonts w:ascii="Times New Roman" w:hAnsi="Times New Roman"/>
          <w:noProof/>
          <w:color w:val="auto"/>
          <w:sz w:val="24"/>
        </w:rPr>
        <w:footnoteReference w:id="28"/>
      </w:r>
      <w:r>
        <w:rPr>
          <w:rFonts w:ascii="Times New Roman" w:hAnsi="Times New Roman"/>
          <w:noProof/>
          <w:color w:val="auto"/>
          <w:sz w:val="24"/>
        </w:rPr>
        <w:t xml:space="preserve"> má podporu a zohľadňuje osvedčené postupy, ale existujú výhrady k miere jeho zložitosti či detailnosti, a preto sa niektoré opatrenia ťažko monitorujú.</w:t>
      </w:r>
      <w:r>
        <w:rPr>
          <w:b/>
          <w:noProof/>
          <w:color w:val="auto"/>
          <w:sz w:val="24"/>
        </w:rPr>
        <w:t xml:space="preserve"> </w:t>
      </w:r>
    </w:p>
    <w:p>
      <w:pPr>
        <w:pStyle w:val="Body"/>
        <w:spacing w:after="120" w:line="276" w:lineRule="auto"/>
        <w:jc w:val="both"/>
        <w:rPr>
          <w:rFonts w:ascii="Times New Roman" w:eastAsia="Times New Roman" w:hAnsi="Times New Roman" w:cs="Times New Roman"/>
          <w:noProof/>
          <w:color w:val="auto"/>
          <w:sz w:val="24"/>
          <w:szCs w:val="24"/>
        </w:rPr>
      </w:pPr>
    </w:p>
    <w:p>
      <w:pPr>
        <w:pStyle w:val="ListParagraph"/>
        <w:numPr>
          <w:ilvl w:val="0"/>
          <w:numId w:val="12"/>
        </w:numPr>
        <w:spacing w:after="120" w:line="276" w:lineRule="auto"/>
        <w:rPr>
          <w:b/>
          <w:bCs/>
          <w:noProof/>
          <w:color w:val="auto"/>
        </w:rPr>
      </w:pPr>
      <w:r>
        <w:rPr>
          <w:b/>
          <w:noProof/>
          <w:color w:val="auto"/>
        </w:rPr>
        <w:t xml:space="preserve">Koherentnosť: 7. EAP je z veľkej časti koherentný s agendou tvorby environmentálnej politiky a politiky v oblasti klímy v Európe aj v rámci celého sveta.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Ako stratégia je 7. EAP vnútorne konzistentný. Je v ňom stanovená agenda a predstavuje základ každodennej práce Komisie v oblasti životného prostredia. To sa týka strategického plánu riadenia a pravidelných výročných správ o činnosti, ako aj nových iniciatív, ako je napríklad preskúmanie vykonávania environmentálnych právnych predpisov. Kým podporný rámec pozitívne prispel k tematickým cieľom, prepojenia na horizontálne prioritné ciele v oblasti miestnych, regionálnych a globálnych problémov sú menej zjavné.</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V súvislosti s koherentnosťou s ďalšími oblasťami politiky a politickými prioritami existujú niektoré jasné (a vítané) prepojenia medzi 7. EAP a 10 prioritami Komisie, napríklad spoločný cieľ riešiť opatrenia v oblasti klímy a posilňovať úlohu EÚ ako medzinárodného aktéra. Vo všeobecnosti sa navzájom podporujú, konkrétne v rámci 7. EAP existuje úsilie o to, aby sa stanovilo, ako môžu environmentálne politiky prispieť k udržateľnému rastu a pracovným miestam. Existuje viacero príkladov koherentnosti medzi 7. EAP a ďalšími oblasťami politiky, napríklad zmienka o environmentálnych otázkach (najmä emisiách uhlíka a znečistení ovzdušia) v správach o jednotlivých krajinách v rámci európskeho semestra a práca súvisiaca s udržateľnými mestami a mestskou agendou. Potrebné je však naďalej pracovať na dosiahnutí integrovanej tvorby politiky. </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V 7. EAP by sa napríklad mohli vo väčšej miere zohľadňovať sociálne otázky na základe existujúcich prepojení medzi environmentálnou a sociálnou politikou, pokiaľ ide napríklad o vplyv na zraniteľné skupiny, pracovné miesta, sociálne začlenenie a nerovnosť.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 xml:space="preserve">7. EAP je z veľkej časti koherentný s medzinárodnými záväzkami. Hoci bol prijatý takmer o dva roky skôr ako Agenda 2030 Organizácie Spojených národov, predvídal sa v ňom (a ovplyvnil) prístup OSN k cieľom trvalo udržateľného rozvoja, pretože sa v ňom trvalo na tom, že hospodársky a sociálny blahobyt závisí od zdravej základne prírodných zdrojov. 7. EAP možno vnímať ako mechanizmus na plnenie cieľov trvalo udržateľného rozvoja, hoci výzva OSN na „spravodlivú transformáciu“ mohla byť v 7. EAP viac zdôraznená. </w:t>
      </w:r>
    </w:p>
    <w:p>
      <w:pPr>
        <w:pStyle w:val="ListParagraph"/>
        <w:numPr>
          <w:ilvl w:val="0"/>
          <w:numId w:val="12"/>
        </w:numPr>
        <w:spacing w:after="120" w:line="276" w:lineRule="auto"/>
        <w:rPr>
          <w:b/>
          <w:bCs/>
          <w:noProof/>
          <w:color w:val="auto"/>
        </w:rPr>
      </w:pPr>
      <w:r>
        <w:rPr>
          <w:b/>
          <w:noProof/>
          <w:color w:val="auto"/>
        </w:rPr>
        <w:t>Pridaná hodnota: vďaka 7. EAP je environmentálna politika účinnejšia a efektívnejšia. Zainteresované strany ho vítajú a vnímajú ho ako spoľahlivú stratégiu s pevným prepojením na vnútroštátne environmentálne stratégie.</w:t>
      </w:r>
    </w:p>
    <w:p>
      <w:pPr>
        <w:pStyle w:val="Body"/>
        <w:spacing w:after="120" w:line="276" w:lineRule="auto"/>
        <w:jc w:val="both"/>
        <w:rPr>
          <w:rFonts w:ascii="Times New Roman" w:eastAsia="Times New Roman" w:hAnsi="Times New Roman" w:cs="Times New Roman"/>
          <w:noProof/>
          <w:color w:val="auto"/>
          <w:sz w:val="24"/>
          <w:szCs w:val="24"/>
        </w:rPr>
      </w:pPr>
      <w:r>
        <w:rPr>
          <w:rFonts w:ascii="Times New Roman" w:hAnsi="Times New Roman"/>
          <w:noProof/>
          <w:color w:val="auto"/>
          <w:sz w:val="24"/>
        </w:rPr>
        <w:t xml:space="preserve">7. EAP je pre rozličné zainteresované strany na úrovni EÚ, vnútroštátnej a miestnej úrovni zapojené do riešenia environmentálnych problémov v EÚ „žiarivým príkladom“. V rámci environmentálnej politiky sa často stanoví rámec, ale následne sa v súlade so zásadou subsidiarity zodpovednosť za jeho uplatňovanie prenesie na rôzne úrovne riadenia. Táto vzájomná prepojenosť environmentálnej politiky spolu s decentralizovaným rozhodovaním čiastočne vysvetľuje názor zainteresovaných strán, že 7. EAP je cenným prínosom. </w:t>
      </w:r>
    </w:p>
    <w:p>
      <w:pPr>
        <w:pStyle w:val="Body"/>
        <w:spacing w:after="120" w:line="276" w:lineRule="auto"/>
        <w:jc w:val="both"/>
        <w:rPr>
          <w:rFonts w:ascii="Times New Roman" w:hAnsi="Times New Roman"/>
          <w:noProof/>
          <w:color w:val="auto"/>
          <w:sz w:val="24"/>
          <w:szCs w:val="24"/>
        </w:rPr>
      </w:pPr>
      <w:r>
        <w:rPr>
          <w:rFonts w:ascii="Times New Roman" w:hAnsi="Times New Roman"/>
          <w:noProof/>
          <w:color w:val="auto"/>
          <w:sz w:val="24"/>
        </w:rPr>
        <w:t xml:space="preserve">7. EAP spĺňa kritériá osvedčených postupov na rozvoj stratégie a je dobre prepojený s vnútroštátnymi environmentálnymi stratégiami v Európe. Hoci bolo zaznamenané široké zapojenie zainteresovaných strán do štruktúry a obsahu 7. EAP, jeho uplatňovanie sa mohlo posilniť intenzívnejším pravidelným hodnotením a monitorovacím mechanizmom. </w:t>
      </w:r>
    </w:p>
    <w:p>
      <w:pPr>
        <w:pStyle w:val="Body"/>
        <w:spacing w:after="120" w:line="276" w:lineRule="auto"/>
        <w:jc w:val="both"/>
        <w:rPr>
          <w:rFonts w:ascii="Times New Roman" w:eastAsia="Times New Roman" w:hAnsi="Times New Roman" w:cs="Times New Roman"/>
          <w:noProof/>
          <w:color w:val="auto"/>
          <w:sz w:val="24"/>
          <w:szCs w:val="24"/>
        </w:rPr>
      </w:pPr>
    </w:p>
    <w:p>
      <w:pPr>
        <w:pStyle w:val="ListParagraph"/>
        <w:numPr>
          <w:ilvl w:val="0"/>
          <w:numId w:val="11"/>
        </w:numPr>
        <w:spacing w:after="120" w:line="276" w:lineRule="auto"/>
        <w:rPr>
          <w:b/>
          <w:bCs/>
          <w:noProof/>
          <w:color w:val="auto"/>
        </w:rPr>
      </w:pPr>
      <w:r>
        <w:rPr>
          <w:b/>
          <w:noProof/>
          <w:color w:val="auto"/>
        </w:rPr>
        <w:t>Závery</w:t>
      </w:r>
    </w:p>
    <w:p>
      <w:pPr>
        <w:pStyle w:val="Body"/>
        <w:spacing w:after="120" w:line="276" w:lineRule="auto"/>
        <w:jc w:val="both"/>
        <w:rPr>
          <w:noProof/>
          <w:color w:val="auto"/>
        </w:rPr>
      </w:pPr>
      <w:r>
        <w:rPr>
          <w:rFonts w:ascii="Times New Roman" w:hAnsi="Times New Roman"/>
          <w:noProof/>
          <w:color w:val="auto"/>
          <w:sz w:val="24"/>
        </w:rPr>
        <w:t>Komisia sa domnieva, že v hodnotení 7. EAP sa preukázalo, že program umožnil dôležitú zmenu v tvorbe politík. V súčasnosti sa vo väčšej miere uznáva, že ochrana životného prostredia, sociálne prínosy a udržateľný hospodársky rast idú ruka v ruke. Program slúži ako opora pre dôležité nové agendy, napríklad obehové hospodárstvo a ciele trvalo udržateľného rozvoja. Po prvý raz bola v EAP stanovená dlhodobá vízia, ktorá sa stala užitočným nástrojom tvorby politiky ako doplnok ku krátkodobejším cieľom politiky aj ako koncepcia, ktorú mohli využiť všetky zainteresované strany ako usmernenie vo svojich činnostiach. Prostredníctvom podporného rámca sa pozornosť a zdroje jedinečným spôsobom zamerali na hlavné problémy, ktoré musíme v EÚ riešiť v rámci environmentálnej politiky: nedostatočné uplatňovanie, informovanie, investície a začleňovanie. Zistenia z tohto hodnotenia budú oporou pri prijímaní budúcich rozhodnutí v rámci nástupníckeho environmentálneho akčného programu v súlade s článkom 192 ods. 3 Zmluvy o fungovaní Európskej únie</w:t>
      </w:r>
      <w:r>
        <w:rPr>
          <w:rStyle w:val="FootnoteReference"/>
          <w:rFonts w:ascii="Times New Roman" w:hAnsi="Times New Roman"/>
          <w:noProof/>
          <w:color w:val="auto"/>
          <w:sz w:val="24"/>
        </w:rPr>
        <w:footnoteReference w:id="29"/>
      </w:r>
      <w:r>
        <w:rPr>
          <w:rFonts w:ascii="Times New Roman" w:hAnsi="Times New Roman"/>
          <w:noProof/>
          <w:color w:val="auto"/>
          <w:sz w:val="24"/>
        </w:rPr>
        <w:t>.</w:t>
      </w:r>
    </w:p>
    <w:sectPr>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roman"/>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SK</w:t>
    </w:r>
    <w:r>
      <w:rPr>
        <w:rFonts w:ascii="Arial" w:hAnsi="Arial" w:cs="Arial"/>
        <w:b/>
        <w:sz w:val="48"/>
      </w:rPr>
      <w:tab/>
    </w:r>
    <w:r>
      <w:rPr>
        <w:rFonts w:ascii="Arial" w:hAnsi="Arial" w:cs="Arial"/>
        <w:b/>
        <w:sz w:val="48"/>
      </w:rPr>
      <w:tab/>
    </w:r>
    <w:r>
      <w:tab/>
    </w:r>
    <w:r>
      <w:rPr>
        <w:rFonts w:ascii="Arial" w:hAnsi="Arial" w:cs="Arial"/>
        <w:b/>
        <w:sz w:val="48"/>
      </w:rPr>
      <w:t>SK</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9026"/>
        <w:tab w:val="right" w:pos="9000"/>
      </w:tabs>
      <w:jc w:val="righ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Pr>
        <w:rFonts w:ascii="Times New Roman" w:hAnsi="Times New Roman" w:cs="Times New Roman"/>
        <w:noProof/>
      </w:rPr>
      <w:t>1</w:t>
    </w:r>
    <w:r>
      <w:rPr>
        <w:rFonts w:ascii="Times New Roman" w:hAnsi="Times New Roman" w:cs="Times New Roman"/>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 w:type="continuationNotice" w:id="1">
    <w:p/>
  </w:footnote>
  <w:footnote w:id="2">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sz w:val="18"/>
        </w:rPr>
        <w:footnoteRef/>
      </w:r>
      <w:r>
        <w:rPr>
          <w:rFonts w:ascii="Times New Roman" w:hAnsi="Times New Roman"/>
          <w:sz w:val="18"/>
        </w:rPr>
        <w:tab/>
      </w:r>
      <w:r>
        <w:rPr>
          <w:rFonts w:ascii="Times New Roman" w:hAnsi="Times New Roman" w:cs="Times New Roman"/>
          <w:sz w:val="18"/>
          <w:szCs w:val="18"/>
        </w:rPr>
        <w:t xml:space="preserve">Rozhodnutie Európskeho parlamentu a Rady </w:t>
      </w:r>
      <w:hyperlink r:id="rId1">
        <w:r>
          <w:rPr>
            <w:rStyle w:val="Hyperlink"/>
            <w:rFonts w:ascii="Times New Roman" w:hAnsi="Times New Roman" w:cs="Times New Roman"/>
            <w:sz w:val="18"/>
            <w:szCs w:val="18"/>
          </w:rPr>
          <w:t>č. 1386/2013/EÚ</w:t>
        </w:r>
      </w:hyperlink>
      <w:r>
        <w:rPr>
          <w:rFonts w:ascii="Times New Roman" w:hAnsi="Times New Roman" w:cs="Times New Roman"/>
          <w:sz w:val="18"/>
          <w:szCs w:val="18"/>
        </w:rPr>
        <w:t xml:space="preserve"> z 20. novembra 2013 o všeobecnom environmentálnom akčnom programe Únie do roku 2020 „Dobrý život v rámci možností našej planéty“ (Text s významom pre EHP). </w:t>
      </w:r>
    </w:p>
  </w:footnote>
  <w:footnote w:id="3">
    <w:p>
      <w:pPr>
        <w:pStyle w:val="FootnoteText"/>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vertAlign w:val="superscript"/>
        </w:rPr>
        <w:t xml:space="preserve"> </w:t>
      </w:r>
      <w:r>
        <w:rPr>
          <w:rFonts w:ascii="Times New Roman" w:hAnsi="Times New Roman" w:cs="Times New Roman"/>
          <w:sz w:val="18"/>
          <w:szCs w:val="18"/>
        </w:rPr>
        <w:tab/>
      </w:r>
      <w:r>
        <w:rPr>
          <w:rFonts w:ascii="Times New Roman" w:hAnsi="Times New Roman" w:cs="Times New Roman"/>
          <w:i/>
          <w:sz w:val="18"/>
          <w:szCs w:val="18"/>
        </w:rPr>
        <w:t>„V roku 2050 budeme žiť dobrý život v ekologických medziach našej planéty. Zdrojom našej prosperity a zdravého prostredia bude inovatívne obehové hospodárstvo, v ktorom sa ničím neplytvá a v ktorom sa prírodné zdroje riadia udržateľne a biodiverzita sa chráni, oceňuje a obnovuje spôsobmi, ktoré posilňujú odolnosť našej spoločnosti. Náš nízkouhlíkový rast je už dávno oddelený od využívania zdrojov a udáva krok bezpečnej a udržateľnej globálnej spoločnosti.“</w:t>
      </w:r>
    </w:p>
  </w:footnote>
  <w:footnote w:id="4">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COM (2015) 614 final. </w:t>
      </w:r>
    </w:p>
  </w:footnote>
  <w:footnote w:id="5">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COM (2014) 15 final.</w:t>
      </w:r>
    </w:p>
  </w:footnote>
  <w:footnote w:id="6">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Udržateľné biohospodárstvo pre Európu: ako lepšie prepojiť hospodárstvo, spoločnosť a životné prostredie. COM (2018) 673 final.</w:t>
      </w:r>
    </w:p>
  </w:footnote>
  <w:footnote w:id="7">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COM (2018) 97 final.</w:t>
      </w:r>
    </w:p>
  </w:footnote>
  <w:footnote w:id="8">
    <w:p>
      <w:pPr>
        <w:pStyle w:val="FootnoteText"/>
        <w:spacing w:after="0" w:line="240" w:lineRule="auto"/>
        <w:ind w:left="284" w:hanging="284"/>
        <w:jc w:val="both"/>
        <w:rPr>
          <w:rFonts w:ascii="Times New Roman" w:hAnsi="Times New Roman" w:cs="Times New Roman"/>
          <w:sz w:val="18"/>
          <w:szCs w:val="18"/>
          <w:lang w:val="en-GB"/>
        </w:rPr>
      </w:pPr>
      <w:r>
        <w:rPr>
          <w:rFonts w:ascii="Times New Roman" w:hAnsi="Times New Roman" w:cs="Times New Roman"/>
          <w:sz w:val="18"/>
          <w:szCs w:val="18"/>
          <w:vertAlign w:val="superscript"/>
        </w:rPr>
        <w:footnoteRef/>
      </w:r>
      <w:r>
        <w:rPr>
          <w:rFonts w:ascii="Times New Roman" w:hAnsi="Times New Roman" w:cs="Times New Roman"/>
          <w:sz w:val="18"/>
          <w:szCs w:val="18"/>
        </w:rPr>
        <w:tab/>
        <w:t xml:space="preserve">Napredujeme v oblastiach ako znižovanie znečistenia ovzdušia, pôdy a vody, komplexná ochrana pred toxickými látkami, kyslým dažďom a zmenšovaním ozónovej vrstvy, chránené prírodné oblasti, znižovanie emisií skleníkových plynov – podrobné informácie sú v správe Európskej environmentálnej agentúry (EEA) o stave životného prostredia a výhľade na rok 2015 (SOER 2015): </w:t>
      </w:r>
      <w:hyperlink r:id="rId2">
        <w:r>
          <w:rPr>
            <w:rStyle w:val="Hyperlink"/>
            <w:rFonts w:ascii="Times New Roman" w:hAnsi="Times New Roman" w:cs="Times New Roman"/>
            <w:sz w:val="18"/>
            <w:szCs w:val="18"/>
          </w:rPr>
          <w:t>https://www.eea.europa.eu/soer-2015/synthesis/report/0c-executivesummary</w:t>
        </w:r>
      </w:hyperlink>
      <w:r>
        <w:rPr>
          <w:rFonts w:ascii="Times New Roman" w:hAnsi="Times New Roman" w:cs="Times New Roman"/>
          <w:sz w:val="18"/>
          <w:szCs w:val="18"/>
        </w:rPr>
        <w:t>.</w:t>
      </w:r>
    </w:p>
  </w:footnote>
  <w:footnote w:id="9">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3">
        <w:r>
          <w:rPr>
            <w:rStyle w:val="Hyperlink"/>
            <w:rFonts w:ascii="Times New Roman" w:hAnsi="Times New Roman" w:cs="Times New Roman"/>
            <w:sz w:val="18"/>
            <w:szCs w:val="18"/>
          </w:rPr>
          <w:t>https://ec.europa.eu/clima/policies/strategies/progress_en</w:t>
        </w:r>
        <w:r>
          <w:rPr>
            <w:rStyle w:val="Hyperlink"/>
            <w:rFonts w:ascii="Times New Roman" w:hAnsi="Times New Roman" w:cs="Times New Roman"/>
            <w:sz w:val="18"/>
            <w:szCs w:val="18"/>
            <w:u w:val="none"/>
          </w:rPr>
          <w:t>.</w:t>
        </w:r>
      </w:hyperlink>
      <w:r>
        <w:rPr>
          <w:rFonts w:ascii="Times New Roman" w:hAnsi="Times New Roman" w:cs="Times New Roman"/>
          <w:sz w:val="18"/>
          <w:szCs w:val="18"/>
        </w:rPr>
        <w:t xml:space="preserve"> </w:t>
      </w:r>
    </w:p>
  </w:footnote>
  <w:footnote w:id="10">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Pozri napr. COM(2018) 773 final.</w:t>
      </w:r>
    </w:p>
  </w:footnote>
  <w:footnote w:id="11">
    <w:p>
      <w:pPr>
        <w:pStyle w:val="FootnoteText"/>
        <w:spacing w:after="0" w:line="240" w:lineRule="auto"/>
        <w:ind w:left="284" w:hanging="284"/>
        <w:jc w:val="both"/>
        <w:rPr>
          <w:rFonts w:ascii="Times New Roman" w:hAnsi="Times New Roman" w:cs="Times New Roman"/>
          <w:sz w:val="18"/>
          <w:szCs w:val="18"/>
          <w:lang w:val="en-IE"/>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COM (2018) 773 final.</w:t>
      </w:r>
    </w:p>
  </w:footnote>
  <w:footnote w:id="12">
    <w:p>
      <w:pPr>
        <w:pStyle w:val="FootnoteText"/>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ab/>
        <w:t>EEA (2018): Správa o životnom prostredí za rok 2018 (https://www.eea.europa.eu/publications/environmental-indicator-report-2018).</w:t>
      </w:r>
    </w:p>
  </w:footnote>
  <w:footnote w:id="13">
    <w:p>
      <w:pPr>
        <w:pStyle w:val="FootnoteText"/>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ab/>
        <w:t xml:space="preserve">Diskusný dokument Komisie o plnení cieľov OSN v oblasti trvalo udržateľného rozvoja (30. januára 2019): </w:t>
      </w:r>
      <w:r>
        <w:rPr>
          <w:rFonts w:ascii="Times New Roman" w:hAnsi="Times New Roman" w:cs="Times New Roman"/>
          <w:i/>
          <w:sz w:val="18"/>
          <w:szCs w:val="18"/>
        </w:rPr>
        <w:t xml:space="preserve">„Najvážnejším nedostatkom z hľadiska udržateľnosti a </w:t>
      </w:r>
      <w:r>
        <w:rPr>
          <w:rFonts w:ascii="Times New Roman" w:hAnsi="Times New Roman" w:cs="Times New Roman"/>
          <w:b/>
          <w:i/>
          <w:sz w:val="18"/>
          <w:szCs w:val="18"/>
        </w:rPr>
        <w:t>našou najväčšou výzvou je ekologický dlh</w:t>
      </w:r>
      <w:r>
        <w:rPr>
          <w:rFonts w:ascii="Times New Roman" w:hAnsi="Times New Roman" w:cs="Times New Roman"/>
          <w:i/>
          <w:sz w:val="18"/>
          <w:szCs w:val="18"/>
        </w:rPr>
        <w:t xml:space="preserve">, ktorý stále prehlbujeme, lebo nadmerne používame a vyčerpávame naše prírodné zdroje. Hrozí tak, že nedokážeme uspokojiť potreby budúcich generácií v rámci </w:t>
      </w:r>
      <w:r>
        <w:rPr>
          <w:rFonts w:ascii="Times New Roman" w:hAnsi="Times New Roman" w:cs="Times New Roman"/>
          <w:b/>
          <w:i/>
          <w:sz w:val="18"/>
          <w:szCs w:val="18"/>
        </w:rPr>
        <w:t>možností našej planéty</w:t>
      </w:r>
      <w:r>
        <w:rPr>
          <w:rFonts w:ascii="Times New Roman" w:hAnsi="Times New Roman" w:cs="Times New Roman"/>
          <w:i/>
          <w:sz w:val="18"/>
          <w:szCs w:val="18"/>
        </w:rPr>
        <w:t>.</w:t>
      </w:r>
      <w:r>
        <w:rPr>
          <w:rFonts w:ascii="Times New Roman" w:hAnsi="Times New Roman" w:cs="Times New Roman"/>
          <w:b/>
          <w:i/>
          <w:sz w:val="18"/>
          <w:szCs w:val="18"/>
        </w:rPr>
        <w:t xml:space="preserve"> </w:t>
      </w:r>
      <w:r>
        <w:rPr>
          <w:rFonts w:ascii="Times New Roman" w:hAnsi="Times New Roman" w:cs="Times New Roman"/>
          <w:i/>
          <w:sz w:val="18"/>
          <w:szCs w:val="18"/>
        </w:rPr>
        <w:t>Celosvetový tlak na kľúčové zdroje – od sladkej vody po úrodnú pôdu – ohrozuje ľudskú existenciu.“</w:t>
      </w:r>
    </w:p>
  </w:footnote>
  <w:footnote w:id="14">
    <w:p>
      <w:pPr>
        <w:pStyle w:val="FootnoteText"/>
        <w:spacing w:after="0" w:line="240" w:lineRule="auto"/>
        <w:ind w:left="284" w:hanging="284"/>
        <w:jc w:val="both"/>
        <w:rPr>
          <w:rFonts w:ascii="Times New Roman" w:hAnsi="Times New Roman" w:cs="Times New Roman"/>
          <w:sz w:val="18"/>
          <w:szCs w:val="18"/>
          <w:lang w:val="fr-BE"/>
        </w:rPr>
      </w:pPr>
      <w:r>
        <w:rPr>
          <w:rFonts w:ascii="Times New Roman" w:hAnsi="Times New Roman" w:cs="Times New Roman"/>
          <w:sz w:val="18"/>
          <w:szCs w:val="18"/>
          <w:vertAlign w:val="superscript"/>
        </w:rPr>
        <w:footnoteRef/>
      </w:r>
      <w:r>
        <w:rPr>
          <w:rFonts w:ascii="Times New Roman" w:hAnsi="Times New Roman" w:cs="Times New Roman"/>
          <w:sz w:val="18"/>
          <w:szCs w:val="18"/>
        </w:rPr>
        <w:tab/>
        <w:t>EEA (2018): Správa o životnom prostredí za rok 2018.</w:t>
      </w:r>
    </w:p>
  </w:footnote>
  <w:footnote w:id="15">
    <w:p>
      <w:pPr>
        <w:pStyle w:val="FootnoteText"/>
        <w:spacing w:after="0" w:line="240" w:lineRule="auto"/>
        <w:ind w:left="284" w:hanging="284"/>
        <w:jc w:val="both"/>
        <w:rPr>
          <w:rFonts w:ascii="Times New Roman" w:hAnsi="Times New Roman" w:cs="Times New Roman"/>
          <w:sz w:val="18"/>
          <w:szCs w:val="18"/>
          <w:lang w:val="en-GB"/>
        </w:rPr>
      </w:pPr>
      <w:r>
        <w:rPr>
          <w:rFonts w:ascii="Times New Roman" w:hAnsi="Times New Roman" w:cs="Times New Roman"/>
          <w:sz w:val="18"/>
          <w:szCs w:val="18"/>
          <w:vertAlign w:val="superscript"/>
        </w:rPr>
        <w:footnoteRef/>
      </w:r>
      <w:r>
        <w:rPr>
          <w:rFonts w:ascii="Times New Roman" w:hAnsi="Times New Roman" w:cs="Times New Roman"/>
          <w:sz w:val="18"/>
          <w:szCs w:val="18"/>
        </w:rPr>
        <w:tab/>
        <w:t xml:space="preserve">Pozri napr. dokument Preskúmanie vykonávania environmentálnych právnych predpisov za rok 2019. </w:t>
      </w:r>
    </w:p>
  </w:footnote>
  <w:footnote w:id="16">
    <w:p>
      <w:pPr>
        <w:pStyle w:val="FootnoteText"/>
        <w:spacing w:after="0" w:line="240" w:lineRule="auto"/>
        <w:ind w:left="284" w:hanging="284"/>
        <w:jc w:val="both"/>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4">
        <w:r>
          <w:rPr>
            <w:rStyle w:val="Hyperlink"/>
            <w:rFonts w:ascii="Times New Roman" w:hAnsi="Times New Roman" w:cs="Times New Roman"/>
            <w:sz w:val="18"/>
            <w:szCs w:val="18"/>
          </w:rPr>
          <w:t>https://ec.europa.eu/info/law/law-making-process/planning-and-proposing-law/better-regulation-why-and-how_sk</w:t>
        </w:r>
        <w:r>
          <w:rPr>
            <w:rStyle w:val="Hyperlink"/>
            <w:rFonts w:ascii="Times New Roman" w:hAnsi="Times New Roman" w:cs="Times New Roman"/>
            <w:sz w:val="18"/>
            <w:szCs w:val="18"/>
            <w:u w:val="none"/>
          </w:rPr>
          <w:t>.</w:t>
        </w:r>
      </w:hyperlink>
      <w:r>
        <w:rPr>
          <w:rFonts w:ascii="Times New Roman" w:hAnsi="Times New Roman" w:cs="Times New Roman"/>
          <w:sz w:val="18"/>
          <w:szCs w:val="18"/>
        </w:rPr>
        <w:t xml:space="preserve"> </w:t>
      </w:r>
    </w:p>
  </w:footnote>
  <w:footnote w:id="17">
    <w:p>
      <w:pPr>
        <w:pStyle w:val="FootnoteText"/>
        <w:spacing w:after="0" w:line="240" w:lineRule="auto"/>
        <w:ind w:left="284" w:hanging="284"/>
        <w:jc w:val="both"/>
        <w:rPr>
          <w:rFonts w:ascii="Times New Roman" w:hAnsi="Times New Roman" w:cs="Times New Roman"/>
          <w:sz w:val="18"/>
          <w:szCs w:val="18"/>
          <w:lang w:val="fr-BE"/>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5">
        <w:r>
          <w:rPr>
            <w:rStyle w:val="Hyperlink"/>
            <w:rFonts w:ascii="Times New Roman" w:hAnsi="Times New Roman" w:cs="Times New Roman"/>
            <w:sz w:val="18"/>
            <w:szCs w:val="18"/>
          </w:rPr>
          <w:t>http://ec.europa.eu/environment/eir/index_en.htm</w:t>
        </w:r>
        <w:r>
          <w:rPr>
            <w:rStyle w:val="Hyperlink"/>
            <w:rFonts w:ascii="Times New Roman" w:hAnsi="Times New Roman" w:cs="Times New Roman"/>
            <w:sz w:val="18"/>
            <w:szCs w:val="18"/>
            <w:u w:val="none"/>
          </w:rPr>
          <w:t>.</w:t>
        </w:r>
      </w:hyperlink>
      <w:r>
        <w:rPr>
          <w:rFonts w:ascii="Times New Roman" w:hAnsi="Times New Roman" w:cs="Times New Roman"/>
          <w:sz w:val="18"/>
          <w:szCs w:val="18"/>
        </w:rPr>
        <w:t xml:space="preserve"> </w:t>
      </w:r>
    </w:p>
  </w:footnote>
  <w:footnote w:id="18">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6">
        <w:r>
          <w:rPr>
            <w:rStyle w:val="Hyperlink"/>
            <w:rFonts w:ascii="Times New Roman" w:hAnsi="Times New Roman" w:cs="Times New Roman"/>
            <w:sz w:val="18"/>
            <w:szCs w:val="18"/>
          </w:rPr>
          <w:t>Správa EEA č. 30/2016</w:t>
        </w:r>
      </w:hyperlink>
      <w:r>
        <w:rPr>
          <w:rFonts w:ascii="Times New Roman" w:hAnsi="Times New Roman" w:cs="Times New Roman"/>
          <w:sz w:val="18"/>
          <w:szCs w:val="18"/>
        </w:rPr>
        <w:t xml:space="preserve">: Správa o životnom prostredí za rok 2016 – na podporu monitorovania 7. environmentálneho akčného programu na rok 2016; </w:t>
      </w:r>
      <w:hyperlink r:id="rId7">
        <w:r>
          <w:rPr>
            <w:rStyle w:val="Hyperlink"/>
            <w:rFonts w:ascii="Times New Roman" w:hAnsi="Times New Roman" w:cs="Times New Roman"/>
            <w:sz w:val="18"/>
            <w:szCs w:val="18"/>
          </w:rPr>
          <w:t>Správa EEA č. 21/2017</w:t>
        </w:r>
      </w:hyperlink>
      <w:r>
        <w:rPr>
          <w:rFonts w:ascii="Times New Roman" w:hAnsi="Times New Roman" w:cs="Times New Roman"/>
          <w:sz w:val="18"/>
          <w:szCs w:val="18"/>
        </w:rPr>
        <w:t xml:space="preserve">: Správa o životnom prostredí za rok 2017 – na podporu monitorovania 7. environmentálneho akčného programu; </w:t>
      </w:r>
      <w:hyperlink r:id="rId8">
        <w:r>
          <w:rPr>
            <w:rStyle w:val="Hyperlink"/>
            <w:rFonts w:ascii="Times New Roman" w:hAnsi="Times New Roman" w:cs="Times New Roman"/>
            <w:sz w:val="18"/>
            <w:szCs w:val="18"/>
          </w:rPr>
          <w:t>Správa EEA č. 19/2018</w:t>
        </w:r>
      </w:hyperlink>
      <w:r>
        <w:rPr>
          <w:rFonts w:ascii="Times New Roman" w:hAnsi="Times New Roman" w:cs="Times New Roman"/>
          <w:sz w:val="18"/>
          <w:szCs w:val="18"/>
        </w:rPr>
        <w:t>: Správa o životnom prostredí za rok 2018 – na podporu monitorovania 7. environmentálneho akčného programu na rok 2018.</w:t>
      </w:r>
    </w:p>
  </w:footnote>
  <w:footnote w:id="19">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 xml:space="preserve">Pozri: </w:t>
      </w:r>
      <w:hyperlink r:id="rId9">
        <w:r>
          <w:rPr>
            <w:rStyle w:val="Hyperlink"/>
            <w:rFonts w:ascii="Times New Roman" w:hAnsi="Times New Roman" w:cs="Times New Roman"/>
            <w:sz w:val="18"/>
            <w:szCs w:val="18"/>
          </w:rPr>
          <w:t>http://www.europarl.europa.eu/RegData/etudes/STUD/2017/610998/EPRS_STU(2017)610998_EN.pdf</w:t>
        </w:r>
        <w:r>
          <w:rPr>
            <w:rStyle w:val="Hyperlink"/>
            <w:rFonts w:ascii="Times New Roman" w:hAnsi="Times New Roman" w:cs="Times New Roman"/>
            <w:color w:val="auto"/>
            <w:sz w:val="18"/>
            <w:szCs w:val="18"/>
            <w:u w:val="none"/>
          </w:rPr>
          <w:t>.</w:t>
        </w:r>
      </w:hyperlink>
      <w:r>
        <w:rPr>
          <w:rFonts w:ascii="Times New Roman" w:hAnsi="Times New Roman" w:cs="Times New Roman"/>
          <w:sz w:val="18"/>
          <w:szCs w:val="18"/>
        </w:rPr>
        <w:t xml:space="preserve"> </w:t>
      </w:r>
    </w:p>
  </w:footnote>
  <w:footnote w:id="20">
    <w:p>
      <w:pPr>
        <w:pStyle w:val="FootnoteText"/>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ab/>
        <w:t>Účinnosť, efektívnosť, relevantnosť, koherentnosť a pridaná hodnota.</w:t>
      </w:r>
    </w:p>
  </w:footnote>
  <w:footnote w:id="21">
    <w:p>
      <w:pPr>
        <w:pStyle w:val="FootnoteText"/>
        <w:spacing w:after="0" w:line="240" w:lineRule="auto"/>
        <w:ind w:left="284" w:hanging="284"/>
        <w:jc w:val="both"/>
        <w:rPr>
          <w:rFonts w:ascii="Times New Roman" w:hAnsi="Times New Roman" w:cs="Times New Roman"/>
          <w:sz w:val="18"/>
          <w:szCs w:val="18"/>
        </w:rPr>
      </w:pPr>
      <w:r>
        <w:rPr>
          <w:rFonts w:ascii="Times New Roman" w:hAnsi="Times New Roman" w:cs="Times New Roman"/>
          <w:sz w:val="18"/>
          <w:szCs w:val="18"/>
          <w:vertAlign w:val="superscript"/>
        </w:rPr>
        <w:footnoteRef/>
      </w:r>
      <w:r>
        <w:rPr>
          <w:rFonts w:ascii="Times New Roman" w:hAnsi="Times New Roman" w:cs="Times New Roman"/>
          <w:sz w:val="18"/>
          <w:szCs w:val="18"/>
        </w:rPr>
        <w:tab/>
        <w:t>1 = žiadny pokrok v plnení opatrení, 2 = obmedzený pokrok, 3 = určitý pokrok, 4 = výrazný pokrok, 5 = úplná realizácia.</w:t>
      </w:r>
    </w:p>
  </w:footnote>
  <w:footnote w:id="22">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10">
        <w:r>
          <w:rPr>
            <w:rStyle w:val="Hyperlink"/>
            <w:rFonts w:ascii="Times New Roman" w:hAnsi="Times New Roman" w:cs="Times New Roman"/>
            <w:sz w:val="18"/>
            <w:szCs w:val="18"/>
          </w:rPr>
          <w:t>https://www.eea.europa.eu/airs</w:t>
        </w:r>
        <w:r>
          <w:rPr>
            <w:rStyle w:val="Hyperlink"/>
            <w:rFonts w:ascii="Times New Roman" w:hAnsi="Times New Roman" w:cs="Times New Roman"/>
            <w:color w:val="auto"/>
            <w:sz w:val="18"/>
            <w:szCs w:val="18"/>
            <w:u w:val="none"/>
          </w:rPr>
          <w:t>.</w:t>
        </w:r>
      </w:hyperlink>
      <w:r>
        <w:rPr>
          <w:rFonts w:ascii="Times New Roman" w:hAnsi="Times New Roman" w:cs="Times New Roman"/>
          <w:sz w:val="18"/>
          <w:szCs w:val="18"/>
        </w:rPr>
        <w:t xml:space="preserve"> </w:t>
      </w:r>
    </w:p>
  </w:footnote>
  <w:footnote w:id="23">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11">
        <w:r>
          <w:rPr>
            <w:rStyle w:val="Hyperlink"/>
            <w:rFonts w:ascii="Times New Roman" w:hAnsi="Times New Roman" w:cs="Times New Roman"/>
            <w:sz w:val="18"/>
            <w:szCs w:val="18"/>
          </w:rPr>
          <w:t>https://sustainabledevelopment.un.org/rio20/futurewewant</w:t>
        </w:r>
        <w:r>
          <w:rPr>
            <w:rStyle w:val="Hyperlink"/>
            <w:rFonts w:ascii="Times New Roman" w:hAnsi="Times New Roman" w:cs="Times New Roman"/>
            <w:color w:val="auto"/>
            <w:sz w:val="18"/>
            <w:szCs w:val="18"/>
            <w:u w:val="none"/>
          </w:rPr>
          <w:t>.</w:t>
        </w:r>
      </w:hyperlink>
      <w:r>
        <w:rPr>
          <w:rFonts w:ascii="Times New Roman" w:hAnsi="Times New Roman" w:cs="Times New Roman"/>
          <w:sz w:val="18"/>
          <w:szCs w:val="18"/>
        </w:rPr>
        <w:t xml:space="preserve"> </w:t>
      </w:r>
    </w:p>
  </w:footnote>
  <w:footnote w:id="24">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Príloha 3 k hodnotiacej správe obsahuje súhrn zistení zo štúdie spoločnosti Trinomics, ktorou sa podporuje hodnotenie 7. EAP.</w:t>
      </w:r>
    </w:p>
  </w:footnote>
  <w:footnote w:id="25">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r>
        <w:rPr>
          <w:rStyle w:val="Strong"/>
          <w:rFonts w:ascii="Times New Roman" w:hAnsi="Times New Roman" w:cs="Times New Roman"/>
          <w:b w:val="0"/>
          <w:color w:val="444444"/>
          <w:sz w:val="18"/>
          <w:szCs w:val="18"/>
        </w:rPr>
        <w:t>COM (2012) 95 final s názvom</w:t>
      </w:r>
      <w:r>
        <w:rPr>
          <w:rStyle w:val="Strong"/>
          <w:rFonts w:ascii="Times New Roman" w:hAnsi="Times New Roman" w:cs="Times New Roman"/>
          <w:color w:val="444444"/>
          <w:sz w:val="18"/>
          <w:szCs w:val="18"/>
        </w:rPr>
        <w:t xml:space="preserve"> </w:t>
      </w:r>
      <w:r>
        <w:rPr>
          <w:rFonts w:ascii="Times New Roman" w:hAnsi="Times New Roman" w:cs="Times New Roman"/>
          <w:i/>
          <w:color w:val="444444"/>
          <w:sz w:val="18"/>
          <w:szCs w:val="18"/>
        </w:rPr>
        <w:t>Zlepšenie využitia potenciálu opatrení EÚ v oblasti životného prostredia: budovanie dôvery prostredníctvom rozširovania poznatkov a schopnosti reagovať</w:t>
      </w:r>
      <w:r>
        <w:rPr>
          <w:rFonts w:ascii="Times New Roman" w:hAnsi="Times New Roman" w:cs="Times New Roman"/>
          <w:color w:val="444444"/>
          <w:sz w:val="18"/>
          <w:szCs w:val="18"/>
        </w:rPr>
        <w:t xml:space="preserve"> – prebiehajúca štúdia o nákladoch v prípade neuplatňovania environmentálnych právnych predpisov. </w:t>
      </w:r>
    </w:p>
  </w:footnote>
  <w:footnote w:id="26">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12">
        <w:r>
          <w:rPr>
            <w:rStyle w:val="Hyperlink"/>
            <w:rFonts w:ascii="Times New Roman" w:hAnsi="Times New Roman" w:cs="Times New Roman"/>
            <w:sz w:val="18"/>
            <w:szCs w:val="18"/>
          </w:rPr>
          <w:t>https://ec.europa.eu/eurostat/statistics-explained/index.php/Environmental_protection_expenditure_accounts</w:t>
        </w:r>
        <w:r>
          <w:rPr>
            <w:rStyle w:val="Hyperlink"/>
            <w:rFonts w:ascii="Times New Roman" w:hAnsi="Times New Roman" w:cs="Times New Roman"/>
            <w:color w:val="auto"/>
            <w:sz w:val="18"/>
            <w:szCs w:val="18"/>
            <w:u w:val="none"/>
          </w:rPr>
          <w:t>.</w:t>
        </w:r>
      </w:hyperlink>
      <w:r>
        <w:rPr>
          <w:rFonts w:ascii="Times New Roman" w:hAnsi="Times New Roman" w:cs="Times New Roman"/>
          <w:sz w:val="18"/>
          <w:szCs w:val="18"/>
        </w:rPr>
        <w:t xml:space="preserve"> </w:t>
      </w:r>
    </w:p>
  </w:footnote>
  <w:footnote w:id="27">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hyperlink r:id="rId13">
        <w:r>
          <w:rPr>
            <w:rStyle w:val="Hyperlink"/>
            <w:rFonts w:ascii="Times New Roman" w:hAnsi="Times New Roman" w:cs="Times New Roman"/>
            <w:sz w:val="18"/>
            <w:szCs w:val="18"/>
          </w:rPr>
          <w:t>https://ec.europa.eu/info/news/environmental-data-commission-welcomes-agreement-new-rules-reduce-red-tape-and-increase-transparency-citizens-2018-dec-20-0_en</w:t>
        </w:r>
        <w:r>
          <w:rPr>
            <w:rStyle w:val="Hyperlink"/>
            <w:rFonts w:ascii="Times New Roman" w:hAnsi="Times New Roman" w:cs="Times New Roman"/>
            <w:color w:val="auto"/>
            <w:sz w:val="18"/>
            <w:szCs w:val="18"/>
            <w:u w:val="none"/>
          </w:rPr>
          <w:t>.</w:t>
        </w:r>
      </w:hyperlink>
      <w:r>
        <w:rPr>
          <w:rFonts w:ascii="Times New Roman" w:hAnsi="Times New Roman" w:cs="Times New Roman"/>
          <w:sz w:val="18"/>
          <w:szCs w:val="18"/>
        </w:rPr>
        <w:t xml:space="preserve"> </w:t>
      </w:r>
    </w:p>
  </w:footnote>
  <w:footnote w:id="28">
    <w:p>
      <w:pPr>
        <w:pStyle w:val="FootnoteText"/>
        <w:spacing w:after="0" w:line="240" w:lineRule="auto"/>
        <w:ind w:left="284" w:hanging="284"/>
        <w:jc w:val="both"/>
        <w:rPr>
          <w:rFonts w:ascii="Times New Roman" w:hAnsi="Times New Roman" w:cs="Times New Roman"/>
          <w:sz w:val="18"/>
          <w:szCs w:val="18"/>
        </w:rPr>
      </w:pPr>
      <w:r>
        <w:rPr>
          <w:rStyle w:val="FootnoteReference"/>
          <w:rFonts w:ascii="Times New Roman" w:hAnsi="Times New Roman" w:cs="Times New Roman"/>
          <w:sz w:val="18"/>
          <w:szCs w:val="18"/>
        </w:rPr>
        <w:footnoteRef/>
      </w:r>
      <w:r>
        <w:rPr>
          <w:rFonts w:ascii="Times New Roman" w:hAnsi="Times New Roman" w:cs="Times New Roman"/>
          <w:sz w:val="18"/>
          <w:szCs w:val="18"/>
        </w:rPr>
        <w:tab/>
        <w:t>Tri tematické priority (príroda, hospodárstvo, zdravie) v kombinácii s podporným rámcom na odstraňovanie hlavných prekážok v dosahovaní hlavných cieľov v oblasti tvorby environmentálnej politiky, doplnené o dve horizontálne priority (z urbanistickéko a medzinárodného hľadiska).</w:t>
      </w:r>
    </w:p>
  </w:footnote>
  <w:footnote w:id="29">
    <w:p>
      <w:pPr>
        <w:pStyle w:val="FootnoteText"/>
        <w:spacing w:after="0" w:line="240" w:lineRule="auto"/>
        <w:ind w:left="284" w:hanging="284"/>
        <w:jc w:val="both"/>
        <w:rPr>
          <w:rFonts w:ascii="Times New Roman" w:hAnsi="Times New Roman" w:cs="Times New Roman"/>
          <w:lang w:val="en-GB"/>
        </w:rPr>
      </w:pPr>
      <w:r>
        <w:rPr>
          <w:rStyle w:val="FootnoteReference"/>
          <w:rFonts w:ascii="Times New Roman" w:hAnsi="Times New Roman" w:cs="Times New Roman"/>
          <w:sz w:val="18"/>
          <w:szCs w:val="18"/>
        </w:rPr>
        <w:footnoteRef/>
      </w:r>
      <w:r>
        <w:rPr>
          <w:rFonts w:ascii="Times New Roman" w:hAnsi="Times New Roman" w:cs="Times New Roman"/>
          <w:sz w:val="18"/>
          <w:szCs w:val="18"/>
        </w:rPr>
        <w:tab/>
      </w:r>
      <w:r>
        <w:rPr>
          <w:rFonts w:ascii="Times New Roman" w:hAnsi="Times New Roman" w:cs="Times New Roman"/>
          <w:color w:val="auto"/>
          <w:sz w:val="18"/>
          <w:szCs w:val="18"/>
        </w:rPr>
        <w:t>Článok 4.3 rozhodnutia 1386/2013/EÚ: „</w:t>
      </w:r>
      <w:r>
        <w:rPr>
          <w:rFonts w:ascii="Times New Roman" w:hAnsi="Times New Roman" w:cs="Times New Roman"/>
          <w:i/>
          <w:color w:val="auto"/>
          <w:sz w:val="18"/>
          <w:szCs w:val="18"/>
        </w:rPr>
        <w:t>Na základe tohto hodnotenia a ďalšieho príslušného politického vývoja Komisia v prípade potreby predloží včas návrh na 8. EAP s cieľom vyhnúť sa medzere medzi 7. a 8. EAP.“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Foot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06B3E"/>
    <w:multiLevelType w:val="hybridMultilevel"/>
    <w:tmpl w:val="5E5C84F0"/>
    <w:numStyleLink w:val="ImportedStyle3"/>
  </w:abstractNum>
  <w:abstractNum w:abstractNumId="1">
    <w:nsid w:val="1125720E"/>
    <w:multiLevelType w:val="hybridMultilevel"/>
    <w:tmpl w:val="0562D362"/>
    <w:numStyleLink w:val="ImportedStyle4"/>
  </w:abstractNum>
  <w:abstractNum w:abstractNumId="2">
    <w:nsid w:val="11FA4ABE"/>
    <w:multiLevelType w:val="hybridMultilevel"/>
    <w:tmpl w:val="5E5C84F0"/>
    <w:styleLink w:val="ImportedStyle3"/>
    <w:lvl w:ilvl="0" w:tplc="82660D5A">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0020C1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DFE359A">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03A7A7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176F5AE">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09A396C">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6A3610F2">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75B2AA5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69E968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nsid w:val="1F3B5A50"/>
    <w:multiLevelType w:val="hybridMultilevel"/>
    <w:tmpl w:val="6B84231E"/>
    <w:lvl w:ilvl="0" w:tplc="78224F14">
      <w:start w:val="1"/>
      <w:numFmt w:val="decimal"/>
      <w:lvlText w:val="%1."/>
      <w:lvlJc w:val="left"/>
      <w:pPr>
        <w:ind w:left="786" w:hanging="360"/>
      </w:pPr>
      <w:rPr>
        <w:rFonts w:hAnsi="Arial Unicode MS"/>
        <w:b/>
        <w:caps w:val="0"/>
        <w:smallCaps w:val="0"/>
        <w:strike w:val="0"/>
        <w:dstrike w:val="0"/>
        <w:outline w:val="0"/>
        <w:emboss w:val="0"/>
        <w:imprint w:val="0"/>
        <w:spacing w:val="0"/>
        <w:w w:val="100"/>
        <w:kern w:val="0"/>
        <w:position w:val="0"/>
        <w:highlight w:val="none"/>
        <w:vertAlign w:val="baseline"/>
      </w:rPr>
    </w:lvl>
    <w:lvl w:ilvl="1" w:tplc="421485FA">
      <w:start w:val="1"/>
      <w:numFmt w:val="lowerLetter"/>
      <w:lvlText w:val="%2."/>
      <w:lvlJc w:val="left"/>
      <w:pPr>
        <w:ind w:left="1506"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E7AF460">
      <w:start w:val="1"/>
      <w:numFmt w:val="lowerRoman"/>
      <w:lvlText w:val="%3."/>
      <w:lvlJc w:val="left"/>
      <w:pPr>
        <w:ind w:left="2226"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C5A00B7C">
      <w:start w:val="1"/>
      <w:numFmt w:val="decimal"/>
      <w:lvlText w:val="%4."/>
      <w:lvlJc w:val="left"/>
      <w:pPr>
        <w:ind w:left="2946"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BE2274">
      <w:start w:val="1"/>
      <w:numFmt w:val="lowerLetter"/>
      <w:lvlText w:val="%5."/>
      <w:lvlJc w:val="left"/>
      <w:pPr>
        <w:ind w:left="3666"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94AF7F0">
      <w:start w:val="1"/>
      <w:numFmt w:val="lowerRoman"/>
      <w:lvlText w:val="%6."/>
      <w:lvlJc w:val="left"/>
      <w:pPr>
        <w:ind w:left="4386"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2969580">
      <w:start w:val="1"/>
      <w:numFmt w:val="decimal"/>
      <w:lvlText w:val="%7."/>
      <w:lvlJc w:val="left"/>
      <w:pPr>
        <w:ind w:left="5106"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C4B6F16C">
      <w:start w:val="1"/>
      <w:numFmt w:val="lowerLetter"/>
      <w:lvlText w:val="%8."/>
      <w:lvlJc w:val="left"/>
      <w:pPr>
        <w:ind w:left="5826"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73480508">
      <w:start w:val="1"/>
      <w:numFmt w:val="lowerRoman"/>
      <w:lvlText w:val="%9."/>
      <w:lvlJc w:val="left"/>
      <w:pPr>
        <w:ind w:left="6546"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26152B6E"/>
    <w:multiLevelType w:val="hybridMultilevel"/>
    <w:tmpl w:val="58CACE4E"/>
    <w:numStyleLink w:val="ImportedStyle1"/>
  </w:abstractNum>
  <w:abstractNum w:abstractNumId="5">
    <w:nsid w:val="31ED1B32"/>
    <w:multiLevelType w:val="hybridMultilevel"/>
    <w:tmpl w:val="0562D362"/>
    <w:styleLink w:val="ImportedStyle4"/>
    <w:lvl w:ilvl="0" w:tplc="E690ABD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DEC80BE">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D362642">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30DCB762">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E0CEFD2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43429348">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FF43AF6">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BBEE70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6EECE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557116FF"/>
    <w:multiLevelType w:val="hybridMultilevel"/>
    <w:tmpl w:val="2C041EEE"/>
    <w:numStyleLink w:val="ImportedStyle2"/>
  </w:abstractNum>
  <w:abstractNum w:abstractNumId="7">
    <w:nsid w:val="583D62AC"/>
    <w:multiLevelType w:val="hybridMultilevel"/>
    <w:tmpl w:val="38B60AD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719D6154"/>
    <w:multiLevelType w:val="hybridMultilevel"/>
    <w:tmpl w:val="2C041EEE"/>
    <w:styleLink w:val="ImportedStyle2"/>
    <w:lvl w:ilvl="0" w:tplc="08BC6B2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98628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C981B7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E6F032D8">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A349AE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73E158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2149E7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54767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8B4EEE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nsid w:val="78E1177D"/>
    <w:multiLevelType w:val="hybridMultilevel"/>
    <w:tmpl w:val="746E11E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nsid w:val="7F460461"/>
    <w:multiLevelType w:val="hybridMultilevel"/>
    <w:tmpl w:val="58CACE4E"/>
    <w:styleLink w:val="ImportedStyle1"/>
    <w:lvl w:ilvl="0" w:tplc="25AEEE12">
      <w:start w:val="1"/>
      <w:numFmt w:val="upperRoman"/>
      <w:lvlText w:val="%1."/>
      <w:lvlJc w:val="left"/>
      <w:pPr>
        <w:ind w:left="72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tplc="E9EA699A">
      <w:start w:val="1"/>
      <w:numFmt w:val="lowerLetter"/>
      <w:lvlText w:val="%2."/>
      <w:lvlJc w:val="left"/>
      <w:pPr>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933A7EFE">
      <w:start w:val="1"/>
      <w:numFmt w:val="lowerRoman"/>
      <w:lvlText w:val="%3."/>
      <w:lvlJc w:val="left"/>
      <w:pPr>
        <w:ind w:left="216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3" w:tplc="7A186F72">
      <w:start w:val="1"/>
      <w:numFmt w:val="decimal"/>
      <w:lvlText w:val="%4."/>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D56E7986">
      <w:start w:val="1"/>
      <w:numFmt w:val="lowerLetter"/>
      <w:lvlText w:val="%5."/>
      <w:lvlJc w:val="left"/>
      <w:pPr>
        <w:ind w:left="36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C24F02A">
      <w:start w:val="1"/>
      <w:numFmt w:val="lowerRoman"/>
      <w:lvlText w:val="%6."/>
      <w:lvlJc w:val="left"/>
      <w:pPr>
        <w:ind w:left="4320" w:hanging="300"/>
      </w:pPr>
      <w:rPr>
        <w:rFonts w:hAnsi="Arial Unicode MS"/>
        <w:b/>
        <w:bCs/>
        <w:caps w:val="0"/>
        <w:smallCaps w:val="0"/>
        <w:strike w:val="0"/>
        <w:dstrike w:val="0"/>
        <w:outline w:val="0"/>
        <w:emboss w:val="0"/>
        <w:imprint w:val="0"/>
        <w:spacing w:val="0"/>
        <w:w w:val="100"/>
        <w:kern w:val="0"/>
        <w:position w:val="0"/>
        <w:highlight w:val="none"/>
        <w:vertAlign w:val="baseline"/>
      </w:rPr>
    </w:lvl>
    <w:lvl w:ilvl="6" w:tplc="0BFABB58">
      <w:start w:val="1"/>
      <w:numFmt w:val="decimal"/>
      <w:lvlText w:val="%7."/>
      <w:lvlJc w:val="left"/>
      <w:pPr>
        <w:ind w:left="50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C408103A">
      <w:start w:val="1"/>
      <w:numFmt w:val="lowerLetter"/>
      <w:lvlText w:val="%8."/>
      <w:lvlJc w:val="left"/>
      <w:pPr>
        <w:ind w:left="5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F72E4496">
      <w:start w:val="1"/>
      <w:numFmt w:val="lowerRoman"/>
      <w:lvlText w:val="%9."/>
      <w:lvlJc w:val="left"/>
      <w:pPr>
        <w:ind w:left="6480" w:hanging="300"/>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abstractNumId w:val="10"/>
  </w:num>
  <w:num w:numId="2">
    <w:abstractNumId w:val="4"/>
  </w:num>
  <w:num w:numId="3">
    <w:abstractNumId w:val="8"/>
  </w:num>
  <w:num w:numId="4">
    <w:abstractNumId w:val="6"/>
  </w:num>
  <w:num w:numId="5">
    <w:abstractNumId w:val="4"/>
    <w:lvlOverride w:ilvl="0">
      <w:startOverride w:val="3"/>
    </w:lvlOverride>
  </w:num>
  <w:num w:numId="6">
    <w:abstractNumId w:val="2"/>
  </w:num>
  <w:num w:numId="7">
    <w:abstractNumId w:val="0"/>
  </w:num>
  <w:num w:numId="8">
    <w:abstractNumId w:val="4"/>
    <w:lvlOverride w:ilvl="0">
      <w:startOverride w:val="4"/>
    </w:lvlOverride>
  </w:num>
  <w:num w:numId="9">
    <w:abstractNumId w:val="5"/>
  </w:num>
  <w:num w:numId="10">
    <w:abstractNumId w:val="1"/>
  </w:num>
  <w:num w:numId="11">
    <w:abstractNumId w:val="4"/>
    <w:lvlOverride w:ilvl="0">
      <w:startOverride w:val="5"/>
    </w:lvlOverride>
  </w:num>
  <w:num w:numId="12">
    <w:abstractNumId w:val="3"/>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revisionView w:markup="0"/>
  <w:defaultTabStop w:val="720"/>
  <w:hyphenationZone w:val="425"/>
  <w:characterSpacingControl w:val="doNotCompress"/>
  <w:hdrShapeDefaults>
    <o:shapedefaults v:ext="edit" spidmax="77825"/>
  </w:hdrShapeDefaults>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694F7854-1C98-43D2-AEB0-CFA0F05D99DE"/>
    <w:docVar w:name="LW_COVERPAGE_TYPE" w:val="1"/>
    <w:docVar w:name="LW_CROSSREFERENCE" w:val="{SWD(2019) 181 final}"/>
    <w:docVar w:name="LW_DocType" w:val="NORMAL"/>
    <w:docVar w:name="LW_EMISSION" w:val="15. 5. 2019"/>
    <w:docVar w:name="LW_EMISSION_ISODATE" w:val="2019-05-15"/>
    <w:docVar w:name="LW_EMISSION_LOCATION" w:val="BRX"/>
    <w:docVar w:name="LW_EMISSION_PREFIX" w:val="V Bruseli"/>
    <w:docVar w:name="LW_EMISSION_SUFFIX" w:val=" "/>
    <w:docVar w:name="LW_ID_DOCTYPE_NONLW" w:val="CP-008"/>
    <w:docVar w:name="LW_LANGUE" w:val="SK"/>
    <w:docVar w:name="LW_LEVEL_OF_SENSITIVITY" w:val="Standard treatment"/>
    <w:docVar w:name="LW_NOM.INST" w:val="EURÓPSKA KOMISIA"/>
    <w:docVar w:name="LW_NOM.INST_JOINTDOC" w:val="&lt;EMPTY&gt;"/>
    <w:docVar w:name="LW_PART_NBR" w:val="1"/>
    <w:docVar w:name="LW_PART_NBR_TOTAL" w:val="1"/>
    <w:docVar w:name="LW_REF.INST.NEW" w:val="COM"/>
    <w:docVar w:name="LW_REF.INST.NEW_ADOPTED" w:val="final"/>
    <w:docVar w:name="LW_REF.INST.NEW_TEXT" w:val="(2019) 233"/>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 xsi:nil=&quot;true&quot; /&gt;_x000d__x000a_  &lt;limited xsi:nil=&quot;true&quot; /&gt;_x000d__x000a_  &lt;detached xsi:nil=&quot;true&quot; /&gt;_x000d__x000a_  &lt;declassify xsi:nil=&quot;true&quot; /&gt;_x000d__x000a_  &lt;headerTexts xsi:nil=&quot;true&quot; /&gt;_x000d__x000a_  &lt;footerTexts xsi:nil=&quot;true&quot; /&gt;_x000d__x000a_  &lt;footnote xsi:nil=&quot;true&quot; /&gt;_x000d__x000a_  &lt;isRestricted&gt;false&lt;/isRestricted&gt;_x000d__x000a_&lt;/SensitivityLevel&gt;"/>
    <w:docVar w:name="LW_SUPERTITRE" w:val="&lt;UNUSED&gt;"/>
    <w:docVar w:name="LW_TITRE.OBJ.CP" w:val="o hodnotení 7. environmentálneho ak\u269?ného programu"/>
    <w:docVar w:name="LW_TYPE.DOC.CP" w:val="SPRÁVA KOMISIE EURÓPSKEMU PARLAMENTU, RADE, EURÓPSKEMU HOSPODÁRSKEMU A SOCIÁLNEMU VÝBORU A VÝBORU REGIÓNOV"/>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sk-SK" w:eastAsia="sk-SK" w:bidi="sk-SK"/>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link w:val="BodyChar"/>
    <w:pPr>
      <w:spacing w:after="160" w:line="259" w:lineRule="auto"/>
    </w:pPr>
    <w:rPr>
      <w:rFonts w:ascii="Calibri" w:eastAsia="Calibri" w:hAnsi="Calibri" w:cs="Calibri"/>
      <w:color w:val="000000"/>
      <w:sz w:val="22"/>
      <w:szCs w:val="22"/>
      <w:u w:color="000000"/>
    </w:rPr>
  </w:style>
  <w:style w:type="paragraph" w:styleId="ListParagraph">
    <w:name w:val="List Paragraph"/>
    <w:aliases w:val="1st level - Bullet List Paragraph,Lettre d'introduction,Paragrafo elenco,List Paragraph1,Medium Grid 1 - Accent 21,FooterText,Paragraphe de liste1,List Paragraph (numbered (a)),Heading 2_sj,Numbered Para 1,Dot pt,No Spacing1,Bullet 1,lp1"/>
    <w:link w:val="ListParagraphChar"/>
    <w:qFormat/>
    <w:pPr>
      <w:spacing w:after="240"/>
      <w:ind w:left="720"/>
      <w:jc w:val="both"/>
    </w:pPr>
    <w:rPr>
      <w:rFonts w:eastAsia="Times New Roman"/>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Char,Fußnotentext Char1"/>
    <w:link w:val="FootnoteTextChar"/>
    <w:qFormat/>
    <w:pPr>
      <w:suppressAutoHyphens/>
      <w:spacing w:after="200" w:line="276" w:lineRule="auto"/>
      <w:ind w:left="283" w:hanging="283"/>
    </w:pPr>
    <w:rPr>
      <w:rFonts w:ascii="Calibri" w:eastAsia="Calibri" w:hAnsi="Calibri" w:cs="Calibri"/>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sk-SK" w:eastAsia="sk-SK"/>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eastAsia="sk-SK"/>
    </w:rPr>
  </w:style>
  <w:style w:type="character" w:styleId="Strong">
    <w:name w:val="Strong"/>
    <w:basedOn w:val="DefaultParagraphFont"/>
    <w:uiPriority w:val="22"/>
    <w:qFormat/>
    <w:rPr>
      <w:b/>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Ref,Nota,styl,nu"/>
    <w:basedOn w:val="DefaultParagraphFont"/>
    <w:qFormat/>
    <w:rPr>
      <w:vertAlign w:val="superscript"/>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Char Char"/>
    <w:link w:val="FootnoteText"/>
    <w:rPr>
      <w:rFonts w:ascii="Calibri" w:eastAsia="Calibri" w:hAnsi="Calibri" w:cs="Calibri"/>
      <w:color w:val="000000"/>
      <w:u w:color="000000"/>
      <w:lang w:val="sk-S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sk-SK" w:eastAsia="sk-SK"/>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BodyChar">
    <w:name w:val="Body Char"/>
    <w:basedOn w:val="DefaultParagraphFont"/>
    <w:link w:val="Body"/>
    <w:rPr>
      <w:rFonts w:ascii="Calibri" w:eastAsia="Calibri" w:hAnsi="Calibri" w:cs="Calibri"/>
      <w:color w:val="000000"/>
      <w:sz w:val="22"/>
      <w:szCs w:val="22"/>
      <w:u w:color="000000"/>
      <w:lang w:val="sk-SK"/>
    </w:rPr>
  </w:style>
  <w:style w:type="character" w:customStyle="1" w:styleId="FooterCoverPageChar">
    <w:name w:val="Footer Cover Page Char"/>
    <w:basedOn w:val="BodyChar"/>
    <w:link w:val="FooterCoverPage"/>
    <w:rPr>
      <w:rFonts w:ascii="Calibri" w:eastAsia="Calibri" w:hAnsi="Calibri" w:cs="Calibri"/>
      <w:color w:val="000000"/>
      <w:sz w:val="24"/>
      <w:szCs w:val="24"/>
      <w:u w:color="000000"/>
      <w:lang w:val="sk-SK"/>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BodyChar"/>
    <w:link w:val="FooterSensitivity"/>
    <w:rPr>
      <w:rFonts w:ascii="Calibri" w:eastAsia="Calibri" w:hAnsi="Calibri" w:cs="Calibri"/>
      <w:b/>
      <w:color w:val="000000"/>
      <w:sz w:val="32"/>
      <w:szCs w:val="24"/>
      <w:u w:color="000000"/>
      <w:lang w:val="sk-SK"/>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ascii="Calibri" w:eastAsia="Calibri" w:hAnsi="Calibri" w:cs="Calibri"/>
      <w:color w:val="000000"/>
      <w:sz w:val="24"/>
      <w:szCs w:val="24"/>
      <w:u w:color="000000"/>
      <w:lang w:val="sk-SK"/>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ascii="Calibri" w:eastAsia="Calibri" w:hAnsi="Calibri" w:cs="Calibri"/>
      <w:b/>
      <w:color w:val="000000"/>
      <w:sz w:val="32"/>
      <w:szCs w:val="24"/>
      <w:u w:color="00000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sk-SK" w:eastAsia="sk-SK"/>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List Paragraph (numbered (a)) Char,Dot pt Char"/>
    <w:basedOn w:val="DefaultParagraphFont"/>
    <w:link w:val="ListParagraph"/>
    <w:qFormat/>
    <w:locked/>
    <w:rPr>
      <w:rFonts w:eastAsia="Times New Roman"/>
      <w:color w:val="000000"/>
      <w:sz w:val="24"/>
      <w:szCs w:val="24"/>
      <w:u w:color="000000"/>
      <w:lang w:val="sk-SK"/>
    </w:rPr>
  </w:style>
  <w:style w:type="character" w:styleId="FollowedHyperlink">
    <w:name w:val="FollowedHyperlink"/>
    <w:basedOn w:val="DefaultParagraphFont"/>
    <w:uiPriority w:val="99"/>
    <w:semiHidden/>
    <w:unhideWhenUsed/>
    <w:rPr>
      <w:color w:val="FF00FF"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sk-SK" w:eastAsia="sk-SK" w:bidi="sk-SK"/>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paragraph" w:customStyle="1" w:styleId="Body">
    <w:name w:val="Body"/>
    <w:link w:val="BodyChar"/>
    <w:pPr>
      <w:spacing w:after="160" w:line="259" w:lineRule="auto"/>
    </w:pPr>
    <w:rPr>
      <w:rFonts w:ascii="Calibri" w:eastAsia="Calibri" w:hAnsi="Calibri" w:cs="Calibri"/>
      <w:color w:val="000000"/>
      <w:sz w:val="22"/>
      <w:szCs w:val="22"/>
      <w:u w:color="000000"/>
    </w:rPr>
  </w:style>
  <w:style w:type="paragraph" w:styleId="ListParagraph">
    <w:name w:val="List Paragraph"/>
    <w:aliases w:val="1st level - Bullet List Paragraph,Lettre d'introduction,Paragrafo elenco,List Paragraph1,Medium Grid 1 - Accent 21,FooterText,Paragraphe de liste1,List Paragraph (numbered (a)),Heading 2_sj,Numbered Para 1,Dot pt,No Spacing1,Bullet 1,lp1"/>
    <w:link w:val="ListParagraphChar"/>
    <w:qFormat/>
    <w:pPr>
      <w:spacing w:after="240"/>
      <w:ind w:left="720"/>
      <w:jc w:val="both"/>
    </w:pPr>
    <w:rPr>
      <w:rFonts w:eastAsia="Times New Roman"/>
      <w:color w:val="000000"/>
      <w:sz w:val="24"/>
      <w:szCs w:val="24"/>
      <w:u w:color="000000"/>
    </w:rPr>
  </w:style>
  <w:style w:type="paragraph" w:customStyle="1" w:styleId="Default">
    <w:name w:val="Default"/>
    <w:rPr>
      <w:rFonts w:ascii="Helvetica Neue" w:eastAsia="Helvetica Neue" w:hAnsi="Helvetica Neue" w:cs="Helvetica Neue"/>
      <w:color w:val="000000"/>
      <w:sz w:val="22"/>
      <w:szCs w:val="22"/>
    </w:rPr>
  </w:style>
  <w:style w:type="paragraph" w:styleId="FootnoteText">
    <w:name w:val="footnote text"/>
    <w:aliases w:val="Fußnotentext Char,Fußnotentext Char1 Char1,Fußnotentext Char Char Char Char,Fußnotentext Char1 Char Char Char,Fußnotentext Char Char,Fußnotentext Char1 Char Char Char Char,Fußnotentext Char Char Char Char Char Char,Char,Fußnotentext Char1"/>
    <w:link w:val="FootnoteTextChar"/>
    <w:qFormat/>
    <w:pPr>
      <w:suppressAutoHyphens/>
      <w:spacing w:after="200" w:line="276" w:lineRule="auto"/>
      <w:ind w:left="283" w:hanging="283"/>
    </w:pPr>
    <w:rPr>
      <w:rFonts w:ascii="Calibri" w:eastAsia="Calibri" w:hAnsi="Calibri" w:cs="Calibri"/>
      <w:color w:val="000000"/>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numbering" w:customStyle="1" w:styleId="ImportedStyle3">
    <w:name w:val="Imported Style 3"/>
    <w:pPr>
      <w:numPr>
        <w:numId w:val="6"/>
      </w:numPr>
    </w:pPr>
  </w:style>
  <w:style w:type="numbering" w:customStyle="1" w:styleId="ImportedStyle4">
    <w:name w:val="Imported Style 4"/>
    <w:pPr>
      <w:numPr>
        <w:numId w:val="9"/>
      </w:numPr>
    </w:p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sk-SK" w:eastAsia="sk-SK"/>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sk-SK" w:eastAsia="sk-SK"/>
    </w:rPr>
  </w:style>
  <w:style w:type="character" w:styleId="Strong">
    <w:name w:val="Strong"/>
    <w:basedOn w:val="DefaultParagraphFont"/>
    <w:uiPriority w:val="22"/>
    <w:qFormat/>
    <w:rPr>
      <w:b/>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Ref,Nota,styl,nu"/>
    <w:basedOn w:val="DefaultParagraphFont"/>
    <w:qFormat/>
    <w:rPr>
      <w:vertAlign w:val="superscript"/>
    </w:rPr>
  </w:style>
  <w:style w:type="character" w:customStyle="1" w:styleId="FootnoteTextChar">
    <w:name w:val="Footnote Text Char"/>
    <w:aliases w:val="Fußnotentext Char Char1,Fußnotentext Char1 Char1 Char,Fußnotentext Char Char Char Char Char,Fußnotentext Char1 Char Char Char Char1,Fußnotentext Char Char Char,Fußnotentext Char1 Char Char Char Char Char,Char Char"/>
    <w:link w:val="FootnoteText"/>
    <w:rPr>
      <w:rFonts w:ascii="Calibri" w:eastAsia="Calibri" w:hAnsi="Calibri" w:cs="Calibri"/>
      <w:color w:val="000000"/>
      <w:u w:color="000000"/>
      <w:lang w:val="sk-SK"/>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heme="minorHAnsi"/>
      <w:szCs w:val="22"/>
      <w:bdr w:val="none" w:sz="0" w:space="0" w:color="auto"/>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sz w:val="24"/>
      <w:szCs w:val="24"/>
      <w:lang w:val="sk-SK" w:eastAsia="sk-SK"/>
    </w:rPr>
  </w:style>
  <w:style w:type="paragraph" w:customStyle="1" w:styleId="FooterCoverPage">
    <w:name w:val="Footer Cover Page"/>
    <w:basedOn w:val="Normal"/>
    <w:link w:val="FooterCoverPageChar"/>
    <w:pPr>
      <w:tabs>
        <w:tab w:val="center" w:pos="4535"/>
        <w:tab w:val="right" w:pos="9071"/>
        <w:tab w:val="right" w:pos="9921"/>
      </w:tabs>
      <w:spacing w:before="360"/>
      <w:ind w:left="-850" w:right="-850"/>
    </w:pPr>
  </w:style>
  <w:style w:type="character" w:customStyle="1" w:styleId="BodyChar">
    <w:name w:val="Body Char"/>
    <w:basedOn w:val="DefaultParagraphFont"/>
    <w:link w:val="Body"/>
    <w:rPr>
      <w:rFonts w:ascii="Calibri" w:eastAsia="Calibri" w:hAnsi="Calibri" w:cs="Calibri"/>
      <w:color w:val="000000"/>
      <w:sz w:val="22"/>
      <w:szCs w:val="22"/>
      <w:u w:color="000000"/>
      <w:lang w:val="sk-SK"/>
    </w:rPr>
  </w:style>
  <w:style w:type="character" w:customStyle="1" w:styleId="FooterCoverPageChar">
    <w:name w:val="Footer Cover Page Char"/>
    <w:basedOn w:val="BodyChar"/>
    <w:link w:val="FooterCoverPage"/>
    <w:rPr>
      <w:rFonts w:ascii="Calibri" w:eastAsia="Calibri" w:hAnsi="Calibri" w:cs="Calibri"/>
      <w:color w:val="000000"/>
      <w:sz w:val="24"/>
      <w:szCs w:val="24"/>
      <w:u w:color="000000"/>
      <w:lang w:val="sk-SK"/>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ind w:left="113" w:right="113"/>
      <w:jc w:val="center"/>
    </w:pPr>
    <w:rPr>
      <w:b/>
      <w:sz w:val="32"/>
    </w:rPr>
  </w:style>
  <w:style w:type="character" w:customStyle="1" w:styleId="FooterSensitivityChar">
    <w:name w:val="Footer Sensitivity Char"/>
    <w:basedOn w:val="BodyChar"/>
    <w:link w:val="FooterSensitivity"/>
    <w:rPr>
      <w:rFonts w:ascii="Calibri" w:eastAsia="Calibri" w:hAnsi="Calibri" w:cs="Calibri"/>
      <w:b/>
      <w:color w:val="000000"/>
      <w:sz w:val="32"/>
      <w:szCs w:val="24"/>
      <w:u w:color="000000"/>
      <w:lang w:val="sk-SK"/>
    </w:rPr>
  </w:style>
  <w:style w:type="paragraph" w:customStyle="1" w:styleId="HeaderCoverPage">
    <w:name w:val="Header Cover Page"/>
    <w:basedOn w:val="Normal"/>
    <w:link w:val="HeaderCoverPageChar"/>
    <w:pPr>
      <w:tabs>
        <w:tab w:val="center" w:pos="4535"/>
        <w:tab w:val="right" w:pos="9071"/>
      </w:tabs>
      <w:spacing w:after="120"/>
      <w:jc w:val="both"/>
    </w:pPr>
  </w:style>
  <w:style w:type="character" w:customStyle="1" w:styleId="HeaderCoverPageChar">
    <w:name w:val="Header Cover Page Char"/>
    <w:basedOn w:val="BodyChar"/>
    <w:link w:val="HeaderCoverPage"/>
    <w:rPr>
      <w:rFonts w:ascii="Calibri" w:eastAsia="Calibri" w:hAnsi="Calibri" w:cs="Calibri"/>
      <w:color w:val="000000"/>
      <w:sz w:val="24"/>
      <w:szCs w:val="24"/>
      <w:u w:color="000000"/>
      <w:lang w:val="sk-SK"/>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ind w:left="113" w:right="113"/>
      <w:jc w:val="center"/>
    </w:pPr>
    <w:rPr>
      <w:b/>
      <w:sz w:val="32"/>
    </w:rPr>
  </w:style>
  <w:style w:type="character" w:customStyle="1" w:styleId="HeaderSensitivityChar">
    <w:name w:val="Header Sensitivity Char"/>
    <w:basedOn w:val="BodyChar"/>
    <w:link w:val="HeaderSensitivity"/>
    <w:rPr>
      <w:rFonts w:ascii="Calibri" w:eastAsia="Calibri" w:hAnsi="Calibri" w:cs="Calibri"/>
      <w:b/>
      <w:color w:val="000000"/>
      <w:sz w:val="32"/>
      <w:szCs w:val="24"/>
      <w:u w:color="000000"/>
      <w:lang w:val="sk-SK"/>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lang w:val="sk-SK" w:eastAsia="sk-SK"/>
    </w:rPr>
  </w:style>
  <w:style w:type="character" w:customStyle="1" w:styleId="ListParagraphChar">
    <w:name w:val="List Paragraph Char"/>
    <w:aliases w:val="1st level - Bullet List Paragraph Char,Lettre d'introduction Char,Paragrafo elenco Char,List Paragraph1 Char,Medium Grid 1 - Accent 21 Char,FooterText Char,Paragraphe de liste1 Char,List Paragraph (numbered (a)) Char,Dot pt Char"/>
    <w:basedOn w:val="DefaultParagraphFont"/>
    <w:link w:val="ListParagraph"/>
    <w:qFormat/>
    <w:locked/>
    <w:rPr>
      <w:rFonts w:eastAsia="Times New Roman"/>
      <w:color w:val="000000"/>
      <w:sz w:val="24"/>
      <w:szCs w:val="24"/>
      <w:u w:color="000000"/>
      <w:lang w:val="sk-SK"/>
    </w:rPr>
  </w:style>
  <w:style w:type="character" w:styleId="FollowedHyperlink">
    <w:name w:val="FollowedHyperlink"/>
    <w:basedOn w:val="DefaultParagraphFont"/>
    <w:uiPriority w:val="99"/>
    <w:semiHidden/>
    <w:unhideWhenUse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0898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3.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eea.europa.eu/publications/environmental-indicator-report-2018" TargetMode="External"/><Relationship Id="rId13" Type="http://schemas.openxmlformats.org/officeDocument/2006/relationships/hyperlink" Target="https://ec.europa.eu/info/news/environmental-data-commission-welcomes-agreement-new-rules-reduce-red-tape-and-increase-transparency-citizens-2018-dec-20-0_en" TargetMode="External"/><Relationship Id="rId3" Type="http://schemas.openxmlformats.org/officeDocument/2006/relationships/hyperlink" Target="https://ec.europa.eu/clima/policies/strategies/progress_en" TargetMode="External"/><Relationship Id="rId7" Type="http://schemas.openxmlformats.org/officeDocument/2006/relationships/hyperlink" Target="https://www.eea.europa.eu/publications/environmental-indicator-report-2017" TargetMode="External"/><Relationship Id="rId12" Type="http://schemas.openxmlformats.org/officeDocument/2006/relationships/hyperlink" Target="https://ec.europa.eu/eurostat/statistics-explained/index.php/Environmental_protection_expenditure_accounts" TargetMode="External"/><Relationship Id="rId2" Type="http://schemas.openxmlformats.org/officeDocument/2006/relationships/hyperlink" Target="https://www.eea.europa.eu/soer-2015/synthesis/report/0c-executivesummary" TargetMode="External"/><Relationship Id="rId1" Type="http://schemas.openxmlformats.org/officeDocument/2006/relationships/hyperlink" Target="https://eur-lex.europa.eu/eli/dec/2013/1386/oj?locale=sk" TargetMode="External"/><Relationship Id="rId6" Type="http://schemas.openxmlformats.org/officeDocument/2006/relationships/hyperlink" Target="https://www.eea.europa.eu/publications/environmental-indicator-report-2016" TargetMode="External"/><Relationship Id="rId11" Type="http://schemas.openxmlformats.org/officeDocument/2006/relationships/hyperlink" Target="https://sustainabledevelopment.un.org/rio20/futurewewant" TargetMode="External"/><Relationship Id="rId5" Type="http://schemas.openxmlformats.org/officeDocument/2006/relationships/hyperlink" Target="http://ec.europa.eu/environment/eir/index_en.htm" TargetMode="External"/><Relationship Id="rId10" Type="http://schemas.openxmlformats.org/officeDocument/2006/relationships/hyperlink" Target="https://www.eea.europa.eu/airs" TargetMode="External"/><Relationship Id="rId4" Type="http://schemas.openxmlformats.org/officeDocument/2006/relationships/hyperlink" Target="https://ec.europa.eu/info/law/law-making-process/planning-and-proposing-law/better-regulation-why-and-how_sk" TargetMode="External"/><Relationship Id="rId9" Type="http://schemas.openxmlformats.org/officeDocument/2006/relationships/hyperlink" Target="http://www.europarl.europa.eu/RegData/etudes/STUD/2017/610998/EPRS_STU(2017)610998_EN.pdf"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07346C8-3352-448B-812B-0CB1A3F951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9</Pages>
  <Words>2847</Words>
  <Characters>17627</Characters>
  <Application>Microsoft Office Word</Application>
  <DocSecurity>0</DocSecurity>
  <Lines>271</Lines>
  <Paragraphs>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WES PDFC Administrator</cp:lastModifiedBy>
  <cp:revision>17</cp:revision>
  <cp:lastPrinted>2019-04-03T09:01:00Z</cp:lastPrinted>
  <dcterms:created xsi:type="dcterms:W3CDTF">2019-05-06T07:28:00Z</dcterms:created>
  <dcterms:modified xsi:type="dcterms:W3CDTF">2019-05-06T15:02:00Z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reated using">
    <vt:lpwstr>LW 6.0.1, Build 20180503</vt:lpwstr>
  </property>
  <property fmtid="{D5CDD505-2E9C-101B-9397-08002B2CF9AE}" pid="7" name="Last edited using">
    <vt:lpwstr>LW 6.0.1, Build 20180503</vt:lpwstr>
  </property>
</Properties>
</file>