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EA594A6A-A710-4CC8-A4B2-E2D75892CFFF" style="width:450.75pt;height:424.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360"/>
        <w:jc w:val="center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lastRenderedPageBreak/>
        <w:t>ANEXO</w:t>
      </w:r>
    </w:p>
    <w:p>
      <w:pPr>
        <w:jc w:val="center"/>
        <w:rPr>
          <w:b/>
          <w:caps/>
          <w:noProof/>
        </w:rPr>
      </w:pPr>
      <w:r>
        <w:rPr>
          <w:b/>
          <w:caps/>
          <w:noProof/>
        </w:rPr>
        <w:t>Decisão n.º .../2019 do Subcomité de Gestão Sanitária e Fitossanitária UE-Ucrânia</w:t>
      </w:r>
    </w:p>
    <w:p>
      <w:pPr>
        <w:jc w:val="center"/>
        <w:rPr>
          <w:b/>
          <w:noProof/>
        </w:rPr>
      </w:pPr>
      <w:r>
        <w:rPr>
          <w:b/>
          <w:noProof/>
        </w:rPr>
        <w:t>de..... 2019</w:t>
      </w:r>
    </w:p>
    <w:p>
      <w:pPr>
        <w:spacing w:after="240"/>
        <w:jc w:val="center"/>
        <w:rPr>
          <w:b/>
          <w:noProof/>
          <w:szCs w:val="24"/>
        </w:rPr>
      </w:pPr>
      <w:r>
        <w:rPr>
          <w:b/>
          <w:noProof/>
        </w:rPr>
        <w:t>que altera o anexo V do Acordo de Associação</w:t>
      </w:r>
    </w:p>
    <w:p>
      <w:pPr>
        <w:spacing w:line="276" w:lineRule="auto"/>
        <w:rPr>
          <w:noProof/>
        </w:rPr>
      </w:pPr>
      <w:r>
        <w:rPr>
          <w:noProof/>
        </w:rPr>
        <w:t>O SUBCOMITÉ DE GESTÃO SANITÁRIA E FITOSSANITÁRIA,</w:t>
      </w:r>
    </w:p>
    <w:p>
      <w:pPr>
        <w:rPr>
          <w:noProof/>
        </w:rPr>
      </w:pPr>
      <w:r>
        <w:rPr>
          <w:noProof/>
        </w:rPr>
        <w:t xml:space="preserve">Tendo em conta o </w:t>
      </w:r>
      <w:r>
        <w:rPr>
          <w:noProof/>
          <w:color w:val="000000"/>
        </w:rPr>
        <w:t>Acordo de Associação entre a União Europeia</w:t>
      </w:r>
      <w:r>
        <w:rPr>
          <w:noProof/>
        </w:rPr>
        <w:t xml:space="preserve"> e a Comunidade Europeia da Energia Atómica, e os seus Estados-Membros, por um lado, e a Ucrânia, por outro</w:t>
      </w:r>
      <w:r>
        <w:rPr>
          <w:rStyle w:val="FootnoteReference"/>
          <w:noProof/>
        </w:rPr>
        <w:footnoteReference w:id="1"/>
      </w:r>
      <w:r>
        <w:rPr>
          <w:noProof/>
        </w:rPr>
        <w:t>, assinado em Bruxelas, em 27 de junho de 2014, nomeadamente o artigo 74.º, n.º 2,</w:t>
      </w:r>
    </w:p>
    <w:p>
      <w:pPr>
        <w:rPr>
          <w:noProof/>
        </w:rPr>
      </w:pPr>
      <w:r>
        <w:rPr>
          <w:noProof/>
        </w:rPr>
        <w:t>Considerando o seguinte:</w:t>
      </w:r>
    </w:p>
    <w:p>
      <w:pPr>
        <w:pStyle w:val="Considrant"/>
        <w:numPr>
          <w:ilvl w:val="0"/>
          <w:numId w:val="5"/>
        </w:numPr>
        <w:rPr>
          <w:noProof/>
        </w:rPr>
      </w:pPr>
      <w:r>
        <w:rPr>
          <w:noProof/>
        </w:rPr>
        <w:t>O Acordo de Associação entre a União Europeia e a Comunidade Europeia da Energia Atómica, e os seus Estados-Membros, por um lado, e a Ucrânia, por outro («acordo»), entrou em vigor em 1 de setembro de 2017.</w:t>
      </w:r>
    </w:p>
    <w:p>
      <w:pPr>
        <w:pStyle w:val="Considrant"/>
        <w:numPr>
          <w:ilvl w:val="0"/>
          <w:numId w:val="5"/>
        </w:numPr>
        <w:rPr>
          <w:noProof/>
        </w:rPr>
      </w:pPr>
      <w:r>
        <w:rPr>
          <w:noProof/>
        </w:rPr>
        <w:t>O artigo 64.º, n.º 1, do acordo dispõe que a Ucrânia deve aproximar a sua legislação em matéria sanitária e fitossanitária e de bem-estar dos animais à legislação da União, tal como previsto no anexo V do acordo.</w:t>
      </w:r>
    </w:p>
    <w:p>
      <w:pPr>
        <w:pStyle w:val="Considrant"/>
        <w:numPr>
          <w:ilvl w:val="0"/>
          <w:numId w:val="5"/>
        </w:numPr>
        <w:rPr>
          <w:noProof/>
        </w:rPr>
      </w:pPr>
      <w:r>
        <w:rPr>
          <w:noProof/>
        </w:rPr>
        <w:t>Segundo o artigo 64.º, n.º 4, do acordo, a Ucrânia deve apresentar uma lista de disposições do acervo da União em matéria sanitária, fitossanitária e de bem-estar dos animais («lista») a que pretende aproximar a sua legislação interna. A estratégia abrangente deve servir de documento de referência para a execução do capítulo 4 (Medidas sanitárias e fitossanitárias) do título IV (Comércio e matérias conexas) do acordo.</w:t>
      </w:r>
    </w:p>
    <w:p>
      <w:pPr>
        <w:pStyle w:val="Considrant"/>
        <w:numPr>
          <w:ilvl w:val="0"/>
          <w:numId w:val="5"/>
        </w:numPr>
        <w:rPr>
          <w:noProof/>
        </w:rPr>
      </w:pPr>
      <w:r>
        <w:rPr>
          <w:noProof/>
        </w:rPr>
        <w:t>A Ucrânia apresentou a lista à Comissão Europeia em junho de 2018. Com base nessa lista, o Subcomité SFS adotará o ato previsto para alterar o anexo V do acordo.</w:t>
      </w:r>
    </w:p>
    <w:p>
      <w:pPr>
        <w:pStyle w:val="Considrant"/>
        <w:numPr>
          <w:ilvl w:val="0"/>
          <w:numId w:val="5"/>
        </w:numPr>
        <w:rPr>
          <w:noProof/>
        </w:rPr>
      </w:pPr>
      <w:r>
        <w:rPr>
          <w:noProof/>
        </w:rPr>
        <w:t>É oportuno que o Subcomité de Gestão Sanitária e Fitossanitária tome a decisão de substituir o atual anexo V do acordo por um novo anexo,</w:t>
      </w:r>
    </w:p>
    <w:p>
      <w:pPr>
        <w:pStyle w:val="Formuledadoption"/>
        <w:rPr>
          <w:noProof/>
        </w:rPr>
      </w:pPr>
      <w:r>
        <w:rPr>
          <w:noProof/>
        </w:rPr>
        <w:t>ADOTOU A PRESENTE DECISÃO:</w:t>
      </w:r>
    </w:p>
    <w:p>
      <w:pPr>
        <w:pStyle w:val="Titrearticle"/>
        <w:rPr>
          <w:noProof/>
        </w:rPr>
      </w:pPr>
      <w:r>
        <w:rPr>
          <w:noProof/>
        </w:rPr>
        <w:t>Artigo 1.º</w:t>
      </w:r>
    </w:p>
    <w:p>
      <w:pPr>
        <w:rPr>
          <w:noProof/>
        </w:rPr>
      </w:pPr>
      <w:r>
        <w:rPr>
          <w:noProof/>
        </w:rPr>
        <w:t>O anexo V do Acordo de Associação entre a União Europeia e a Comunidade Europeia da Energia Atómica e os seus Estados-Membros, por um lado, e a Ucrânia, por outro, é substituído pelo anexo da presente decisão.</w:t>
      </w:r>
    </w:p>
    <w:p>
      <w:pPr>
        <w:pStyle w:val="Titrearticle"/>
        <w:rPr>
          <w:noProof/>
        </w:rPr>
      </w:pPr>
      <w:r>
        <w:rPr>
          <w:noProof/>
        </w:rPr>
        <w:t>Artigo 2.º</w:t>
      </w:r>
    </w:p>
    <w:p>
      <w:pPr>
        <w:spacing w:after="240"/>
        <w:rPr>
          <w:noProof/>
        </w:rPr>
      </w:pPr>
      <w:r>
        <w:rPr>
          <w:noProof/>
        </w:rPr>
        <w:t>A presente decisão entra em vigor no dia da sua adoção.</w:t>
      </w:r>
    </w:p>
    <w:p>
      <w:pPr>
        <w:spacing w:after="360"/>
        <w:rPr>
          <w:noProof/>
        </w:rPr>
      </w:pPr>
      <w:r>
        <w:rPr>
          <w:noProof/>
        </w:rPr>
        <w:t>Feito em …, em …</w:t>
      </w:r>
    </w:p>
    <w:p>
      <w:pPr>
        <w:rPr>
          <w:noProof/>
        </w:rPr>
      </w:pPr>
      <w:r>
        <w:rPr>
          <w:noProof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>
        <w:tc>
          <w:tcPr>
            <w:tcW w:w="9213" w:type="dxa"/>
            <w:gridSpan w:val="2"/>
          </w:tcPr>
          <w:p>
            <w:pPr>
              <w:jc w:val="center"/>
              <w:rPr>
                <w:noProof/>
              </w:rPr>
            </w:pPr>
            <w:r>
              <w:rPr>
                <w:i/>
                <w:noProof/>
              </w:rPr>
              <w:lastRenderedPageBreak/>
              <w:t>Pelo Subcomité de Gestão Sanitária e Fitossanitária</w:t>
            </w:r>
          </w:p>
        </w:tc>
      </w:tr>
      <w:tr>
        <w:tc>
          <w:tcPr>
            <w:tcW w:w="9213" w:type="dxa"/>
            <w:gridSpan w:val="2"/>
          </w:tcPr>
          <w:p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Pelo Presidente</w:t>
            </w:r>
          </w:p>
        </w:tc>
      </w:tr>
      <w:tr>
        <w:tc>
          <w:tcPr>
            <w:tcW w:w="4606" w:type="dxa"/>
          </w:tcPr>
          <w:p>
            <w:pPr>
              <w:rPr>
                <w:noProof/>
              </w:rPr>
            </w:pPr>
          </w:p>
        </w:tc>
        <w:tc>
          <w:tcPr>
            <w:tcW w:w="4607" w:type="dxa"/>
          </w:tcPr>
          <w:p>
            <w:pPr>
              <w:rPr>
                <w:noProof/>
              </w:rPr>
            </w:pPr>
          </w:p>
        </w:tc>
      </w:tr>
      <w:tr>
        <w:tc>
          <w:tcPr>
            <w:tcW w:w="9213" w:type="dxa"/>
            <w:gridSpan w:val="2"/>
          </w:tcPr>
          <w:p>
            <w:pPr>
              <w:jc w:val="center"/>
              <w:rPr>
                <w:noProof/>
              </w:rPr>
            </w:pPr>
            <w:r>
              <w:rPr>
                <w:i/>
                <w:noProof/>
              </w:rPr>
              <w:t>Os Secretários</w:t>
            </w:r>
          </w:p>
        </w:tc>
      </w:tr>
      <w:tr>
        <w:tc>
          <w:tcPr>
            <w:tcW w:w="4606" w:type="dxa"/>
          </w:tcPr>
          <w:p>
            <w:pPr>
              <w:rPr>
                <w:noProof/>
              </w:rPr>
            </w:pPr>
            <w:r>
              <w:rPr>
                <w:noProof/>
              </w:rPr>
              <w:t>Pela União</w:t>
            </w:r>
          </w:p>
        </w:tc>
        <w:tc>
          <w:tcPr>
            <w:tcW w:w="4607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Pela Ucrânia</w:t>
            </w:r>
          </w:p>
        </w:tc>
      </w:tr>
    </w:tbl>
    <w:p>
      <w:pPr>
        <w:rPr>
          <w:noProof/>
        </w:rPr>
        <w:sectPr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lastRenderedPageBreak/>
        <w:t>ANEXO</w:t>
      </w:r>
    </w:p>
    <w:p>
      <w:pPr>
        <w:spacing w:after="360"/>
        <w:jc w:val="center"/>
        <w:rPr>
          <w:noProof/>
        </w:rPr>
      </w:pPr>
      <w:r>
        <w:rPr>
          <w:noProof/>
        </w:rPr>
        <w:t>ALTERAÇÃO DO ANEXO V DO ACORDO DE ASSOCIAÇÃO</w:t>
      </w:r>
    </w:p>
    <w:p>
      <w:pPr>
        <w:rPr>
          <w:noProof/>
        </w:rPr>
      </w:pPr>
      <w:r>
        <w:rPr>
          <w:noProof/>
        </w:rPr>
        <w:t>O anexo V passa a ter a seguinte redação:</w:t>
      </w:r>
    </w:p>
    <w:p>
      <w:pPr>
        <w:spacing w:before="360" w:after="360"/>
        <w:jc w:val="center"/>
        <w:rPr>
          <w:noProof/>
        </w:rPr>
      </w:pPr>
      <w:r>
        <w:rPr>
          <w:noProof/>
        </w:rPr>
        <w:t>«ANEXO V</w:t>
      </w:r>
    </w:p>
    <w:p>
      <w:pPr>
        <w:spacing w:after="360"/>
        <w:jc w:val="center"/>
        <w:rPr>
          <w:noProof/>
        </w:rPr>
      </w:pPr>
      <w:r>
        <w:rPr>
          <w:noProof/>
        </w:rPr>
        <w:t>LISTA DA LEGISLAÇÃO DA UNIÃO A SER APROXIMADA PELA UCRÂNIA</w:t>
      </w:r>
    </w:p>
    <w:p>
      <w:pPr>
        <w:spacing w:after="360"/>
        <w:rPr>
          <w:noProof/>
        </w:rPr>
      </w:pPr>
      <w:r>
        <w:rPr>
          <w:noProof/>
        </w:rPr>
        <w:t>Nos termos do artigo 64.º, n.º 4, do presente Acordo, a Ucrânia procede à aproximação da sua legislação à seguinte legislação da União, nos prazos de adoção e aplicação a seguir indicados.</w:t>
      </w: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2801"/>
      </w:tblGrid>
      <w:tr>
        <w:trPr>
          <w:tblHeader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noProof/>
              </w:rPr>
              <w:t>Legislação da União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Prazo para a adoção</w:t>
            </w:r>
            <w:r>
              <w:rPr>
                <w:rStyle w:val="FootnoteReference"/>
                <w:noProof/>
              </w:rPr>
              <w:footnoteReference w:id="2"/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noProof/>
              </w:rPr>
              <w:t>Capítulo I – Legislação geral (saúde pública)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91/496/CEE do Conselho, de 15 de julho de 1991, que fixa os princípios relativos à organização dos controlos veterinários dos animais provenientes de países terceiros introduzidos na Comunidade e que altera as Diretivas 89/662/CEE, 90/425/CEE e 90/675/CEE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97/78/CE do Conselho, de 18 de dezembro de 1997, que fixa os princípios relativos à organização dos controlos veterinários dos produtos provenientes de países terceiros introduzidos na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178/2002 do Parlamento Europeu e do Conselho, de 28 de janeiro de 2002, que determina os princípios e normas gerais da legislação alimentar, cria a Autoridade Europeia para a Segurança dos Alimentos e estabelece procedimentos em matéria de segurança dos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2016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2002/99/CE do Conselho, de 16 de dezembro de 2002, que estabelece as regras de polícia sanitária aplicáveis à produção, transformação, distribuição e introdução de produtos de origem animal destinados ao consumo humano</w:t>
            </w:r>
          </w:p>
        </w:tc>
        <w:tc>
          <w:tcPr>
            <w:tcW w:w="1421" w:type="pct"/>
            <w:shd w:val="clear" w:color="auto" w:fill="auto"/>
          </w:tcPr>
          <w:p>
            <w:pPr>
              <w:widowControl w:val="0"/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>Regulamento (CE) n.º 852/2004 do Parlamento Europeu e do Conselho, de 29 de abril de 2004, relativo à higiene dos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2016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853/2004 do Parlamento Europeu e do Conselho, de 29 de abril de 2004, que estabelece regras específicas de higiene aplicáveis aos géneros alimentícios de origem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854/2004 do Parlamento Europeu e do Conselho, de 29 de abril de 2004, que estabelece regras específicas de organização dos controlos oficiais de produtos de origem animal destinados ao consumo humano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2016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669/2009 da Comissão, de 24 de julho de 2009, que dá execução ao Regulamento (CE) n.º 882/2004 do Parlamento Europeu e do Conselho no que respeita aos controlos oficiais reforçados na importação de certos alimentos para animais e géneros alimentícios de origem não animal e que altera a Decisão 2006/504/CE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16/2011 da Comissão, de 10 de janeiro de 2011, que estabelece medidas de execução relativas ao Sistema de Alerta Rápido para os Géneros Alimentícios e Alimentos para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931/2011 da Comissão, de 19 de setembro de 2011, relativo aos requisitos de rastreabilidade estabelecidos pelo Regulamento (CE) n.º 178/2002 do Parlamento Europeu e do Conselho para os géneros alimentícios de origem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208/2013 da Comissão, de 11 de março de 2013, relativo aos requisitos de rastreabilidade dos rebentos e das sementes destinadas à produção de rebentos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caps/>
                <w:noProof/>
                <w:szCs w:val="24"/>
              </w:rPr>
            </w:pPr>
            <w:r>
              <w:rPr>
                <w:caps/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pageBreakBefore/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>Rotulagem e informação sobre os géneros alimentícios</w:t>
            </w:r>
          </w:p>
        </w:tc>
      </w:tr>
      <w:tr>
        <w:trPr>
          <w:trHeight w:val="718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1924/2006 do Parlamento Europeu e do Conselho, de 20 de dezembro de 2006, relativo às alegações nutricionais e de saúde sobre 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718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1925/2006 do Parlamento Europeu e do Conselho, de 20 de dezembro de 2006, relativo à adição de vitaminas, minerais e determinadas outras substâncias aos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718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(UE) n.º 1169/2011 do Parlamento Europeu e do Conselho, de 25 de outubro de 2011, relativo à prestação de informação aos consumidores sobre os géneros alimentícios, que altera os Regulamentos (CE) n.º 1924/2006 e (CE) n.º 1925/2006 do Parlamento Europeu e do Conselho e revoga as Diretivas 87/250/CEE da Comissão, 90/496/CEE do Conselho, 1999/10/CE da Comissão, 2000/13/CE do Parlamento Europeu e do Conselho, 2002/67/CE e 2008/5/CE da Comissão e o Regulamento (CE) n.º 608/2004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2011/91/UE do Parlamento Europeu e do Conselho, de 13 de dezembro de 2011, relativa às menções ou marcas que permitem identificar o lote ao qual pertence um género alimentício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432/2012 da Comissão, de 16 de maio de 2012, que estabelece uma lista de alegações de saúde permitidas relativas a alimentos que não referem a redução de um risco de doença ou o desenvolvimento e a saúde das crianças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2013/63/UE da Comissão, de 24 de janeiro de 2013, que adota orientações para a execução das condições específicas das alegações de saúde previstas no artigo 10.º do Regulamento (CE) n.º 1924/2006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pageBreakBefore/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Medidas aplicáveis aos produtos de origem animal</w:t>
            </w:r>
          </w:p>
        </w:tc>
      </w:tr>
      <w:tr>
        <w:trPr>
          <w:trHeight w:val="317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2001/110/CE do Conselho, de 20 de dezembro de 2001, relativa ao mel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rPr>
          <w:trHeight w:val="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2002/226/CE da Comissão, de 15 de março de 2002, que estabelece controlos sanitários especiais para a colheita e transformação de determinados moluscos bivalves com um nível de toxina ASP que ultrapassa o limite estabelecido na Diretiva 91/492/CEE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2065/2003 do Parlamento Europeu e do Conselho, de 10 de novembro de 2003, relativo aos aromatizantes de fumo utilizados ou destinados a serem utilizados nos ou sobre 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853/2004 do Parlamento Europeu e do Conselho, de 29 de abril de 2004, que estabelece regras específicas de higiene aplicáveis aos géneros alimentícios de origem animal (capítulo I, apêndice 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853/2004 do Parlamento Europeu e do Conselho, de 29 de abril de 2004, que estabelece regras específicas de higiene aplicáveis aos géneros alimentícios de origem animal (capítulo V,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VII,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VIII,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IX,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XI,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XII,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XIII,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XIV,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853/2004 do Parlamento Europeu e do Conselho, de 29 de abril de 2004, que estabelece regras específicas de higiene aplicáveis aos géneros alimentícios de origem animal (capítulo XV, apêndice III)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854/2004 do Parlamento Europeu e do Conselho, de 29 de abril de 2004, que estabelece regras específicas de organização dos controlos oficiais de produtos de origem animal destinados ao consumo humano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37/2005 da Comissão, de 12 de janeiro de 2005, relativo ao controlo das temperaturas nos meios de transporte e nas instalações de depósito e armazenagem de alimentos ultracongelados destinados à alimentação humana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2016</w:t>
            </w:r>
          </w:p>
        </w:tc>
      </w:tr>
      <w:tr>
        <w:trPr>
          <w:trHeight w:val="792"/>
        </w:trP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1331/2008 do Parlamento Europeu e do Conselho, de 16 de dezembro de 2008, que estabelece um procedimento de autorização comum aplicável a aditivos alimentares, enzimas alimentares e aromas alimentares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5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Regulamento (CE) n.º 1332/2008 do Parlamento Europeu e do Conselho, de 16 de dezembro de 2008, relativo às enzimas alimentares e que altera a Diretiva 83/417/CEE do Conselho, o Regulamento (CE) n.º 1493/1999 do Conselho, a Diretiva 2000/13/CE, a Diretiva 2001/112/CE do Conselho e o Regulamento (CE) n.º 258/97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5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1333/2008 do Parlamento Europeu e do Conselho, de 16 de dezembro de 2008, relativo aos aditivos alimentares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5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1334/2008 do Parlamento Europeu e do Conselho, de 16 de dezembro de 2008, relativo aos aromas e a determinados ingredientes alimentares com propriedades aromatizantes utilizados nos e sobre os géneros alimentícios e que altera o Regulamento (CEE) n.º 1601/91 do Conselho, os Regulamentos (CE) n.º 2232/96 e (CE) n.º 110/2008 e a Diretiva 2000/13/CE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5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234/2011 da Comissão, de 10 de março de 2011, que executa o Regulamento (CE) n.º 1331/2008 do Parlamento Europeu e do Conselho que estabelece um procedimento de autorização comum aplicável a aditivos alimentares, enzimas alimentares e aromas alimentares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520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231/2012 da Comissão, de 9 de março de 2012, que estabelece especificações para os aditivos alimentares enumerados nos anexos II e III do Regulamento (CE) n.º 1333/2008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872/2012 da Comissão, de 1 de outubro de 2012, que adota a lista das substâncias aromatizantes prevista no Regulamento (CE) n.º 2232/96 do Parlamento Europeu e do Conselho, inclui essa lista no anexo I do Regulamento (CE) n.º 1334/2008 do Parlamento Europeu e do Conselho e revoga o Regulamento (CE) n.º 1565/2000 e a Decisão 1999/217/CE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873/2012 da Comissão, de 1 de outubro de 2012, relativo a medidas de transição referentes à lista da União de aromas e materiais de base estabelecida no anexo I do Regulamento (CE) n.º 1334/2008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Outras medidas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78/142/CEE do Conselho, de 30 de janeiro de 1978, relativa à aproximação das legislações dos Estados-Membros respeitantes aos materiais e objetos que contêm monómero de cloreto de vinilo, destinados a entrar em contacto com 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82/711/CEE do Conselho, de 18 de outubro de 1982, que estabelece as regras de base necessárias à verificação da migração dos constituintes dos materiais e objetos em matéria plástica destinados a entrar em contacto com 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84/500/CEE do Conselho, de 15 de outubro de 1984, relativa à aproximação das legislações dos Estados-Membros respeitantes aos objetos cerâmicos destinados a entrar em contacto com 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85/572/CEE do Conselho, de 19 de dezembro de 1985, que fixa a lista dos simuladores a utilizar para verificar a migração dos constituintes dos materiais e objetos em matéria plástica destinados a entrar em contacto com 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93/11/CEE da Comissão, de 15 de março de 1993, relativa à libertação de N-nitrosaminas e substâncias N-nitrosáveis por tetinas e chupetas de elastómeros ou borracha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1829/2003 do Parlamento Europeu e do Conselho, de 22 de setembro de 2003, relativo a géneros alimentícios e alimentos para animais geneticamente modificados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641/2004 da Comissão, de 6 de abril de 2004, que estabelece normas de execução do Regulamento (CE) n.º 1829/2003 do Parlamento Europeu e do Conselho no que respeita aos pedidos de autorização de novos géneros alimentícios e alimentos para animais geneticamente modificados, à comunicação de produtos existentes e à presença acidental ou tecnicamente inevitável de material geneticamente modificado que tenha sido objeto de uma avaliação de risco favorável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1935/2004 do Parlamento Europeu e do Conselho, de 27 de outubro de 2004, relativo aos materiais e objetos destinados a entrar em contacto com os alimentos e que revoga as Diretivas 80/590/CEE e 89/109/CEE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1895/2005 da Comissão, de 18 de novembro de 2005, relativo à restrição de utilização de determinados derivados epoxídicos em materiais e objetos destinados a entrar em contacto com 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2023/2006, da Comissão, de 22 de dezembro de 2006, relativo às boas práticas de fabrico de materiais e objetos destinados a entrar em contacto com 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2007/275/CE da Comissão, de 17 de abril de 2007, relativa às listas de animais e produtos que devem ser sujeitos a controlos nos postos de inspeção fronteiriços em conformidade com as Diretivas 91/496/CEE e 97/78/CE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2007/42/CE da Comissão, de 29 de junho de 2007, respeitante aos materiais e objetos em película de celulose regenerada destinados a entrar em contacto com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282/2008 da Comissão, de 27 de março de 2008, relativo aos materiais e objetos de plástico reciclado destinados a entrar em contacto com os alimentos e que altera o Regulamento (CE) n.º 2023/2006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450/2009 da Comissão, de 29 de maio de 2009, relativo aos materiais e objetos ativos e inteligentes destinados a entrar em contacto com 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2010/169/UE da Comissão, de 19 de março de 2010, relativa à não inclusão do éter 2,4,4’-tricloro-2’-hidroxidifenílico na lista da União de aditivos que podem ser utilizados no fabrico de materiais e objetos de matéria plástica destinados a entrar em contacto com os géneros alimentícios, ao abrigo da Diretiva 2002/72/CE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10/2011 da Comissão, de 14 de janeiro de 2011, relativo aos materiais e objetos de matéria plástica destinados a entrar em contacto com os alimentos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284/2011 da Comissão, de 22 de março de 2011, que fixa as condições específicas e os procedimentos pormenorizados para a importação de objetos de matéria plástica de poliamida e melamina para a cozinha originários ou provenientes da República Popular da China e da Região Administrativa Especial de Hong Kong, China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28/2012 da Comissão, de 11 de janeiro de 2012, que define as exigências de certificação aplicáveis às importações e ao trânsito na União de determinados produtos compostos e que altera a Decisão 2007/275/CE e o Regulamento (CE) n.º 1162/2009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Medidas a incluir após a aproximação da legislação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96/23/CE do Conselho, de 29 de abril de 1996, relativa às medidas de controlo a aplicar a certas substâncias e aos seus resíduos nos animais vivos e respetivos produtos e que revoga as Diretivas 85/358/CEE e 86/469/CEE e as Decisões 89/187/CEE e 91/664/CEE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Regulamento (CE) n.º 258/97 do Parlamento Europeu e do Conselho, de 27 de janeiro de 1997, relativo a novos alimentos e ingredientes alimentares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1999/2/CE do Parlamento Europeu e do Conselho, de 22 de fevereiro de 1999, relativa à aproximação das legislações dos Estados-Membros respeitantes aos alimentos e ingredientes alimentares tratados por radiação ionizante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1999/3/CE do Parlamento Europeu e do Conselho, de 22 de fevereiro de 1999, relativa ao estabelecimento de uma lista comunitária de alimentos e ingredientes alimentares tratados por radiação ionizante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2002/63/CE da Comissão, de 11 de julho de 2002, que estabelece métodos de amostragem comunitários para o controlo oficial de resíduos de pesticidas no interior e à superfície de produtos de origem vegetal ou animal e revoga a Diretiva 79/700/CEE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681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401/2006 da Comissão, de 23 de fevereiro de 2006, que estabelece os métodos de amostragem e de análise para o controlo oficial dos teores de micotoxinas nos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681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1881/2006 da Comissão, de 19 de dezembro de 2006, que fixa os teores máximos de certos contaminantes presentes nos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rPr>
          <w:trHeight w:val="681"/>
        </w:trP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1882/2006 da Comissão, de 19 de dezembro de 2006, que estabelece métodos de amostragem e de análise para o controlo oficial dos teores de nitratos em determinados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333/2007 da Comissão, de 28 de março de 2007, que estabelece os métodos de amostragem e de análise para o controlo dos teores de oligoelementos e de contaminantes derivados da transformação nos géneros alimentícios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589/2014 da Comissão, de 2 de junho de 2014, que estabelece métodos de amostragem e análise para o controlo dos teores de dioxinas, PCB sob a forma de dioxina e PCB não semelhantes a dioxinas em determinados géneros alimentícios e que revoga o Regulamento (UE) n.º 252/2012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pageBreakBefore/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Capítulo II - Saúde animal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64/432/CEE do Conselho, de 26 de junho de 1964, relativa a problemas de fiscalização sanitária em matéria de comércio intracomunitário de animais das espécies bovina e suína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86/474/CEE da Comissão, de 11 de setembro de 1986, relativa à realização dos controlos efetuados «</w:t>
            </w:r>
            <w:r>
              <w:rPr>
                <w:i/>
                <w:noProof/>
              </w:rPr>
              <w:t>in loco</w:t>
            </w:r>
            <w:r>
              <w:rPr>
                <w:noProof/>
              </w:rPr>
              <w:t>» no âmbito do regime aplicável às importações de animais das espécies bovina e suína bem como de carne fresca provenientes de países terceiros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88/407/CEE do Conselho, de 14 de junho de 1988, que fixa as exigências de polícia sanitária aplicáveis às trocas comerciais intracomunitárias e às importações de sémen de animais de espécie bovina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89/556/CEE do Conselho, de 25 de setembro de 1989, que estabelece as condições de polícia sanitária aplicáveis às trocas comerciais intracomunitárias e às importações provenientes de países terceiros de embriões de animais da espécie bovina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90/429/CEE do Conselho, de 26 de junho de 1990, que fixa as exigências de polícia sanitária aplicáveis às trocas comerciais intracomunitárias e às importações de sémen de animais de espécie suína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92/65/CEE do Conselho, de 13 de julho de 1992, que define as condições de polícia sanitária que regem o comércio e as importações na Comunidade de animais, sémenes, óvulos e embriões não sujeitos, no que se refere às condições de polícia sanitária, às regulamentações comunitárias específicas referidas na secção I do anexo A da Diretiva 90/425/CEE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Regulamento (CE) n.º 338/97 do Conselho, de 9 de dezembro de 1996, relativo à proteção de espécies da fauna e da flora selvagens através do controlo do seu comércio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2004/211/CE da Comissão, de 6 de janeiro de 2004, que estabelece a lista de países terceiros e partes dos seus territórios a partir dos quais os Estados-Membros autorizam as importações de equídeos vivos e sémen, óvulos e embriões de equídeos e que altera as Decisões 93/195/CEE e 94/63/CE.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853/2004 do Parlamento Europeu e do Conselho, de 29 de abril de 2004, que estabelece regras específicas de higiene aplicáveis aos géneros alimentícios de origem animal (capítulo VII)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1739/2005 da Comissão, de 21 de outubro de 2005, que define as condições de polícia sanitária para a circulação de animais de circo entre os Estados-Membros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2006/168/CE da Comissão, de 4 de janeiro de 2006, que estabelece as condições de sanidade animal e os requisitos de certificação veterinária aplicáveis às importações para a Comunidade de embriões de bovinos e revoga a Decisão 2005/217/CE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2006/605/CE da Comissão, de 6 de setembro de 2006, relativa a determinadas medidas de proteção no que se refere ao comércio intracomunitário de aves de capoeira destinadas à reconstituição dos efetivos cinegéticos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2006/88/CE do Conselho, de 24 de outubro de 2006, relativa aos requisitos zoossanitários aplicáveis aos animais de aquicultura e produtos derivados, assim como à prevenção e à luta contra certas doenças dos animais aquáticos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2006/767/CE da Comissão, de 6 de novembro de 2006, que altera as Decisões 2003/804/CE e 2003/858/CE no que diz respeito a requisitos de certificação aplicáveis aos moluscos vivos e peixes vivos originários da aquicultura e dos respetivos produtos destinados a consumo humano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798/2008 da Comissão, de 8 de agosto de 2008, que estabelece a lista de países terceiros, territórios, zonas ou compartimentos a partir dos quais são autorizados a importação e o trânsito na Comunidade de aves de capoeira e de produtos à base de aves de capoeira, bem como as exigências de certificação veterinária aplicáveis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1251/2008 da Comissão, de 12 de dezembro de 2008, que aplica a Diretiva 2006/88/CE do Conselho no que se refere às condições e aos requisitos de certificação para a colocação no mercado e importação para a Comunidade de animais de aquicultura e produtos derivados e estabelece uma lista de espécies vetoras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2009/712/CE da Comissão, de 18 de setembro de 2009, que dá execução à Diretiva 2008/73/CE do Conselho no que se refere às páginas de informação na internet com listas de estabelecimentos e laboratórios aprovados pelos Estados-Membros em conformidade com a legislação comunitária no domínio veterinário e zootécnico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2009/156/CE do Conselho, de 30 de novembro de 2009, relativa às condições de polícia sanitária que regem a circulação de equídeos e as importações de equídeos provenientes de países terceiros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2009/158/CE do Conselho, de 30 de novembro de 2009, relativa às condições de polícia sanitária que regem o comércio intracomunitário e as importações de aves de capoeira e de ovos para incubação provenientes de países terceiros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2010/57/UE da Comissão, de 3 de fevereiro de 2010, que estabelece garantias sanitárias para o trânsito de equídeos transportados através dos territórios enumerados no anexo I da Diretiva 97/78/CE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Decisão 2010/270/UE da Comissão, de 6 de maio de 2010, que altera as partes 1 e 2 do anexo E da Diretiva 92/65/CEE do Conselho no que diz respeito aos modelos de certificados sanitários para animais de explorações e para abelhas e espécimes do género </w:t>
            </w:r>
            <w:r>
              <w:rPr>
                <w:i/>
                <w:noProof/>
              </w:rPr>
              <w:t>Bombus</w:t>
            </w:r>
            <w:r>
              <w:rPr>
                <w:noProof/>
              </w:rPr>
              <w:t xml:space="preserve"> spp.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2010/471/UE da Comissão, de 26 de agosto de 2010, relativa às importações para a União de sémen, óvulos e embriões de animais da espécie equina, no que se refere às listas de centros de colheita e armazenagem de sémen e de equipas de colheita e produção de embriões, bem como aos requisitos de certificação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2010/472/UE da Comissão, de 26 de agosto de 2010, relativa às importações de sémen, óvulos e embriões de animais das espécies ovina e caprina na União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2011/630/UE da Comissão, de 20 de setembro de 2011, relativa às importações na União de sémen de animais domésticos da espécie bovina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Decisão de Execução 2012/137/UE da Comissão, de 1 de março de 2012, relativa às importações para a União de sémen de animais domésticos da espécie suína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Doenças dos animais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82/894/CEE do Conselho, de 21 de dezembro de 1982, relativa à notificação de doenças dos animais na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92/260/CEE da Comissão, de 10 de abril de 1992, relativa às condições sanitárias e à certificação sanitária requeridas para a admissão temporária de cavalos registados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92/35/CEE do Conselho, de 29 de abril de 1992, que define as regras de controlo e as medidas de luta contra a peste equina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92/119/CEE do Conselho, de 17 de dezembro de 1992, que estabelece medidas comunitárias gerais de luta contra certas doenças animais, bem como medidas específicas respeitantes à doença vesiculosa do suíno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93/197/CEE da Comissão, de 5 de fevereiro de 1993, relativa às condições sanitárias e à certificação veterinária a que estão sujeitas as importações de equídeos registados e de equídeos de criação e de rendimento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2000/428/CE da Comissão, de 4 de julho de 2000, que estabelece procedimentos diagnósticos, métodos de amostragem e critérios de avaliação dos resultados dos testes laboratoriais para a confirmação e o diagnóstico diferencial da doença vesiculosa do suíno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2000/75/CE do Conselho, de 20 de novembro de 2000, que aprova disposições específicas relativas às medidas de luta e de erradicação da febre catarral ovina ou língua azul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2001/89/CE do Conselho, de 23 de outubro de 2001, relativa a medidas comunitárias de luta contra a peste suína clássica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2002/60/CE do Conselho, de 27 de junho de 2002, que estabelece disposições específicas em relação à luta contra a peste suína africana e que altera a Diretiva 92/119/CEE no que respeita à doença de Teschen e à peste suína africana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2003/466/CE da Comissão, de 13 de junho de 2003, que estabelece critérios de definição de zonas e vigilância oficial na sequência da suspeita ou confirmação da ocorrência de anemia infecciosa do salmão (ISA)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2003/634/CE da Comissão, de 28 de agosto de 2003, que aprova programas com vista à obtenção do estatuto de zonas aprovadas e de explorações aprovadas em zonas não aprovadas no que diz respeito à septicemia hemorrágica viral (SHV) e à necrose hematopoética infecciosa (NHI) nos peixes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2005/217/CE da Comissão, de 9 de março de 2005, que estabelece as condições de sanidade animal e os requisitos de certificação veterinária aplicáveis às importações, para a Comunidade, de embriões de bovinos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Decisão 2008/855/CE da Comissão, de 3 de novembro de 2008, relativa a medidas de polícia sanitária contra a peste suína clássica em determinados Estados-Membros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2009/3/CE da Comissão, de 18 de dezembro de 2008, que estabelece reservas comunitárias de vacinas contra a peste equina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789/2009 da Comissão, de 28 de agosto de 2009, que altera o Regulamento (CE) n.º 1266/2007 no que diz respeito à proteção contra ataques por vetores e aos requisitos mínimos relativos aos programas de acompanhamento e vigilância da febre catarral ovina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Identificação e registo de animais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494/98 da Comissão, de 27 de fevereiro de 1998, que estabelece normas de execução do Regulamento (CE) n.º 820/97 do Conselho no que respeita à aplicação de sanções administrativas mínimas no âmbito do regime de identificação e registo dos bovinos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Regulamento (CE) n.º 1760/2000 do Parlamento Europeu e do Conselho, de 17 de julho de 2000, que estabelece um regime de identificação e registo de bovinos e relativo à rotulagem da carne de bovino e dos produtos à base de carne de bovino e revoga o Regulamento (CE) n.º 820/97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Decisão 2000/678/CE da Comissão, de 23 de outubro de 2000, que estabelece as regras de registo das explorações nas bases de dados nacionais relativas aos suínos, em conformidade com a Diretiva 64/432/CEE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1082/2003 da Comissão, de 23 de junho de 2003, que estabelece as disposições de aplicação do Regulamento (CE) n.º 1760/2000 do Parlamento Europeu e do Conselho no que respeita ao nível mínimo dos controlos a efetuar no âmbito da identificação e registo dos bovinos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21/2004 do Conselho, de 17 de dezembro de 2003, que estabelece um sistema de identificação e registo de ovinos e caprinos e que altera o Regulamento (CE) n.º 1782/2003 e as Diretivas 92/102/CEEe 64/432/CEE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911/2004 da Comissão, de 29 de abril de 2004, que aplica o Regulamento (CE) n.º 1760/2000 do Parlamento Europeu e do Conselho, no que diz respeito às marcas auriculares, aos passaportes e aos registos das explorações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Decisão 2006/28/CE da Comissão, de 18 de janeiro de 2006, relativa à prorrogação do prazo para a aplicação de marcas auriculares a determinados bovinos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Regulamento (CE) n.º 1505/2006 da Comissão, de 11 de outubro de 2006, que dá execução ao Regulamento (CE) n.º 21/2004 do Conselho no que respeita ao nível mínimo de inspeções a efetuar no âmbito da identificação e do registo de ovinos e caprinos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Decisão 2006/968/CE da Comissão, de 15 de dezembro de 2006, que dá execução ao Regulamento (CE) n.º 21/2004 do Conselho no que diz respeito às orientações e aos procedimentos relativos à identificação eletrónica dos ovinos e caprinos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Diretiva 2008/71/CE do Conselho, de 15 de julho de 2008, relativa à identificação e ao registo de suínos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Regulamento de Execução (UE) 2015/262 da Comissão, de 17 de fevereiro de 2015, que estabelece normas relativas aos métodos de identificação de equídeos, nos termos das Diretivas 90/427/CEE e 2009/156/CE do Conselho (Regulamento relativo ao passaporte para equídeos)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pageBreakBefore/>
              <w:spacing w:before="60" w:after="60"/>
              <w:jc w:val="center"/>
              <w:rPr>
                <w:noProof/>
                <w:color w:val="C00000"/>
                <w:szCs w:val="24"/>
              </w:rPr>
            </w:pPr>
            <w:r>
              <w:rPr>
                <w:noProof/>
              </w:rPr>
              <w:t>Subprodutos animais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2160/2003 do Parlamento Europeu e do Conselho, de 17 de novembro de 2003, relativo ao controlo de salmonelas e outros agentes zoonóticos específicos de origem alimentar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2003/99/CE do Parlamento Europeu e do Conselho, de 17 de novembro de 2003, relativa à vigilância das zoonoses e dos agentes zoonóticos, que altera a Decisão 90/424/CEE do Conselho e revoga a Diretiva 92/117/CEE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1069/2009 do Parlamento Europeu e do Conselho, de 21 de outubro de 2009, que define regras sanitárias relativas a subprodutos animais e produtos derivados não destinados ao consumo humano e que revoga o Regulamento (CE) n.º 1774/2002 (regulamento relativo aos subprodutos animais)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 142/2011 da Comissão, de 25 de fevereiro de 2011, que aplica o Regulamento (CE) n.º 1069/2009 do Parlamento Europeu e do Conselho que define regras sanitárias relativas a subprodutos animais e produtos derivados não destinados ao consumo humano e que aplica a Diretiva 97/78/CE do Conselho no que se refere a certas amostras e certos artigos isentos de controlos veterinários nas fronteiras ao abrigo da referida diretiva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 749/2011 da Comissão, de 29 de julho de 2011, que altera o Regulamento (UE) n.º 142/2011 que aplica o Regulamento (CE) n.º 1069/2009 do Parlamento Europeu e do Conselho que define regras sanitárias relativas a subprodutos animais e produtos derivados não destinados ao consumo humano e que aplica a Diretiva 97/78/CE do Conselho no que se refere a certas amostras e certos artigos isentos de controlos veterinários nas fronteiras ao abrigo da referida diretiva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pageBreakBefore/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Medidas aplicáveis aos alimentos para animais e aos aditivos para a alimentação animal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90/167/CEE do Conselho, de 26 de março de 1990, que estabelece as condições de preparação, colocação no mercado e utilização dos alimentos medicamentosos para animais na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2001/82/CE do Parlamento Europeu e do Conselho, de 6 de novembro de 2001, que estabelece um código comunitário relativo aos medicamentos veterinários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1831/2003 do Parlamento Europeu e do Conselho, de 22 de setembro de 2003, relativo aos aditivos destinados à alimentação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2004/28/CE do Parlamento Europeu e do Conselho, de 31 de março de 2004, que altera a Diretiva 2001/82/CE que estabelece um código comunitário relativo aos medicamentos veterinários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Recomendação 2004/704/CE da Comissão, de 11 de outubro de 2004, relativa à monitorização dos níveis de base de dioxinas e dos PCB sob a forma de dioxina nos alimentos para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183/2005 do Parlamento Europeu e do Conselho, de 12 de Janeiro de 2005, que estabelece requisitos de higiene dos alimentos para animais;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378/2005 da Comissão, de 4 de março de 2005, sobre as regras de execução do Regulamento (CE) n.º 1831/2003 do Parlamento Europeu e do Conselho relativo às competências e funções do Laboratório Comunitário de Referência no respeitante aos pedidos de autorização de aditivos destinados à alimentação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1876/2006 da Comissão, de 18 de dezembro de 2006, relativo à autorização provisória e definitiva de determinados aditivos em alimentos para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2008/38/CE da Comissão, de 5 de março de 2008, que estabelece uma lista das utilizações previstas para os alimentos com objetivos nutricionais específicos destinados a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429/2008 da Comissão, de 25 de abril de 2008, relativo às regras de execução do Regulamento (CE) n.º 1831/2003 do Parlamento Europeu e do Conselho no que se refere à preparação e apresentação de pedidos e à avaliação e autorização de aditivos destinados à alimentação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470/2009 do Parlamento Europeu e do Conselho, de 6 de maio de 2009, que prevê procedimentos comunitários para o estabelecimento de limites máximos de resíduos de substâncias farmacologicamente ativas nos alimentos de origem animal, que revoga o Regulamento (CEE) n.º 2377/90 do Conselho e que altera a Diretiva 2001/82/CE do Parlamento Europeu e do Conselho e o Regulamento (CE) n.º 726/2004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767/2009 do Parlamento Europeu e do Conselho, de 13 de julho de 2009, relativo à colocação no mercado e à utilização de alimentos para animais, que altera o Regulamento (CE) n.º 1831/2003 e revoga as Diretivas 79/373/CEE do Conselho, 80/511/CEE da Comissão, 82/471/CEE do Conselho, 83/228/CEE do Conselho, 93/74/CEE do Conselho, 93/113/CE do Conselho e 96/25/CE do Conselho e a Decisão 2004/217/CE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1270/2009 da Comissão, de 21 de dezembro de 2009, relativo à autorização definitiva de determinados aditivos em alimentos para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37/2010 da Comissão, de 22 de dezembro de 2009, relativo a substâncias farmacologicamente ativas e respetiva classificação no que respeita aos limites máximos de resíduos nos alimentos de origem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892/2010 da Comissão, de 8 de outubro de 2010, relativo ao estatuto de certos produtos no que se refere a aditivos destinados à alimentação animal na aceção do Regulamento (CE) n.º 1831/2003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Recomendação 2011/25/UE da Comissão, de 14 de janeiro de 2011, que estabelece diretrizes para a distinção entre matérias-primas para alimentação animal, aditivos para alimentação animal, produtos biocidas e medicamentos veterinários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68/2013 da Comissão, de 16 de janeiro de 2013, relativo ao Catálogo de matérias-primas para alimentação animal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Bem-estar dos animais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1999/74/CE do Conselho, de 19 de julho de 1999, que estabelece as normas mínimas relativas à proteção das galinhas poedeiras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2002/4/CE da Comissão, de 30 de janeiro de 2002, relativa ao registo de estabelecimentos de criação de galinhas poedeiras abrangidos pela Diretiva 1999/74/CE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1/2005 do Conselho, de 22 de dezembro de 2004, relativo à proteção dos animais durante o transporte e operações afins e que altera as Diretivas 64/432/CEE e 93/119/CE e o Regulamento (CE) n.º 1255/97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2006/778/CE da Comissão, de 14 de novembro de 2006, relativa a requisitos mínimos para a recolha de informação durante as inspeções de locais de produção onde são mantidos animais para fins de criação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2007/43/CE do Conselho, de 28 de junho de 2007, relativa ao estabelecimento de regras mínimas para a proteção dos frangos de carne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2008/119/CE do Conselho, de 18 de dezembro de 2008, relativa às normas mínimas de proteção dos vitelos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2008/120/CE do Conselho, de 18 de dezembro de 2008, relativa às normas mínimas de proteção de suínos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1099/2009 do Conselho, de 24 de setembro de 2009, relativo à proteção dos animais no momento da occisão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2013/188/UE da Comissão, de 18 de abril de 2013, relativa aos relatórios anuais sobre inspeções não discriminatórias realizadas ao abrigo do Regulamento (CE) n.º 1/2005 do Conselho relativo à proteção dos animais durante o transporte e operações afins e que altera as Diretivas 64/432/CEE e 93/119/CE e o Regulamento (CE) n.º 1255/97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000" w:type="pct"/>
            <w:gridSpan w:val="2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Capítulo III — Medidas fitossanitárias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66/401/CEE do Conselho, de 14 de junho de 1966, relativa à comercialização de sementes de plantas forrageiras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66/402/CEE do Conselho, de 14 de junho de 1966, relativa à comercialização de sementes de cereais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69/464/CEE do Conselho, de 8 de dezembro de 1969, respeitante à luta contra a verruga negra da batateira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Diretiva 92/90/CEE da Comissão, de 3 de novembro de 1992, que estabelece as obrigações a cumprir pelos produtores e importadores de plantas, produtos vegetais ou outros materiais, bem como as normas a seguir no respetivo registo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92/105/CEE da Comissão, de 3 de dezembro de 1992, que estabelece uma determinada normalização para os passaportes fitossanitários a utilizar para a circulação de certas plantas, produtos vegetais ou outros materiais na Comunidade, os processos pormenorizados para a emissão desses passaportes e as condições e processos pormenorizados para a sua substituição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93/51/CEE da Comissão, de 24 de junho de 1993, que estabelece normas relativas à circulação, através de zonas protegidas, de determinadas plantas, produtos vegetais ou outros materiais, bem como à circulação de tais plantas, produtos vegetais ou outros materiais originários dessas zonas protegidas no interior das mesmas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93/85/CEE do Conselho, de 4 de outubro de 1993, relativa à luta contra a podridão anelar da batata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94/3/CE da Comissão, de 21 de janeiro de 1994, que estabelece um processo de notificação da interceção de remessas ou de organismos prejudiciais provenientes de países terceiros que representem um perigo fitossanitário iminente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2100/94 do Conselho, de 27 de julho de 1994, relativo ao regime comunitário de proteção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1238/95 da Comissão, de 31 de maio de 1995, que estabelece normas de execução do Regulamento (CE) n.º 2100/94 do Conselho no que diz respeito às taxas a pagar ao Instituto comunitário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1768/95 da Comissão, de 24 de julho de 1995, que estabelece as regras de aplicação relativas à exceção agrícola prevista no n.º 3 do artigo 14.º do Regulamento (CE) n.º 2100/94 do Conselho relativo ao regime comunitário de proteção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2506/95 do Conselho, de 25 de outubro de 1995, que altera o Regulamento (CE) n.º 2100/94 relativo ao regime comunitário de proteção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2470/96 do Conselho, de 17 de dezembro de 1996, que prorroga a proteção comunitária das variedades vegetais em relação à batata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Diretiva 97/46/CE da Comissão, de 25 de julho de 1997, que altera a Diretiva 95/44/CE que estabelece as condições segundo as quais determinados organismos prejudiciais, plantas, produtos vegetais e outros materiais, constantes dos anexos I a V da Diretiva 77/93/CEE, podem ser introduzidos ou circular na Comunidade, ou em certas zonas protegidas desta, para fins experimentais ou científicos e trabalhos de seleção de variedades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98/22/CE da Comissão, de 15 de abril de 1998, que estabelece as condições mínimas para a realização na Comunidade de controlos fitossanitários de plantas, produtos vegetais e outros materiais provenientes de países terceiros, em postos de inspeção que não os do local de destino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98/56/CE do Conselho, de 20 de julho de 1998, relativa à comercialização de materiais de propagação de plantas ornamentais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Diretiva 98/57/CE do Conselho, de 20 de julho de 1998, relativa ao controlo de </w:t>
            </w:r>
            <w:r>
              <w:rPr>
                <w:i/>
                <w:noProof/>
              </w:rPr>
              <w:t>Ralstonia solanacearum</w:t>
            </w:r>
            <w:r>
              <w:rPr>
                <w:noProof/>
              </w:rPr>
              <w:t xml:space="preserve"> (Smith) Yabuuchi </w:t>
            </w:r>
            <w:r>
              <w:rPr>
                <w:i/>
                <w:noProof/>
              </w:rPr>
              <w:t>et al</w:t>
            </w:r>
            <w:r>
              <w:rPr>
                <w:noProof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2605/98 da Comissão, de 3 de dezembro de 1998, que altera o Regulamento (CE) n.º 1768/95 que estabelece as regras de aplicação relativas à exceção agrícola prevista no n.º 3 do artigo 14.º do Regulamento (CE) n.º 2100/94 do Conselho relativo ao regime comunitário de proteção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2000/29/CE do Conselho, de 8 de maio de 2000, relativa às medidas de proteção contra a introdução na Comunidade de organismos prejudiciais aos vegetais e produtos vegetais e contra a sua propagação no interior da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2002/54/CE do Conselho, de 13 de junho de 2002, relativa à comercialização de sementes de beterrabas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2002/55/CE do Conselho, de 13 de junho de 2002, respeitante à comercialização de sementes de produtos hortícolas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2002/56/CE do Conselho, de 13 de junho de 2002, relativa à comercialização de batatas de semente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2002/57/CE do Conselho, de 13 de junho de 2002, relativa à comercialização de sementes de plantas oleaginosas e de fibras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2003/17/CE do Conselho, de 16 de dezembro de 2002, relativa à equivalência das inspeções de campo de culturas produtoras de sementes efetuadas em países terceiros e à equivalência das sementes produzidas em países terceiros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1830/2003 do Parlamento Europeu e do Conselho, de 22 de setembro de 2003, relativo à rastreabilidade e rotulagem de organismos geneticamente modificados e à rastreabilidade dos géneros alimentícios e alimentos para animais produzidos a partir de organismos geneticamente modificados e que altera a Diretiva 2001/18/CE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2003/2003 do Parlamento Europeu e do Conselho, de 13 de outubro de 2003, relativo aos adubos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2021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882/2004 do Parlamento Europeu e do Conselho, de 29 de abril de 2004, relativo aos controlos oficiais realizados para assegurar a verificação do cumprimento da legislação relativa aos alimentos para animais e aos géneros alimentícios e das normas relativas à saúde e ao bem-estar dos animais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2004/102/CE da Comissão, de 5 de outubro de 2004, que altera os anexos II, III, IV e V da Diretiva 2000/29/CE do Conselho relativa às medidas de proteção contra a introdução na Comunidade de organismos prejudiciais aos vegetais e produtos vegetais e contra a sua propagação no interior da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2004/103/CE da Comissão, de 7 de outubro de 2004, relativa aos controlos de identidade e fitossanitários das plantas, produtos vegetais ou outros materiais enunciados na parte B do anexo V da Diretiva 2000/29/CE do Conselho, que podem ser efetuados num local diferente do ponto de entrada na Comunidade ou num local próximo, e que especifica as condições respeitantes a esses controlos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 1756/2004 da Comissão, de 11 de outubro de 2004, que especifica em pormenor as condições para a apresentação das provas exigidas e os critérios para o tipo e nível de redução dos controlos fitossanitários de certas plantas, produtos vegetais ou outros materiais enunciados na parte B do anexo V da Diretiva 2000/29/CE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2004/105/CE da Comissão, de 15 de outubro de 2004, que determina os modelos de certificados fitossanitários ou certificados fitossanitários de reexportação oficiais que acompanham os vegetais, os produtos vegetais ou outros materiais provenientes de países terceiros e enumerados na Diretiva 2000/29/CE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396/2005 do Parlamento Europeu e do Conselho, de 23 de fevereiro de 2005, relativo aos limites máximos de resíduos de pesticidas no interior e à superfície dos géneros alimentícios e dos alimentos para animais, de origem vegetal ou animal, e que altera a Diretiva 91/414/CEE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217/2006 da Comissão, de 8 de fevereiro de 2006, que estabelece as regras de execução das Diretivas 66/401/CEE, 66/402/CEE, 2002/54/CE, 2002/55/CE e 2002/57/CE do Conselho no que diz respeito à autorização dos Estados-Membros para permitirem temporariamente a comercialização de sementes que não satisfazem os requisitos relativos à germinação mínima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2007/33/CE do Conselho, de 11 de junho de 2007, relativa ao controlo dos nemátodos de quisto da batateira e que revoga a Diretiva 69/465/CEE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2008/495/CE da Comissão, de 7 de maio de 2008, relativa à proibição provisória da utilização e venda na Áustria de milho geneticamente modificado (</w:t>
            </w:r>
            <w:r>
              <w:rPr>
                <w:i/>
                <w:noProof/>
              </w:rPr>
              <w:t>Zea mays</w:t>
            </w:r>
            <w:r>
              <w:rPr>
                <w:noProof/>
              </w:rPr>
              <w:t xml:space="preserve"> L. da linhagem MON810), nos termos da Diretiva 2001/18/CE do Parlamento Europeu 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2008/61/CE da Comissão, de 17 de junho de 2008, que estabelece as condições segundo as quais determinados organismos prejudiciais, plantas, produtos vegetais e outros materiais, constantes dos anexos I a V da Diretiva 2000/29/CE, podem ser introduzidos ou circular na Comunidade, ou em certas zonas protegidas desta, para fins experimentais ou científicos e trabalhos de seleção de variedades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2008/72/CE do Conselho, de 15 de julho de 2008, relativa à comercialização de material de propagação e plantação de produtos hortícolas, com exceção das sementes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2008/90/CE do Conselho, de 29 de setembro de 2008, relativa à comercialização de material de propagação de fruteiras e de fruteiras destinadas à produção de frutos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2009/244/CE da Comissão, de 16 de março de 2009, relativa à colocação no mercado, em conformidade com a Diretiva 2001/18/CE do Parlamento Europeu e do Conselho, de um craveiro (</w:t>
            </w:r>
            <w:r>
              <w:rPr>
                <w:i/>
                <w:noProof/>
              </w:rPr>
              <w:t>Dianthus caryophyllus</w:t>
            </w:r>
            <w:r>
              <w:rPr>
                <w:noProof/>
              </w:rPr>
              <w:t xml:space="preserve"> L., linhagem 123.8.12) geneticamente modificado no que respeita à cor da flor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2009/41/CE do Parlamento Europeu e do Conselho, de 6 de maio de 2009, relativa à utilização confinada de microrganismos geneticamente modificados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(CE) n.º 874/2009 da Comissão, de 17 de setembro de 2009, que estabelece normas de execução do Regulamento (CE) n.º 2100/94 do Conselho no que respeita ao processo no Instituto Comunitário das Variedades Vegetais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2009/770/CE da Comissão, de 13 de outubro de 2009, que em conformidade com a Diretiva 2001/18/CE do Parlamento Europeu e do Conselho, estabelece os modelos de relatórios normalizados para a apresentação dos resultados da monitorização das libertações deliberadas no ambiente de organismos geneticamente modificados, como produtos ou contidos em produtos destinados a ser colocados no mercado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2009/128/CE do Parlamento Europeu e do Conselho, de 21 de outubro de 2009, que estabelece um quadro de ação a nível comunitário para uma utilização sustentável dos pesticidas.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 (CE) n.º 1107/2009 do Parlamento Europeu e do Conselho, de 21 de outubro de 2009, relativo à colocação dos produtos fitofarmacêuticos no mercado e que revoga as Diretivas 79/117/CEE e 91/414/CEE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2010/135/UE da Comissão, de 2 de março de 2010, relativa à colocação no mercado, em conformidade com a Diretiva 2001/18/CE do Parlamento Europeu e do Conselho, de um tipo de batata (</w:t>
            </w:r>
            <w:r>
              <w:rPr>
                <w:i/>
                <w:noProof/>
              </w:rPr>
              <w:t>Solanum tuberosum</w:t>
            </w:r>
            <w:r>
              <w:rPr>
                <w:noProof/>
              </w:rPr>
              <w:t xml:space="preserve"> L. linha EH92-527-1) geneticamente modificada para aumento do teor de amilopectina da fécula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Recomendação 2010/C 200/01 da Comissão, de 13 de julho de 2010, relativa a orientações para a elaboração de medidas nacionais de coexistência para impedir a presença acidental de OGM em culturas convencionais e biológicas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 188/2011 da Comissão, de 25 de fevereiro de 2011, que estabelece normas pormenorizadas para aplicação da Diretiva 91/414/CEE do Conselho no que diz respeito ao procedimento de avaliação de substâncias ativas que não se encontravam no mercado dois anos após a data de notificação daquela diretiva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540/2011 da Comissão, de 25 de maio de 2011, que dá execução ao Regulamento (CE) n.º 1107/2009 do Parlamento Europeu e do Conselho no que diz respeito à lista de substâncias ativas aprovadas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541/2011 da Comissão, de 1 de junho de 2011, que altera o Regulamento de Execução (UE) n.º 540/2011 que dá execução ao Regulamento (CE) n.º 1107/2009 do Parlamento Europeu e do Conselho no que diz respeito à lista de substâncias ativas aprovadas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 547/2011 da Comissão, de 8 de junho de 2011, que dá execução ao Regulamento (CE) n.º 1107/2009 do Parlamento Europeu e do Conselho no que diz respeito aos requisitos de rotulagem dos produtos fitofarmacêuticos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544/2011 da Comissão, de 10 de junho de 2011, que dá execução ao Regulamento (CE) n.º 1107/2009 do Parlamento Europeu e do Conselho no que diz respeito aos requisitos em matéria de dados aplicáveis às substâncias ativas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(UE) n.º 545/2011 da Comissão, de 10 de junho de 2011, que dá execução ao Regulamento (CE) n.º 1107/2009 do Parlamento Europeu e do Conselho no que diz respeito aos requisitos em matéria de dados aplicáveis aos produtos fitofarmacêuticos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702/2011 da Comissão, de 20 de julho de 2011, que aprova a substância ativa prohexadiona,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703/2011 da Comissão, de 20 de julho de 2011, que aprova a substância ativa azoxistrobina,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704/2011 da Comissão, de 20 de julho de 2011, que aprova a substância ativa azimsulfurão,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705/2011 da Comissão, de 20 de julho de 2011, que aprova a substância ativa imazalil,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706/2011 da Comissão, de 20 de julho de 2011, que aprova a substância ativa profoxidime,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736/2011 da Comissão, de 26 de julho de 2011, que aprova a substância ativa fluroxipir,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740/2011 da Comissão, de 27 de julho de 2011, que aprova a substância ativa bispiribac,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color w:val="C00000"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786/2011 da Comissão, de 5 de agosto de 2011, que aprova a substância ativa 1-naftilacetamida, em conformidade com o Regulamento (CE) n.º 1107/2009 do Parlamento Europeu e do Conselho relativo à colocação de produtos fitofarmacêuticos no mercado, e que altera o anexo do Regulamento de Execução (UE) n.º 540/2011 da Comissão e a Decisão 2008/941/CE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color w:val="C00000"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787/2011 da Comissão, de 5 de agosto de 2011, que aprova a substância ativa ácido 1-naftilacético, em conformidade com o Regulamento (CE) n.º 1107/2009 do Parlamento Europeu e do Conselho relativo à colocação de produtos fitofarmacêuticos no mercado, e que altera o anexo do Regulamento de Execução (UE) n.º 540/2011 da Comissão e a Decisão 2008/941/CE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788/2011 da Comissão, de 5 de agosto de 2011, que aprova a substância ativa fluazifope-P, em conformidade com o Regulamento (CE) n.º 1107/2009 do Parlamento Europeu e do Conselho relativo à colocação de produtos fitofarmacêuticos no mercado, e que altera o anexo do Regulamento de Execução (UE) n.º 540/2011 da Comissão e a Decisão 2008/934/CE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797/2011 da Comissão, de 9 de agosto de 2011, que aprova a substância ativa espiroxamina,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798/2011 da Comissão, de 9 de agosto de 2011, que aprova a substância ativa oxifluorfena, em conformidade com o Regulamento (CE) n.º 1107/2009 do Parlamento Europeu e do Conselho relativo à colocação de produtos fitofarmacêuticos no mercado, e que altera o anexo do Regulamento de Execução (UE) n.º 540/2011 da Comissão e a Decisão 2008/934/CE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800/2011 da Comissão, de 9 de agosto de 2011, que aprova a substância ativa teflutrina, em conformidade com o Regulamento (CE) n.º 1107/2009 do Parlamento Europeu e do Conselho relativo à colocação de produtos fitofarmacêuticos no mercado, e que altera o anexo do Regulamento de Execução (UE) n.º 540/2011 da Comissão e a Decisão 2008/934/CE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 807/2011 da Comissão, de 10 de agosto de 2011, que aprova a substância ativa triazoxida, em conformidade com o Regulamento (CE) n.º 1107/2009 do Parlamento Europeu e do Conselho relativo à colocação de produtos fitofarmacêuticos no mercado, e que altera o anexo do Regulamento de Execução (UE) n.º 540/2011 da Comissão.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810/2011 da Comissão, de 11 de agosto de 2011, que aprova a substância ativa cresoxime-metilo,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974/2011 da Comissão, de 29 de setembro de 2011, que aprova a substância ativa acrinatrina, em conformidade com o Regulamento (CE) n.º 1107/2009 do Parlamento Europeu e do Conselho relativo à colocação de produtos fitofarmacêuticos no mercado, e que altera o anexo do Regulamento de Execução (UE) n.º 540/2011 da Comissão e a Decisão 2008/934/CE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993/2011 da Comissão, de 6 de outubro de 2011, que aprova a substância ativa 8-hidroxiquinolina,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1143/2011 da Comissão, de 10 de novembro de 2011, que aprova a substância ativa procloraz, em conformidade com o Regulamento (CE) n.º 1107/2009 do Parlamento Europeu e do Conselho relativo à colocação de produtos fitofarmacêuticos no mercado, e que altera o anexo do Regulamento de Execução (UE) n.º 540/2011 da Comissão e a Decisão 2008/934/CE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Decisão de Execução 2011/787/UE da Comissão, de 29 de novembro de 2011, que autoriza os Estados-Membros a adotar provisoriamente medidas de emergência contra a propagação de </w:t>
            </w:r>
            <w:r>
              <w:rPr>
                <w:i/>
                <w:noProof/>
              </w:rPr>
              <w:t>Ralstonia solanacearum</w:t>
            </w:r>
            <w:r>
              <w:rPr>
                <w:noProof/>
              </w:rPr>
              <w:t xml:space="preserve"> (Smith) Yabuuchi </w:t>
            </w:r>
            <w:r>
              <w:rPr>
                <w:i/>
                <w:noProof/>
              </w:rPr>
              <w:t>et al</w:t>
            </w:r>
            <w:r>
              <w:rPr>
                <w:noProof/>
              </w:rPr>
              <w:t>. no que respeita ao Egito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Decisão de Execução 2012/138/UE da Comissão, de 1 de março de 2012, relativa a medidas de emergência contra a introdução e a propagação na União de </w:t>
            </w:r>
            <w:r>
              <w:rPr>
                <w:i/>
                <w:noProof/>
              </w:rPr>
              <w:t>Anoplophora chinensis</w:t>
            </w:r>
            <w:r>
              <w:rPr>
                <w:noProof/>
              </w:rPr>
              <w:t xml:space="preserve"> (Forster)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359/2012 da Comissão, de 25 de abril de 2012, que aprova a substância ativa metame,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2012/340/UE da Comissão, de 25 de junho de 2012, relativa à organização de uma experiência temporária ao abrigo das Diretivas 66/401/CEE, 66/402/CEE, 2002/54/CE, 2002/55/CE e 2002/57/CE do Conselho no que se refere à inspeção de campo sob supervisão oficial das sementes de base e das sementes de seleção de gerações anteriores às sementes de base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582/2012 da Comissão, de 2 de julho de 2012, que aprova a substância ativa bifentrina,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color w:val="C00000"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589/2012 da Comissão, de 4 de julho de 2012, que aprova a substância ativa fluxapiroxade,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Regulamento de Execução (UE) n.º 595/2012 da Comissão, de 5 de julho de 2012, que aprova a substância ativa fenepirazamina, em conformidade com o Regulamento (CE) n.º 1107/2009 do Parlamento Europeu e do Conselho relativo à colocação de produtos fitofarmacêuticos no mercado, e que altera o anexo do Regulamento de Execução (UE) n.º 540/2011 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Regulamento de Execução (UE) n.º 746/2012 da Comissão, de 16 de agosto de 2012, que aprova a substância ativa vírus da granulose de </w:t>
            </w:r>
            <w:r>
              <w:rPr>
                <w:i/>
                <w:noProof/>
              </w:rPr>
              <w:t>Adoxophyes orana</w:t>
            </w:r>
            <w:r>
              <w:rPr>
                <w:noProof/>
              </w:rPr>
              <w:t>, em conformidade com o Regulamento (CE) n.º 1107/2009 do Parlamento Europeu e do Conselho,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Decisão de Execução 2012/535/UE, de 26 de setembro de 2012, relativa a medidas de emergência contra a propagação na União de </w:t>
            </w:r>
            <w:r>
              <w:rPr>
                <w:i/>
                <w:noProof/>
              </w:rPr>
              <w:t>Bursaphelenchus xylophilus</w:t>
            </w:r>
            <w:r>
              <w:rPr>
                <w:noProof/>
              </w:rPr>
              <w:t xml:space="preserve"> (Steiner et Buhrer) Nickle </w:t>
            </w:r>
            <w:r>
              <w:rPr>
                <w:i/>
                <w:noProof/>
              </w:rPr>
              <w:t>et al</w:t>
            </w:r>
            <w:r>
              <w:rPr>
                <w:noProof/>
              </w:rPr>
              <w:t>. (nemátodo da madeira do pinheiro)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485/2013 da Comissão, de 24 de maio de 2013, que altera o Regulamento de Execução (UE) n.º 540/2011 no que se refere às condições de aprovação das substâncias ativas clotianidina, tiametoxame e imidaclopride e que proíbe a utilização e a venda de sementes tratadas com produtos fitofarmacêuticos que contenham essas substâncias ativas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2014/20/UE da Comissão, de 6 de fevereiro de 2014, que determina as classes da União de batatas de semente de base e de semente certificada e as condições e designações aplicáveis a essas classes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2014/21/UE da Comissão, de 6 de fevereiro de 2014, que determina as condições mínimas e as classes da União de batatas de semente de pré-base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632/2014 da Comissão, de 13 de maio de 2014, que aprova a substância ativa flubendiamida,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Regulamento de Execução (UE) n.º 571/2014 da Comissão, de 26 de maio de 2014, que aprova a substância ativa ipconazol, em conformidade com o Regulamento (CE) n.º 1107/2009 do Parlamento Europeu e do Conselho relativo à colocação de produtos fitofarmacêuticos no mercado, e que altera o anexo do Regulamento de Execução (UE) n.º 540/2011 da Comissão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2020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2014/362/UE da Comissão, de 13 de junho de 2014, que altera a Decisão 2009/109/CE relativa à organização de uma experiência temporária sobre certas derrogações à comercialização de misturas de sementes destinadas a ser utilizadas como plantas forrageiras em conformidade com a Diretiva 66/401/CEE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Decisão de Execução 2014/367/UE da Comissão, de 16 de junho de 2014, que altera a Diretiva 2002/56/CE do Conselho no que respeita à data estabelecida no artigo 21.º, n.º 3, até à qual os Estados-Membros são autorizados a prorrogar a eficácia das decisões relativas à equivalência de batatas de semente provenientes de países terceiros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pageBreakBefore/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2014/83/UE da Comissão, de 25 de junho de 2014, que altera os anexos I, II, III, IV e V da Diretiva 2000/29/CE do Conselho relativa às medidas de proteção contra a introdução na Comunidade de organismos prejudiciais aos vegetais e produtos vegetais e contra a sua propagação no interior da Comunidade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2019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2014/96/UE da Comissão, de 15 de outubro de 2014, relativa aos requisitos em matéria de rotulagem, selagem e acondicionamento de material de propagação de fruteiras e de fruteiras destinados à produção de frutos, abrangidos pelo âmbito da Diretiva 2008/90/CE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2014/97/UE da Comissão, de 15 de outubro de 2014, que dá execução à Diretiva 2008/90/CE do Conselho no que se refere ao registo dos fornecedores e das variedades e à lista comum das variedades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Diretiva de Execução 2014/98/UE da Comissão, de 15 de outubro de 2014, que dá execução à Diretiva 2008/90/CE do Conselho no se refere aos requisitos específicos aplicáveis aos géneros e às espécies de fruteiras referidos no anexo I, aos requisitos específicos aplicáveis aos fornecedores e às normas de execução relativas às inspeções oficiais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60" w:after="60"/>
              <w:jc w:val="left"/>
              <w:rPr>
                <w:b/>
                <w:noProof/>
                <w:szCs w:val="24"/>
              </w:rPr>
            </w:pPr>
            <w:r>
              <w:rPr>
                <w:noProof/>
              </w:rPr>
              <w:t>Diretiva 2001/18/CE do Parlamento Europeu e do Conselho, de 12 de março de 2001, relativa à libertação deliberada no ambiente de organismos geneticamente modificados e que revoga a Diretiva 90/220/CEE do Conselho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60" w:after="6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3579" w:type="pct"/>
            <w:shd w:val="clear" w:color="auto" w:fill="auto"/>
          </w:tcPr>
          <w:p>
            <w:pPr>
              <w:spacing w:before="0" w:after="0"/>
              <w:jc w:val="left"/>
              <w:rPr>
                <w:noProof/>
              </w:rPr>
            </w:pPr>
            <w:r>
              <w:rPr>
                <w:noProof/>
              </w:rPr>
              <w:t>Regulamento (CE) n.º 1946/2003 do Parlamento Europeu e do Conselho, de 15 de julho de 2003, relativo ao movimento transfronteiriço de organismos geneticamente modificados</w:t>
            </w:r>
          </w:p>
        </w:tc>
        <w:tc>
          <w:tcPr>
            <w:tcW w:w="1421" w:type="pct"/>
            <w:shd w:val="clear" w:color="auto" w:fill="auto"/>
          </w:tcPr>
          <w:p>
            <w:pPr>
              <w:spacing w:before="0" w:after="0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2018</w:t>
            </w:r>
          </w:p>
        </w:tc>
      </w:tr>
    </w:tbl>
    <w:p>
      <w:pPr>
        <w:rPr>
          <w:noProof/>
        </w:rPr>
      </w:pPr>
      <w:r>
        <w:rPr>
          <w:noProof/>
        </w:rPr>
        <w:t>»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JO L 161 de 29.5.2014, p. 3.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 xml:space="preserve">Por “adoção” entende-se a data de aplicação </w:t>
      </w:r>
      <w:r>
        <w:rPr>
          <w:rFonts w:asciiTheme="majorBidi" w:hAnsiTheme="majorBidi" w:cstheme="majorBidi"/>
          <w:color w:val="222222"/>
          <w:shd w:val="clear" w:color="auto" w:fill="FFFFFF"/>
        </w:rPr>
        <w:t>estabelecida no ato jurídico aplicável publicado no “Jornal Oficial da Ucrânia” ou no “Correio Governamental”</w:t>
      </w:r>
      <w:r>
        <w:t xml:space="preserve"> ou publicado no sítio oficial do serviço público da Ucrânia para a segurança alimentar e proteção dos consumidores, com efeito imediato ou com um período de transição indicado.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AB4E0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11831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E8668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42ACC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7949D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01AA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D300F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4921D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isplayBackgroundShape/>
  <w:hideSpellingErrors/>
  <w:hideGrammaticalErrors/>
  <w:attachedTemplate r:id="rId1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7-15 14:58:1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da"/>
    <w:docVar w:name="LW_ACCOMPAGNANT.CP" w:val="da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A594A6A-A710-4CC8-A4B2-E2D75892CFFF"/>
    <w:docVar w:name="LW_COVERPAGE_TYPE" w:val="1"/>
    <w:docVar w:name="LW_CROSSREFERENCE" w:val="&lt;UNUSED&gt;"/>
    <w:docVar w:name="LW_DocType" w:val="ANNEX"/>
    <w:docVar w:name="LW_EMISSION" w:val="22.7.2019"/>
    <w:docVar w:name="LW_EMISSION_ISODATE" w:val="2019-07-22"/>
    <w:docVar w:name="LW_EMISSION_LOCATION" w:val="BRX"/>
    <w:docVar w:name="LW_EMISSION_PREFIX" w:val="Bruxelas, "/>
    <w:docVar w:name="LW_EMISSION_SUFFIX" w:val="&lt;EMPTY&gt;"/>
    <w:docVar w:name="LW_ID_DOCSTRUCTURE" w:val="COM/ANNEX"/>
    <w:docVar w:name="LW_ID_DOCTYPE" w:val="SG-017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OBJETACTEPRINCIPAL" w:val="relativa à posição a tomar, em nome da União Europeia, no Subcomité de Gestão Sanitária e Fitossanitária instituído pelo Acordo de Associação entre a União Europeia e a Comunidade Europeia da Energia Atómica e os seus Estados-Membros, por um lado, e a Ucrânia, por outro_x000b_"/>
    <w:docVar w:name="LW_OBJETACTEPRINCIPAL.CP" w:val="relativa à posição a tomar, em nome da União Europeia, no Subcomité de Gestão Sanitária e Fitossanitária instituído pelo Acordo de Associação entre a União Europeia e a Comunidade Europeia da Energia Atómica e os seus Estados-Membros, por um lado, e a Ucrânia, por outro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34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EXO"/>
    <w:docVar w:name="LW_TYPE.DOC.CP" w:val="ANEXO"/>
    <w:docVar w:name="LW_TYPEACTEPRINCIPAL" w:val="Proposta de Decisão do Conselho"/>
    <w:docVar w:name="LW_TYPEACTEPRINCIPAL.CP" w:val="Proposta de Decisão do Conselho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pPr>
      <w:spacing w:before="0" w:after="440" w:line="360" w:lineRule="auto"/>
      <w:jc w:val="left"/>
    </w:pPr>
    <w:rPr>
      <w:sz w:val="2"/>
    </w:rPr>
  </w:style>
  <w:style w:type="character" w:customStyle="1" w:styleId="LignefinalChar">
    <w:name w:val="Ligne final Char"/>
    <w:basedOn w:val="DefaultParagraphFont"/>
    <w:rPr>
      <w:rFonts w:ascii="Times New Roman" w:hAnsi="Times New Roman" w:cs="Times New Roman"/>
      <w:b/>
      <w:sz w:val="24"/>
      <w:lang w:val="pt-PT"/>
    </w:rPr>
  </w:style>
  <w:style w:type="character" w:customStyle="1" w:styleId="HeaderCouncilLargeChar">
    <w:name w:val="Header Council Large Char"/>
    <w:basedOn w:val="LignefinalChar"/>
    <w:link w:val="HeaderCouncilLarge"/>
    <w:rPr>
      <w:rFonts w:ascii="Times New Roman" w:hAnsi="Times New Roman" w:cs="Times New Roman"/>
      <w:b w:val="0"/>
      <w:sz w:val="2"/>
      <w:lang w:val="pt-PT"/>
    </w:rPr>
  </w:style>
  <w:style w:type="paragraph" w:customStyle="1" w:styleId="FooterText">
    <w:name w:val="Footer Text"/>
    <w:basedOn w:val="Normal"/>
    <w:pPr>
      <w:spacing w:before="0" w:after="0"/>
      <w:jc w:val="left"/>
    </w:pPr>
    <w:rPr>
      <w:rFonts w:eastAsia="Times New Roman"/>
      <w:szCs w:val="24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itreobjetPagedecouverture">
    <w:name w:val="Titre objet (Page de couverture)"/>
    <w:basedOn w:val="Titreobjet"/>
    <w:next w:val="Sous-titreobjetPagedecouverture"/>
    <w:pPr>
      <w:spacing w:line="240" w:lineRule="auto"/>
    </w:pPr>
  </w:style>
  <w:style w:type="paragraph" w:customStyle="1" w:styleId="Sous-titreobjetPagedecouverture">
    <w:name w:val="Sous-titre objet (Page de couverture)"/>
    <w:basedOn w:val="Sous-titreobjet"/>
    <w:pPr>
      <w:spacing w:line="240" w:lineRule="auto"/>
    </w:pPr>
  </w:style>
  <w:style w:type="character" w:customStyle="1" w:styleId="TechnicalBlockChar">
    <w:name w:val="Technical Block Char"/>
    <w:basedOn w:val="DefaultParagraphFont"/>
    <w:rPr>
      <w:rFonts w:ascii="Times New Roman" w:hAnsi="Times New Roman" w:cs="Times New Roman"/>
      <w:sz w:val="24"/>
      <w:lang w:val="pt-PT"/>
    </w:rPr>
  </w:style>
  <w:style w:type="paragraph" w:customStyle="1" w:styleId="pj">
    <w:name w:val="p.j."/>
    <w:basedOn w:val="TechnicalBlock"/>
    <w:link w:val="pjChar"/>
    <w:pPr>
      <w:spacing w:before="1200" w:after="120"/>
      <w:ind w:left="1440" w:hanging="1440"/>
      <w:jc w:val="left"/>
    </w:pPr>
  </w:style>
  <w:style w:type="character" w:customStyle="1" w:styleId="pjChar">
    <w:name w:val="p.j. Char"/>
    <w:basedOn w:val="TechnicalBlockChar"/>
    <w:link w:val="pj"/>
    <w:rPr>
      <w:rFonts w:ascii="Times New Roman" w:hAnsi="Times New Roman" w:cs="Times New Roman"/>
      <w:sz w:val="24"/>
      <w:lang w:val="pt-PT"/>
    </w:rPr>
  </w:style>
  <w:style w:type="character" w:customStyle="1" w:styleId="HeaderCouncilChar">
    <w:name w:val="Header Council Char"/>
    <w:basedOn w:val="pjChar"/>
    <w:rPr>
      <w:rFonts w:ascii="Times New Roman" w:hAnsi="Times New Roman" w:cs="Times New Roman"/>
      <w:sz w:val="2"/>
      <w:lang w:val="pt-PT"/>
    </w:rPr>
  </w:style>
  <w:style w:type="character" w:customStyle="1" w:styleId="FooterCouncilChar">
    <w:name w:val="Footer Council Char"/>
    <w:basedOn w:val="pjChar"/>
    <w:rPr>
      <w:rFonts w:ascii="Times New Roman" w:hAnsi="Times New Roman" w:cs="Times New Roman"/>
      <w:sz w:val="2"/>
      <w:lang w:val="pt-PT"/>
    </w:rPr>
  </w:style>
  <w:style w:type="paragraph" w:customStyle="1" w:styleId="doc-ti">
    <w:name w:val="doc-ti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super">
    <w:name w:val="super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HeaderCouncil">
    <w:name w:val="Header Council"/>
    <w:basedOn w:val="Normal"/>
    <w:pPr>
      <w:spacing w:before="0" w:after="0"/>
      <w:jc w:val="left"/>
    </w:pPr>
    <w:rPr>
      <w:sz w:val="2"/>
    </w:rPr>
  </w:style>
  <w:style w:type="paragraph" w:customStyle="1" w:styleId="FooterCouncil">
    <w:name w:val="Footer Council"/>
    <w:basedOn w:val="Normal"/>
    <w:pPr>
      <w:spacing w:before="0" w:after="0"/>
      <w:jc w:val="left"/>
    </w:pPr>
    <w:rPr>
      <w:sz w:val="2"/>
    </w:rPr>
  </w:style>
  <w:style w:type="paragraph" w:customStyle="1" w:styleId="TechnicalBlock">
    <w:name w:val="Technical Block"/>
    <w:basedOn w:val="Normal"/>
    <w:next w:val="Normal"/>
    <w:pPr>
      <w:spacing w:before="0" w:after="240"/>
      <w:jc w:val="center"/>
    </w:pPr>
  </w:style>
  <w:style w:type="paragraph" w:customStyle="1" w:styleId="Annexetitreacte">
    <w:name w:val="Annexe titre (acte)"/>
    <w:basedOn w:val="Normal"/>
    <w:next w:val="Normal"/>
    <w:pPr>
      <w:spacing w:line="360" w:lineRule="auto"/>
      <w:jc w:val="center"/>
    </w:pPr>
    <w:rPr>
      <w:b/>
      <w:u w:val="single"/>
    </w:rPr>
  </w:style>
  <w:style w:type="paragraph" w:customStyle="1" w:styleId="Annexetitreglobale">
    <w:name w:val="Annexe titre (globale)"/>
    <w:basedOn w:val="Normal"/>
    <w:next w:val="Normal"/>
    <w:pPr>
      <w:spacing w:line="360" w:lineRule="auto"/>
      <w:jc w:val="center"/>
    </w:pPr>
    <w:rPr>
      <w:b/>
      <w:u w:val="single"/>
    </w:rPr>
  </w:style>
  <w:style w:type="paragraph" w:customStyle="1" w:styleId="Sous-titreobjet">
    <w:name w:val="Sous-titre objet"/>
    <w:basedOn w:val="Normal"/>
    <w:pPr>
      <w:spacing w:before="0" w:after="0" w:line="360" w:lineRule="auto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pPr>
      <w:spacing w:before="360" w:after="360" w:line="360" w:lineRule="auto"/>
      <w:jc w:val="center"/>
    </w:pPr>
    <w:rPr>
      <w:b/>
    </w:rPr>
  </w:style>
  <w:style w:type="paragraph" w:customStyle="1" w:styleId="Lignefinal">
    <w:name w:val="Ligne final"/>
    <w:basedOn w:val="Normal"/>
    <w:next w:val="Normal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LignefinalLandscape">
    <w:name w:val="Ligne final (Landscape)"/>
    <w:basedOn w:val="Normal"/>
    <w:next w:val="Normal"/>
    <w:pPr>
      <w:pBdr>
        <w:bottom w:val="single" w:sz="4" w:space="0" w:color="000000"/>
      </w:pBdr>
      <w:spacing w:before="360" w:line="360" w:lineRule="auto"/>
      <w:ind w:left="5868" w:right="5868"/>
      <w:jc w:val="center"/>
    </w:pPr>
    <w:rPr>
      <w:b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 w:line="360" w:lineRule="auto"/>
      <w:ind w:left="5103"/>
      <w:jc w:val="left"/>
    </w:pPr>
  </w:style>
  <w:style w:type="paragraph" w:customStyle="1" w:styleId="EntLogo">
    <w:name w:val="EntLogo"/>
    <w:basedOn w:val="Normal"/>
    <w:pPr>
      <w:tabs>
        <w:tab w:val="right" w:pos="9639"/>
      </w:tabs>
      <w:spacing w:before="0" w:after="0" w:line="360" w:lineRule="auto"/>
      <w:jc w:val="left"/>
    </w:pPr>
    <w:rPr>
      <w:b/>
    </w:rPr>
  </w:style>
  <w:style w:type="paragraph" w:customStyle="1" w:styleId="EntInstit">
    <w:name w:val="EntInstit"/>
    <w:basedOn w:val="Normal"/>
    <w:pPr>
      <w:spacing w:before="0" w:after="0"/>
      <w:jc w:val="right"/>
    </w:pPr>
    <w:rPr>
      <w:b/>
    </w:rPr>
  </w:style>
  <w:style w:type="paragraph" w:customStyle="1" w:styleId="EntRefer">
    <w:name w:val="EntRefer"/>
    <w:basedOn w:val="Normal"/>
    <w:pPr>
      <w:spacing w:before="0" w:after="0"/>
      <w:jc w:val="left"/>
    </w:pPr>
    <w:rPr>
      <w:b/>
    </w:rPr>
  </w:style>
  <w:style w:type="paragraph" w:customStyle="1" w:styleId="EntEmet">
    <w:name w:val="EntEmet"/>
    <w:basedOn w:val="Normal"/>
    <w:pPr>
      <w:spacing w:before="40" w:after="0"/>
      <w:jc w:val="left"/>
    </w:pPr>
  </w:style>
  <w:style w:type="paragraph" w:customStyle="1" w:styleId="EntText">
    <w:name w:val="EntText"/>
    <w:basedOn w:val="Normal"/>
    <w:pPr>
      <w:spacing w:line="360" w:lineRule="auto"/>
      <w:jc w:val="left"/>
    </w:pPr>
  </w:style>
  <w:style w:type="paragraph" w:customStyle="1" w:styleId="EntEU">
    <w:name w:val="EntEU"/>
    <w:basedOn w:val="Normal"/>
    <w:pPr>
      <w:spacing w:before="240" w:after="240"/>
      <w:jc w:val="center"/>
    </w:pPr>
    <w:rPr>
      <w:b/>
      <w:sz w:val="36"/>
    </w:rPr>
  </w:style>
  <w:style w:type="paragraph" w:customStyle="1" w:styleId="EntASSOC">
    <w:name w:val="EntASSOC"/>
    <w:basedOn w:val="Normal"/>
    <w:pPr>
      <w:spacing w:before="0" w:after="0"/>
      <w:jc w:val="center"/>
    </w:pPr>
    <w:rPr>
      <w:b/>
    </w:rPr>
  </w:style>
  <w:style w:type="paragraph" w:customStyle="1" w:styleId="EntACP">
    <w:name w:val="EntACP"/>
    <w:basedOn w:val="Normal"/>
    <w:pPr>
      <w:spacing w:before="0" w:after="180"/>
      <w:jc w:val="center"/>
    </w:pPr>
    <w:rPr>
      <w:b/>
      <w:spacing w:val="40"/>
      <w:sz w:val="28"/>
    </w:rPr>
  </w:style>
  <w:style w:type="paragraph" w:customStyle="1" w:styleId="EntInstitACP">
    <w:name w:val="EntInstitACP"/>
    <w:basedOn w:val="Normal"/>
    <w:pPr>
      <w:spacing w:before="0" w:after="0"/>
      <w:jc w:val="center"/>
    </w:pPr>
    <w:rPr>
      <w:b/>
    </w:rPr>
  </w:style>
  <w:style w:type="paragraph" w:customStyle="1" w:styleId="Genredudocument">
    <w:name w:val="Genre du document"/>
    <w:basedOn w:val="EntRefer"/>
    <w:next w:val="EntRefer"/>
    <w:pPr>
      <w:spacing w:before="240"/>
    </w:pPr>
  </w:style>
  <w:style w:type="paragraph" w:customStyle="1" w:styleId="Accordtitre">
    <w:name w:val="Accord titre"/>
    <w:basedOn w:val="Normal"/>
    <w:pPr>
      <w:spacing w:before="0" w:after="0" w:line="360" w:lineRule="auto"/>
      <w:jc w:val="center"/>
    </w:pPr>
  </w:style>
  <w:style w:type="paragraph" w:customStyle="1" w:styleId="FooterAccord">
    <w:name w:val="Footer Accord"/>
    <w:basedOn w:val="Normal"/>
    <w:pPr>
      <w:tabs>
        <w:tab w:val="center" w:pos="4819"/>
        <w:tab w:val="center" w:pos="7370"/>
        <w:tab w:val="right" w:pos="9638"/>
      </w:tabs>
      <w:spacing w:before="360" w:after="0"/>
      <w:jc w:val="center"/>
    </w:pPr>
  </w:style>
  <w:style w:type="paragraph" w:customStyle="1" w:styleId="FooterLandscapeAccord">
    <w:name w:val="FooterLandscape Accord"/>
    <w:basedOn w:val="Normal"/>
    <w:pPr>
      <w:tabs>
        <w:tab w:val="center" w:pos="7285"/>
        <w:tab w:val="center" w:pos="10930"/>
        <w:tab w:val="right" w:pos="14570"/>
      </w:tabs>
      <w:spacing w:before="360" w:after="0"/>
      <w:jc w:val="center"/>
    </w:pPr>
  </w:style>
  <w:style w:type="paragraph" w:customStyle="1" w:styleId="TitrearticleAccord">
    <w:name w:val="Titre article Accord"/>
    <w:basedOn w:val="Normal"/>
    <w:next w:val="Normal"/>
    <w:pPr>
      <w:keepNext/>
      <w:spacing w:before="600" w:line="360" w:lineRule="auto"/>
      <w:jc w:val="center"/>
    </w:pPr>
    <w:rPr>
      <w:i/>
    </w:rPr>
  </w:style>
  <w:style w:type="paragraph" w:customStyle="1" w:styleId="DESignature">
    <w:name w:val="DE Signature"/>
    <w:basedOn w:val="Normal"/>
    <w:next w:val="Normal"/>
    <w:pPr>
      <w:tabs>
        <w:tab w:val="center" w:pos="5953"/>
      </w:tabs>
      <w:spacing w:before="720" w:line="360" w:lineRule="auto"/>
      <w:jc w:val="left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pPr>
      <w:spacing w:before="0" w:after="440" w:line="360" w:lineRule="auto"/>
      <w:jc w:val="left"/>
    </w:pPr>
    <w:rPr>
      <w:sz w:val="2"/>
    </w:rPr>
  </w:style>
  <w:style w:type="character" w:customStyle="1" w:styleId="LignefinalChar">
    <w:name w:val="Ligne final Char"/>
    <w:basedOn w:val="DefaultParagraphFont"/>
    <w:rPr>
      <w:rFonts w:ascii="Times New Roman" w:hAnsi="Times New Roman" w:cs="Times New Roman"/>
      <w:b/>
      <w:sz w:val="24"/>
      <w:lang w:val="pt-PT"/>
    </w:rPr>
  </w:style>
  <w:style w:type="character" w:customStyle="1" w:styleId="HeaderCouncilLargeChar">
    <w:name w:val="Header Council Large Char"/>
    <w:basedOn w:val="LignefinalChar"/>
    <w:link w:val="HeaderCouncilLarge"/>
    <w:rPr>
      <w:rFonts w:ascii="Times New Roman" w:hAnsi="Times New Roman" w:cs="Times New Roman"/>
      <w:b w:val="0"/>
      <w:sz w:val="2"/>
      <w:lang w:val="pt-PT"/>
    </w:rPr>
  </w:style>
  <w:style w:type="paragraph" w:customStyle="1" w:styleId="FooterText">
    <w:name w:val="Footer Text"/>
    <w:basedOn w:val="Normal"/>
    <w:pPr>
      <w:spacing w:before="0" w:after="0"/>
      <w:jc w:val="left"/>
    </w:pPr>
    <w:rPr>
      <w:rFonts w:eastAsia="Times New Roman"/>
      <w:szCs w:val="24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itreobjetPagedecouverture">
    <w:name w:val="Titre objet (Page de couverture)"/>
    <w:basedOn w:val="Titreobjet"/>
    <w:next w:val="Sous-titreobjetPagedecouverture"/>
    <w:pPr>
      <w:spacing w:line="240" w:lineRule="auto"/>
    </w:pPr>
  </w:style>
  <w:style w:type="paragraph" w:customStyle="1" w:styleId="Sous-titreobjetPagedecouverture">
    <w:name w:val="Sous-titre objet (Page de couverture)"/>
    <w:basedOn w:val="Sous-titreobjet"/>
    <w:pPr>
      <w:spacing w:line="240" w:lineRule="auto"/>
    </w:pPr>
  </w:style>
  <w:style w:type="character" w:customStyle="1" w:styleId="TechnicalBlockChar">
    <w:name w:val="Technical Block Char"/>
    <w:basedOn w:val="DefaultParagraphFont"/>
    <w:rPr>
      <w:rFonts w:ascii="Times New Roman" w:hAnsi="Times New Roman" w:cs="Times New Roman"/>
      <w:sz w:val="24"/>
      <w:lang w:val="pt-PT"/>
    </w:rPr>
  </w:style>
  <w:style w:type="paragraph" w:customStyle="1" w:styleId="pj">
    <w:name w:val="p.j."/>
    <w:basedOn w:val="TechnicalBlock"/>
    <w:link w:val="pjChar"/>
    <w:pPr>
      <w:spacing w:before="1200" w:after="120"/>
      <w:ind w:left="1440" w:hanging="1440"/>
      <w:jc w:val="left"/>
    </w:pPr>
  </w:style>
  <w:style w:type="character" w:customStyle="1" w:styleId="pjChar">
    <w:name w:val="p.j. Char"/>
    <w:basedOn w:val="TechnicalBlockChar"/>
    <w:link w:val="pj"/>
    <w:rPr>
      <w:rFonts w:ascii="Times New Roman" w:hAnsi="Times New Roman" w:cs="Times New Roman"/>
      <w:sz w:val="24"/>
      <w:lang w:val="pt-PT"/>
    </w:rPr>
  </w:style>
  <w:style w:type="character" w:customStyle="1" w:styleId="HeaderCouncilChar">
    <w:name w:val="Header Council Char"/>
    <w:basedOn w:val="pjChar"/>
    <w:rPr>
      <w:rFonts w:ascii="Times New Roman" w:hAnsi="Times New Roman" w:cs="Times New Roman"/>
      <w:sz w:val="2"/>
      <w:lang w:val="pt-PT"/>
    </w:rPr>
  </w:style>
  <w:style w:type="character" w:customStyle="1" w:styleId="FooterCouncilChar">
    <w:name w:val="Footer Council Char"/>
    <w:basedOn w:val="pjChar"/>
    <w:rPr>
      <w:rFonts w:ascii="Times New Roman" w:hAnsi="Times New Roman" w:cs="Times New Roman"/>
      <w:sz w:val="2"/>
      <w:lang w:val="pt-PT"/>
    </w:rPr>
  </w:style>
  <w:style w:type="paragraph" w:customStyle="1" w:styleId="doc-ti">
    <w:name w:val="doc-ti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super">
    <w:name w:val="super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HeaderCouncil">
    <w:name w:val="Header Council"/>
    <w:basedOn w:val="Normal"/>
    <w:pPr>
      <w:spacing w:before="0" w:after="0"/>
      <w:jc w:val="left"/>
    </w:pPr>
    <w:rPr>
      <w:sz w:val="2"/>
    </w:rPr>
  </w:style>
  <w:style w:type="paragraph" w:customStyle="1" w:styleId="FooterCouncil">
    <w:name w:val="Footer Council"/>
    <w:basedOn w:val="Normal"/>
    <w:pPr>
      <w:spacing w:before="0" w:after="0"/>
      <w:jc w:val="left"/>
    </w:pPr>
    <w:rPr>
      <w:sz w:val="2"/>
    </w:rPr>
  </w:style>
  <w:style w:type="paragraph" w:customStyle="1" w:styleId="TechnicalBlock">
    <w:name w:val="Technical Block"/>
    <w:basedOn w:val="Normal"/>
    <w:next w:val="Normal"/>
    <w:pPr>
      <w:spacing w:before="0" w:after="240"/>
      <w:jc w:val="center"/>
    </w:pPr>
  </w:style>
  <w:style w:type="paragraph" w:customStyle="1" w:styleId="Annexetitreacte">
    <w:name w:val="Annexe titre (acte)"/>
    <w:basedOn w:val="Normal"/>
    <w:next w:val="Normal"/>
    <w:pPr>
      <w:spacing w:line="360" w:lineRule="auto"/>
      <w:jc w:val="center"/>
    </w:pPr>
    <w:rPr>
      <w:b/>
      <w:u w:val="single"/>
    </w:rPr>
  </w:style>
  <w:style w:type="paragraph" w:customStyle="1" w:styleId="Annexetitreglobale">
    <w:name w:val="Annexe titre (globale)"/>
    <w:basedOn w:val="Normal"/>
    <w:next w:val="Normal"/>
    <w:pPr>
      <w:spacing w:line="360" w:lineRule="auto"/>
      <w:jc w:val="center"/>
    </w:pPr>
    <w:rPr>
      <w:b/>
      <w:u w:val="single"/>
    </w:rPr>
  </w:style>
  <w:style w:type="paragraph" w:customStyle="1" w:styleId="Sous-titreobjet">
    <w:name w:val="Sous-titre objet"/>
    <w:basedOn w:val="Normal"/>
    <w:pPr>
      <w:spacing w:before="0" w:after="0" w:line="360" w:lineRule="auto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pPr>
      <w:spacing w:before="360" w:after="360" w:line="360" w:lineRule="auto"/>
      <w:jc w:val="center"/>
    </w:pPr>
    <w:rPr>
      <w:b/>
    </w:rPr>
  </w:style>
  <w:style w:type="paragraph" w:customStyle="1" w:styleId="Lignefinal">
    <w:name w:val="Ligne final"/>
    <w:basedOn w:val="Normal"/>
    <w:next w:val="Normal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LignefinalLandscape">
    <w:name w:val="Ligne final (Landscape)"/>
    <w:basedOn w:val="Normal"/>
    <w:next w:val="Normal"/>
    <w:pPr>
      <w:pBdr>
        <w:bottom w:val="single" w:sz="4" w:space="0" w:color="000000"/>
      </w:pBdr>
      <w:spacing w:before="360" w:line="360" w:lineRule="auto"/>
      <w:ind w:left="5868" w:right="5868"/>
      <w:jc w:val="center"/>
    </w:pPr>
    <w:rPr>
      <w:b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 w:line="360" w:lineRule="auto"/>
      <w:ind w:left="5103"/>
      <w:jc w:val="left"/>
    </w:pPr>
  </w:style>
  <w:style w:type="paragraph" w:customStyle="1" w:styleId="EntLogo">
    <w:name w:val="EntLogo"/>
    <w:basedOn w:val="Normal"/>
    <w:pPr>
      <w:tabs>
        <w:tab w:val="right" w:pos="9639"/>
      </w:tabs>
      <w:spacing w:before="0" w:after="0" w:line="360" w:lineRule="auto"/>
      <w:jc w:val="left"/>
    </w:pPr>
    <w:rPr>
      <w:b/>
    </w:rPr>
  </w:style>
  <w:style w:type="paragraph" w:customStyle="1" w:styleId="EntInstit">
    <w:name w:val="EntInstit"/>
    <w:basedOn w:val="Normal"/>
    <w:pPr>
      <w:spacing w:before="0" w:after="0"/>
      <w:jc w:val="right"/>
    </w:pPr>
    <w:rPr>
      <w:b/>
    </w:rPr>
  </w:style>
  <w:style w:type="paragraph" w:customStyle="1" w:styleId="EntRefer">
    <w:name w:val="EntRefer"/>
    <w:basedOn w:val="Normal"/>
    <w:pPr>
      <w:spacing w:before="0" w:after="0"/>
      <w:jc w:val="left"/>
    </w:pPr>
    <w:rPr>
      <w:b/>
    </w:rPr>
  </w:style>
  <w:style w:type="paragraph" w:customStyle="1" w:styleId="EntEmet">
    <w:name w:val="EntEmet"/>
    <w:basedOn w:val="Normal"/>
    <w:pPr>
      <w:spacing w:before="40" w:after="0"/>
      <w:jc w:val="left"/>
    </w:pPr>
  </w:style>
  <w:style w:type="paragraph" w:customStyle="1" w:styleId="EntText">
    <w:name w:val="EntText"/>
    <w:basedOn w:val="Normal"/>
    <w:pPr>
      <w:spacing w:line="360" w:lineRule="auto"/>
      <w:jc w:val="left"/>
    </w:pPr>
  </w:style>
  <w:style w:type="paragraph" w:customStyle="1" w:styleId="EntEU">
    <w:name w:val="EntEU"/>
    <w:basedOn w:val="Normal"/>
    <w:pPr>
      <w:spacing w:before="240" w:after="240"/>
      <w:jc w:val="center"/>
    </w:pPr>
    <w:rPr>
      <w:b/>
      <w:sz w:val="36"/>
    </w:rPr>
  </w:style>
  <w:style w:type="paragraph" w:customStyle="1" w:styleId="EntASSOC">
    <w:name w:val="EntASSOC"/>
    <w:basedOn w:val="Normal"/>
    <w:pPr>
      <w:spacing w:before="0" w:after="0"/>
      <w:jc w:val="center"/>
    </w:pPr>
    <w:rPr>
      <w:b/>
    </w:rPr>
  </w:style>
  <w:style w:type="paragraph" w:customStyle="1" w:styleId="EntACP">
    <w:name w:val="EntACP"/>
    <w:basedOn w:val="Normal"/>
    <w:pPr>
      <w:spacing w:before="0" w:after="180"/>
      <w:jc w:val="center"/>
    </w:pPr>
    <w:rPr>
      <w:b/>
      <w:spacing w:val="40"/>
      <w:sz w:val="28"/>
    </w:rPr>
  </w:style>
  <w:style w:type="paragraph" w:customStyle="1" w:styleId="EntInstitACP">
    <w:name w:val="EntInstitACP"/>
    <w:basedOn w:val="Normal"/>
    <w:pPr>
      <w:spacing w:before="0" w:after="0"/>
      <w:jc w:val="center"/>
    </w:pPr>
    <w:rPr>
      <w:b/>
    </w:rPr>
  </w:style>
  <w:style w:type="paragraph" w:customStyle="1" w:styleId="Genredudocument">
    <w:name w:val="Genre du document"/>
    <w:basedOn w:val="EntRefer"/>
    <w:next w:val="EntRefer"/>
    <w:pPr>
      <w:spacing w:before="240"/>
    </w:pPr>
  </w:style>
  <w:style w:type="paragraph" w:customStyle="1" w:styleId="Accordtitre">
    <w:name w:val="Accord titre"/>
    <w:basedOn w:val="Normal"/>
    <w:pPr>
      <w:spacing w:before="0" w:after="0" w:line="360" w:lineRule="auto"/>
      <w:jc w:val="center"/>
    </w:pPr>
  </w:style>
  <w:style w:type="paragraph" w:customStyle="1" w:styleId="FooterAccord">
    <w:name w:val="Footer Accord"/>
    <w:basedOn w:val="Normal"/>
    <w:pPr>
      <w:tabs>
        <w:tab w:val="center" w:pos="4819"/>
        <w:tab w:val="center" w:pos="7370"/>
        <w:tab w:val="right" w:pos="9638"/>
      </w:tabs>
      <w:spacing w:before="360" w:after="0"/>
      <w:jc w:val="center"/>
    </w:pPr>
  </w:style>
  <w:style w:type="paragraph" w:customStyle="1" w:styleId="FooterLandscapeAccord">
    <w:name w:val="FooterLandscape Accord"/>
    <w:basedOn w:val="Normal"/>
    <w:pPr>
      <w:tabs>
        <w:tab w:val="center" w:pos="7285"/>
        <w:tab w:val="center" w:pos="10930"/>
        <w:tab w:val="right" w:pos="14570"/>
      </w:tabs>
      <w:spacing w:before="360" w:after="0"/>
      <w:jc w:val="center"/>
    </w:pPr>
  </w:style>
  <w:style w:type="paragraph" w:customStyle="1" w:styleId="TitrearticleAccord">
    <w:name w:val="Titre article Accord"/>
    <w:basedOn w:val="Normal"/>
    <w:next w:val="Normal"/>
    <w:pPr>
      <w:keepNext/>
      <w:spacing w:before="600" w:line="360" w:lineRule="auto"/>
      <w:jc w:val="center"/>
    </w:pPr>
    <w:rPr>
      <w:i/>
    </w:rPr>
  </w:style>
  <w:style w:type="paragraph" w:customStyle="1" w:styleId="DESignature">
    <w:name w:val="DE Signature"/>
    <w:basedOn w:val="Normal"/>
    <w:next w:val="Normal"/>
    <w:pPr>
      <w:tabs>
        <w:tab w:val="center" w:pos="5953"/>
      </w:tabs>
      <w:spacing w:before="720" w:line="360" w:lineRule="auto"/>
      <w:jc w:val="left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18</Pages>
  <Words>10187</Words>
  <Characters>54298</Characters>
  <Application>Microsoft Office Word</Application>
  <DocSecurity>0</DocSecurity>
  <Lines>1357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MOLLER</dc:creator>
  <cp:lastModifiedBy>WES PDFC Administrator</cp:lastModifiedBy>
  <cp:revision>8</cp:revision>
  <cp:lastPrinted>2019-05-16T15:39:00Z</cp:lastPrinted>
  <dcterms:created xsi:type="dcterms:W3CDTF">2019-06-24T15:05:00Z</dcterms:created>
  <dcterms:modified xsi:type="dcterms:W3CDTF">2019-07-15T12:58:00Z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