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4F07DA2-121D-4392-BC40-217EB249388B" style="width:450.95pt;height:334.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keepNext/>
        <w:tabs>
          <w:tab w:val="num" w:pos="850"/>
        </w:tabs>
        <w:spacing w:before="360" w:after="120" w:line="240" w:lineRule="auto"/>
        <w:ind w:left="850" w:hanging="850"/>
        <w:jc w:val="both"/>
        <w:outlineLvl w:val="0"/>
        <w:rPr>
          <w:rFonts w:ascii="Times New Roman" w:hAnsi="Times New Roman"/>
          <w:b/>
          <w:smallCaps/>
          <w:noProof/>
          <w:sz w:val="24"/>
        </w:rPr>
      </w:pPr>
      <w:bookmarkStart w:id="1" w:name="_Toc158436259"/>
      <w:bookmarkStart w:id="2" w:name="_GoBack"/>
      <w:bookmarkEnd w:id="2"/>
      <w:r>
        <w:rPr>
          <w:rFonts w:ascii="Times New Roman" w:hAnsi="Times New Roman"/>
          <w:b/>
          <w:smallCaps/>
          <w:noProof/>
          <w:sz w:val="24"/>
        </w:rPr>
        <w:lastRenderedPageBreak/>
        <w:t>Εισαγωγή</w:t>
      </w:r>
      <w:bookmarkEnd w:id="1"/>
    </w:p>
    <w:p>
      <w:pPr>
        <w:keepNext/>
        <w:numPr>
          <w:ilvl w:val="1"/>
          <w:numId w:val="33"/>
        </w:numPr>
        <w:spacing w:before="120" w:after="120" w:line="240" w:lineRule="auto"/>
        <w:jc w:val="both"/>
        <w:outlineLvl w:val="1"/>
        <w:rPr>
          <w:rFonts w:ascii="Times New Roman" w:hAnsi="Times New Roman"/>
          <w:b/>
          <w:noProof/>
          <w:sz w:val="24"/>
        </w:rPr>
      </w:pPr>
      <w:r>
        <w:rPr>
          <w:rFonts w:ascii="Times New Roman" w:hAnsi="Times New Roman"/>
          <w:b/>
          <w:noProof/>
          <w:sz w:val="24"/>
        </w:rPr>
        <w:t>Ιστορικό</w:t>
      </w:r>
    </w:p>
    <w:p>
      <w:pPr>
        <w:autoSpaceDE w:val="0"/>
        <w:autoSpaceDN w:val="0"/>
        <w:adjustRightInd w:val="0"/>
        <w:spacing w:before="120" w:after="120" w:line="240" w:lineRule="auto"/>
        <w:jc w:val="both"/>
        <w:rPr>
          <w:rFonts w:ascii="Times New Roman" w:hAnsi="Times New Roman"/>
          <w:b/>
          <w:noProof/>
          <w:sz w:val="24"/>
        </w:rPr>
      </w:pPr>
      <w:r>
        <w:rPr>
          <w:rFonts w:ascii="Times New Roman" w:hAnsi="Times New Roman"/>
          <w:b/>
          <w:noProof/>
          <w:sz w:val="24"/>
        </w:rPr>
        <w:t>1.1.1. Πεδίο εφαρμογής της απόφασης-πλαισίου και της έκθεσης</w:t>
      </w:r>
    </w:p>
    <w:p>
      <w:pPr>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Η απόφαση-πλαίσιο 2003/568/ΔΕΥ του Συμβουλίου, της 22ας Ιουλίου 2003, για την καταπολέμηση της δωροδοκίας στον ιδιωτικό τομέα</w:t>
      </w:r>
      <w:r>
        <w:rPr>
          <w:rStyle w:val="FootnoteReference"/>
          <w:noProof/>
        </w:rPr>
        <w:footnoteReference w:id="2"/>
      </w:r>
      <w:r>
        <w:rPr>
          <w:rFonts w:ascii="Times New Roman" w:hAnsi="Times New Roman"/>
          <w:noProof/>
          <w:sz w:val="24"/>
        </w:rPr>
        <w:t xml:space="preserve"> (εφεξής «απόφαση-πλαίσιο»)</w:t>
      </w:r>
      <w:r>
        <w:rPr>
          <w:rFonts w:ascii="Times New Roman" w:hAnsi="Times New Roman"/>
          <w:noProof/>
          <w:sz w:val="16"/>
        </w:rPr>
        <w:t xml:space="preserve"> </w:t>
      </w:r>
      <w:r>
        <w:rPr>
          <w:rFonts w:ascii="Times New Roman" w:hAnsi="Times New Roman"/>
          <w:noProof/>
          <w:sz w:val="24"/>
        </w:rPr>
        <w:t>έχει ως στόχο να εξασφαλιστεί ότι:</w:t>
      </w:r>
    </w:p>
    <w:p>
      <w:pPr>
        <w:pStyle w:val="ListParagraph"/>
        <w:numPr>
          <w:ilvl w:val="0"/>
          <w:numId w:val="36"/>
        </w:numPr>
        <w:autoSpaceDE w:val="0"/>
        <w:autoSpaceDN w:val="0"/>
        <w:adjustRightInd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τόσο η ενεργητική όσο και η παθητική δωροδοκία στον ιδιωτικό τομέα θα ορίζονται ως ποινικά αδικήματα σε όλα τα κράτη μέλη, </w:t>
      </w:r>
    </w:p>
    <w:p>
      <w:pPr>
        <w:pStyle w:val="ListParagraph"/>
        <w:numPr>
          <w:ilvl w:val="0"/>
          <w:numId w:val="36"/>
        </w:numPr>
        <w:autoSpaceDE w:val="0"/>
        <w:autoSpaceDN w:val="0"/>
        <w:adjustRightInd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ότι και τα νομικά πρόσωπα (ήτοι επιχειρηματικές οντότητες, μη κυβερνητικές οργανώσεις ή δημόσιοι οργανισμοί) θα υπέχουν ευθύνη για τα εν λόγω ποινικά αδικήματα και</w:t>
      </w:r>
    </w:p>
    <w:p>
      <w:pPr>
        <w:pStyle w:val="ListParagraph"/>
        <w:numPr>
          <w:ilvl w:val="0"/>
          <w:numId w:val="36"/>
        </w:numPr>
        <w:autoSpaceDE w:val="0"/>
        <w:autoSpaceDN w:val="0"/>
        <w:adjustRightInd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ότι τα εν λόγω αδικήματα θα επισύρουν αποτελεσματικές, αναλογικές και αποτρεπτικές ποινές. </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Το άρθρο 2 εφαρμόζεται «επί επιχειρηματικών δραστηριοτήτων στο πλαίσιο κερδοσκοπικών και μη κερδοσκοπικών φορέων», δηλαδή περιορίζει το πεδίο εφαρμογής της απόφασης-πλαισίου στη δωροδοκία που διαπράττεται από άτομα στον ιδιωτικό τομέα.</w:t>
      </w:r>
    </w:p>
    <w:p>
      <w:pPr>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Δυνάμει της απόφασης-πλαισίου, τα κράτη μέλη πρέπει να ποινικοποιούν δύο είδη πράξεων:</w:t>
      </w:r>
    </w:p>
    <w:p>
      <w:pPr>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 υπόσχεση, προσφορά ή παροχή δωροδοκίας σε πρόσωπο εργαζόμενο στον ιδιωτικό τομέα προκειμένου το πρόσωπο να τελέσει ή να μην τελέσει πράξη, κατά παράβαση των καθηκόντων του·</w:t>
      </w:r>
    </w:p>
    <w:p>
      <w:pPr>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 αίτηση ή αποδοχή δωροδοκίας, ή αποδοχή της υπόσχεσης δωροδοκίας, εκ μέρους προσώπου που εργάζεται στον ιδιωτικό τομέα, προκειμένου να τελέσει ή να μην τελέσει πράξη κατά παράβαση των καθηκόντων του.</w:t>
      </w:r>
    </w:p>
    <w:p>
      <w:pPr>
        <w:spacing w:before="120" w:after="120" w:line="240" w:lineRule="auto"/>
        <w:jc w:val="both"/>
        <w:rPr>
          <w:rFonts w:ascii="Times New Roman" w:hAnsi="Times New Roman"/>
          <w:noProof/>
          <w:sz w:val="24"/>
        </w:rPr>
      </w:pPr>
      <w:r>
        <w:rPr>
          <w:rFonts w:ascii="Times New Roman" w:hAnsi="Times New Roman"/>
          <w:noProof/>
          <w:sz w:val="24"/>
        </w:rPr>
        <w:t>Το άρθρο 9 παράγραφος 1 της απόφασης-πλαισίου προβλέπει ότι τα κράτη μέλη λαμβάνουν τα αναγκαία μέτρα για να διασφαλίσουν τη συμμόρφωση με τις διατάξεις της εν λόγω απόφασης-πλαισίου πριν από τις 22 Ιουλίου 2005. Το άρθρο 9 παράγραφος 2 απαιτεί από τα κράτη μέλη να διαβιβάζουν στο Συμβούλιο και στην Επιτροπή το κείμενο των διατάξεων με τις οποίες μεταφέρονται στο εθνικό τους δίκαιο οι υποχρεώσεις τους δυνάμει της απόφασης-πλαισίου.</w:t>
      </w:r>
    </w:p>
    <w:p>
      <w:pPr>
        <w:spacing w:before="120" w:after="120" w:line="240" w:lineRule="auto"/>
        <w:jc w:val="both"/>
        <w:rPr>
          <w:rFonts w:ascii="Times New Roman" w:hAnsi="Times New Roman"/>
          <w:noProof/>
          <w:sz w:val="24"/>
        </w:rPr>
      </w:pPr>
      <w:r>
        <w:rPr>
          <w:rFonts w:ascii="Times New Roman" w:hAnsi="Times New Roman"/>
          <w:noProof/>
          <w:sz w:val="24"/>
        </w:rPr>
        <w:t xml:space="preserve">Παρότι αρχικά δεσμευόταν από την απόφαση-πλαίσιο, την 1η Σεπτεμβρίου 2014 το Ηνωμένο Βασίλειο επέλεξε να μην την μεταφέρει στο εθνικό του δίκαιο βάσει του άρθρου 10 παράγραφος 4 του </w:t>
      </w:r>
      <w:r>
        <w:rPr>
          <w:rFonts w:ascii="Times New Roman" w:hAnsi="Times New Roman"/>
          <w:noProof/>
          <w:color w:val="000000"/>
          <w:sz w:val="24"/>
        </w:rPr>
        <w:t>πρωτοκόλλου αριθ. 36 που προσαρτάται στις Συνθήκες</w:t>
      </w:r>
      <w:r>
        <w:rPr>
          <w:rStyle w:val="FootnoteReference"/>
          <w:noProof/>
        </w:rPr>
        <w:footnoteReference w:id="3"/>
      </w:r>
      <w:r>
        <w:rPr>
          <w:rFonts w:ascii="Times New Roman" w:hAnsi="Times New Roman"/>
          <w:noProof/>
          <w:color w:val="000000"/>
          <w:sz w:val="24"/>
        </w:rPr>
        <w:t>. Ως εκ τούτου, η παρούσα έκθεση δεν καλύπτει το Ηνωμένο Βασίλειο.</w:t>
      </w:r>
    </w:p>
    <w:p>
      <w:pPr>
        <w:autoSpaceDE w:val="0"/>
        <w:autoSpaceDN w:val="0"/>
        <w:adjustRightInd w:val="0"/>
        <w:spacing w:before="120" w:after="120" w:line="240" w:lineRule="auto"/>
        <w:jc w:val="both"/>
        <w:rPr>
          <w:rFonts w:ascii="Times New Roman" w:hAnsi="Times New Roman"/>
          <w:b/>
          <w:noProof/>
          <w:sz w:val="24"/>
        </w:rPr>
      </w:pPr>
      <w:r>
        <w:rPr>
          <w:rFonts w:ascii="Times New Roman" w:hAnsi="Times New Roman"/>
          <w:b/>
          <w:noProof/>
          <w:sz w:val="24"/>
        </w:rPr>
        <w:t>1.1.2. Σκοπός της παρούσας έκθεσης εφαρμογής</w:t>
      </w:r>
    </w:p>
    <w:p>
      <w:pPr>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 xml:space="preserve">Η Συνθήκη της Λισαβόνας θέσπισε σημαντικές αλλαγές στους τομείς της ελευθερίας, της ασφάλειας και της δικαιοσύνης. Την 1η Δεκεμβρίου 2014 έληξε η πενταετής μεταβατική περίοδος που προβλέπεται </w:t>
      </w:r>
      <w:r>
        <w:rPr>
          <w:rFonts w:ascii="Times New Roman" w:hAnsi="Times New Roman"/>
          <w:noProof/>
          <w:color w:val="000000"/>
          <w:sz w:val="24"/>
        </w:rPr>
        <w:t>στο άρθρο 10 παράγραφος 1 του πρωτοκόλλου αριθ. 36 που προσαρτάται στις Συνθήκες</w:t>
      </w:r>
      <w:r>
        <w:rPr>
          <w:rFonts w:ascii="Times New Roman" w:hAnsi="Times New Roman"/>
          <w:noProof/>
          <w:sz w:val="24"/>
        </w:rPr>
        <w:t xml:space="preserve">. Κατά συνέπεια, άρθηκαν οι περιορισμοί επί του δικαστικού ελέγχου που ασκεί το Δικαστήριο της Ευρωπαϊκής Ένωσης και επί των εξουσιών επιβολής της νομοθεσίας τις οποίες διαθέτει η Επιτροπή στους τομείς της αστυνομικής συνεργασίας και της δικαστικής συνεργασίας σε ποινικές υποθέσεις. Αυτές οι σημαντικές αλλαγές συνέβαλαν στην αποτελεσματικότητα της ελευθερίας, της ασφάλειας και της δικαιοσύνης </w:t>
      </w:r>
      <w:r>
        <w:rPr>
          <w:rFonts w:ascii="Times New Roman" w:hAnsi="Times New Roman"/>
          <w:noProof/>
          <w:sz w:val="24"/>
        </w:rPr>
        <w:lastRenderedPageBreak/>
        <w:t>στην ΕΕ και ενίσχυσαν τόσο την αμοιβαία εμπιστοσύνη μεταξύ των κρατών μελών όσο και την εμπιστοσύνη των πολιτών της ΕΕ.</w:t>
      </w:r>
    </w:p>
    <w:p>
      <w:pPr>
        <w:spacing w:before="120" w:after="120" w:line="240" w:lineRule="auto"/>
        <w:jc w:val="both"/>
        <w:rPr>
          <w:rFonts w:ascii="Times New Roman" w:hAnsi="Times New Roman"/>
          <w:noProof/>
          <w:sz w:val="24"/>
        </w:rPr>
      </w:pPr>
      <w:r>
        <w:rPr>
          <w:rFonts w:ascii="Times New Roman" w:hAnsi="Times New Roman"/>
          <w:noProof/>
          <w:sz w:val="24"/>
        </w:rPr>
        <w:t>Από την έκδοση των τελευταίων εκθέσεων εφαρμογής της Επιτροπής το 2007</w:t>
      </w:r>
      <w:r>
        <w:rPr>
          <w:rStyle w:val="FootnoteReference"/>
          <w:noProof/>
        </w:rPr>
        <w:footnoteReference w:id="4"/>
      </w:r>
      <w:r>
        <w:rPr>
          <w:rFonts w:ascii="Times New Roman" w:hAnsi="Times New Roman"/>
          <w:noProof/>
          <w:sz w:val="24"/>
        </w:rPr>
        <w:t xml:space="preserve"> και το 2011,</w:t>
      </w:r>
      <w:r>
        <w:rPr>
          <w:rStyle w:val="FootnoteReference"/>
          <w:noProof/>
        </w:rPr>
        <w:footnoteReference w:id="5"/>
      </w:r>
      <w:r>
        <w:rPr>
          <w:rFonts w:ascii="Times New Roman" w:hAnsi="Times New Roman"/>
          <w:noProof/>
          <w:sz w:val="24"/>
        </w:rPr>
        <w:t xml:space="preserve"> έχει πραγματοποιηθεί μια σειρά σημαντικών μεταρρυθμίσεων στο ποινικό δίκαιο ορισμένων κρατών μελών. Επιπλέον, η ποινικοποίηση της ενεργητικής και της παθητικής δωροδοκίας, μεταξύ άλλων και στον ιδιωτικό τομέα, είναι υποχρεωτική βάσει της Σύμβασης ποινικού δικαίου του Συμβουλίου της Ευρώπης για τη διαφθορά και της Σύμβασης των Ηνωμένων Εθνών κατά της διαφθοράς (UNCAC)</w:t>
      </w:r>
      <w:r>
        <w:rPr>
          <w:rStyle w:val="FootnoteReference"/>
          <w:rFonts w:ascii="Times New Roman" w:hAnsi="Times New Roman"/>
          <w:noProof/>
          <w:sz w:val="24"/>
        </w:rPr>
        <w:footnoteReference w:id="6"/>
      </w:r>
      <w:r>
        <w:rPr>
          <w:rFonts w:ascii="Times New Roman" w:hAnsi="Times New Roman"/>
          <w:noProof/>
          <w:sz w:val="24"/>
        </w:rPr>
        <w:t>, στην οποία όλα τα κράτη μέλη είναι συμβαλλόμενα μέρη. Οι εξελίξεις αυτές έδωσαν στα κράτη μέλη το έναυσμα να εναρμονίσουν περαιτέρω τα εθνικά μέτρα εφαρμογής με τα διεθνή και ευρωπαϊκά πρότυπα. Στην παρούσα τρίτη έκθεση εφαρμογής περιλαμβάνεται απολογισμός των νέων εξελίξεων και παρέχονται στους συννομοθέτες και στο ευρύ κοινό πληροφορίες σχετικά με την πρόοδο που έχουν σημειώσει τα κράτη μέλη στον συγκεκριμένο τομέα. Τα πορίσματα της παρούσας έκθεσης διατυπώνονται με την επιφύλαξη των εξουσιών της Επιτροπής για την επιβολή της νομοθεσίας δυνάμει των Συνθηκών.</w:t>
      </w:r>
    </w:p>
    <w:p>
      <w:pPr>
        <w:autoSpaceDE w:val="0"/>
        <w:autoSpaceDN w:val="0"/>
        <w:adjustRightInd w:val="0"/>
        <w:spacing w:before="120" w:after="120" w:line="240" w:lineRule="auto"/>
        <w:jc w:val="both"/>
        <w:rPr>
          <w:rFonts w:ascii="Times New Roman" w:hAnsi="Times New Roman"/>
          <w:noProof/>
          <w:sz w:val="24"/>
        </w:rPr>
      </w:pPr>
    </w:p>
    <w:p>
      <w:pPr>
        <w:autoSpaceDE w:val="0"/>
        <w:autoSpaceDN w:val="0"/>
        <w:adjustRightInd w:val="0"/>
        <w:spacing w:before="120" w:after="120" w:line="240" w:lineRule="auto"/>
        <w:jc w:val="both"/>
        <w:rPr>
          <w:rFonts w:ascii="Times New Roman" w:hAnsi="Times New Roman"/>
          <w:b/>
          <w:noProof/>
          <w:sz w:val="24"/>
        </w:rPr>
      </w:pPr>
      <w:r>
        <w:rPr>
          <w:rFonts w:ascii="Times New Roman" w:hAnsi="Times New Roman"/>
          <w:b/>
          <w:noProof/>
          <w:sz w:val="24"/>
        </w:rPr>
        <w:t>1.1.3. Συγκέντρωση πληροφοριών και μεθοδολογία</w:t>
      </w:r>
    </w:p>
    <w:p>
      <w:pPr>
        <w:spacing w:before="120" w:after="120" w:line="240" w:lineRule="auto"/>
        <w:jc w:val="both"/>
        <w:rPr>
          <w:rFonts w:ascii="Times New Roman" w:hAnsi="Times New Roman"/>
          <w:noProof/>
          <w:sz w:val="24"/>
        </w:rPr>
      </w:pPr>
      <w:r>
        <w:rPr>
          <w:rFonts w:ascii="Times New Roman" w:hAnsi="Times New Roman"/>
          <w:noProof/>
          <w:sz w:val="24"/>
        </w:rPr>
        <w:t xml:space="preserve">Στις </w:t>
      </w:r>
      <w:r>
        <w:rPr>
          <w:rFonts w:ascii="Times New Roman" w:hAnsi="Times New Roman"/>
          <w:noProof/>
          <w:color w:val="000000"/>
          <w:sz w:val="24"/>
        </w:rPr>
        <w:t>15 Δεκεμβρίου 2014</w:t>
      </w:r>
      <w:r>
        <w:rPr>
          <w:rFonts w:ascii="Times New Roman" w:hAnsi="Times New Roman"/>
          <w:noProof/>
          <w:sz w:val="24"/>
        </w:rPr>
        <w:t xml:space="preserve"> η Επιτροπή κάλεσε τις αρχές όλων των κρατών μελών να κοινοποιήσουν έως την 1η Μαρτίου 2015 στην Επιτροπή, μέσω της βάσης δεδομένων MNE (</w:t>
      </w:r>
      <w:r>
        <w:rPr>
          <w:rFonts w:ascii="Times New Roman" w:hAnsi="Times New Roman"/>
          <w:i/>
          <w:noProof/>
          <w:sz w:val="24"/>
        </w:rPr>
        <w:t>Mesures Nationales d’Exécution</w:t>
      </w:r>
      <w:r>
        <w:rPr>
          <w:rFonts w:ascii="Times New Roman" w:hAnsi="Times New Roman"/>
          <w:noProof/>
          <w:sz w:val="24"/>
        </w:rPr>
        <w:t>), τα εθνικά μέτρα εφαρμογής για τις πράξεις που υπάγονταν στον πρώην τρίτο πυλώνα</w:t>
      </w:r>
      <w:r>
        <w:rPr>
          <w:rFonts w:ascii="Times New Roman" w:hAnsi="Times New Roman"/>
          <w:b/>
          <w:noProof/>
          <w:sz w:val="24"/>
        </w:rPr>
        <w:t xml:space="preserve">. </w:t>
      </w:r>
      <w:r>
        <w:rPr>
          <w:rFonts w:ascii="Times New Roman" w:hAnsi="Times New Roman"/>
          <w:noProof/>
          <w:sz w:val="24"/>
        </w:rPr>
        <w:t xml:space="preserve">Το 2018 η Επιτροπή ζήτησε από τα κράτη μέλη να υποβάλουν επικαιροποιημένες πληροφορίες σχετικά με την εφαρμογή της απόφασης-πλαισίου. </w:t>
      </w:r>
      <w:r>
        <w:rPr>
          <w:rFonts w:ascii="Times New Roman" w:hAnsi="Times New Roman"/>
          <w:noProof/>
          <w:sz w:val="23"/>
        </w:rPr>
        <w:t xml:space="preserve">Η περιγραφή και η ανάλυση στην παρούσα έκθεση βασίζονται στις πληροφορίες που παρασχέθηκαν από τα κράτη μέλη έως την 1η Αυγούστου 2018. </w:t>
      </w:r>
    </w:p>
    <w:p>
      <w:pPr>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Επιπλέον, το 2014 η Επιτροπή συγκέντρωσε επίσημα στατιστικά στοιχεία σχετικά με τον τρόπο χειρισμού υποθέσεων δωροδοκίας στα κράτη μέλη, στα διάφορα στάδια της ποινικής διαδικασίας</w:t>
      </w:r>
      <w:r>
        <w:rPr>
          <w:rStyle w:val="FootnoteReference"/>
          <w:noProof/>
        </w:rPr>
        <w:footnoteReference w:id="7"/>
      </w:r>
      <w:r>
        <w:rPr>
          <w:rFonts w:ascii="Times New Roman" w:hAnsi="Times New Roman"/>
          <w:noProof/>
          <w:sz w:val="24"/>
        </w:rPr>
        <w:t>. Μέσω της ομάδας εμπειρογνωμόνων σε θέματα αναγκών πολιτικής για δεδομένα που αφορούν εγκληματικές πράξεις και μέσω του δικτύου εθνικών σημείων επαφής κατά της διαφθοράς, ελήφθησαν απαντήσεις από 26 κράτη μέλη για τα έτη αναφοράς 2011, 2012 και 2013. Το 2018 η προσπάθεια συλλογής δεδομένων επεκτάθηκε στα έτη αναφοράς 2014, 2015 και 2016. Από τα 22 κράτη μέλη που υπέβαλαν δεδομένα</w:t>
      </w:r>
      <w:r>
        <w:rPr>
          <w:rStyle w:val="FootnoteReference"/>
          <w:rFonts w:ascii="Times New Roman" w:hAnsi="Times New Roman"/>
          <w:noProof/>
          <w:sz w:val="24"/>
        </w:rPr>
        <w:footnoteReference w:id="8"/>
      </w:r>
      <w:r>
        <w:rPr>
          <w:rFonts w:ascii="Times New Roman" w:hAnsi="Times New Roman"/>
          <w:noProof/>
          <w:sz w:val="24"/>
        </w:rPr>
        <w:t>, μόνο 7 </w:t>
      </w:r>
      <w:r>
        <w:rPr>
          <w:rStyle w:val="FootnoteReference"/>
          <w:rFonts w:ascii="Times New Roman" w:hAnsi="Times New Roman"/>
          <w:noProof/>
          <w:sz w:val="24"/>
        </w:rPr>
        <w:footnoteReference w:id="9"/>
      </w:r>
      <w:r>
        <w:rPr>
          <w:rFonts w:ascii="Times New Roman" w:hAnsi="Times New Roman"/>
          <w:noProof/>
          <w:sz w:val="24"/>
        </w:rPr>
        <w:t xml:space="preserve"> ήταν σε θέση να παράσχουν πληροφορίες σχετικά με «τελεσίδικες καταδικαστικές αποφάσεις σε υποθέσεις δωροδοκίας στον ιδιωτικό τομέα» για οποιοδήποτε από τα έτη αναφοράς μεταξύ του 2014 και του 2016. Μολονότι τα δεδομένα υπόκεινται σε ορισμένους εγγενείς περιορισμούς και θα πρέπει να ερμηνεύονται με προσοχή, και λαμβανομένων δεόντως υπόψη των μεθοδολογικών σημειωμάτων που παρέχονται</w:t>
      </w:r>
      <w:r>
        <w:rPr>
          <w:rStyle w:val="FootnoteReference"/>
          <w:noProof/>
        </w:rPr>
        <w:footnoteReference w:id="10"/>
      </w:r>
      <w:r>
        <w:rPr>
          <w:rFonts w:ascii="Times New Roman" w:hAnsi="Times New Roman"/>
          <w:noProof/>
          <w:sz w:val="24"/>
        </w:rPr>
        <w:t xml:space="preserve">, είναι χρήσιμα για τη διαμόρφωση εικόνας όσον αφορά την επιβολή κυρώσεων για τα αδικήματα που περιλαμβάνονται στην απόφαση-πλαίσιο. </w:t>
      </w:r>
    </w:p>
    <w:p>
      <w:pPr>
        <w:keepNext/>
        <w:tabs>
          <w:tab w:val="num" w:pos="850"/>
        </w:tabs>
        <w:spacing w:before="360" w:after="120" w:line="240" w:lineRule="auto"/>
        <w:ind w:left="850" w:hanging="850"/>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ΑΝΑΛΥΣΗ</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Στην ενότητα που ακολουθεί παρουσιάζεται λεπτομερώς η ανάλυση, μέσω της οποίας παρέχεται συνολική επισκόπηση της κατάστασης όσον αφορά τη μεταφορά της απόφασης-πλαισίου στην εθνική νομοθεσία. Η μεταφορά στο εθνικό δίκαιο κάθε κράτους μέλους αξιολογήθηκε με βάση μόνο ένα κριτήριο, δηλαδή αν οι διατάξεις της απόφασης-πλαισίου καλύπτονται από την εθνική νομοθεσία.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hAnsi="Times New Roman"/>
          <w:noProof/>
          <w:sz w:val="24"/>
        </w:rPr>
      </w:pPr>
      <w:r>
        <w:rPr>
          <w:rFonts w:ascii="Times New Roman" w:hAnsi="Times New Roman"/>
          <w:noProof/>
          <w:sz w:val="24"/>
        </w:rPr>
        <w:t>Η έκθεση επικεντρώνεται στα άρθρα 2 έως 7 της απόφασης-πλαισίου και δεν καλύπτει τα άρθρα 8 έως 11 (δηλαδή τις διατάξεις σχετικά με την κατάργηση, την εφαρμογή, το γεωγραφικό πεδίο εφαρμογής και την έναρξη ισχύος), δεδομένου ότι για αυτά δεν απαιτείται μεταφορά στο εθνικό δίκαιο.</w:t>
      </w:r>
    </w:p>
    <w:p>
      <w:pPr>
        <w:keepNext/>
        <w:numPr>
          <w:ilvl w:val="1"/>
          <w:numId w:val="32"/>
        </w:numPr>
        <w:spacing w:before="120" w:after="120" w:line="240" w:lineRule="auto"/>
        <w:jc w:val="both"/>
        <w:outlineLvl w:val="1"/>
        <w:rPr>
          <w:rFonts w:ascii="Times New Roman" w:hAnsi="Times New Roman"/>
          <w:b/>
          <w:i/>
          <w:noProof/>
          <w:sz w:val="26"/>
        </w:rPr>
      </w:pPr>
      <w:bookmarkStart w:id="3" w:name="_Toc275870016"/>
      <w:r>
        <w:rPr>
          <w:rFonts w:ascii="Times New Roman" w:hAnsi="Times New Roman"/>
          <w:b/>
          <w:i/>
          <w:noProof/>
          <w:sz w:val="26"/>
        </w:rPr>
        <w:t>Άρθρο 2 — Ενεργητική και παθητική δωροδοκία στον ιδιωτικό τομέα</w:t>
      </w:r>
      <w:bookmarkEnd w:id="3"/>
    </w:p>
    <w:p>
      <w:pPr>
        <w:keepNext/>
        <w:numPr>
          <w:ilvl w:val="2"/>
          <w:numId w:val="31"/>
        </w:numPr>
        <w:spacing w:before="120" w:after="120" w:line="240" w:lineRule="auto"/>
        <w:jc w:val="both"/>
        <w:outlineLvl w:val="2"/>
        <w:rPr>
          <w:rFonts w:ascii="Times New Roman" w:hAnsi="Times New Roman"/>
          <w:i/>
          <w:noProof/>
          <w:sz w:val="24"/>
        </w:rPr>
      </w:pPr>
      <w:r>
        <w:rPr>
          <w:rFonts w:ascii="Times New Roman" w:hAnsi="Times New Roman"/>
          <w:i/>
          <w:noProof/>
          <w:sz w:val="24"/>
        </w:rPr>
        <w:t>Γενικές παρατηρήσεις</w:t>
      </w:r>
    </w:p>
    <w:p>
      <w:pPr>
        <w:shd w:val="clear" w:color="auto" w:fill="FFFFFF"/>
        <w:tabs>
          <w:tab w:val="left" w:pos="9000"/>
        </w:tabs>
        <w:spacing w:before="197" w:after="120" w:line="240" w:lineRule="auto"/>
        <w:jc w:val="both"/>
        <w:rPr>
          <w:rFonts w:ascii="Times New Roman" w:hAnsi="Times New Roman"/>
          <w:noProof/>
          <w:color w:val="000000"/>
          <w:sz w:val="24"/>
        </w:rPr>
      </w:pPr>
      <w:r>
        <w:rPr>
          <w:rFonts w:ascii="Times New Roman" w:hAnsi="Times New Roman"/>
          <w:noProof/>
          <w:color w:val="000000"/>
          <w:sz w:val="24"/>
        </w:rPr>
        <w:t>Το άρθρο 2 αποτελεί βασική διάταξη της απόφασης-πλαισίου. Ορίζει τα αδικήματα που ενέχουν ενεργητική και παθητική δωροδοκία, εφόσον τελούνται στο πλαίσιο επιχειρηματικών δραστηριοτήτων. Το πεδίο εφαρμογής του άρθρου 2 παράγραφος 1 περιλαμβάνει επιχειρηματικές δραστηριότητες στο πλαίσιο τόσο κερδοσκοπικών όσο και μη κερδοσκοπικών φορέων.</w:t>
      </w:r>
    </w:p>
    <w:p>
      <w:pPr>
        <w:shd w:val="clear" w:color="auto" w:fill="FFFFFF"/>
        <w:spacing w:before="197" w:after="120" w:line="240" w:lineRule="auto"/>
        <w:jc w:val="both"/>
        <w:rPr>
          <w:rFonts w:ascii="Times New Roman" w:hAnsi="Times New Roman"/>
          <w:noProof/>
          <w:color w:val="000000"/>
          <w:sz w:val="24"/>
        </w:rPr>
      </w:pPr>
      <w:r>
        <w:rPr>
          <w:rFonts w:ascii="Times New Roman" w:hAnsi="Times New Roman"/>
          <w:noProof/>
          <w:color w:val="000000"/>
          <w:sz w:val="24"/>
        </w:rPr>
        <w:t>Τα επτά υποχρεωτικά στοιχεία του άρθρου 2 παράγραφος 1 απαριθμούνται κατωτέρω.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6"/>
      </w:tblGrid>
      <w:tr>
        <w:tc>
          <w:tcPr>
            <w:tcW w:w="4643" w:type="dxa"/>
          </w:tcPr>
          <w:p>
            <w:pPr>
              <w:spacing w:after="120" w:line="240" w:lineRule="auto"/>
              <w:jc w:val="center"/>
              <w:rPr>
                <w:rFonts w:ascii="Times New Roman" w:hAnsi="Times New Roman"/>
                <w:b/>
                <w:noProof/>
                <w:sz w:val="24"/>
              </w:rPr>
            </w:pPr>
            <w:r>
              <w:rPr>
                <w:rFonts w:ascii="Times New Roman" w:hAnsi="Times New Roman"/>
                <w:b/>
                <w:noProof/>
                <w:sz w:val="24"/>
              </w:rPr>
              <w:t>Άρθρο 2 παράγραφος 1 στοιχείο α) — ενεργητική δωροδοκία</w:t>
            </w:r>
          </w:p>
        </w:tc>
        <w:tc>
          <w:tcPr>
            <w:tcW w:w="4646" w:type="dxa"/>
          </w:tcPr>
          <w:p>
            <w:pPr>
              <w:spacing w:after="120" w:line="240" w:lineRule="auto"/>
              <w:ind w:right="-108"/>
              <w:jc w:val="center"/>
              <w:rPr>
                <w:rFonts w:ascii="Times New Roman" w:hAnsi="Times New Roman"/>
                <w:noProof/>
                <w:color w:val="000000"/>
                <w:sz w:val="24"/>
              </w:rPr>
            </w:pPr>
            <w:r>
              <w:rPr>
                <w:rFonts w:ascii="Times New Roman" w:hAnsi="Times New Roman"/>
                <w:b/>
                <w:noProof/>
                <w:sz w:val="24"/>
              </w:rPr>
              <w:t>Άρθρο 2 παράγραφος 1 στοιχείο β) — παθητική δωροδοκία</w:t>
            </w:r>
          </w:p>
        </w:tc>
      </w:tr>
      <w:tr>
        <w:tc>
          <w:tcPr>
            <w:tcW w:w="4643" w:type="dxa"/>
          </w:tcPr>
          <w:p>
            <w:pPr>
              <w:tabs>
                <w:tab w:val="num" w:pos="283"/>
              </w:tabs>
              <w:spacing w:before="120" w:after="240" w:line="240" w:lineRule="auto"/>
              <w:ind w:left="284" w:hanging="284"/>
              <w:jc w:val="both"/>
              <w:rPr>
                <w:rFonts w:ascii="Times New Roman" w:hAnsi="Times New Roman"/>
                <w:noProof/>
                <w:sz w:val="24"/>
              </w:rPr>
            </w:pPr>
            <w:r>
              <w:rPr>
                <w:rFonts w:ascii="Times New Roman" w:hAnsi="Times New Roman"/>
                <w:noProof/>
                <w:sz w:val="24"/>
              </w:rPr>
              <w:t>«Υπόσχεση, προσφορά ή παροχή»</w:t>
            </w:r>
          </w:p>
          <w:p>
            <w:pPr>
              <w:tabs>
                <w:tab w:val="num" w:pos="283"/>
              </w:tabs>
              <w:spacing w:before="120" w:after="240" w:line="240" w:lineRule="auto"/>
              <w:ind w:left="284" w:hanging="284"/>
              <w:jc w:val="both"/>
              <w:rPr>
                <w:rFonts w:ascii="Times New Roman" w:hAnsi="Times New Roman"/>
                <w:noProof/>
                <w:sz w:val="24"/>
              </w:rPr>
            </w:pPr>
            <w:r>
              <w:rPr>
                <w:rFonts w:ascii="Times New Roman" w:hAnsi="Times New Roman"/>
                <w:noProof/>
                <w:sz w:val="24"/>
              </w:rPr>
              <w:t>«Απευθείας ή μέσω τρίτου»</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«Πρόσωπο το οποίο ασκεί διευθυντική λειτουργία ή εργάζεται υπό οποιαδήποτε ιδιότητα»</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«Σε ιδιωτικό φορέα»</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«Μη οφειλόμενο πλεονέκτημα οιασδήποτε φύσεως»</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«Για τον εαυτό του ή για τρίτον»</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«Προκειμένου το πρόσωπο να τελέσει ή να μην τελέσει πράξη, κατά παράβαση των καθηκόντων του»</w:t>
            </w:r>
          </w:p>
        </w:tc>
        <w:tc>
          <w:tcPr>
            <w:tcW w:w="4646" w:type="dxa"/>
          </w:tcPr>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«Αίτηση ή αποδοχή ή αποδοχή της υπόσχεσης»</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«Απευθείας ή μέσω τρίτου»</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«Εκ μέρους προσώπου το οποίο ασκεί διευθυντική λειτουργία ή εργάζεται υπό οποιαδήποτε ιδιότητα»</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«Σε ιδιωτικό φορέα»</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«Μη οφειλόμενο πλεονέκτημα οιασδήποτε φύσεως»</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«Για τον εαυτό του ή για τρίτον»</w:t>
            </w:r>
          </w:p>
          <w:p>
            <w:pPr>
              <w:tabs>
                <w:tab w:val="num" w:pos="283"/>
              </w:tabs>
              <w:spacing w:before="120" w:after="120" w:line="240" w:lineRule="auto"/>
              <w:ind w:left="283" w:hanging="283"/>
              <w:jc w:val="both"/>
              <w:rPr>
                <w:rFonts w:ascii="Times New Roman" w:hAnsi="Times New Roman"/>
                <w:noProof/>
                <w:sz w:val="24"/>
              </w:rPr>
            </w:pPr>
            <w:r>
              <w:rPr>
                <w:rFonts w:ascii="Times New Roman" w:hAnsi="Times New Roman"/>
                <w:noProof/>
                <w:sz w:val="24"/>
              </w:rPr>
              <w:t>«Προκειμένου να τελέσει ή να μην τελέσει πράξη, κατά παράβαση των καθηκόντων του»</w:t>
            </w:r>
          </w:p>
        </w:tc>
      </w:tr>
    </w:tbl>
    <w:p>
      <w:pPr>
        <w:widowControl w:val="0"/>
        <w:shd w:val="clear" w:color="auto" w:fill="FFFFFF"/>
        <w:tabs>
          <w:tab w:val="left" w:pos="0"/>
        </w:tabs>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Στον ανωτέρω πίνακα, μόνο τα στοιχεία που παρατίθενται πρώτα («υπόσχεση, προσφορά ή παροχή»/«αίτηση ή αποδοχή ή αποδοχή της υπόσχεσης») διαφέρουν σημαντικά για την ενεργητική και την παθητική δωροδοκία. Επομένως, τα κράτη μέλη μετέφεραν εν γένει τα υπόλοιπα έξι στοιχεία στην εθνική τους νομοθεσία με παρόμοια διατύπωση. Για τον λόγο αυτόν, τα συγκεκριμένα έξι στοιχεία που συνιστούν την αντικειμενική υπόσταση της ενεργητικής και της παθητικής δωροδοκίας εξετάζονται στη συνέχεια από κοινού.</w:t>
      </w:r>
    </w:p>
    <w:p>
      <w:pPr>
        <w:keepNext/>
        <w:numPr>
          <w:ilvl w:val="2"/>
          <w:numId w:val="0"/>
        </w:numPr>
        <w:tabs>
          <w:tab w:val="num" w:pos="850"/>
        </w:tabs>
        <w:spacing w:before="120" w:after="120" w:line="240" w:lineRule="auto"/>
        <w:ind w:left="850" w:hanging="850"/>
        <w:jc w:val="both"/>
        <w:outlineLvl w:val="2"/>
        <w:rPr>
          <w:rFonts w:ascii="Times New Roman" w:hAnsi="Times New Roman"/>
          <w:i/>
          <w:noProof/>
          <w:sz w:val="24"/>
        </w:rPr>
      </w:pPr>
      <w:r>
        <w:rPr>
          <w:rFonts w:ascii="Times New Roman" w:hAnsi="Times New Roman"/>
          <w:i/>
          <w:noProof/>
          <w:sz w:val="24"/>
        </w:rPr>
        <w:t>Λεπτομερής ανάλυση</w:t>
      </w:r>
    </w:p>
    <w:p>
      <w:pPr>
        <w:keepNext/>
        <w:numPr>
          <w:ilvl w:val="3"/>
          <w:numId w:val="30"/>
        </w:numPr>
        <w:spacing w:before="120" w:after="120" w:line="240" w:lineRule="auto"/>
        <w:jc w:val="both"/>
        <w:outlineLvl w:val="3"/>
        <w:rPr>
          <w:rFonts w:ascii="Times New Roman" w:hAnsi="Times New Roman"/>
          <w:noProof/>
          <w:sz w:val="24"/>
        </w:rPr>
      </w:pPr>
      <w:r>
        <w:rPr>
          <w:rFonts w:ascii="Times New Roman" w:hAnsi="Times New Roman"/>
          <w:noProof/>
          <w:sz w:val="24"/>
        </w:rPr>
        <w:t xml:space="preserve">Άρθρο 2 παράγραφος 1 στοιχείο α) — ενεργητική δωροδοκία — </w:t>
      </w:r>
      <w:r>
        <w:rPr>
          <w:rFonts w:ascii="Times New Roman" w:hAnsi="Times New Roman"/>
          <w:noProof/>
          <w:color w:val="000000"/>
          <w:sz w:val="24"/>
        </w:rPr>
        <w:t>«υπόσχεση, προσφορά ή παροχή»</w:t>
      </w:r>
    </w:p>
    <w:p>
      <w:pPr>
        <w:shd w:val="clear" w:color="auto" w:fill="FFFFFF"/>
        <w:spacing w:before="197" w:after="120" w:line="240" w:lineRule="auto"/>
        <w:jc w:val="both"/>
        <w:rPr>
          <w:rFonts w:ascii="Times New Roman" w:hAnsi="Times New Roman"/>
          <w:noProof/>
          <w:sz w:val="24"/>
        </w:rPr>
      </w:pPr>
      <w:r>
        <w:rPr>
          <w:rFonts w:ascii="Times New Roman" w:hAnsi="Times New Roman"/>
          <w:noProof/>
          <w:sz w:val="24"/>
        </w:rPr>
        <w:t>Οι τρεις ενέργειες του παραβάτη παρουσιάζουν μικρές διαφοροποιήσεις, αν και είναι πιθανό να αλληλεπικαλύπτονται. Η «</w:t>
      </w:r>
      <w:r>
        <w:rPr>
          <w:rFonts w:ascii="Times New Roman" w:hAnsi="Times New Roman"/>
          <w:i/>
          <w:noProof/>
          <w:sz w:val="24"/>
        </w:rPr>
        <w:t>υπόσχεση</w:t>
      </w:r>
      <w:r>
        <w:rPr>
          <w:rFonts w:ascii="Times New Roman" w:hAnsi="Times New Roman"/>
          <w:noProof/>
          <w:sz w:val="24"/>
        </w:rPr>
        <w:t>» μπορεί, για παράδειγμα, να καλύπτει περιπτώσεις στις οποίες το πρόσωπο που δωροδοκεί δεσμεύεται να χορηγήσει μη οφειλόμενο πλεονέκτημα σε μεταγενέστερο χρόνο ή περιπτώσεις στις οποίες μεταξύ του προσώπου που δωροδοκεί και του προσώπου που δωροδοκείται έχει συμφωνηθεί ότι το πρόσωπο που δωροδοκεί θα χορηγήσει το μη οφειλόμενο πλεονέκτημα σε μεταγενέστερο χρόνο. Η «</w:t>
      </w:r>
      <w:r>
        <w:rPr>
          <w:rFonts w:ascii="Times New Roman" w:hAnsi="Times New Roman"/>
          <w:i/>
          <w:noProof/>
          <w:sz w:val="24"/>
        </w:rPr>
        <w:t>προσφορά</w:t>
      </w:r>
      <w:r>
        <w:rPr>
          <w:rFonts w:ascii="Times New Roman" w:hAnsi="Times New Roman"/>
          <w:noProof/>
          <w:sz w:val="24"/>
        </w:rPr>
        <w:t>» μπορεί να καλύπτει καταστάσεις στις οποίες το πρόσωπο που δωροδοκεί είναι πρόθυμο να χορηγήσει ανά πάσα στιγμή μη οφειλόμενο πλεονέκτημα. Τέλος, η «</w:t>
      </w:r>
      <w:r>
        <w:rPr>
          <w:rFonts w:ascii="Times New Roman" w:hAnsi="Times New Roman"/>
          <w:i/>
          <w:noProof/>
          <w:sz w:val="24"/>
        </w:rPr>
        <w:t>παροχή</w:t>
      </w:r>
      <w:r>
        <w:rPr>
          <w:rFonts w:ascii="Times New Roman" w:hAnsi="Times New Roman"/>
          <w:noProof/>
          <w:sz w:val="24"/>
        </w:rPr>
        <w:t>» μπορεί να περιλαμβάνει επίσης καταστάσεις στις οποίες το πρόσωπο που δωροδοκεί μεταβιβάζει το μη οφειλόμενο πλεονέκτημα.</w:t>
      </w:r>
    </w:p>
    <w:p>
      <w:pPr>
        <w:shd w:val="clear" w:color="auto" w:fill="FFFFFF"/>
        <w:spacing w:before="197" w:after="120" w:line="240" w:lineRule="auto"/>
        <w:jc w:val="both"/>
        <w:rPr>
          <w:rFonts w:ascii="Times New Roman" w:hAnsi="Times New Roman"/>
          <w:noProof/>
          <w:sz w:val="24"/>
        </w:rPr>
      </w:pPr>
      <w:r>
        <w:rPr>
          <w:rFonts w:ascii="Times New Roman" w:hAnsi="Times New Roman"/>
          <w:noProof/>
          <w:sz w:val="24"/>
        </w:rPr>
        <w:t>19 κράτη μέλη (BG, CZ, DK, DE, EL, ES, FR, HR, IT, CY, LT, NL, AT, PT, RO, SK, SI, FI και E) έχουν μεταφέρει στη νομοθεσία τους σχεδόν κατά λέξη τους τρεις όρους «</w:t>
      </w:r>
      <w:r>
        <w:rPr>
          <w:rFonts w:ascii="Times New Roman" w:hAnsi="Times New Roman"/>
          <w:noProof/>
          <w:color w:val="000000"/>
          <w:sz w:val="24"/>
        </w:rPr>
        <w:t>υπόσχεση, προσφορά ή παροχή</w:t>
      </w:r>
      <w:r>
        <w:rPr>
          <w:rFonts w:ascii="Times New Roman" w:hAnsi="Times New Roman"/>
          <w:noProof/>
          <w:sz w:val="24"/>
        </w:rPr>
        <w:t>».</w:t>
      </w:r>
    </w:p>
    <w:p>
      <w:pPr>
        <w:widowControl w:val="0"/>
        <w:shd w:val="clear" w:color="auto" w:fill="FFFFFF"/>
        <w:tabs>
          <w:tab w:val="left" w:pos="0"/>
        </w:tabs>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 xml:space="preserve">Επιπλέον, σε επτά κράτη μέλη (BE, EE, IE, LU, HU, MT και PL), βάσει της σχετικής εθνικής νομολογίας, οι όροι με τους οποίους μεταφέρεται η διάταξη έχουν ισοδύναμη σημασία. Στις EE, HU, IE και PL, η «προσφορά δωροδοκίας» δεν αναφέρεται στον ισχύοντα ορισμό της ενεργητικής δωροδοκίας, αλλά καλύπτεται από τη νομολογία. Στο BE και στο LU, ο ποινικός κώδικας κάνει αναφορά σε </w:t>
      </w:r>
      <w:r>
        <w:rPr>
          <w:rFonts w:ascii="Times New Roman" w:hAnsi="Times New Roman"/>
          <w:i/>
          <w:noProof/>
          <w:sz w:val="24"/>
        </w:rPr>
        <w:t>«πρόταση πάσης φύσεως προσφοράς, υπόσχεσης ή πλεονεκτήματος»</w:t>
      </w:r>
      <w:r>
        <w:rPr>
          <w:rStyle w:val="FootnoteReference"/>
          <w:noProof/>
        </w:rPr>
        <w:footnoteReference w:id="11"/>
      </w:r>
      <w:r>
        <w:rPr>
          <w:rFonts w:ascii="Times New Roman" w:hAnsi="Times New Roman"/>
          <w:noProof/>
          <w:sz w:val="24"/>
        </w:rPr>
        <w:t>. Στη MT, το πρόσωπο το οποίο «</w:t>
      </w:r>
      <w:r>
        <w:rPr>
          <w:rFonts w:ascii="Times New Roman" w:hAnsi="Times New Roman"/>
          <w:i/>
          <w:noProof/>
          <w:sz w:val="24"/>
        </w:rPr>
        <w:t>δωροδοκεί</w:t>
      </w:r>
      <w:r>
        <w:rPr>
          <w:rFonts w:ascii="Times New Roman" w:hAnsi="Times New Roman"/>
          <w:noProof/>
          <w:sz w:val="24"/>
        </w:rPr>
        <w:t>» υπέχει ευθύνη ως συνεργός. Το πρόσωπο το οποίο αποπειράται να παρακινήσει το άλλο πρόσωπο να διαπράξει το έγκλημα εξακολουθεί να υπόκειται σε επιβολή ποινής, ακόμη και αν η απόπειρά του δεν είναι επιτυχής</w:t>
      </w:r>
      <w:r>
        <w:rPr>
          <w:rStyle w:val="FootnoteReference"/>
          <w:rFonts w:ascii="Times New Roman" w:hAnsi="Times New Roman"/>
          <w:noProof/>
          <w:sz w:val="24"/>
        </w:rPr>
        <w:footnoteReference w:id="12"/>
      </w:r>
      <w:r>
        <w:rPr>
          <w:rFonts w:ascii="Times New Roman" w:hAnsi="Times New Roman"/>
          <w:noProof/>
          <w:sz w:val="24"/>
        </w:rPr>
        <w:t>.</w:t>
      </w:r>
    </w:p>
    <w:p>
      <w:pPr>
        <w:spacing w:before="150" w:after="150" w:line="240" w:lineRule="auto"/>
        <w:ind w:left="34" w:right="101"/>
        <w:jc w:val="both"/>
        <w:rPr>
          <w:rFonts w:ascii="Calibri" w:hAnsi="Calibri"/>
          <w:noProof/>
          <w:sz w:val="24"/>
        </w:rPr>
      </w:pPr>
      <w:r>
        <w:rPr>
          <w:rFonts w:ascii="Times New Roman" w:hAnsi="Times New Roman"/>
          <w:noProof/>
          <w:sz w:val="24"/>
        </w:rPr>
        <w:t>Στη LV, η «</w:t>
      </w:r>
      <w:r>
        <w:rPr>
          <w:rFonts w:ascii="Times New Roman" w:hAnsi="Times New Roman"/>
          <w:i/>
          <w:noProof/>
          <w:sz w:val="24"/>
        </w:rPr>
        <w:t>υπόσχεση δωροδοκίας</w:t>
      </w:r>
      <w:r>
        <w:rPr>
          <w:rFonts w:ascii="Times New Roman" w:hAnsi="Times New Roman"/>
          <w:noProof/>
          <w:sz w:val="24"/>
        </w:rPr>
        <w:t xml:space="preserve">» δεν καλύπτεται με ρητή διατύπωση. </w:t>
      </w:r>
    </w:p>
    <w:p>
      <w:pPr>
        <w:keepNext/>
        <w:numPr>
          <w:ilvl w:val="3"/>
          <w:numId w:val="0"/>
        </w:numPr>
        <w:tabs>
          <w:tab w:val="num" w:pos="850"/>
        </w:tabs>
        <w:spacing w:before="120" w:after="120" w:line="240" w:lineRule="auto"/>
        <w:ind w:left="850" w:hanging="850"/>
        <w:jc w:val="both"/>
        <w:outlineLvl w:val="3"/>
        <w:rPr>
          <w:rFonts w:ascii="Times New Roman" w:hAnsi="Times New Roman"/>
          <w:noProof/>
          <w:sz w:val="24"/>
        </w:rPr>
      </w:pPr>
      <w:r>
        <w:rPr>
          <w:rFonts w:ascii="Times New Roman" w:hAnsi="Times New Roman"/>
          <w:noProof/>
          <w:sz w:val="24"/>
        </w:rPr>
        <w:t>Άρθρο 2 παράγραφος 1 στοιχείο β) — παθητική δωροδοκία — «</w:t>
      </w:r>
      <w:r>
        <w:rPr>
          <w:rFonts w:ascii="Times New Roman" w:hAnsi="Times New Roman"/>
          <w:i/>
          <w:noProof/>
          <w:sz w:val="24"/>
        </w:rPr>
        <w:t>αίτηση ή αποδοχή ή αποδοχή της υπόσχεσης</w:t>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 xml:space="preserve">Στην περίπτωση αδικήματος παθητικής δωροδοκίας, τα στοιχεία που συνιστούν την αντικειμενική υπόσταση του αδικήματος περιλαμβάνουν την αίτηση ή την αποδοχή μη οφειλόμενου πλεονεκτήματος ή την αποδοχή της σχετικής υπόσχεσης. Η </w:t>
      </w:r>
      <w:r>
        <w:rPr>
          <w:rFonts w:ascii="Times New Roman" w:hAnsi="Times New Roman"/>
          <w:i/>
          <w:noProof/>
          <w:sz w:val="24"/>
        </w:rPr>
        <w:t>«αίτηση»</w:t>
      </w:r>
      <w:r>
        <w:rPr>
          <w:rFonts w:ascii="Times New Roman" w:hAnsi="Times New Roman"/>
          <w:noProof/>
          <w:sz w:val="24"/>
        </w:rPr>
        <w:t xml:space="preserve"> μπορεί, για παράδειγμα, να αφορά μονομερή πράξη, δηλαδή είναι άνευ σημασίας αν υπήρξε ανταπόκριση στην αίτηση.</w:t>
      </w:r>
      <w:r>
        <w:rPr>
          <w:rFonts w:ascii="Times New Roman" w:hAnsi="Times New Roman"/>
          <w:i/>
          <w:noProof/>
          <w:sz w:val="24"/>
        </w:rPr>
        <w:t xml:space="preserve"> </w:t>
      </w:r>
      <w:r>
        <w:rPr>
          <w:rFonts w:ascii="Times New Roman" w:hAnsi="Times New Roman"/>
          <w:noProof/>
          <w:sz w:val="24"/>
        </w:rPr>
        <w:t>Η «</w:t>
      </w:r>
      <w:r>
        <w:rPr>
          <w:rFonts w:ascii="Times New Roman" w:hAnsi="Times New Roman"/>
          <w:i/>
          <w:noProof/>
          <w:sz w:val="24"/>
        </w:rPr>
        <w:t>αποδοχή</w:t>
      </w:r>
      <w:r>
        <w:rPr>
          <w:rFonts w:ascii="Times New Roman" w:hAnsi="Times New Roman"/>
          <w:noProof/>
          <w:sz w:val="24"/>
        </w:rPr>
        <w:t>» μπορεί, για παράδειγμα, να σημαίνει την πραγματική λήψη του οφέλους</w:t>
      </w:r>
      <w:r>
        <w:rPr>
          <w:rStyle w:val="FootnoteReference"/>
          <w:rFonts w:ascii="Times New Roman" w:hAnsi="Times New Roman"/>
          <w:noProof/>
          <w:sz w:val="24"/>
        </w:rPr>
        <w:footnoteReference w:id="13"/>
      </w:r>
      <w:r>
        <w:rPr>
          <w:rFonts w:ascii="Times New Roman" w:hAnsi="Times New Roman"/>
          <w:noProof/>
          <w:sz w:val="24"/>
        </w:rPr>
        <w:t>. Η «</w:t>
      </w:r>
      <w:r>
        <w:rPr>
          <w:rFonts w:ascii="Times New Roman" w:hAnsi="Times New Roman"/>
          <w:i/>
          <w:noProof/>
          <w:sz w:val="24"/>
        </w:rPr>
        <w:t>αποδοχή της υπόσχεσης</w:t>
      </w:r>
      <w:r>
        <w:rPr>
          <w:rFonts w:ascii="Times New Roman" w:hAnsi="Times New Roman"/>
          <w:noProof/>
          <w:sz w:val="24"/>
        </w:rPr>
        <w:t>» μη οφειλόμενου πλεονεκτήματος μπορεί να αναφέρεται σε περιπτώσεις στις οποίες το δωροδοκούμενο πρόσωπο συμφωνεί να λάβει το πλεονέκτημα σε μεταγενέστερο χρόνο.</w:t>
      </w:r>
    </w:p>
    <w:p>
      <w:pPr>
        <w:spacing w:before="120" w:after="120" w:line="240" w:lineRule="auto"/>
        <w:jc w:val="both"/>
        <w:rPr>
          <w:rFonts w:ascii="Times New Roman" w:hAnsi="Times New Roman"/>
          <w:noProof/>
          <w:sz w:val="24"/>
        </w:rPr>
      </w:pPr>
      <w:r>
        <w:rPr>
          <w:rFonts w:ascii="Times New Roman" w:hAnsi="Times New Roman"/>
          <w:noProof/>
          <w:sz w:val="24"/>
        </w:rPr>
        <w:t>18 κράτη μέλη (BE, BG, DE, EL, HR, LT, LU, HU, MT, AT, PT, SK, FI, IT, RO, NL, PL και SE) έχουν μεταφέρει στη νομοθεσία τους σχεδόν κατά λέξη τους τρεις όρους «</w:t>
      </w:r>
      <w:r>
        <w:rPr>
          <w:rFonts w:ascii="Times New Roman" w:hAnsi="Times New Roman"/>
          <w:i/>
          <w:noProof/>
          <w:sz w:val="24"/>
        </w:rPr>
        <w:t>αίτηση ή αποδοχή ή αποδοχή της υπόσχεσης</w:t>
      </w:r>
      <w:r>
        <w:rPr>
          <w:rFonts w:ascii="Times New Roman" w:hAnsi="Times New Roman"/>
          <w:noProof/>
          <w:sz w:val="24"/>
        </w:rPr>
        <w:t>».</w:t>
      </w:r>
    </w:p>
    <w:p>
      <w:pPr>
        <w:autoSpaceDE w:val="0"/>
        <w:autoSpaceDN w:val="0"/>
        <w:adjustRightInd w:val="0"/>
        <w:spacing w:after="0" w:line="240" w:lineRule="auto"/>
        <w:jc w:val="both"/>
        <w:rPr>
          <w:rFonts w:ascii="Times New Roman" w:hAnsi="Times New Roman"/>
          <w:noProof/>
          <w:color w:val="000000"/>
          <w:sz w:val="24"/>
        </w:rPr>
      </w:pPr>
      <w:r>
        <w:rPr>
          <w:rFonts w:ascii="Times New Roman" w:hAnsi="Times New Roman"/>
          <w:noProof/>
          <w:color w:val="000000"/>
          <w:sz w:val="24"/>
        </w:rPr>
        <w:t>Σε έξι κράτη μέλη (CZ, DK, EE, FR, IE και SI), παρότι οι όροι για τη μεταφορά της διάταξης στον ποινικό κώδικα είναι διαφορετικοί, η σημασία τους είναι ισοδύναμη βάσει της σχετικής νομολογίας. Επιπλέον, στη LV δεν καλύπτεται ρητά η «</w:t>
      </w:r>
      <w:r>
        <w:rPr>
          <w:rFonts w:ascii="Times New Roman" w:hAnsi="Times New Roman"/>
          <w:i/>
          <w:noProof/>
          <w:color w:val="000000"/>
          <w:sz w:val="24"/>
        </w:rPr>
        <w:t>αποδοχή της υπόσχεσης δωροδοκίας</w:t>
      </w:r>
      <w:r>
        <w:rPr>
          <w:rFonts w:ascii="Times New Roman" w:hAnsi="Times New Roman"/>
          <w:noProof/>
          <w:color w:val="000000"/>
          <w:sz w:val="24"/>
        </w:rPr>
        <w:t>», ενώ η «</w:t>
      </w:r>
      <w:r>
        <w:rPr>
          <w:rFonts w:ascii="Times New Roman" w:hAnsi="Times New Roman"/>
          <w:i/>
          <w:noProof/>
          <w:color w:val="000000"/>
          <w:sz w:val="24"/>
        </w:rPr>
        <w:t>αποδοχή της προσφοράς δωροδοκίας</w:t>
      </w:r>
      <w:r>
        <w:rPr>
          <w:rFonts w:ascii="Times New Roman" w:hAnsi="Times New Roman"/>
          <w:noProof/>
          <w:color w:val="000000"/>
          <w:sz w:val="24"/>
        </w:rPr>
        <w:t>» καλύπτεται. Στην CZ, η «</w:t>
      </w:r>
      <w:r>
        <w:rPr>
          <w:rFonts w:ascii="Times New Roman" w:hAnsi="Times New Roman"/>
          <w:i/>
          <w:noProof/>
          <w:color w:val="000000"/>
          <w:sz w:val="24"/>
        </w:rPr>
        <w:t>αποδοχή της υπόσχεσης μη οφειλόμενου πλεονεκτήματος</w:t>
      </w:r>
      <w:r>
        <w:rPr>
          <w:rFonts w:ascii="Times New Roman" w:hAnsi="Times New Roman"/>
          <w:noProof/>
          <w:color w:val="000000"/>
          <w:sz w:val="24"/>
        </w:rPr>
        <w:t>» δεν καλύπτεται ρητά από τον ισχύοντα ορισμό της παθητικής δωροδοκίας, ο οποίος αναφέρεται σε «συμφωνία αποδοχής οιουδήποτε δώρου ή αντιπαροχής ως κινήτρου ή αμοιβής».</w:t>
      </w:r>
    </w:p>
    <w:p>
      <w:pPr>
        <w:spacing w:before="150" w:after="150" w:line="240" w:lineRule="auto"/>
        <w:ind w:left="34" w:right="101"/>
        <w:jc w:val="both"/>
        <w:rPr>
          <w:rFonts w:ascii="Times New Roman" w:hAnsi="Times New Roman"/>
          <w:noProof/>
          <w:color w:val="000000"/>
          <w:sz w:val="24"/>
        </w:rPr>
      </w:pPr>
      <w:r>
        <w:rPr>
          <w:rFonts w:ascii="Times New Roman" w:hAnsi="Times New Roman"/>
          <w:noProof/>
          <w:color w:val="000000"/>
          <w:sz w:val="24"/>
        </w:rPr>
        <w:t>Στην ES, το στοιχείο της «</w:t>
      </w:r>
      <w:r>
        <w:rPr>
          <w:rFonts w:ascii="Times New Roman" w:hAnsi="Times New Roman"/>
          <w:i/>
          <w:noProof/>
          <w:color w:val="000000"/>
          <w:sz w:val="24"/>
        </w:rPr>
        <w:t>αποδοχής της υπόσχεσης δωροδοκίας</w:t>
      </w:r>
      <w:r>
        <w:rPr>
          <w:noProof/>
        </w:rPr>
        <w:t xml:space="preserve">» </w:t>
      </w:r>
      <w:r>
        <w:rPr>
          <w:rFonts w:ascii="Times New Roman" w:hAnsi="Times New Roman"/>
          <w:noProof/>
          <w:color w:val="000000"/>
          <w:sz w:val="24"/>
        </w:rPr>
        <w:t>δεν καλύπτεται ρητά, καθώς η νομοθεσία αναφέρεται μόνο στην αποδοχή «</w:t>
      </w:r>
      <w:r>
        <w:rPr>
          <w:rFonts w:ascii="Times New Roman" w:hAnsi="Times New Roman"/>
          <w:i/>
          <w:noProof/>
          <w:color w:val="000000"/>
          <w:sz w:val="24"/>
        </w:rPr>
        <w:t>αδικαιολόγητου οφέλους ή πλεονεκτήματος</w:t>
      </w:r>
      <w:r>
        <w:rPr>
          <w:rFonts w:ascii="Times New Roman" w:hAnsi="Times New Roman"/>
          <w:noProof/>
          <w:color w:val="000000"/>
          <w:sz w:val="24"/>
        </w:rPr>
        <w:t>».</w:t>
      </w:r>
    </w:p>
    <w:p>
      <w:pPr>
        <w:keepNext/>
        <w:numPr>
          <w:ilvl w:val="3"/>
          <w:numId w:val="0"/>
        </w:numPr>
        <w:tabs>
          <w:tab w:val="num" w:pos="850"/>
        </w:tabs>
        <w:spacing w:before="120" w:after="120" w:line="240" w:lineRule="auto"/>
        <w:ind w:left="850" w:hanging="850"/>
        <w:jc w:val="both"/>
        <w:outlineLvl w:val="3"/>
        <w:rPr>
          <w:rFonts w:ascii="Times New Roman" w:hAnsi="Times New Roman"/>
          <w:noProof/>
          <w:sz w:val="24"/>
        </w:rPr>
      </w:pPr>
      <w:r>
        <w:rPr>
          <w:rFonts w:ascii="Times New Roman" w:hAnsi="Times New Roman"/>
          <w:noProof/>
          <w:sz w:val="24"/>
        </w:rPr>
        <w:t>Άρθρο 2 παράγραφος 1 στοιχεία α) και β): τα υπόλοιπα πέντε στοιχεία που συνιστούν την αντικειμενική υπόσταση του αδικήματος</w:t>
      </w:r>
    </w:p>
    <w:p>
      <w:pPr>
        <w:tabs>
          <w:tab w:val="num" w:pos="283"/>
        </w:tabs>
        <w:spacing w:before="120" w:after="240" w:line="240" w:lineRule="auto"/>
        <w:ind w:left="284" w:hanging="284"/>
        <w:jc w:val="both"/>
        <w:rPr>
          <w:rFonts w:ascii="Times New Roman" w:hAnsi="Times New Roman"/>
          <w:b/>
          <w:noProof/>
          <w:sz w:val="24"/>
        </w:rPr>
      </w:pPr>
      <w:r>
        <w:rPr>
          <w:rFonts w:ascii="Times New Roman" w:hAnsi="Times New Roman"/>
          <w:b/>
          <w:noProof/>
          <w:sz w:val="24"/>
        </w:rPr>
        <w:t>«Απευθείας ή μέσω τρίτου»</w:t>
      </w:r>
    </w:p>
    <w:p>
      <w:pPr>
        <w:spacing w:before="150" w:after="150" w:line="240" w:lineRule="auto"/>
        <w:ind w:right="-3"/>
        <w:jc w:val="both"/>
        <w:rPr>
          <w:rFonts w:ascii="Times New Roman" w:hAnsi="Times New Roman"/>
          <w:noProof/>
          <w:sz w:val="24"/>
        </w:rPr>
      </w:pPr>
      <w:r>
        <w:rPr>
          <w:rFonts w:ascii="Times New Roman" w:hAnsi="Times New Roman"/>
          <w:noProof/>
          <w:sz w:val="24"/>
        </w:rPr>
        <w:t>Ανεξάρτητα από το αν ο αποδέκτης ή ο δικαιούχος του μη οφειλόμενου πλεονεκτήματος είναι το πρόσωπο το οποίο αποδέχεται τη δωροδοκία ή τρίτος, το άρθρο 2 προβλέπει ότι η ποινικοποίηση θα πρέπει να καλύπτει επίσης τους τρίτους.</w:t>
      </w:r>
    </w:p>
    <w:p>
      <w:pPr>
        <w:spacing w:before="150" w:after="150" w:line="240" w:lineRule="auto"/>
        <w:ind w:right="-3"/>
        <w:jc w:val="both"/>
        <w:rPr>
          <w:rFonts w:ascii="Times New Roman" w:hAnsi="Times New Roman"/>
          <w:noProof/>
          <w:sz w:val="24"/>
        </w:rPr>
      </w:pPr>
      <w:r>
        <w:rPr>
          <w:rFonts w:ascii="Times New Roman" w:hAnsi="Times New Roman"/>
          <w:noProof/>
          <w:sz w:val="24"/>
        </w:rPr>
        <w:t>Σε 14 κράτη μέλη, και συγκεκριμένα στις BE, CZ, ES, EL, FR, HR, CY, LV, LT, LU, MT, PT, RO και SK, η πτυχή αυτή μεταφέρθηκε κατά λέξη.</w:t>
      </w:r>
    </w:p>
    <w:p>
      <w:pPr>
        <w:spacing w:before="120" w:after="120" w:line="240" w:lineRule="auto"/>
        <w:jc w:val="both"/>
        <w:rPr>
          <w:rFonts w:ascii="Times New Roman" w:hAnsi="Times New Roman"/>
          <w:noProof/>
          <w:color w:val="000000"/>
          <w:sz w:val="24"/>
        </w:rPr>
      </w:pPr>
      <w:r>
        <w:rPr>
          <w:rFonts w:ascii="Times New Roman" w:hAnsi="Times New Roman"/>
          <w:noProof/>
          <w:sz w:val="24"/>
        </w:rPr>
        <w:t>Επιπλέον, σε 12 κράτη μέλη (BG, DE, DK, IE, IT, HU, NL AT, PL, FI, SI και SE) δεν καλύπτεται ρητά το στοιχείο «</w:t>
      </w:r>
      <w:r>
        <w:rPr>
          <w:rFonts w:ascii="Times New Roman" w:hAnsi="Times New Roman"/>
          <w:i/>
          <w:noProof/>
          <w:sz w:val="24"/>
        </w:rPr>
        <w:t>απευθείας ή μέσω τρίτου</w:t>
      </w:r>
      <w:r>
        <w:rPr>
          <w:rFonts w:ascii="Times New Roman" w:hAnsi="Times New Roman"/>
          <w:noProof/>
          <w:sz w:val="24"/>
        </w:rPr>
        <w:t xml:space="preserve">». Στην Εσθονία (EE), η συγκεκριμένη πτυχή δεν καλύπτεται στον ορισμό της ενεργητικής δωροδοκίας, ενώ αποτυπώνεται στον ορισμό της παθητικής δωροδοκίας. </w:t>
      </w:r>
      <w:r>
        <w:rPr>
          <w:rFonts w:ascii="Times New Roman" w:hAnsi="Times New Roman"/>
          <w:noProof/>
          <w:color w:val="000000"/>
          <w:sz w:val="24"/>
        </w:rPr>
        <w:t>Οι πληροφορίες που ελήφθησαν από τις εσθονικές αρχές δεν επαρκούν για την εξαγωγή ασφαλών συμπερασμάτων σχετικά με το αν ορισμένα στοιχεία που περιλαμβάνονται μόνο στον ορισμό της παθητικής δωροδοκίας ισχύουν και για την ενεργητική δωροδοκία.</w:t>
      </w:r>
    </w:p>
    <w:p>
      <w:pPr>
        <w:spacing w:before="120" w:after="120" w:line="240" w:lineRule="auto"/>
        <w:jc w:val="both"/>
        <w:rPr>
          <w:rFonts w:ascii="Times New Roman" w:hAnsi="Times New Roman"/>
          <w:noProof/>
          <w:sz w:val="24"/>
        </w:rPr>
      </w:pPr>
      <w:r>
        <w:rPr>
          <w:rFonts w:ascii="Times New Roman" w:hAnsi="Times New Roman"/>
          <w:noProof/>
          <w:sz w:val="24"/>
        </w:rPr>
        <w:t xml:space="preserve">Ωστόσο στις εθνικές νομοθεσίες, ακόμη και αν δεν γίνεται αναφορά στο στοιχείο «απευθείας ή μέσω τρίτου», υπονοείται ότι καλύπτονται και οι δύο περιπτώσεις και, ως εκ τούτου, το στοιχείο λαμβάνεται υπόψη από όλα τα κράτη μέλη. </w:t>
      </w:r>
    </w:p>
    <w:p>
      <w:pPr>
        <w:tabs>
          <w:tab w:val="num" w:pos="283"/>
        </w:tabs>
        <w:spacing w:before="120" w:after="120" w:line="240" w:lineRule="auto"/>
        <w:ind w:left="283" w:hanging="283"/>
        <w:jc w:val="both"/>
        <w:rPr>
          <w:rFonts w:ascii="Times New Roman" w:hAnsi="Times New Roman"/>
          <w:b/>
          <w:noProof/>
          <w:sz w:val="24"/>
        </w:rPr>
      </w:pPr>
      <w:r>
        <w:rPr>
          <w:rFonts w:ascii="Times New Roman" w:hAnsi="Times New Roman"/>
          <w:b/>
          <w:noProof/>
          <w:sz w:val="24"/>
        </w:rPr>
        <w:t>«Πρόσωπο το οποίο ασκεί διευθυντική λειτουργία ή εργάζεται υπό οποιαδήποτε ιδιότητα» / «Εκ μέρους προσώπου το οποίο ασκεί διευθυντική λειτουργία ή εργάζεται υπό οποιαδήποτε ιδιότητα»</w:t>
      </w:r>
    </w:p>
    <w:p>
      <w:pPr>
        <w:spacing w:before="120" w:after="120" w:line="240" w:lineRule="auto"/>
        <w:ind w:right="1"/>
        <w:jc w:val="both"/>
        <w:rPr>
          <w:rFonts w:ascii="Times New Roman" w:hAnsi="Times New Roman"/>
          <w:noProof/>
          <w:sz w:val="24"/>
        </w:rPr>
      </w:pPr>
      <w:r>
        <w:rPr>
          <w:rFonts w:ascii="Times New Roman" w:hAnsi="Times New Roman"/>
          <w:noProof/>
          <w:sz w:val="24"/>
        </w:rPr>
        <w:t>12 κράτη μέλη (BG, BE, DE, EL, ES, FR, LV, LU, HU, MT, PL και FI) μετέφεραν το στοιχείο αυτό κατά λέξη.</w:t>
      </w:r>
    </w:p>
    <w:p>
      <w:pPr>
        <w:spacing w:before="120" w:after="120" w:line="240" w:lineRule="auto"/>
        <w:ind w:right="1"/>
        <w:jc w:val="both"/>
        <w:rPr>
          <w:rFonts w:ascii="Times New Roman" w:hAnsi="Times New Roman"/>
          <w:noProof/>
          <w:sz w:val="24"/>
        </w:rPr>
      </w:pPr>
      <w:r>
        <w:rPr>
          <w:rFonts w:ascii="Times New Roman" w:hAnsi="Times New Roman"/>
          <w:noProof/>
          <w:sz w:val="24"/>
        </w:rPr>
        <w:t>Επιπλέον, 10 κράτη μέλη (CZ, DK, HR, LT, NL, AT, PT, SE, SK και SI) το μετέφεραν με μικρές διαφοροποιήσεις.</w:t>
      </w:r>
    </w:p>
    <w:p>
      <w:pPr>
        <w:spacing w:before="120" w:after="120" w:line="240" w:lineRule="auto"/>
        <w:ind w:right="1"/>
        <w:jc w:val="both"/>
        <w:rPr>
          <w:rFonts w:ascii="Times New Roman" w:hAnsi="Times New Roman"/>
          <w:noProof/>
          <w:sz w:val="24"/>
        </w:rPr>
      </w:pPr>
      <w:r>
        <w:rPr>
          <w:rFonts w:ascii="Times New Roman" w:hAnsi="Times New Roman"/>
          <w:noProof/>
          <w:sz w:val="24"/>
        </w:rPr>
        <w:t>Στις HR, NL και AT, η νομοθεσία δεν κάνει αναφορά στη «</w:t>
      </w:r>
      <w:r>
        <w:rPr>
          <w:rFonts w:ascii="Times New Roman" w:hAnsi="Times New Roman"/>
          <w:i/>
          <w:noProof/>
          <w:sz w:val="24"/>
        </w:rPr>
        <w:t>διευθυντική</w:t>
      </w:r>
      <w:r>
        <w:rPr>
          <w:rFonts w:ascii="Times New Roman" w:hAnsi="Times New Roman"/>
          <w:noProof/>
          <w:sz w:val="24"/>
        </w:rPr>
        <w:t>» λειτουργία, αλλά αναφέρεται απλώς στην «</w:t>
      </w:r>
      <w:r>
        <w:rPr>
          <w:rFonts w:ascii="Times New Roman" w:hAnsi="Times New Roman"/>
          <w:i/>
          <w:noProof/>
          <w:sz w:val="24"/>
        </w:rPr>
        <w:t>εργασία</w:t>
      </w:r>
      <w:r>
        <w:rPr>
          <w:rFonts w:ascii="Times New Roman" w:hAnsi="Times New Roman"/>
          <w:noProof/>
          <w:sz w:val="24"/>
        </w:rPr>
        <w:t>». Στην PT, ο ορισμός δεν αναφέρεται ούτε στη «</w:t>
      </w:r>
      <w:r>
        <w:rPr>
          <w:rFonts w:ascii="Times New Roman" w:hAnsi="Times New Roman"/>
          <w:i/>
          <w:noProof/>
          <w:sz w:val="24"/>
        </w:rPr>
        <w:t>διευθυντική</w:t>
      </w:r>
      <w:r>
        <w:rPr>
          <w:rFonts w:ascii="Times New Roman" w:hAnsi="Times New Roman"/>
          <w:noProof/>
          <w:sz w:val="24"/>
        </w:rPr>
        <w:t>» λειτουργία, αλλά κάνει αναφορά στους «</w:t>
      </w:r>
      <w:r>
        <w:rPr>
          <w:rFonts w:ascii="Times New Roman" w:hAnsi="Times New Roman"/>
          <w:i/>
          <w:noProof/>
          <w:sz w:val="24"/>
        </w:rPr>
        <w:t>εργαζόμενους στον ιδιωτικό τομέα</w:t>
      </w:r>
      <w:r>
        <w:rPr>
          <w:rFonts w:ascii="Times New Roman" w:hAnsi="Times New Roman"/>
          <w:noProof/>
          <w:sz w:val="24"/>
        </w:rPr>
        <w:t>» για την παθητική δωροδοκία και σε «</w:t>
      </w:r>
      <w:r>
        <w:rPr>
          <w:rFonts w:ascii="Times New Roman" w:hAnsi="Times New Roman"/>
          <w:i/>
          <w:noProof/>
          <w:sz w:val="24"/>
        </w:rPr>
        <w:t>οποιοδήποτε πρόσωπο»</w:t>
      </w:r>
      <w:r>
        <w:rPr>
          <w:rStyle w:val="FootnoteReference"/>
          <w:noProof/>
        </w:rPr>
        <w:footnoteReference w:id="14"/>
      </w:r>
      <w:r>
        <w:rPr>
          <w:rFonts w:ascii="Times New Roman" w:hAnsi="Times New Roman"/>
          <w:noProof/>
          <w:sz w:val="24"/>
        </w:rPr>
        <w:t xml:space="preserve"> για την ενεργητική δωροδοκία. Στη LT, η δωροδοκία στον ιδιωτικό τομέα ποινικοποιείται μόνο στην περίπτωση των προσώπων που κατέχουν «</w:t>
      </w:r>
      <w:r>
        <w:rPr>
          <w:rFonts w:ascii="Times New Roman" w:hAnsi="Times New Roman"/>
          <w:i/>
          <w:noProof/>
          <w:sz w:val="24"/>
        </w:rPr>
        <w:t>κατάλληλες διοικητικές εξουσίες</w:t>
      </w:r>
      <w:r>
        <w:rPr>
          <w:rFonts w:ascii="Times New Roman" w:hAnsi="Times New Roman"/>
          <w:noProof/>
          <w:sz w:val="24"/>
        </w:rPr>
        <w:t>» ή «</w:t>
      </w:r>
      <w:r>
        <w:rPr>
          <w:rFonts w:ascii="Times New Roman" w:hAnsi="Times New Roman"/>
          <w:i/>
          <w:noProof/>
          <w:sz w:val="24"/>
        </w:rPr>
        <w:t>έχουν δικαίωμα να ενεργούν εξ ονόματος υπηρεσίας, επιχείρησης ή οργανισμού» ή «ασκούν δημόσια καθήκοντα</w:t>
      </w:r>
      <w:r>
        <w:rPr>
          <w:rFonts w:ascii="Times New Roman" w:hAnsi="Times New Roman"/>
          <w:noProof/>
          <w:sz w:val="24"/>
        </w:rPr>
        <w:t>». Η LT ισχυρίζεται ότι τα καθήκοντα διευθυντικής λειτουργίας ή εργασίας αποσαφηνίζονται από τη νομολογία του Ανώτατου Δικαστηρίου. Στις CZ και SK δεν προβλέπεται ρητός περιορισμός στα καθήκοντα διευθυντικής λειτουργίας ή εργασίας, δεδομένου ότι η διατύπωση φαίνεται να καλύπτει όλες τις μορφές σχέσεων ή δεσμών με ιδιωτική εταιρεία. Στη SE, η νομοθεσία αναφέρεται σε «</w:t>
      </w:r>
      <w:r>
        <w:rPr>
          <w:rFonts w:ascii="Times New Roman" w:hAnsi="Times New Roman"/>
          <w:i/>
          <w:noProof/>
          <w:sz w:val="24"/>
        </w:rPr>
        <w:t xml:space="preserve">πρόσωπο το οποίο </w:t>
      </w:r>
      <w:r>
        <w:rPr>
          <w:rFonts w:ascii="Times New Roman" w:hAnsi="Times New Roman"/>
          <w:i/>
          <w:noProof/>
          <w:color w:val="000000"/>
          <w:sz w:val="24"/>
        </w:rPr>
        <w:t>είναι εργαζόμενο ή του έχει ανατεθεί εντολή</w:t>
      </w:r>
      <w:r>
        <w:rPr>
          <w:rFonts w:ascii="Times New Roman" w:hAnsi="Times New Roman"/>
          <w:noProof/>
          <w:color w:val="000000"/>
          <w:sz w:val="24"/>
        </w:rPr>
        <w:t>» (παθητική δωροδοκία) ή σε οποιοδήποτε «</w:t>
      </w:r>
      <w:r>
        <w:rPr>
          <w:rFonts w:ascii="Times New Roman" w:hAnsi="Times New Roman"/>
          <w:i/>
          <w:noProof/>
          <w:color w:val="000000"/>
          <w:sz w:val="24"/>
        </w:rPr>
        <w:t>πρόσωπο</w:t>
      </w:r>
      <w:r>
        <w:rPr>
          <w:rFonts w:ascii="Times New Roman" w:hAnsi="Times New Roman"/>
          <w:noProof/>
          <w:color w:val="000000"/>
          <w:sz w:val="24"/>
        </w:rPr>
        <w:t>» (ενεργητική δωροδοκία)</w:t>
      </w:r>
      <w:r>
        <w:rPr>
          <w:rFonts w:ascii="Times New Roman" w:hAnsi="Times New Roman"/>
          <w:noProof/>
          <w:sz w:val="24"/>
        </w:rPr>
        <w:t>. Η διατύπωση αυτή φαίνεται να καλύπτει αμφότερες τις πτυχές της διευθυντικής λειτουργίας και της εργασίας. Στις DK και SI, δεδομένου ότι η νομοθεσία δεν προσδιορίζει τη σύνδεση μεταξύ του αυτουργού και του νομικού προσώπου, θεωρείται ότι καλύπτονται όλα αυτά τα στοιχεία.</w:t>
      </w:r>
    </w:p>
    <w:p>
      <w:pPr>
        <w:spacing w:before="120" w:after="120" w:line="240" w:lineRule="auto"/>
        <w:jc w:val="both"/>
        <w:rPr>
          <w:rFonts w:ascii="Times New Roman" w:hAnsi="Times New Roman"/>
          <w:noProof/>
          <w:color w:val="000000"/>
          <w:sz w:val="24"/>
        </w:rPr>
      </w:pPr>
      <w:r>
        <w:rPr>
          <w:rFonts w:ascii="Times New Roman" w:hAnsi="Times New Roman"/>
          <w:noProof/>
          <w:sz w:val="24"/>
        </w:rPr>
        <w:t>Όσον αφορά την Εσθονία (EE), η πτυχή της «</w:t>
      </w:r>
      <w:r>
        <w:rPr>
          <w:rFonts w:ascii="Times New Roman" w:hAnsi="Times New Roman"/>
          <w:i/>
          <w:noProof/>
          <w:sz w:val="24"/>
        </w:rPr>
        <w:t>άσκησης διευθυντικής λειτουργίας ή της εργασίας</w:t>
      </w:r>
      <w:r>
        <w:rPr>
          <w:rFonts w:ascii="Times New Roman" w:hAnsi="Times New Roman"/>
          <w:noProof/>
          <w:sz w:val="24"/>
        </w:rPr>
        <w:t>» δεν καλύπτεται στον ορισμό της ενεργητικής δωροδοκίας, ενώ ο ορισμός της παθητικής δωροδοκίας αναφέρεται στα εν λόγω καθήκοντα υπό ευρύτερη έννοια, ήτοι «</w:t>
      </w:r>
      <w:r>
        <w:rPr>
          <w:rFonts w:ascii="Times New Roman" w:hAnsi="Times New Roman"/>
          <w:i/>
          <w:noProof/>
          <w:sz w:val="24"/>
        </w:rPr>
        <w:t>από πρόσωπο αρμόδιο να συμμετέχει σε οικονομικές δραστηριότητες</w:t>
      </w:r>
      <w:r>
        <w:rPr>
          <w:rFonts w:ascii="Times New Roman" w:hAnsi="Times New Roman"/>
          <w:noProof/>
          <w:sz w:val="24"/>
        </w:rPr>
        <w:t xml:space="preserve">». </w:t>
      </w:r>
      <w:r>
        <w:rPr>
          <w:rFonts w:ascii="Times New Roman" w:hAnsi="Times New Roman"/>
          <w:noProof/>
          <w:color w:val="000000"/>
          <w:sz w:val="24"/>
        </w:rPr>
        <w:t>Οι πληροφορίες που ελήφθησαν από τις εσθονικές αρχές δεν επαρκούν για την εξαγωγή ασφαλών συμπερασμάτων σχετικά με το αν ορισμένα στοιχεία που περιλαμβάνονται στον ορισμό της παθητικής δωροδοκίας ισχύουν και για την ενεργητική δωροδοκία.</w:t>
      </w:r>
    </w:p>
    <w:p>
      <w:pPr>
        <w:spacing w:before="120" w:after="120" w:line="240" w:lineRule="auto"/>
        <w:ind w:right="1"/>
        <w:jc w:val="both"/>
        <w:rPr>
          <w:rFonts w:ascii="Times New Roman" w:hAnsi="Times New Roman"/>
          <w:noProof/>
          <w:sz w:val="24"/>
        </w:rPr>
      </w:pPr>
      <w:r>
        <w:rPr>
          <w:rFonts w:ascii="Times New Roman" w:hAnsi="Times New Roman"/>
          <w:noProof/>
          <w:sz w:val="24"/>
        </w:rPr>
        <w:t>Στη RO, η «</w:t>
      </w:r>
      <w:r>
        <w:rPr>
          <w:rFonts w:ascii="Times New Roman" w:hAnsi="Times New Roman"/>
          <w:i/>
          <w:noProof/>
          <w:sz w:val="24"/>
        </w:rPr>
        <w:t>διευθυντική λειτουργία ή εργασία</w:t>
      </w:r>
      <w:r>
        <w:rPr>
          <w:rFonts w:ascii="Times New Roman" w:hAnsi="Times New Roman"/>
          <w:noProof/>
          <w:sz w:val="24"/>
        </w:rPr>
        <w:t>» δεν αναφέρεται ρητά στον ορισμό της ενεργητικής και της παθητικής δωροδοκίας. Το κείμενο κάνει αναφορά σε «</w:t>
      </w:r>
      <w:r>
        <w:rPr>
          <w:rFonts w:ascii="Times New Roman" w:hAnsi="Times New Roman"/>
          <w:i/>
          <w:noProof/>
          <w:sz w:val="24"/>
        </w:rPr>
        <w:t>οποιονδήποτε ο οποίος, σε μόνιμη ή προσωρινή βάση, εκτελεί καθήκον ή εργασία στον βαθμό που συμμετέχει στη διαδικασία λήψης αποφάσεων ή μπορεί να την επηρεάσει</w:t>
      </w:r>
      <w:r>
        <w:rPr>
          <w:rFonts w:ascii="Times New Roman" w:hAnsi="Times New Roman"/>
          <w:noProof/>
          <w:sz w:val="24"/>
        </w:rPr>
        <w:t xml:space="preserve">». Η διατύπωση αυτή φαίνεται να καλύπτει καθήκοντα διοίκησης, αλλά όχι κατ’ ανάγκη όλες τις μορφές εργασιακών σχέσεων. </w:t>
      </w:r>
      <w:r>
        <w:rPr>
          <w:rFonts w:ascii="Times New Roman" w:hAnsi="Times New Roman"/>
          <w:noProof/>
          <w:color w:val="000000"/>
          <w:sz w:val="24"/>
        </w:rPr>
        <w:t>Στις IE και CY, οι πράξεις ενεργητικής και παθητικής δωροδοκίας περιορίζονται στις πράξεις του υπαλλήλου «</w:t>
      </w:r>
      <w:r>
        <w:rPr>
          <w:rFonts w:ascii="Times New Roman" w:hAnsi="Times New Roman"/>
          <w:i/>
          <w:noProof/>
          <w:color w:val="000000"/>
          <w:sz w:val="24"/>
        </w:rPr>
        <w:t>σε σχέση με τις υποθέσεις ή τις δραστηριότητες του προϊσταμένου του</w:t>
      </w:r>
      <w:r>
        <w:rPr>
          <w:rFonts w:ascii="Times New Roman" w:hAnsi="Times New Roman"/>
          <w:noProof/>
          <w:color w:val="000000"/>
          <w:sz w:val="24"/>
        </w:rPr>
        <w:t>», διατύπωση που φαίνεται να περιορίζει τον ορισμό.</w:t>
      </w:r>
    </w:p>
    <w:p>
      <w:pPr>
        <w:spacing w:before="120" w:after="120" w:line="240" w:lineRule="auto"/>
        <w:ind w:right="1"/>
        <w:jc w:val="both"/>
        <w:rPr>
          <w:rFonts w:ascii="Times New Roman" w:hAnsi="Times New Roman"/>
          <w:noProof/>
          <w:color w:val="000000"/>
          <w:sz w:val="24"/>
        </w:rPr>
      </w:pPr>
      <w:r>
        <w:rPr>
          <w:rFonts w:ascii="Times New Roman" w:hAnsi="Times New Roman"/>
          <w:noProof/>
          <w:color w:val="000000"/>
          <w:sz w:val="24"/>
        </w:rPr>
        <w:t>Στην IT, η ενεργητική και η παθητική δωροδοκία αναφέρονται μόνο σε εκτελεστικούς ρόλους, όπως τα διοικητικά στελέχη, οι γενικοί διευθυντές, οι διευθυντές που είναι αρμόδιοι για την κατάρτιση ισολογισμών, οι δήμαρχοι και οι εκκαθαριστές, ή σε οποιονδήποτε «</w:t>
      </w:r>
      <w:r>
        <w:rPr>
          <w:rFonts w:ascii="Times New Roman" w:hAnsi="Times New Roman"/>
          <w:i/>
          <w:noProof/>
          <w:color w:val="000000"/>
          <w:sz w:val="24"/>
        </w:rPr>
        <w:t>ασκεί διάφορες διοικητικές λειτουργίες»</w:t>
      </w:r>
      <w:r>
        <w:rPr>
          <w:rStyle w:val="FootnoteReference"/>
          <w:noProof/>
        </w:rPr>
        <w:footnoteReference w:id="15"/>
      </w:r>
      <w:r>
        <w:rPr>
          <w:rFonts w:ascii="Times New Roman" w:hAnsi="Times New Roman"/>
          <w:noProof/>
          <w:color w:val="000000"/>
          <w:sz w:val="24"/>
        </w:rPr>
        <w:t xml:space="preserve">, ενώ εξαιρούνται από το προσωπικό πεδίο εφαρμογής τα πρόσωπα τα οποία δεν έχουν εκτελεστικό ρόλο. </w:t>
      </w:r>
    </w:p>
    <w:p>
      <w:pPr>
        <w:tabs>
          <w:tab w:val="num" w:pos="283"/>
        </w:tabs>
        <w:spacing w:before="120" w:after="120" w:line="240" w:lineRule="auto"/>
        <w:ind w:left="283" w:hanging="283"/>
        <w:jc w:val="both"/>
        <w:rPr>
          <w:rFonts w:ascii="Times New Roman" w:hAnsi="Times New Roman"/>
          <w:b/>
          <w:noProof/>
          <w:sz w:val="24"/>
        </w:rPr>
      </w:pPr>
      <w:r>
        <w:rPr>
          <w:rFonts w:ascii="Times New Roman" w:hAnsi="Times New Roman"/>
          <w:b/>
          <w:noProof/>
          <w:sz w:val="24"/>
        </w:rPr>
        <w:t>«Σε ιδιωτικό φορέα»</w:t>
      </w:r>
    </w:p>
    <w:p>
      <w:pPr>
        <w:spacing w:after="0" w:line="240" w:lineRule="auto"/>
        <w:ind w:hanging="11"/>
        <w:jc w:val="both"/>
        <w:rPr>
          <w:rFonts w:ascii="Times New Roman" w:hAnsi="Times New Roman"/>
          <w:noProof/>
          <w:color w:val="000000"/>
          <w:sz w:val="24"/>
        </w:rPr>
      </w:pPr>
      <w:r>
        <w:rPr>
          <w:rFonts w:ascii="Times New Roman" w:hAnsi="Times New Roman"/>
          <w:noProof/>
          <w:sz w:val="24"/>
        </w:rPr>
        <w:t xml:space="preserve">Σε 10 κράτη μέλη (BG, CZ, FR, EE, EL, IT, LV, HU, MT και PT), το στοιχείο αυτό λαμβάνεται ρητά υπόψη στα μέτρα μεταφοράς στο εθνικό δίκαιο. </w:t>
      </w:r>
      <w:r>
        <w:rPr>
          <w:rFonts w:ascii="Times New Roman" w:hAnsi="Times New Roman"/>
          <w:noProof/>
          <w:color w:val="000000"/>
          <w:sz w:val="24"/>
        </w:rPr>
        <w:t>Ωστόσο, δεν καλύπτεται ρητά σε 14 κράτη μέλη (BE, DK, ES, HR, IE, CY, LT, LU, NL, PL, RO, SK, SI και SE), δεδομένου ότι στις συγκεκριμένες χώρες το αδίκημα αναφέρεται συνήθως σε οποιοδήποτε πρόσωπο («οιοσδήποτε»). Εντούτοις, εφόσον η εν λόγω αναφορά είναι ευρεία, συνάδει με τις διατάξεις της απόφασης-πλαισίου.</w:t>
      </w:r>
    </w:p>
    <w:p>
      <w:pPr>
        <w:spacing w:before="120" w:after="120" w:line="240" w:lineRule="auto"/>
        <w:ind w:right="1"/>
        <w:jc w:val="both"/>
        <w:rPr>
          <w:rFonts w:ascii="Times New Roman" w:hAnsi="Times New Roman"/>
          <w:noProof/>
          <w:color w:val="000000"/>
          <w:sz w:val="24"/>
        </w:rPr>
      </w:pPr>
      <w:r>
        <w:rPr>
          <w:rFonts w:ascii="Times New Roman" w:hAnsi="Times New Roman"/>
          <w:noProof/>
          <w:color w:val="000000"/>
          <w:sz w:val="24"/>
        </w:rPr>
        <w:t>Στις DE, AT και FI, το πεδίο εφαρμογής της διάταξης περιορίζεται σε επιχειρήσεις/εταιρείες</w:t>
      </w:r>
      <w:r>
        <w:rPr>
          <w:rStyle w:val="FootnoteReference"/>
          <w:noProof/>
        </w:rPr>
        <w:footnoteReference w:id="16"/>
      </w:r>
      <w:r>
        <w:rPr>
          <w:rFonts w:ascii="Times New Roman" w:hAnsi="Times New Roman"/>
          <w:noProof/>
          <w:color w:val="000000"/>
          <w:sz w:val="24"/>
        </w:rPr>
        <w:t>, οι οποίες αποτελούν στενότερες έννοιες από ό, τι οι ιδιωτικοί φορείς. Η ES έχει περιορίσει το πεδίο εφαρμογής με παρόμοιο τρόπο</w:t>
      </w:r>
      <w:r>
        <w:rPr>
          <w:rStyle w:val="FootnoteReference"/>
          <w:rFonts w:ascii="Times New Roman" w:hAnsi="Times New Roman"/>
          <w:noProof/>
          <w:color w:val="000000"/>
          <w:sz w:val="24"/>
        </w:rPr>
        <w:footnoteReference w:id="17"/>
      </w:r>
      <w:r>
        <w:rPr>
          <w:rFonts w:ascii="Times New Roman" w:hAnsi="Times New Roman"/>
          <w:noProof/>
          <w:color w:val="000000"/>
          <w:sz w:val="24"/>
        </w:rPr>
        <w:t>. Όσον αφορά το ζήτημα αυτό, βλ. επίσης άρθρο 2 παράγραφος 2 κατωτέρω.</w:t>
      </w:r>
    </w:p>
    <w:p>
      <w:pPr>
        <w:rPr>
          <w:rFonts w:ascii="Times New Roman" w:hAnsi="Times New Roman"/>
          <w:b/>
          <w:noProof/>
          <w:sz w:val="24"/>
          <w:lang w:val="en-GB"/>
        </w:rPr>
      </w:pPr>
    </w:p>
    <w:p>
      <w:pPr>
        <w:tabs>
          <w:tab w:val="num" w:pos="283"/>
        </w:tabs>
        <w:spacing w:before="120" w:after="120" w:line="240" w:lineRule="auto"/>
        <w:ind w:left="283" w:hanging="283"/>
        <w:jc w:val="both"/>
        <w:rPr>
          <w:rFonts w:ascii="Times New Roman" w:hAnsi="Times New Roman"/>
          <w:b/>
          <w:noProof/>
          <w:sz w:val="24"/>
        </w:rPr>
      </w:pPr>
      <w:r>
        <w:rPr>
          <w:rFonts w:ascii="Times New Roman" w:hAnsi="Times New Roman"/>
          <w:b/>
          <w:noProof/>
          <w:sz w:val="24"/>
        </w:rPr>
        <w:t>«Μη οφειλόμενο πλεονέκτημα οιασδήποτε φύσεως»</w:t>
      </w:r>
    </w:p>
    <w:p>
      <w:pPr>
        <w:spacing w:after="0" w:line="240" w:lineRule="auto"/>
        <w:jc w:val="both"/>
        <w:rPr>
          <w:rFonts w:ascii="Times New Roman" w:hAnsi="Times New Roman"/>
          <w:noProof/>
          <w:sz w:val="24"/>
        </w:rPr>
      </w:pPr>
      <w:r>
        <w:rPr>
          <w:rFonts w:ascii="Times New Roman" w:hAnsi="Times New Roman"/>
          <w:noProof/>
          <w:sz w:val="24"/>
        </w:rPr>
        <w:t>Το μη οφειλόμενο πλεονέκτημα μπορεί να είναι οικονομικό, αλλά ενδέχεται επίσης να είναι μη υλικής φύσεως. Το σημαντικό στοιχείο εν προκειμένω είναι ότι ο παραβάτης ή οποιοδήποτε άλλο πρόσωπο, για παράδειγμα ένα συγγενικό πρόσωπο, βρίσκεται σε καλύτερη θέση από ό, τι βρισκόταν πριν από την τέλεση του αδικήματος και ότι δεν δικαιούται το σχετικό όφελος. Το όφελος συνίσταται, για παράδειγμα, σε χρήματα, διακοπές, δάνεια, τρόφιμα και ποτά, ταχύτερη διεκπεραίωση μιας υπόθεσης, καλύτερες προοπτικές επαγγελματικής σταδιοδρομίας κ.λπ. Ο όρος «</w:t>
      </w:r>
      <w:r>
        <w:rPr>
          <w:rFonts w:ascii="Times New Roman" w:hAnsi="Times New Roman"/>
          <w:i/>
          <w:noProof/>
          <w:sz w:val="24"/>
        </w:rPr>
        <w:t>μη οφειλόμενο</w:t>
      </w:r>
      <w:r>
        <w:rPr>
          <w:rFonts w:ascii="Times New Roman" w:hAnsi="Times New Roman"/>
          <w:noProof/>
          <w:sz w:val="24"/>
        </w:rPr>
        <w:t xml:space="preserve">» θα πρέπει να ερμηνεύεται ως κάτι το οποίο ο αποδέκτης δεν δικαιούται να αποδεχτεί ή να λάβει νομίμως. Η ερμηνεία αυτή αποκλείει από το πεδίο εφαρμογής του αδικήματος πλεονεκτήματα τα οποία επιτρέπονται από τον νόμο ή βάσει διοικητικών κανόνων. </w:t>
      </w:r>
    </w:p>
    <w:p>
      <w:pPr>
        <w:spacing w:after="0" w:line="240" w:lineRule="auto"/>
        <w:jc w:val="both"/>
        <w:rPr>
          <w:rFonts w:ascii="Times New Roman" w:hAnsi="Times New Roman"/>
          <w:noProof/>
          <w:sz w:val="24"/>
        </w:rPr>
      </w:pPr>
    </w:p>
    <w:p>
      <w:pPr>
        <w:spacing w:after="0" w:line="240" w:lineRule="auto"/>
        <w:jc w:val="both"/>
        <w:rPr>
          <w:rFonts w:ascii="Times New Roman" w:hAnsi="Times New Roman"/>
          <w:noProof/>
          <w:sz w:val="24"/>
        </w:rPr>
      </w:pPr>
      <w:r>
        <w:rPr>
          <w:rFonts w:ascii="Times New Roman" w:hAnsi="Times New Roman"/>
          <w:noProof/>
          <w:sz w:val="24"/>
        </w:rPr>
        <w:t>19 κράτη μέλη (BE, BG, DE, DK, ES, EL, CY, LT, LV, LU, HU, MT, AT, PL, PT, RO, FI, IT και SE) μετέφεραν το στοιχείο αυτό κατά λέξη.</w:t>
      </w:r>
    </w:p>
    <w:p>
      <w:pPr>
        <w:spacing w:after="0" w:line="240" w:lineRule="auto"/>
        <w:jc w:val="both"/>
        <w:rPr>
          <w:rFonts w:ascii="Times New Roman" w:hAnsi="Times New Roman"/>
          <w:noProof/>
          <w:sz w:val="24"/>
        </w:rPr>
      </w:pPr>
    </w:p>
    <w:p>
      <w:pPr>
        <w:spacing w:after="0" w:line="240" w:lineRule="auto"/>
        <w:jc w:val="both"/>
        <w:rPr>
          <w:rFonts w:ascii="Times New Roman" w:hAnsi="Times New Roman"/>
          <w:noProof/>
          <w:sz w:val="24"/>
        </w:rPr>
      </w:pPr>
      <w:r>
        <w:rPr>
          <w:rFonts w:ascii="Times New Roman" w:hAnsi="Times New Roman"/>
          <w:noProof/>
          <w:sz w:val="24"/>
        </w:rPr>
        <w:t>Ορισμένα άλλα κράτη μέλη το μετέφεραν με μικρές διαφοροποιήσεις.</w:t>
      </w:r>
    </w:p>
    <w:p>
      <w:pPr>
        <w:spacing w:before="120" w:after="120" w:line="240" w:lineRule="auto"/>
        <w:jc w:val="both"/>
        <w:rPr>
          <w:rFonts w:ascii="Times New Roman" w:hAnsi="Times New Roman"/>
          <w:noProof/>
          <w:sz w:val="24"/>
        </w:rPr>
      </w:pPr>
      <w:r>
        <w:rPr>
          <w:rFonts w:ascii="Times New Roman" w:hAnsi="Times New Roman"/>
          <w:noProof/>
          <w:sz w:val="24"/>
        </w:rPr>
        <w:t>Στις NL, η εκτελεστική διάταξη δεν αναφέρεται σε «μη οφειλόμενο πλεονέκτημα», αλλά σε «δώρο», «υπηρεσία» ή «υπόσχεση». Στην CY, το «</w:t>
      </w:r>
      <w:r>
        <w:rPr>
          <w:rFonts w:ascii="Times New Roman" w:hAnsi="Times New Roman"/>
          <w:i/>
          <w:noProof/>
          <w:sz w:val="24"/>
        </w:rPr>
        <w:t>μη οφειλόμενο πλεονέκτημα</w:t>
      </w:r>
      <w:r>
        <w:rPr>
          <w:rFonts w:ascii="Times New Roman" w:hAnsi="Times New Roman"/>
          <w:noProof/>
          <w:sz w:val="24"/>
        </w:rPr>
        <w:t>» μεταφέρθηκε ως «</w:t>
      </w:r>
      <w:r>
        <w:rPr>
          <w:rFonts w:ascii="Times New Roman" w:hAnsi="Times New Roman"/>
          <w:i/>
          <w:noProof/>
          <w:sz w:val="24"/>
        </w:rPr>
        <w:t>οποιοδήποτε δώρο ή αντιπαροχή ως κίνητρο ή αμοιβή</w:t>
      </w:r>
      <w:r>
        <w:rPr>
          <w:rFonts w:ascii="Times New Roman" w:hAnsi="Times New Roman"/>
          <w:noProof/>
          <w:sz w:val="24"/>
        </w:rPr>
        <w:t>». Στη νομοθεσία της FR γίνεται αναφορά σε «</w:t>
      </w:r>
      <w:r>
        <w:rPr>
          <w:rFonts w:ascii="Times New Roman" w:hAnsi="Times New Roman"/>
          <w:i/>
          <w:noProof/>
          <w:sz w:val="24"/>
        </w:rPr>
        <w:t>οποιοδήποτε πλεονέκτημα</w:t>
      </w:r>
      <w:r>
        <w:rPr>
          <w:rFonts w:ascii="Times New Roman" w:hAnsi="Times New Roman"/>
          <w:noProof/>
          <w:sz w:val="24"/>
        </w:rPr>
        <w:t>», το οποίο έχει ελαφρώς ευρύτερη έννοια, ενώ η νομοθεσία στην HR περιλαμβάνει τον όρο «</w:t>
      </w:r>
      <w:r>
        <w:rPr>
          <w:rFonts w:ascii="Times New Roman" w:hAnsi="Times New Roman"/>
          <w:i/>
          <w:noProof/>
          <w:sz w:val="24"/>
        </w:rPr>
        <w:t>χάρη</w:t>
      </w:r>
      <w:r>
        <w:rPr>
          <w:rFonts w:ascii="Times New Roman" w:hAnsi="Times New Roman"/>
          <w:noProof/>
          <w:sz w:val="24"/>
        </w:rPr>
        <w:t>». Στη SI, η νομοθεσία κάνει αναφορά σε «</w:t>
      </w:r>
      <w:r>
        <w:rPr>
          <w:rFonts w:ascii="Times New Roman" w:hAnsi="Times New Roman"/>
          <w:i/>
          <w:noProof/>
          <w:sz w:val="24"/>
        </w:rPr>
        <w:t>μη επιτρεπόμενη ανταμοιβή, δώρο ή άλλο όφελος υλικού περιουσιακού στοιχείου</w:t>
      </w:r>
      <w:r>
        <w:rPr>
          <w:rFonts w:ascii="Times New Roman" w:hAnsi="Times New Roman"/>
          <w:noProof/>
          <w:sz w:val="24"/>
        </w:rPr>
        <w:t>». Στην IE, το αδίκημα της παθητικής δωροδοκίας αναφέρεται στους όρους «</w:t>
      </w:r>
      <w:r>
        <w:rPr>
          <w:rFonts w:ascii="Times New Roman" w:hAnsi="Times New Roman"/>
          <w:i/>
          <w:noProof/>
          <w:sz w:val="24"/>
        </w:rPr>
        <w:t>δώρο, αντιπαροχή ή πλεονέκτημα</w:t>
      </w:r>
      <w:r>
        <w:rPr>
          <w:rFonts w:ascii="Times New Roman" w:hAnsi="Times New Roman"/>
          <w:noProof/>
          <w:sz w:val="24"/>
        </w:rPr>
        <w:t>», ενώ το αδίκημα της ενεργητικής δωροδοκίας αναφέρεται μόνο στους όρους «</w:t>
      </w:r>
      <w:r>
        <w:rPr>
          <w:rFonts w:ascii="Times New Roman" w:hAnsi="Times New Roman"/>
          <w:i/>
          <w:noProof/>
          <w:sz w:val="24"/>
        </w:rPr>
        <w:t>δώρο ή αντιπαροχή</w:t>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Η SK δεν αναφέρεται ειδικά στην προσφορά οποιουδήποτε μη οφειλόμενου πλεονεκτήματος πέραν της δωροδοκίας. Στις διατάξεις του ποινικού κώδικα της Σλοβακίας δεν χρησιμοποιείται ο όρος «</w:t>
      </w:r>
      <w:r>
        <w:rPr>
          <w:rFonts w:ascii="Times New Roman" w:hAnsi="Times New Roman"/>
          <w:i/>
          <w:noProof/>
          <w:sz w:val="24"/>
        </w:rPr>
        <w:t>πλεονέκτημα</w:t>
      </w:r>
      <w:r>
        <w:rPr>
          <w:rFonts w:ascii="Times New Roman" w:hAnsi="Times New Roman"/>
          <w:noProof/>
          <w:sz w:val="24"/>
        </w:rPr>
        <w:t>», αλλά ο όρος «</w:t>
      </w:r>
      <w:r>
        <w:rPr>
          <w:rFonts w:ascii="Times New Roman" w:hAnsi="Times New Roman"/>
          <w:i/>
          <w:noProof/>
          <w:sz w:val="24"/>
        </w:rPr>
        <w:t>δωροδοκία</w:t>
      </w:r>
      <w:r>
        <w:rPr>
          <w:rFonts w:ascii="Times New Roman" w:hAnsi="Times New Roman"/>
          <w:noProof/>
          <w:sz w:val="24"/>
        </w:rPr>
        <w:t>»</w:t>
      </w:r>
      <w:r>
        <w:rPr>
          <w:rStyle w:val="FootnoteReference"/>
          <w:noProof/>
        </w:rPr>
        <w:footnoteReference w:id="18"/>
      </w:r>
      <w:r>
        <w:rPr>
          <w:rFonts w:ascii="Times New Roman" w:hAnsi="Times New Roman"/>
          <w:noProof/>
          <w:sz w:val="24"/>
        </w:rPr>
        <w:t>: «</w:t>
      </w:r>
      <w:r>
        <w:rPr>
          <w:rFonts w:ascii="Times New Roman" w:hAnsi="Times New Roman"/>
          <w:i/>
          <w:noProof/>
          <w:sz w:val="24"/>
        </w:rPr>
        <w:t>ως δωροδοκία νοείται αντικείμενο ή η μεταβίβαση υλικού περιουσιακού στοιχείου ή οιουδήποτε στοιχείου μη υλικής φύσεως επί του οποίου δεν υφίσταται κανένα νόμιμο δικαίωμα</w:t>
      </w:r>
      <w:r>
        <w:rPr>
          <w:rFonts w:ascii="Times New Roman" w:hAnsi="Times New Roman"/>
          <w:noProof/>
          <w:sz w:val="24"/>
        </w:rPr>
        <w:t>». Στην CZ, ο όρος «</w:t>
      </w:r>
      <w:r>
        <w:rPr>
          <w:rFonts w:ascii="Times New Roman" w:hAnsi="Times New Roman"/>
          <w:i/>
          <w:noProof/>
          <w:sz w:val="24"/>
        </w:rPr>
        <w:t>μη οφειλόμενο πλεονέκτημα οιασδήποτε φύσεως»</w:t>
      </w:r>
      <w:r>
        <w:rPr>
          <w:rFonts w:ascii="Times New Roman" w:hAnsi="Times New Roman"/>
          <w:noProof/>
          <w:sz w:val="24"/>
        </w:rPr>
        <w:t xml:space="preserve"> καλύπτεται από τον ορισμό της «δωροδοκίας», η οποία ορίζεται ως «</w:t>
      </w:r>
      <w:r>
        <w:rPr>
          <w:rFonts w:ascii="Times New Roman" w:hAnsi="Times New Roman"/>
          <w:i/>
          <w:noProof/>
          <w:sz w:val="24"/>
        </w:rPr>
        <w:t>μη οφειλόμενο πλεονέκτημα το οποίο συνίσταται σε άμεσο υλικό πλουτισμό ή άλλο πλεονέκτημα... το οποίο το πρόσωπο δεν δικαιούται»</w:t>
      </w:r>
      <w:r>
        <w:rPr>
          <w:rStyle w:val="FootnoteReference"/>
          <w:noProof/>
        </w:rPr>
        <w:footnoteReference w:id="19"/>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Στην Εσθονία (EE), στην περίπτωση της παθητικής δωροδοκίας, το μη οφειλόμενο πλεονέκτημα αναφέρεται ως «</w:t>
      </w:r>
      <w:r>
        <w:rPr>
          <w:rFonts w:ascii="Times New Roman" w:hAnsi="Times New Roman"/>
          <w:i/>
          <w:noProof/>
          <w:sz w:val="24"/>
        </w:rPr>
        <w:t>υλικό περιουσιακό στοιχείο ή άλλα οφέλη</w:t>
      </w:r>
      <w:r>
        <w:rPr>
          <w:rFonts w:ascii="Times New Roman" w:hAnsi="Times New Roman"/>
          <w:noProof/>
          <w:sz w:val="24"/>
        </w:rPr>
        <w:t>», ενώ όσον αφορά την ενεργητική δωροδοκία, η νομοθεσία κάνει αναφορά στη δωροδοκία, η οποία αποτελεί περιορισμένη έννοια σε σύγκριση με το μη οφειλόμενο πλεονέκτημα. Βάσει των διαθέσιμων πληροφοριών, δεν καθίσταται σαφές αν ορισμένα στοιχεία που περιλαμβάνονται στον ορισμό της παθητικής δωροδοκίας ισχύουν και για την ενεργητική δωροδοκία.</w:t>
      </w:r>
    </w:p>
    <w:p>
      <w:pPr>
        <w:tabs>
          <w:tab w:val="num" w:pos="283"/>
        </w:tabs>
        <w:spacing w:before="120" w:after="120" w:line="240" w:lineRule="auto"/>
        <w:ind w:left="283" w:hanging="283"/>
        <w:jc w:val="both"/>
        <w:rPr>
          <w:rFonts w:ascii="Times New Roman" w:hAnsi="Times New Roman"/>
          <w:b/>
          <w:noProof/>
          <w:sz w:val="24"/>
        </w:rPr>
      </w:pPr>
      <w:r>
        <w:rPr>
          <w:rFonts w:ascii="Times New Roman" w:hAnsi="Times New Roman"/>
          <w:b/>
          <w:noProof/>
          <w:sz w:val="24"/>
        </w:rPr>
        <w:t>«Για τον εαυτό του ή για τρίτον»</w:t>
      </w:r>
    </w:p>
    <w:p>
      <w:pPr>
        <w:spacing w:before="150" w:after="150" w:line="240" w:lineRule="auto"/>
        <w:ind w:right="-3"/>
        <w:jc w:val="both"/>
        <w:rPr>
          <w:rFonts w:ascii="Times New Roman" w:hAnsi="Times New Roman"/>
          <w:noProof/>
          <w:sz w:val="24"/>
        </w:rPr>
      </w:pPr>
      <w:r>
        <w:rPr>
          <w:rFonts w:ascii="Times New Roman" w:hAnsi="Times New Roman"/>
          <w:noProof/>
          <w:sz w:val="24"/>
        </w:rPr>
        <w:t>Σε 22 κράτη μέλη, το στοιχείο αυτό μεταφέρθηκε κατά λέξη (BE, BG, CZ, DE, DK ES, EL, FR, HU, HR, CY, LT, LV, LU, MT, AT, PT, SK, SI, FI, IE και SE).</w:t>
      </w:r>
    </w:p>
    <w:p>
      <w:pPr>
        <w:spacing w:before="150" w:after="150" w:line="240" w:lineRule="auto"/>
        <w:ind w:right="-3"/>
        <w:jc w:val="both"/>
        <w:rPr>
          <w:rFonts w:ascii="Times New Roman" w:hAnsi="Times New Roman"/>
          <w:noProof/>
          <w:sz w:val="24"/>
        </w:rPr>
      </w:pPr>
      <w:r>
        <w:rPr>
          <w:rFonts w:ascii="Times New Roman" w:hAnsi="Times New Roman"/>
          <w:noProof/>
          <w:sz w:val="24"/>
        </w:rPr>
        <w:t>Στην PL, η πτυχή που αφορά τρίτον μπορεί να καλύπτεται μόνο έμμεσα, στον βαθμό που αντιστοιχεί στην έννοια «</w:t>
      </w:r>
      <w:r>
        <w:rPr>
          <w:rFonts w:ascii="Times New Roman" w:hAnsi="Times New Roman"/>
          <w:i/>
          <w:noProof/>
          <w:sz w:val="24"/>
        </w:rPr>
        <w:t>προς όφελος αγοραστή ή παραλήπτη αγαθών, αποδέκτη υπηρεσιών ή άλλων εκτελούμενων καθηκόντων</w:t>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Το στοιχείο αυτό δεν καλύπτεται ρητά σε δύο κράτη μέλη (NL και RO). Σε άλλα δύο κράτη μέλη (EE και IT) δεν καλύπτεται ως προς τον ορισμό της ενεργητικής δωροδοκίας.</w:t>
      </w:r>
    </w:p>
    <w:p>
      <w:pPr>
        <w:rPr>
          <w:rFonts w:ascii="Times New Roman" w:hAnsi="Times New Roman"/>
          <w:b/>
          <w:noProof/>
          <w:sz w:val="24"/>
          <w:lang w:val="en-GB"/>
        </w:rPr>
      </w:pPr>
    </w:p>
    <w:p>
      <w:pPr>
        <w:tabs>
          <w:tab w:val="num" w:pos="283"/>
        </w:tabs>
        <w:spacing w:before="120" w:after="120" w:line="240" w:lineRule="auto"/>
        <w:ind w:left="283" w:hanging="283"/>
        <w:jc w:val="both"/>
        <w:rPr>
          <w:rFonts w:ascii="Times New Roman" w:hAnsi="Times New Roman"/>
          <w:b/>
          <w:noProof/>
          <w:sz w:val="24"/>
        </w:rPr>
      </w:pPr>
      <w:r>
        <w:rPr>
          <w:rFonts w:ascii="Times New Roman" w:hAnsi="Times New Roman"/>
          <w:b/>
          <w:noProof/>
          <w:sz w:val="24"/>
        </w:rPr>
        <w:t>«Προκειμένου να τελέσει ή να μην τελέσει πράξη, κατά παράβαση των καθηκόντων του»</w:t>
      </w:r>
    </w:p>
    <w:p>
      <w:pPr>
        <w:spacing w:before="150" w:after="150" w:line="240" w:lineRule="auto"/>
        <w:ind w:right="-3"/>
        <w:jc w:val="both"/>
        <w:rPr>
          <w:rFonts w:ascii="Times New Roman" w:hAnsi="Times New Roman"/>
          <w:noProof/>
          <w:sz w:val="24"/>
        </w:rPr>
      </w:pPr>
      <w:r>
        <w:rPr>
          <w:rFonts w:ascii="Times New Roman" w:hAnsi="Times New Roman"/>
          <w:noProof/>
          <w:sz w:val="24"/>
        </w:rPr>
        <w:t>Σε 13 κράτη μέλη (BE, BG, DE, DK, FR, EL, IE, IT, CY, LV, LU, AT και SK), το στοιχείο αυτό μεταφέρθηκε κατά λέξη στην εθνική νομοθεσία.</w:t>
      </w:r>
    </w:p>
    <w:p>
      <w:pPr>
        <w:spacing w:before="120" w:after="120" w:line="240" w:lineRule="auto"/>
        <w:jc w:val="both"/>
        <w:rPr>
          <w:rFonts w:ascii="Times New Roman" w:hAnsi="Times New Roman"/>
          <w:noProof/>
          <w:sz w:val="24"/>
        </w:rPr>
      </w:pPr>
      <w:r>
        <w:rPr>
          <w:rFonts w:ascii="Times New Roman" w:hAnsi="Times New Roman"/>
          <w:noProof/>
          <w:sz w:val="24"/>
        </w:rPr>
        <w:t>Επτά κράτη μέλη (LT, LV, HU, MT, PT, RO και SE) μετέφεραν το εν λόγω στοιχείο με μικρές διαφοροποιήσεις. Στη RO η συγκεκριμένη πτυχή αποτυπώνεται μόνο στον ορισμό της παθητικής δωροδοκίας. Στη LT μεταφέρθηκε ως «</w:t>
      </w:r>
      <w:r>
        <w:rPr>
          <w:rFonts w:ascii="Times New Roman" w:hAnsi="Times New Roman"/>
          <w:i/>
          <w:noProof/>
          <w:sz w:val="24"/>
        </w:rPr>
        <w:t>νόμιμη ή παράνομη πράξη ή αδράνεια (...) κατά την άσκηση των αρμοδιοτήτων του</w:t>
      </w:r>
      <w:r>
        <w:rPr>
          <w:rFonts w:ascii="Times New Roman" w:hAnsi="Times New Roman"/>
          <w:noProof/>
          <w:sz w:val="24"/>
        </w:rPr>
        <w:t>». Στην PT, η έννοια της «παράβασης καθήκοντος» εμφανίζεται μόνο στον ορισμό της παθητικής δωροδοκίας, αλλά όχι στον ορισμό της ενεργητικής δωροδοκίας. Στη LV, το στοιχείο «</w:t>
      </w:r>
      <w:r>
        <w:rPr>
          <w:rFonts w:ascii="Times New Roman" w:hAnsi="Times New Roman"/>
          <w:i/>
          <w:noProof/>
          <w:sz w:val="24"/>
        </w:rPr>
        <w:t>να τελέσει ή να μην τελέσει πράξη, κατά παράβαση των καθηκόντων του</w:t>
      </w:r>
      <w:r>
        <w:rPr>
          <w:rFonts w:ascii="Times New Roman" w:hAnsi="Times New Roman"/>
          <w:noProof/>
          <w:sz w:val="24"/>
        </w:rPr>
        <w:t>» μεταφέρθηκε με ευρύτερο τρόπο, υπό την έννοια ότι η τέλεση ή η μη τέλεση πράξης πρέπει να συμβεί «</w:t>
      </w:r>
      <w:r>
        <w:rPr>
          <w:rFonts w:ascii="Times New Roman" w:hAnsi="Times New Roman"/>
          <w:i/>
          <w:noProof/>
          <w:sz w:val="24"/>
        </w:rPr>
        <w:t>με χρήση της εξουσίας του</w:t>
      </w:r>
      <w:r>
        <w:rPr>
          <w:rFonts w:ascii="Times New Roman" w:hAnsi="Times New Roman"/>
          <w:noProof/>
          <w:sz w:val="24"/>
        </w:rPr>
        <w:t>», χωρίς να ενέχει κατ’ ανάγκη συγκεκριμένη παράβαση. Στις HU, MT, και SE, η νομοθεσία δεν κάνει αναφορά στο στοιχείο «προκειμένου το πρόσωπο να τελέσει ή να μην τελέσει πράξη, κατά παράβαση των καθηκόντων του». Αφήνεται να εννοηθεί ότι η παράλειψη των στοιχείων αυτών δεν έχει αντίκτυπο στο στοιχείο «κατά παράβαση των καθηκόντων του», το οποίο προβλέπεται στον ποινικό κώδικα, διότι η ρητή ή μη διατύπωση των συγκεκριμένων λέξεων είναι άνευ σημασίας.</w:t>
      </w:r>
    </w:p>
    <w:p>
      <w:pPr>
        <w:spacing w:before="120" w:after="120" w:line="240" w:lineRule="auto"/>
        <w:jc w:val="both"/>
        <w:rPr>
          <w:rFonts w:ascii="Times New Roman" w:hAnsi="Times New Roman"/>
          <w:noProof/>
          <w:color w:val="000000"/>
          <w:sz w:val="24"/>
        </w:rPr>
      </w:pPr>
      <w:r>
        <w:rPr>
          <w:rFonts w:ascii="Times New Roman" w:hAnsi="Times New Roman"/>
          <w:noProof/>
          <w:sz w:val="24"/>
        </w:rPr>
        <w:t>Στην Εσθονία (EE), η πτυχή αυτή αναφέρεται ως «</w:t>
      </w:r>
      <w:r>
        <w:rPr>
          <w:rFonts w:ascii="Times New Roman" w:hAnsi="Times New Roman"/>
          <w:i/>
          <w:noProof/>
          <w:sz w:val="24"/>
        </w:rPr>
        <w:t>κατάχρηση της αρμοδιότητάς του</w:t>
      </w:r>
      <w:r>
        <w:rPr>
          <w:rFonts w:ascii="Times New Roman" w:hAnsi="Times New Roman"/>
          <w:noProof/>
          <w:sz w:val="24"/>
        </w:rPr>
        <w:t xml:space="preserve">» στην παθητική δωροδοκία, ενώ δεν αναφέρεται καθόλου στον ορισμό της ενεργητικής δωροδοκίας. </w:t>
      </w:r>
      <w:r>
        <w:rPr>
          <w:rFonts w:ascii="Times New Roman" w:hAnsi="Times New Roman"/>
          <w:noProof/>
          <w:color w:val="000000"/>
          <w:sz w:val="24"/>
          <w:shd w:val="clear" w:color="auto" w:fill="FFFFFF"/>
        </w:rPr>
        <w:t>Οι πληροφορίες που ελήφθησαν από τις εσθονικές αρχές δεν επαρκούν για την εξαγωγή ασφαλών συμπερασμάτων σχετικά με το αν ορισμένα στοιχεία που περιλαμβάνονται στον ορισμό της παθητικής δωροδοκίας ισχύουν και για την ενεργητική δωροδοκία.</w:t>
      </w:r>
    </w:p>
    <w:p>
      <w:pPr>
        <w:spacing w:before="150" w:after="150" w:line="240" w:lineRule="auto"/>
        <w:ind w:right="-3"/>
        <w:jc w:val="both"/>
        <w:rPr>
          <w:rFonts w:ascii="Times New Roman" w:hAnsi="Times New Roman"/>
          <w:noProof/>
          <w:sz w:val="24"/>
        </w:rPr>
      </w:pPr>
      <w:r>
        <w:rPr>
          <w:rFonts w:ascii="Times New Roman" w:hAnsi="Times New Roman"/>
          <w:noProof/>
          <w:sz w:val="24"/>
        </w:rPr>
        <w:t>Στην CZ, ο ποινικός κώδικας δεν περιορίζει τη δυνατότητα εφαρμογής των διατάξεων σχετικά με τη δωροδοκία στον ιδιωτικό τομέα σε περιπτώσεις στις οποίες σημειώνεται παράβαση καθήκοντος.</w:t>
      </w:r>
    </w:p>
    <w:p>
      <w:pPr>
        <w:spacing w:before="120" w:after="120" w:line="240" w:lineRule="auto"/>
        <w:jc w:val="both"/>
        <w:rPr>
          <w:rFonts w:ascii="Times New Roman" w:hAnsi="Times New Roman"/>
          <w:noProof/>
          <w:sz w:val="24"/>
        </w:rPr>
      </w:pPr>
      <w:r>
        <w:rPr>
          <w:rFonts w:ascii="Times New Roman" w:hAnsi="Times New Roman"/>
          <w:noProof/>
          <w:sz w:val="24"/>
        </w:rPr>
        <w:t xml:space="preserve">Στην ES, </w:t>
      </w:r>
      <w:r>
        <w:rPr>
          <w:rFonts w:ascii="Times New Roman" w:hAnsi="Times New Roman"/>
          <w:noProof/>
          <w:color w:val="000000"/>
          <w:sz w:val="24"/>
        </w:rPr>
        <w:t>η πρόταση «</w:t>
      </w:r>
      <w:r>
        <w:rPr>
          <w:rFonts w:ascii="Times New Roman" w:hAnsi="Times New Roman"/>
          <w:i/>
          <w:noProof/>
          <w:color w:val="000000"/>
          <w:sz w:val="24"/>
        </w:rPr>
        <w:t>κατά παράβαση των καθηκόντων του</w:t>
      </w:r>
      <w:r>
        <w:rPr>
          <w:rFonts w:ascii="Times New Roman" w:hAnsi="Times New Roman"/>
          <w:noProof/>
          <w:color w:val="000000"/>
          <w:sz w:val="24"/>
        </w:rPr>
        <w:t xml:space="preserve">» διαγράφηκε από τη νομοθεσία. Επιπλέον, η πτυχή </w:t>
      </w:r>
      <w:r>
        <w:rPr>
          <w:rFonts w:ascii="Times New Roman" w:hAnsi="Times New Roman"/>
          <w:i/>
          <w:noProof/>
          <w:color w:val="000000"/>
          <w:sz w:val="24"/>
        </w:rPr>
        <w:t>«</w:t>
      </w:r>
      <w:r>
        <w:rPr>
          <w:rFonts w:ascii="Times New Roman" w:hAnsi="Times New Roman"/>
          <w:i/>
          <w:noProof/>
          <w:sz w:val="24"/>
        </w:rPr>
        <w:t>να τελέσει ή να μην τελέσει πράξη</w:t>
      </w:r>
      <w:r>
        <w:rPr>
          <w:rFonts w:ascii="Times New Roman" w:hAnsi="Times New Roman"/>
          <w:noProof/>
          <w:sz w:val="24"/>
        </w:rPr>
        <w:t>» δεν αντικατοπτρίζεται στην ισχύουσα διατύπωση. Επίσης, το πεδίο εφαρμογής του άρθρου είναι περιορισμένο («στο πλαίσιο της πώλησης ή αγοράς αγαθών ή της σύναψης συμβάσεων υπηρεσιών ή εμπορικών σχέσεων»).</w:t>
      </w:r>
    </w:p>
    <w:p>
      <w:pPr>
        <w:spacing w:before="150" w:after="150" w:line="240" w:lineRule="auto"/>
        <w:ind w:right="-3"/>
        <w:jc w:val="both"/>
        <w:rPr>
          <w:rFonts w:ascii="Times New Roman" w:hAnsi="Times New Roman"/>
          <w:noProof/>
          <w:sz w:val="24"/>
        </w:rPr>
      </w:pPr>
      <w:r>
        <w:rPr>
          <w:rFonts w:ascii="Times New Roman" w:hAnsi="Times New Roman"/>
          <w:noProof/>
          <w:sz w:val="24"/>
        </w:rPr>
        <w:t>Στις FI και HR δεν προσδιορίζεται ειδικά η παράβαση καθήκοντος, ενώ αντί της έκφρασης «να τελέσει ή να μην τελέσει πράξη», το κείμενο αναφέρεται στο «να ευνοήσει πρόσωπο το οποίο δωροδοκεί ή άλλο πρόσωπο». Στη SI, η νομοθεσία αναφέρεται σε παραμέληση του συμφέροντος του οργανισμού ή άλλου ατόμου ή σε πρόκληση ζημίας κατά τη σύναψη ή διατήρηση σύμβασης. Στις Κάτω Χώρες, το στοιχείο «</w:t>
      </w:r>
      <w:r>
        <w:rPr>
          <w:rFonts w:ascii="Times New Roman" w:hAnsi="Times New Roman"/>
          <w:i/>
          <w:noProof/>
          <w:sz w:val="24"/>
        </w:rPr>
        <w:t>παράβαση καθήκοντος</w:t>
      </w:r>
      <w:r>
        <w:rPr>
          <w:rFonts w:ascii="Times New Roman" w:hAnsi="Times New Roman"/>
          <w:noProof/>
          <w:sz w:val="24"/>
        </w:rPr>
        <w:t>» μεταφέρθηκε ως «</w:t>
      </w:r>
      <w:r>
        <w:rPr>
          <w:rFonts w:ascii="Times New Roman" w:hAnsi="Times New Roman"/>
          <w:i/>
          <w:noProof/>
          <w:sz w:val="24"/>
        </w:rPr>
        <w:t>κατά παραβίαση της καλής πίστης</w:t>
      </w:r>
      <w:r>
        <w:rPr>
          <w:rFonts w:ascii="Times New Roman" w:hAnsi="Times New Roman"/>
          <w:noProof/>
          <w:sz w:val="24"/>
        </w:rPr>
        <w:t>», η οποία περιλαμβάνει «</w:t>
      </w:r>
      <w:r>
        <w:rPr>
          <w:rFonts w:ascii="Times New Roman" w:hAnsi="Times New Roman"/>
          <w:i/>
          <w:noProof/>
          <w:sz w:val="24"/>
        </w:rPr>
        <w:t>τη συγκάλυψη της αποδοχής ή της αίτησης δώρου ή υπόσχεσης ή υπηρεσίας από τον εργοδότη ή τον προϊστάμενό του»</w:t>
      </w:r>
      <w:r>
        <w:rPr>
          <w:rStyle w:val="FootnoteReference"/>
          <w:rFonts w:ascii="Times New Roman" w:hAnsi="Times New Roman"/>
          <w:noProof/>
          <w:sz w:val="24"/>
        </w:rPr>
        <w:footnoteReference w:id="20"/>
      </w:r>
      <w:r>
        <w:rPr>
          <w:rFonts w:ascii="Times New Roman" w:hAnsi="Times New Roman"/>
          <w:noProof/>
          <w:sz w:val="24"/>
        </w:rPr>
        <w:t xml:space="preserve">. </w:t>
      </w:r>
    </w:p>
    <w:p>
      <w:pPr>
        <w:spacing w:before="150" w:after="150" w:line="240" w:lineRule="auto"/>
        <w:ind w:right="-3"/>
        <w:jc w:val="both"/>
        <w:rPr>
          <w:rFonts w:ascii="Times New Roman" w:hAnsi="Times New Roman"/>
          <w:noProof/>
          <w:sz w:val="24"/>
        </w:rPr>
      </w:pPr>
      <w:r>
        <w:rPr>
          <w:rFonts w:ascii="Times New Roman" w:hAnsi="Times New Roman"/>
          <w:noProof/>
          <w:sz w:val="24"/>
        </w:rPr>
        <w:t>Στην PL, η έννοια της «</w:t>
      </w:r>
      <w:r>
        <w:rPr>
          <w:rFonts w:ascii="Times New Roman" w:hAnsi="Times New Roman"/>
          <w:i/>
          <w:noProof/>
          <w:sz w:val="24"/>
        </w:rPr>
        <w:t>παράβασης καθήκοντος</w:t>
      </w:r>
      <w:r>
        <w:rPr>
          <w:rFonts w:ascii="Times New Roman" w:hAnsi="Times New Roman"/>
          <w:noProof/>
          <w:sz w:val="24"/>
        </w:rPr>
        <w:t>» μεταφέρθηκε ως «</w:t>
      </w:r>
      <w:r>
        <w:rPr>
          <w:rFonts w:ascii="Times New Roman" w:hAnsi="Times New Roman"/>
          <w:i/>
          <w:noProof/>
          <w:sz w:val="24"/>
        </w:rPr>
        <w:t>μη εκπλήρωση καθήκοντος που έχει ανατεθεί στο εν λόγω πρόσωπο η οποία μπορεί να συνεπάγεται υλική ζημία για τη συγκεκριμένη μονάδα ή ενδέχεται να συνιστά πράξη αθέμιτου ανταγωνισμού ή μη αποδεκτή πράξη προτίμησης υπέρ αγοραστή ή παραλήπτη αγαθών ή αποδέκτη υπηρεσιών ή άλλων εκτελούμενων καθηκόντων</w:t>
      </w:r>
      <w:r>
        <w:rPr>
          <w:rFonts w:ascii="Times New Roman" w:hAnsi="Times New Roman"/>
          <w:noProof/>
          <w:sz w:val="24"/>
        </w:rPr>
        <w:t>».</w:t>
      </w:r>
    </w:p>
    <w:p>
      <w:pPr>
        <w:keepNext/>
        <w:numPr>
          <w:ilvl w:val="3"/>
          <w:numId w:val="0"/>
        </w:numPr>
        <w:tabs>
          <w:tab w:val="num" w:pos="850"/>
        </w:tabs>
        <w:spacing w:before="120" w:after="120" w:line="240" w:lineRule="auto"/>
        <w:ind w:left="850" w:hanging="850"/>
        <w:jc w:val="both"/>
        <w:outlineLvl w:val="3"/>
        <w:rPr>
          <w:rFonts w:ascii="Times New Roman" w:hAnsi="Times New Roman"/>
          <w:b/>
          <w:noProof/>
          <w:sz w:val="24"/>
        </w:rPr>
      </w:pPr>
      <w:r>
        <w:rPr>
          <w:rFonts w:ascii="Times New Roman" w:hAnsi="Times New Roman"/>
          <w:b/>
          <w:noProof/>
          <w:sz w:val="24"/>
        </w:rPr>
        <w:t xml:space="preserve">Περαιτέρω περιορισμοί </w:t>
      </w:r>
    </w:p>
    <w:p>
      <w:pPr>
        <w:spacing w:before="120" w:after="120" w:line="240" w:lineRule="auto"/>
        <w:jc w:val="both"/>
        <w:rPr>
          <w:rFonts w:ascii="Times New Roman" w:hAnsi="Times New Roman"/>
          <w:noProof/>
          <w:sz w:val="24"/>
        </w:rPr>
      </w:pPr>
      <w:r>
        <w:rPr>
          <w:rFonts w:ascii="Times New Roman" w:hAnsi="Times New Roman"/>
          <w:noProof/>
          <w:sz w:val="24"/>
        </w:rPr>
        <w:t xml:space="preserve">Σε αντίθεση με τα υπόλοιπα 25 κράτη μέλη της ΕΕ, στο BE και το LU προβλέπεται περιορισμός σε περιπτώσεις στις οποίες η παράβαση καθήκοντος δεν ήταν γνωστή στον προϊστάμενο, σε αδικήματα τόσο παθητικής όσο και ενεργητικής δωροδοκίας. </w:t>
      </w:r>
    </w:p>
    <w:p>
      <w:pPr>
        <w:keepNext/>
        <w:numPr>
          <w:ilvl w:val="3"/>
          <w:numId w:val="0"/>
        </w:numPr>
        <w:tabs>
          <w:tab w:val="num" w:pos="850"/>
        </w:tabs>
        <w:spacing w:before="120" w:after="120" w:line="240" w:lineRule="auto"/>
        <w:ind w:left="850" w:hanging="850"/>
        <w:jc w:val="both"/>
        <w:outlineLvl w:val="3"/>
        <w:rPr>
          <w:rFonts w:ascii="Times New Roman" w:eastAsia="Times New Roman" w:hAnsi="Times New Roman" w:cs="Times New Roman"/>
          <w:bCs/>
          <w:noProof/>
          <w:sz w:val="24"/>
          <w:szCs w:val="28"/>
        </w:rPr>
      </w:pPr>
      <w:r>
        <w:rPr>
          <w:rFonts w:ascii="Times New Roman" w:hAnsi="Times New Roman"/>
          <w:noProof/>
          <w:sz w:val="24"/>
        </w:rPr>
        <w:t>Άρθρο 2 παράγραφος 2</w:t>
      </w:r>
    </w:p>
    <w:p>
      <w:pPr>
        <w:spacing w:before="120" w:after="120" w:line="240" w:lineRule="auto"/>
        <w:jc w:val="both"/>
        <w:rPr>
          <w:rFonts w:ascii="Times New Roman" w:hAnsi="Times New Roman"/>
          <w:noProof/>
          <w:sz w:val="24"/>
        </w:rPr>
      </w:pPr>
      <w:r>
        <w:rPr>
          <w:rFonts w:ascii="Times New Roman" w:hAnsi="Times New Roman"/>
          <w:noProof/>
          <w:sz w:val="24"/>
        </w:rPr>
        <w:t xml:space="preserve">Το άρθρο 2 παράγραφος 2 ορίζει ότι το άρθρο 2 παράγραφος 1 ισχύει επί επιχειρηματικών δραστηριοτήτων στο πλαίσιο κερδοσκοπικών και μη κερδοσκοπικών φορέων. </w:t>
      </w:r>
    </w:p>
    <w:p>
      <w:pPr>
        <w:spacing w:before="120" w:after="120" w:line="240" w:lineRule="auto"/>
        <w:jc w:val="both"/>
        <w:rPr>
          <w:rFonts w:ascii="Times New Roman" w:hAnsi="Times New Roman"/>
          <w:noProof/>
          <w:sz w:val="24"/>
        </w:rPr>
      </w:pPr>
      <w:r>
        <w:rPr>
          <w:rFonts w:ascii="Times New Roman" w:hAnsi="Times New Roman"/>
          <w:noProof/>
          <w:sz w:val="24"/>
        </w:rPr>
        <w:t>Στην πλειονότητά τους, τα κράτη μέλη αναφέρονται ρητά στη συμπερίληψη μη κερδοσκοπικών φορέων στη νομοθεσία τους, ενώ σε άλλα η διατύπωση της νομοθεσίας είναι τόσο ευρεία ώστε να μην αποκλείονται οι μη κερδοσκοπικοί φορείς (BE, BG, CZ, DK, EE, FR, EL, HR, IE, IT, CY, LV, LT, LU, HU, NL, MT, PL, PT, RO, SK, SI και SE).</w:t>
      </w:r>
    </w:p>
    <w:p>
      <w:pPr>
        <w:spacing w:before="150" w:after="150" w:line="240" w:lineRule="auto"/>
        <w:ind w:left="34" w:right="101"/>
        <w:jc w:val="both"/>
        <w:rPr>
          <w:rFonts w:ascii="Times New Roman" w:hAnsi="Times New Roman"/>
          <w:noProof/>
          <w:sz w:val="24"/>
        </w:rPr>
      </w:pPr>
      <w:r>
        <w:rPr>
          <w:rFonts w:ascii="Times New Roman" w:hAnsi="Times New Roman"/>
          <w:noProof/>
          <w:sz w:val="24"/>
        </w:rPr>
        <w:t xml:space="preserve">Σε τέσσερα κράτη μέλη (DE, FI, AT και ES), το πεδίο εφαρμογής του αδικήματος είναι διαφορετικό. </w:t>
      </w:r>
      <w:r>
        <w:rPr>
          <w:rFonts w:ascii="Times New Roman" w:hAnsi="Times New Roman"/>
          <w:noProof/>
          <w:color w:val="000000"/>
          <w:sz w:val="24"/>
        </w:rPr>
        <w:t>Στις</w:t>
      </w:r>
      <w:r>
        <w:rPr>
          <w:rFonts w:ascii="Times New Roman" w:hAnsi="Times New Roman"/>
          <w:noProof/>
          <w:sz w:val="24"/>
        </w:rPr>
        <w:t xml:space="preserve"> DE, FI και AT</w:t>
      </w:r>
      <w:r>
        <w:rPr>
          <w:rFonts w:ascii="Times New Roman" w:hAnsi="Times New Roman"/>
          <w:noProof/>
          <w:color w:val="000000"/>
          <w:sz w:val="24"/>
        </w:rPr>
        <w:t>, η διάταξη περιορίζεται σε «επιχειρήσεις/εταιρείες»</w:t>
      </w:r>
      <w:r>
        <w:rPr>
          <w:rStyle w:val="FootnoteReference"/>
          <w:noProof/>
        </w:rPr>
        <w:footnoteReference w:id="21"/>
      </w:r>
      <w:r>
        <w:rPr>
          <w:rFonts w:ascii="Times New Roman" w:hAnsi="Times New Roman"/>
          <w:noProof/>
          <w:color w:val="000000"/>
          <w:sz w:val="24"/>
        </w:rPr>
        <w:t>, η έννοια των οποίων είναι στενότερη από αυτή των ιδιωτικών φορέων. Η ES περιόρισε το πεδίο εφαρμογής με παρόμοιο τρόπο.</w:t>
      </w:r>
      <w:r>
        <w:rPr>
          <w:rFonts w:ascii="Times New Roman" w:hAnsi="Times New Roman"/>
          <w:i/>
          <w:noProof/>
          <w:color w:val="000000"/>
          <w:sz w:val="24"/>
        </w:rPr>
        <w:t xml:space="preserve"> </w:t>
      </w:r>
      <w:r>
        <w:rPr>
          <w:rFonts w:ascii="Times New Roman" w:hAnsi="Times New Roman"/>
          <w:noProof/>
          <w:color w:val="000000"/>
          <w:sz w:val="24"/>
        </w:rPr>
        <w:t xml:space="preserve">Ο περιορισμός του πεδίου εφαρμογής των σχετικών ποινικών αδικημάτων σε επιχειρήσεις σε ορισμένες περιπτώσεις αποκλείει την ποινική ευθύνη των ατόμων που προβαίνουν σε δωροδοκία για λογαριασμό ή προς όφελος μη κερδοσκοπικών οργανισμών. Οι μη κερδοσκοπικοί οργανισμοί εντάσσονται στον ιδιωτικό τομέα, και μπορεί να είναι, για παράδειγμα, ιδρύματα, ενώσεις, αθλητικοί σύλλογοι, εκκλησιαστικές οργανώσεις και φιλανθρωπικοί φορείς. Οι μη κερδοσκοπικοί οργανισμοί ασκούν συχνά επιχειρηματικές δραστηριότητες, αλλά συνήθως χρησιμοποιούν τα έσοδά τους για την περαιτέρω επίτευξη των απώτερων κοινωνικών, εκπαιδευτικών ή φιλανθρωπικών στόχων τους αντί να τα διανέμουν στους μετόχους, τους επικεφαλής ή τα μέλη του οργανισμού. </w:t>
      </w:r>
    </w:p>
    <w:p>
      <w:pPr>
        <w:spacing w:before="120" w:after="120" w:line="240" w:lineRule="auto"/>
        <w:jc w:val="both"/>
        <w:rPr>
          <w:rFonts w:ascii="Times New Roman" w:hAnsi="Times New Roman"/>
          <w:noProof/>
          <w:color w:val="000000"/>
          <w:spacing w:val="-1"/>
          <w:sz w:val="24"/>
        </w:rPr>
      </w:pPr>
      <w:r>
        <w:rPr>
          <w:rFonts w:ascii="Times New Roman" w:hAnsi="Times New Roman"/>
          <w:noProof/>
          <w:sz w:val="24"/>
        </w:rPr>
        <w:t>Επιπλέον, όσον αφορά τις δραστηριότητες που καλύπτονται από την απόφαση-πλαίσιο, τα κράτη μέλη μπορούσαν, βάσει του άρθρου 2 παράγραφος 3, να δηλώσουν ότι θα περιόριζαν το πεδίο εφαρμογής σε πράξεις που συνεπάγονται στρέβλωση του ανταγωνισμού σε συνάρτηση με την αγορά αγαθών ή εμπορικών υπηρεσιών. Οι DE, IT, AT και PL είχαν προβεί σε τέτοιου είδους δηλώσεις, οι οποίες ίσχυαν έως τις 22 Ιουλίου 2010</w:t>
      </w:r>
      <w:r>
        <w:rPr>
          <w:rFonts w:ascii="Times New Roman" w:hAnsi="Times New Roman"/>
          <w:noProof/>
          <w:color w:val="000000"/>
          <w:spacing w:val="-1"/>
          <w:sz w:val="24"/>
        </w:rPr>
        <w:t xml:space="preserve"> </w:t>
      </w:r>
      <w:r>
        <w:rPr>
          <w:rFonts w:ascii="Times New Roman" w:hAnsi="Times New Roman"/>
          <w:noProof/>
          <w:sz w:val="24"/>
        </w:rPr>
        <w:t>(άρθρο 2 παράγραφος 4). Δεδομένου ότι το Συμβούλιο δεν έλαβε απόφαση για την παράταση της ισχύος τους, η Επιτροπή θεωρεί ότι οι δηλώσεις αυτές δεν είναι πλέον έγκυρες.</w:t>
      </w:r>
    </w:p>
    <w:p>
      <w:pPr>
        <w:widowControl w:val="0"/>
        <w:shd w:val="clear" w:color="auto" w:fill="FFFFFF"/>
        <w:tabs>
          <w:tab w:val="left" w:pos="0"/>
        </w:tabs>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Στη DE, η ισχύουσα διατύπωση του άρθρου 299 του ποινικού κώδικα μπορεί να αποκλείει ορισμένες περιπτώσεις στις οποίες εμπλέκονται ή με τις οποίες βρίσκονται αντιμέτωποι ιδιωτικοί φορείς στην πράξη, και οι οποίες δεν συνδέονται αυστηρά με συναλλαγές προμηθειών. Αντιθέτως, το άρθρο 2 αναφέρεται στη δωροδοκία «</w:t>
      </w:r>
      <w:r>
        <w:rPr>
          <w:rFonts w:ascii="Times New Roman" w:hAnsi="Times New Roman"/>
          <w:i/>
          <w:noProof/>
          <w:sz w:val="24"/>
        </w:rPr>
        <w:t>στο πλαίσιο επιχειρηματικών δραστηριοτήτων</w:t>
      </w:r>
      <w:r>
        <w:rPr>
          <w:rFonts w:ascii="Times New Roman" w:hAnsi="Times New Roman"/>
          <w:noProof/>
          <w:sz w:val="24"/>
        </w:rPr>
        <w:t>», οι οποίες περιλαμβάνουν το ευρύτερο φάσμα δραστηριοτήτων.</w:t>
      </w:r>
    </w:p>
    <w:p>
      <w:pPr>
        <w:widowControl w:val="0"/>
        <w:shd w:val="clear" w:color="auto" w:fill="FFFFFF"/>
        <w:tabs>
          <w:tab w:val="left" w:pos="0"/>
        </w:tabs>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Όσον αφορά την ES, η ενεργητική και η παθητική δωροδοκία περιορίζονται στην «</w:t>
      </w:r>
      <w:r>
        <w:rPr>
          <w:rFonts w:ascii="Times New Roman" w:hAnsi="Times New Roman"/>
          <w:i/>
          <w:noProof/>
          <w:color w:val="000000"/>
          <w:sz w:val="24"/>
        </w:rPr>
        <w:t>αγορά ή πώληση αγαθών ή στη σύναψη συμβάσεων παροχής υπηρεσιών ή εμπορικών σχέσεων»</w:t>
      </w:r>
      <w:r>
        <w:rPr>
          <w:rFonts w:ascii="Times New Roman" w:hAnsi="Times New Roman"/>
          <w:i/>
          <w:noProof/>
          <w:sz w:val="24"/>
        </w:rPr>
        <w:t>.</w:t>
      </w:r>
    </w:p>
    <w:p>
      <w:pPr>
        <w:widowControl w:val="0"/>
        <w:shd w:val="clear" w:color="auto" w:fill="FFFFFF"/>
        <w:tabs>
          <w:tab w:val="left" w:pos="0"/>
        </w:tabs>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Στη SI, το αδίκημα περιλαμβάνει πιθανό περιορισμό: «κ</w:t>
      </w:r>
      <w:r>
        <w:rPr>
          <w:rFonts w:ascii="Times New Roman" w:hAnsi="Times New Roman"/>
          <w:i/>
          <w:noProof/>
          <w:sz w:val="24"/>
        </w:rPr>
        <w:t>ατά τη σύναψη ή διατήρηση σύμβασης</w:t>
      </w:r>
      <w:r>
        <w:rPr>
          <w:rFonts w:ascii="Times New Roman" w:hAnsi="Times New Roman"/>
          <w:noProof/>
          <w:sz w:val="24"/>
        </w:rPr>
        <w:t>».</w:t>
      </w:r>
    </w:p>
    <w:p>
      <w:pPr>
        <w:widowControl w:val="0"/>
        <w:shd w:val="clear" w:color="auto" w:fill="FFFFFF"/>
        <w:tabs>
          <w:tab w:val="left" w:pos="0"/>
        </w:tabs>
        <w:autoSpaceDE w:val="0"/>
        <w:autoSpaceDN w:val="0"/>
        <w:adjustRightInd w:val="0"/>
        <w:spacing w:before="120" w:after="120" w:line="240" w:lineRule="auto"/>
        <w:jc w:val="both"/>
        <w:rPr>
          <w:rFonts w:ascii="Times New Roman" w:hAnsi="Times New Roman"/>
          <w:noProof/>
          <w:color w:val="000000"/>
          <w:sz w:val="24"/>
        </w:rPr>
      </w:pPr>
    </w:p>
    <w:p>
      <w:pPr>
        <w:keepNext/>
        <w:numPr>
          <w:ilvl w:val="1"/>
          <w:numId w:val="0"/>
        </w:numPr>
        <w:tabs>
          <w:tab w:val="num" w:pos="850"/>
        </w:tabs>
        <w:spacing w:before="120" w:after="120" w:line="240" w:lineRule="auto"/>
        <w:ind w:left="850" w:hanging="850"/>
        <w:jc w:val="both"/>
        <w:outlineLvl w:val="1"/>
        <w:rPr>
          <w:rFonts w:ascii="Times New Roman" w:hAnsi="Times New Roman"/>
          <w:b/>
          <w:i/>
          <w:noProof/>
          <w:sz w:val="24"/>
        </w:rPr>
      </w:pPr>
      <w:bookmarkStart w:id="4" w:name="_Toc275870029"/>
      <w:r>
        <w:rPr>
          <w:rFonts w:ascii="Times New Roman" w:hAnsi="Times New Roman"/>
          <w:b/>
          <w:i/>
          <w:noProof/>
          <w:sz w:val="24"/>
        </w:rPr>
        <w:t>Άρθρο 3 — Ηθική αυτουργία και συνέργεια</w:t>
      </w:r>
      <w:bookmarkEnd w:id="4"/>
    </w:p>
    <w:p>
      <w:pPr>
        <w:shd w:val="clear" w:color="auto" w:fill="FFFFFF"/>
        <w:spacing w:before="197" w:after="120" w:line="240" w:lineRule="auto"/>
        <w:jc w:val="both"/>
        <w:rPr>
          <w:rFonts w:ascii="Times New Roman" w:hAnsi="Times New Roman"/>
          <w:noProof/>
          <w:sz w:val="24"/>
        </w:rPr>
      </w:pPr>
      <w:r>
        <w:rPr>
          <w:rFonts w:ascii="Times New Roman" w:hAnsi="Times New Roman"/>
          <w:noProof/>
          <w:sz w:val="24"/>
        </w:rPr>
        <w:t>Το άρθρο 3 εστιάζει στη συμμετοχή σε πράξεις δωροδοκίας μέσω ηθικής αυτουργίας και συνέργειας. Ωστόσο, δεν εξετάζει την απόπειρα διάπραξης αδικήματος</w:t>
      </w:r>
      <w:r>
        <w:rPr>
          <w:rStyle w:val="FootnoteReference"/>
          <w:noProof/>
        </w:rPr>
        <w:footnoteReference w:id="22"/>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Σε 25 κράτη μέλη (BE, BG, CZ, DE, DK, ES, EE, EL, FR, HR, CY, LT, LV, LU, HU, MT, NL, AT, PL, PT, RO, SK, SI, FI και SE),</w:t>
      </w:r>
      <w:r>
        <w:rPr>
          <w:rFonts w:ascii="Times New Roman" w:hAnsi="Times New Roman"/>
          <w:noProof/>
          <w:sz w:val="23"/>
        </w:rPr>
        <w:t xml:space="preserve"> οι εθνικές νομοθεσίες λαμβάνουν υπόψη την</w:t>
      </w:r>
      <w:r>
        <w:rPr>
          <w:rFonts w:ascii="Times New Roman" w:hAnsi="Times New Roman"/>
          <w:noProof/>
          <w:sz w:val="24"/>
        </w:rPr>
        <w:t xml:space="preserve"> ηθική αυτουργία και συνέργεια. Η IE διευκρίνισε ότι παρότι η ηθική αυτουργία δεν καλύπτεται ειδικά από το εθνικό δίκαιο, εξετάζεται στη νομολογία.</w:t>
      </w:r>
    </w:p>
    <w:p>
      <w:pPr>
        <w:spacing w:before="120" w:after="120" w:line="240" w:lineRule="auto"/>
        <w:jc w:val="both"/>
        <w:rPr>
          <w:rFonts w:ascii="Times New Roman" w:hAnsi="Times New Roman"/>
          <w:noProof/>
          <w:sz w:val="24"/>
        </w:rPr>
      </w:pPr>
      <w:r>
        <w:rPr>
          <w:rFonts w:ascii="Times New Roman" w:hAnsi="Times New Roman"/>
          <w:noProof/>
          <w:sz w:val="24"/>
        </w:rPr>
        <w:t>Η IT θεωρεί ότι οι έννοιες αυτές καλύπτονται από άρθρα του ποινικού κώδικα υπό τον όρο «εύνοια»</w:t>
      </w:r>
      <w:r>
        <w:rPr>
          <w:rStyle w:val="FootnoteReference"/>
          <w:noProof/>
        </w:rPr>
        <w:footnoteReference w:id="23"/>
      </w:r>
      <w:r>
        <w:rPr>
          <w:rFonts w:ascii="Times New Roman" w:hAnsi="Times New Roman"/>
          <w:noProof/>
          <w:sz w:val="24"/>
        </w:rPr>
        <w:t>. Ωστόσο, οι πληροφορίες που ελήφθησαν εν προκειμένω δεν επαρκούν για την εξαγωγή ασφαλών συμπερασμάτων.</w:t>
      </w:r>
    </w:p>
    <w:p>
      <w:pPr>
        <w:keepNext/>
        <w:numPr>
          <w:ilvl w:val="1"/>
          <w:numId w:val="0"/>
        </w:numPr>
        <w:tabs>
          <w:tab w:val="num" w:pos="850"/>
        </w:tabs>
        <w:spacing w:before="120" w:after="120" w:line="240" w:lineRule="auto"/>
        <w:ind w:left="850" w:hanging="850"/>
        <w:jc w:val="both"/>
        <w:outlineLvl w:val="1"/>
        <w:rPr>
          <w:rFonts w:ascii="Times New Roman" w:hAnsi="Times New Roman"/>
          <w:b/>
          <w:i/>
          <w:noProof/>
          <w:sz w:val="24"/>
        </w:rPr>
      </w:pPr>
      <w:r>
        <w:rPr>
          <w:rFonts w:ascii="Times New Roman" w:hAnsi="Times New Roman"/>
          <w:b/>
          <w:i/>
          <w:noProof/>
          <w:sz w:val="24"/>
        </w:rPr>
        <w:t>Άρθρο 4 — Ποινές και άλλες κυρώσεις</w:t>
      </w:r>
    </w:p>
    <w:p>
      <w:pPr>
        <w:spacing w:before="120" w:after="120" w:line="240" w:lineRule="auto"/>
        <w:jc w:val="both"/>
        <w:rPr>
          <w:rFonts w:ascii="Times New Roman" w:hAnsi="Times New Roman"/>
          <w:noProof/>
          <w:sz w:val="24"/>
        </w:rPr>
      </w:pPr>
      <w:r>
        <w:rPr>
          <w:rFonts w:ascii="Times New Roman" w:hAnsi="Times New Roman"/>
          <w:noProof/>
          <w:color w:val="000000"/>
          <w:sz w:val="24"/>
        </w:rPr>
        <w:t xml:space="preserve">Το άρθρο 4 παράγραφος 1 απαιτεί την τιμωρία των αδικημάτων δωροδοκίας στον ιδιωτικό τομέα με «αποτελεσματικές, ανάλογες και αποτρεπτικές» ποινικές κυρώσεις. </w:t>
      </w:r>
      <w:r>
        <w:rPr>
          <w:rFonts w:ascii="Times New Roman" w:hAnsi="Times New Roman"/>
          <w:noProof/>
          <w:sz w:val="23"/>
        </w:rPr>
        <w:t>Οι εθνικές νομοθεσίες όλων των κρατών μελών λαμβάνουν υπόψη τις</w:t>
      </w:r>
      <w:r>
        <w:rPr>
          <w:rFonts w:ascii="Times New Roman" w:hAnsi="Times New Roman"/>
          <w:noProof/>
          <w:color w:val="000000"/>
          <w:sz w:val="24"/>
        </w:rPr>
        <w:t xml:space="preserve"> διατάξεις του άρθρου 4 παράγραφος 1.</w:t>
      </w:r>
    </w:p>
    <w:p>
      <w:pPr>
        <w:shd w:val="clear" w:color="auto" w:fill="FFFFFF"/>
        <w:spacing w:before="240" w:after="120" w:line="240" w:lineRule="auto"/>
        <w:jc w:val="both"/>
        <w:rPr>
          <w:rFonts w:ascii="Times New Roman" w:hAnsi="Times New Roman"/>
          <w:noProof/>
          <w:sz w:val="24"/>
        </w:rPr>
      </w:pPr>
      <w:r>
        <w:rPr>
          <w:rFonts w:ascii="Times New Roman" w:hAnsi="Times New Roman"/>
          <w:noProof/>
          <w:color w:val="000000"/>
          <w:sz w:val="24"/>
        </w:rPr>
        <w:t>Το άρθρο 4 παράγραφος 2 απαιτεί</w:t>
      </w:r>
      <w:r>
        <w:rPr>
          <w:rFonts w:ascii="Times New Roman" w:hAnsi="Times New Roman"/>
          <w:noProof/>
          <w:sz w:val="24"/>
        </w:rPr>
        <w:t xml:space="preserve"> επίσης τα κράτη μέλη </w:t>
      </w:r>
      <w:r>
        <w:rPr>
          <w:rFonts w:ascii="Times New Roman" w:hAnsi="Times New Roman"/>
          <w:noProof/>
          <w:color w:val="000000"/>
          <w:sz w:val="24"/>
        </w:rPr>
        <w:t xml:space="preserve">να εξασφαλίζουν την τιμωρία της ενεργητικής και παθητικής δωροδοκίας στον ιδιωτικό τομέα με μέγιστη ποινή φυλάκισης τουλάχιστον 1-3 ετών. </w:t>
      </w:r>
      <w:r>
        <w:rPr>
          <w:rFonts w:ascii="Times New Roman" w:hAnsi="Times New Roman"/>
          <w:noProof/>
          <w:sz w:val="24"/>
        </w:rPr>
        <w:t>Η Επιτροπή καταλήγει στο συμπέρασμα ότι το κατώτατο όριο των κυρώσεων μεταφέρθηκε στη νομοθεσία όλων των κρατών μελών.</w:t>
      </w:r>
    </w:p>
    <w:p>
      <w:pPr>
        <w:spacing w:before="120" w:after="120" w:line="240" w:lineRule="auto"/>
        <w:jc w:val="both"/>
        <w:rPr>
          <w:rFonts w:ascii="Times New Roman" w:hAnsi="Times New Roman"/>
          <w:noProof/>
          <w:sz w:val="24"/>
        </w:rPr>
      </w:pPr>
      <w:r>
        <w:rPr>
          <w:rFonts w:ascii="Times New Roman" w:hAnsi="Times New Roman"/>
          <w:noProof/>
          <w:color w:val="000000"/>
          <w:sz w:val="24"/>
        </w:rPr>
        <w:t>Το άρθρο 4 παράγραφος 3 απαιτεί</w:t>
      </w:r>
      <w:r>
        <w:rPr>
          <w:rFonts w:ascii="Times New Roman" w:hAnsi="Times New Roman"/>
          <w:noProof/>
          <w:sz w:val="24"/>
        </w:rPr>
        <w:t xml:space="preserve"> από τα κράτη μέλη</w:t>
      </w:r>
      <w:r>
        <w:rPr>
          <w:rFonts w:ascii="Times New Roman" w:hAnsi="Times New Roman"/>
          <w:noProof/>
          <w:color w:val="000000"/>
          <w:sz w:val="24"/>
        </w:rPr>
        <w:t xml:space="preserve"> να απαγορεύουν προσωρινά, σε ορισμένες περιπτώσεις, σε φυσικά πρόσωπα την άσκηση ειδικής ή παρόμοιας επιχειρηματικής δραστηριότητας σε ανάλογη θέση ή ιδιότητα. </w:t>
      </w:r>
      <w:r>
        <w:rPr>
          <w:rFonts w:ascii="Times New Roman" w:hAnsi="Times New Roman"/>
          <w:noProof/>
          <w:sz w:val="24"/>
        </w:rPr>
        <w:t>Το στοιχείο αυτό λαμβάνεται υπόψη στο εθνικό δίκαιο 24 κρατών μελών (BE, BG, CZ, DE, DK, EE, EL, FR, HR, IE, IT, LV, LT, LU, HU, MT, NL, AT, PT, PL, RO, FI, SK και SI). Η SE διευκρίνισε ότι τα εν λόγω μέτρα μπορούν να ληφθούν βάσει της πράξης περί της απαγόρευσης της άσκησης εμπορικής δραστηριότητας, αλλά δεν υπέβαλε αναλυτικότερη επεξήγηση.</w:t>
      </w:r>
    </w:p>
    <w:p>
      <w:pPr>
        <w:spacing w:before="120" w:after="120" w:line="240" w:lineRule="auto"/>
        <w:jc w:val="both"/>
        <w:rPr>
          <w:rFonts w:ascii="Times New Roman" w:hAnsi="Times New Roman"/>
          <w:noProof/>
          <w:sz w:val="24"/>
        </w:rPr>
      </w:pPr>
      <w:r>
        <w:rPr>
          <w:rFonts w:ascii="Times New Roman" w:hAnsi="Times New Roman"/>
          <w:noProof/>
          <w:sz w:val="24"/>
        </w:rPr>
        <w:t>Οι πληροφορίες που παρασχέθηκαν από τις CY και ES δεν επαρκούν για την εξαγωγή συμπεράσματος σχετικά με το αν οι οικείες εθνικές νομοθεσίες λαμβάνουν υπόψη τις διατάξεις του άρθρου 4 παράγραφος 3.</w:t>
      </w:r>
    </w:p>
    <w:p>
      <w:pPr>
        <w:keepNext/>
        <w:numPr>
          <w:ilvl w:val="1"/>
          <w:numId w:val="0"/>
        </w:numPr>
        <w:tabs>
          <w:tab w:val="num" w:pos="850"/>
        </w:tabs>
        <w:spacing w:before="120" w:after="120" w:line="240" w:lineRule="auto"/>
        <w:ind w:left="850" w:hanging="850"/>
        <w:jc w:val="both"/>
        <w:outlineLvl w:val="1"/>
        <w:rPr>
          <w:rFonts w:ascii="Times New Roman" w:hAnsi="Times New Roman"/>
          <w:b/>
          <w:i/>
          <w:noProof/>
          <w:sz w:val="24"/>
        </w:rPr>
      </w:pPr>
      <w:r>
        <w:rPr>
          <w:rFonts w:ascii="Times New Roman" w:hAnsi="Times New Roman"/>
          <w:b/>
          <w:i/>
          <w:noProof/>
          <w:sz w:val="24"/>
        </w:rPr>
        <w:t>Άρθρο 5 — Ευθύνη νομικών προσώπων</w:t>
      </w:r>
    </w:p>
    <w:p>
      <w:pPr>
        <w:shd w:val="clear" w:color="auto" w:fill="FFFFFF"/>
        <w:spacing w:before="202" w:after="120" w:line="240" w:lineRule="auto"/>
        <w:jc w:val="both"/>
        <w:rPr>
          <w:rFonts w:ascii="Times New Roman" w:hAnsi="Times New Roman"/>
          <w:noProof/>
          <w:sz w:val="24"/>
        </w:rPr>
      </w:pPr>
      <w:r>
        <w:rPr>
          <w:rFonts w:ascii="Times New Roman" w:hAnsi="Times New Roman"/>
          <w:noProof/>
          <w:sz w:val="24"/>
        </w:rPr>
        <w:t>Το άρθρο 5 προβλέπει ότι τα νομικά πρόσωπα υπέχουν ευθύνη για αδικήματα σχετικά με την ενεργητική και την παθητική δωροδοκία. Τα κράτη μέλη δύνανται να αποφασίζουν αν πρόκειται για ποινική ή διοικητική ευθύνη.</w:t>
      </w:r>
    </w:p>
    <w:p>
      <w:pPr>
        <w:shd w:val="clear" w:color="auto" w:fill="FFFFFF"/>
        <w:spacing w:before="202" w:after="120" w:line="240" w:lineRule="auto"/>
        <w:jc w:val="both"/>
        <w:rPr>
          <w:rFonts w:ascii="Times New Roman" w:hAnsi="Times New Roman"/>
          <w:noProof/>
          <w:sz w:val="24"/>
        </w:rPr>
      </w:pPr>
      <w:r>
        <w:rPr>
          <w:rFonts w:ascii="Times New Roman" w:hAnsi="Times New Roman"/>
          <w:noProof/>
          <w:sz w:val="24"/>
        </w:rPr>
        <w:t>Σύμφωνα με το άρθρο 5 παράγραφος 1, τα κράτη μέλη πρέπει να εξασφαλίζουν ότι τα νομικά πρόσωπα υπέχουν ευθύνη για αδικήματα δωροδοκίας που έχουν τελεστεί προς όφελός τους από οιοδήποτε πρόσωπο το οποίο «</w:t>
      </w:r>
      <w:r>
        <w:rPr>
          <w:rFonts w:ascii="Times New Roman" w:hAnsi="Times New Roman"/>
          <w:i/>
          <w:noProof/>
          <w:sz w:val="24"/>
        </w:rPr>
        <w:t>ενεργ[εί] είτε ατομικά είτε ως μέλος οργάνου του νομικού προσώπου</w:t>
      </w:r>
      <w:r>
        <w:rPr>
          <w:rFonts w:ascii="Times New Roman" w:hAnsi="Times New Roman"/>
          <w:noProof/>
          <w:sz w:val="24"/>
        </w:rPr>
        <w:t>» και κατέχει ιθύνουσα θέση εντός του εν λόγω νομικού προσώπου.</w:t>
      </w:r>
    </w:p>
    <w:p>
      <w:pPr>
        <w:shd w:val="clear" w:color="auto" w:fill="FFFFFF"/>
        <w:spacing w:before="202" w:after="120" w:line="240" w:lineRule="auto"/>
        <w:jc w:val="both"/>
        <w:rPr>
          <w:rFonts w:ascii="Times New Roman" w:hAnsi="Times New Roman"/>
          <w:noProof/>
          <w:sz w:val="24"/>
        </w:rPr>
      </w:pPr>
      <w:r>
        <w:rPr>
          <w:rFonts w:ascii="Times New Roman" w:hAnsi="Times New Roman"/>
          <w:noProof/>
          <w:sz w:val="24"/>
        </w:rPr>
        <w:t>Σύμφωνα με το άρθρο 5 παράγραφος 2, τα κράτη μέλη οφείλουν να εξασφαλίζουν ότι ένα νομικό πρόσωπο μπορεί να θεωρηθεί επίσης υπεύθυνο σε περιπτώσεις όπου η τέλεση του αδικήματος κατέστη δυνατή λόγω πλημμελούς εποπτείας ή ελέγχου.</w:t>
      </w:r>
    </w:p>
    <w:p>
      <w:pPr>
        <w:shd w:val="clear" w:color="auto" w:fill="FFFFFF"/>
        <w:spacing w:before="202" w:after="120" w:line="240" w:lineRule="auto"/>
        <w:jc w:val="both"/>
        <w:rPr>
          <w:rFonts w:ascii="Times New Roman" w:hAnsi="Times New Roman"/>
          <w:noProof/>
          <w:sz w:val="24"/>
        </w:rPr>
      </w:pPr>
      <w:r>
        <w:rPr>
          <w:rFonts w:ascii="Times New Roman" w:hAnsi="Times New Roman"/>
          <w:noProof/>
          <w:sz w:val="24"/>
        </w:rPr>
        <w:t>Η ευθύνη των νομικών προσώπων δεν αποκλείει την ποινική δίωξη φυσικών προσώπων, τα οποία είναι αυτουργοί, ηθικοί αυτουργοί ή συνεργοί (άρθρο 5 παράγραφος 3).</w:t>
      </w:r>
    </w:p>
    <w:p>
      <w:pPr>
        <w:autoSpaceDE w:val="0"/>
        <w:autoSpaceDN w:val="0"/>
        <w:adjustRightInd w:val="0"/>
        <w:spacing w:after="0" w:line="240" w:lineRule="auto"/>
        <w:jc w:val="both"/>
        <w:rPr>
          <w:rFonts w:ascii="Times New Roman" w:hAnsi="Times New Roman"/>
          <w:noProof/>
          <w:color w:val="000000"/>
          <w:sz w:val="24"/>
        </w:rPr>
      </w:pPr>
      <w:r>
        <w:rPr>
          <w:rFonts w:ascii="Times New Roman" w:hAnsi="Times New Roman"/>
          <w:noProof/>
          <w:color w:val="000000"/>
          <w:sz w:val="24"/>
        </w:rPr>
        <w:t>Επί του παρόντος, σε 16 κράτη μέλη (BE, DK, DE, ES, EL, FR, CY, LV, LT, LU, HU, AT, PL, FI, SK και SI)</w:t>
      </w:r>
      <w:r>
        <w:rPr>
          <w:rFonts w:ascii="Times New Roman" w:hAnsi="Times New Roman"/>
          <w:noProof/>
          <w:color w:val="000000"/>
          <w:sz w:val="23"/>
        </w:rPr>
        <w:t xml:space="preserve"> υπάρχει νομοθεσία με την οποία μεταφέρεται η συγκεκριμένη διάταξη. </w:t>
      </w:r>
      <w:r>
        <w:rPr>
          <w:rFonts w:ascii="Times New Roman" w:hAnsi="Times New Roman"/>
          <w:noProof/>
          <w:color w:val="000000"/>
          <w:sz w:val="24"/>
        </w:rPr>
        <w:t>Ορισμένα κράτη μέλη χρησιμοποιούν ποινικά μέτρα, ενώ άλλα χρησιμοποιούν διοικητικά μέτρα κατά νομικών προσώπων. Και οι δύο προσεγγίσεις είναι εξίσου αποδεκτές βάσει της απόφασης-πλαισίου. Στην IE, η ευθύνη των νομικών προσώπων βασίζεται στη νομολογία. Η IE δεν υπέβαλε επαρκείς πληροφορίες ώστε να είναι δυνατή η αξιολόγηση της μεταφοράς του άρθρου 5 παράγραφοι 2 και 3 στο εθνικό δίκαιο.</w:t>
      </w:r>
    </w:p>
    <w:p>
      <w:pPr>
        <w:spacing w:before="120" w:after="120" w:line="240" w:lineRule="auto"/>
        <w:jc w:val="both"/>
        <w:rPr>
          <w:rFonts w:ascii="Times New Roman" w:hAnsi="Times New Roman"/>
          <w:noProof/>
          <w:sz w:val="24"/>
        </w:rPr>
      </w:pPr>
      <w:r>
        <w:rPr>
          <w:rFonts w:ascii="Times New Roman" w:hAnsi="Times New Roman"/>
          <w:noProof/>
          <w:sz w:val="24"/>
        </w:rPr>
        <w:t>Στην PT, η ευθύνη των νομικών προσώπων και ισοδύναμων οντοτήτων αποκλείεται εάν ο αυτουργός ενήργησε ενάντια στις συγκεκριμένες εντολές ή οδηγίες των προσώπων που έχουν το δικαίωμα να εκδίδουν τις εν λόγω εντολές ή οδηγίες. Στην HR, η ευθύνη των νομικών προσώπων εξαρτάται από δύο εναλλακτικά κριτήρια, εκ των οποίων το ένα αφορά «</w:t>
      </w:r>
      <w:r>
        <w:rPr>
          <w:rFonts w:ascii="Times New Roman" w:hAnsi="Times New Roman"/>
          <w:i/>
          <w:noProof/>
          <w:sz w:val="24"/>
        </w:rPr>
        <w:t>παράνομο κέρδος</w:t>
      </w:r>
      <w:r>
        <w:rPr>
          <w:rFonts w:ascii="Times New Roman" w:hAnsi="Times New Roman"/>
          <w:noProof/>
          <w:sz w:val="24"/>
        </w:rPr>
        <w:t>» για το νομικό πρόσωπο ή για τον τρίτο. Στην Εσθονία (EE), το νομικό πρόσωπο απαλλάσσεται από την ποινική ευθύνη εάν μια πράξη που τελέστηκε από αρμόδιο εκπρόσωπό του ήταν «αναπόφευκτη» για το νομικό πρόσωπο. Η IE παραπέμπει στο κοινό δίκαιο και στη συναφή νομολογία, σύμφωνα με την οποία ένα νομικό πρόσωπο υπέχει ευθύνη για τις πράξεις των οικείων «υπευθύνων ελέγχου».</w:t>
      </w:r>
    </w:p>
    <w:p>
      <w:pPr>
        <w:spacing w:before="120" w:after="120" w:line="240" w:lineRule="auto"/>
        <w:jc w:val="both"/>
        <w:rPr>
          <w:rFonts w:ascii="Times New Roman" w:hAnsi="Times New Roman"/>
          <w:noProof/>
          <w:sz w:val="24"/>
        </w:rPr>
      </w:pPr>
      <w:r>
        <w:rPr>
          <w:rFonts w:ascii="Times New Roman" w:hAnsi="Times New Roman"/>
          <w:noProof/>
          <w:sz w:val="24"/>
        </w:rPr>
        <w:t xml:space="preserve">Σύμφωνα με το άρθρο 5 παράγραφος 2, τα κράτη μέλη οφείλουν να εξασφαλίζουν ότι ένα νομικό πρόσωπο μπορεί να θεωρηθεί επίσης υπεύθυνο σε περιπτώσεις όπου η τέλεση του αδικήματος κατέστη δυνατή λόγω πλημμελούς εποπτείας ή ελέγχου. Σε οκτώ κράτη μέλη δεν υπάρχουν επαρκείς πληροφορίες για να διαπιστωθεί αν η άσκηση πλημμελούς εποπτείας ή ελέγχου καλύπτεται από το εθνικό δίκαιο (BG, CZ, EE, IT, MT, NL και PT) ή αν οι πτυχές αυτές καλύπτονται από τη νομολογία IE). </w:t>
      </w:r>
    </w:p>
    <w:p>
      <w:pPr>
        <w:spacing w:before="120" w:after="120" w:line="240" w:lineRule="auto"/>
        <w:jc w:val="both"/>
        <w:rPr>
          <w:rFonts w:ascii="Times New Roman" w:hAnsi="Times New Roman"/>
          <w:noProof/>
          <w:sz w:val="24"/>
        </w:rPr>
      </w:pPr>
      <w:r>
        <w:rPr>
          <w:rFonts w:ascii="Times New Roman" w:hAnsi="Times New Roman"/>
          <w:noProof/>
          <w:sz w:val="24"/>
        </w:rPr>
        <w:t>Στο άρθρο 5 παράγραφος 3 προβλέπεται αρνητική προϋπόθεση. Εάν τα κράτη μέλη δεν εφαρμόζουν αντιφατική νομοθεσία ή πρακτική, θεωρείται ότι πληρούν την εν λόγω προϋπόθεση, δηλαδή ότι η ευθύνη των νομικών προσώπων δεν αποκλείει την ποινική δίωξη φυσικών προσώπων, τα οποία είναι αυτουργοί, ηθικοί αυτουργοί ή συνεργοί.</w:t>
      </w:r>
    </w:p>
    <w:p>
      <w:pPr>
        <w:keepNext/>
        <w:numPr>
          <w:ilvl w:val="1"/>
          <w:numId w:val="0"/>
        </w:numPr>
        <w:tabs>
          <w:tab w:val="num" w:pos="850"/>
        </w:tabs>
        <w:spacing w:before="120" w:after="120" w:line="240" w:lineRule="auto"/>
        <w:ind w:left="850" w:hanging="850"/>
        <w:jc w:val="both"/>
        <w:outlineLvl w:val="1"/>
        <w:rPr>
          <w:rFonts w:ascii="Times New Roman" w:hAnsi="Times New Roman"/>
          <w:b/>
          <w:i/>
          <w:noProof/>
          <w:sz w:val="24"/>
        </w:rPr>
      </w:pPr>
      <w:r>
        <w:rPr>
          <w:rFonts w:ascii="Times New Roman" w:hAnsi="Times New Roman"/>
          <w:b/>
          <w:i/>
          <w:noProof/>
          <w:sz w:val="24"/>
        </w:rPr>
        <w:t>Άρθρο 6 — Κυρώσεις κατά νομικών προσώπων</w:t>
      </w:r>
    </w:p>
    <w:p>
      <w:pPr>
        <w:spacing w:before="120" w:after="120" w:line="240" w:lineRule="auto"/>
        <w:jc w:val="both"/>
        <w:rPr>
          <w:rFonts w:ascii="Times New Roman" w:hAnsi="Times New Roman"/>
          <w:noProof/>
          <w:sz w:val="24"/>
        </w:rPr>
      </w:pPr>
      <w:r>
        <w:rPr>
          <w:rFonts w:ascii="Times New Roman" w:hAnsi="Times New Roman"/>
          <w:noProof/>
          <w:sz w:val="24"/>
        </w:rPr>
        <w:t>Το άρθρο 6 απαιτεί από τα κράτη μέλη να επιβάλλουν αποτελεσματικές, αναλογικές και αποτρεπτικές κυρώσεις σε νομικά πρόσωπα (χρηματικές ποινές ή πρόστιμα) σε περιπτώσεις ενεργητικής και παθητικής δωροδοκίας, ηθικής αυτουργίας και συνέργειας, καθώς και πλημμελούς εποπτείας ή ελέγχου που καθιστά δυνατή την τέλεση του αδικήματος. Το άρθρο 6 παράγραφος 1, πέραν των χρηματικών ποινών, παρέχει και άλλα παραδείγματα κυρώσεων που μπορούν να επιβληθούν, όπως ο αποκλεισμός από δημόσιες παροχές ή ενισχύσεις, η απαγόρευση της άσκησης εμπορικής δραστηριότητας, η θέση υπό δικαστική εποπτεία, ή η δικαστική εκκαθάριση. Σύμφωνα με το άρθρο 6 παράγραφος 2, οι κυρώσεις πρέπει να είναι αποτελεσματικές, αναλογικές και αποτρεπτικές.</w:t>
      </w:r>
    </w:p>
    <w:p>
      <w:pPr>
        <w:autoSpaceDE w:val="0"/>
        <w:autoSpaceDN w:val="0"/>
        <w:adjustRightInd w:val="0"/>
        <w:spacing w:after="0" w:line="240" w:lineRule="auto"/>
        <w:jc w:val="both"/>
        <w:rPr>
          <w:rFonts w:ascii="Times New Roman" w:hAnsi="Times New Roman"/>
          <w:noProof/>
          <w:color w:val="000000"/>
          <w:sz w:val="23"/>
        </w:rPr>
      </w:pPr>
      <w:r>
        <w:rPr>
          <w:rFonts w:ascii="Times New Roman" w:hAnsi="Times New Roman"/>
          <w:noProof/>
          <w:color w:val="000000"/>
          <w:sz w:val="24"/>
        </w:rPr>
        <w:t>18 κράτη μέλη (BE, BG, CZ, DE, DK, EL, FR, HR, LV, LU, HU, MT, AT, PL, SK, SI, FI και CY)</w:t>
      </w:r>
      <w:r>
        <w:rPr>
          <w:rFonts w:ascii="Times New Roman" w:hAnsi="Times New Roman"/>
          <w:noProof/>
          <w:color w:val="000000"/>
          <w:sz w:val="23"/>
        </w:rPr>
        <w:t xml:space="preserve"> διαβίβασαν πληροφορίες από τις οποίες προκύπτει ότι οι διατάξεις του</w:t>
      </w:r>
      <w:r>
        <w:rPr>
          <w:rFonts w:ascii="Times New Roman" w:hAnsi="Times New Roman"/>
          <w:noProof/>
          <w:color w:val="000000"/>
          <w:sz w:val="24"/>
        </w:rPr>
        <w:t xml:space="preserve"> άρθρου 6 παράγραφος 1 έχουν μεταφερθεί στο εθνικό δίκαιο. </w:t>
      </w:r>
      <w:r>
        <w:rPr>
          <w:rFonts w:ascii="Times New Roman" w:hAnsi="Times New Roman"/>
          <w:noProof/>
          <w:color w:val="000000"/>
          <w:sz w:val="23"/>
        </w:rPr>
        <w:t>Οι πληροφορίες από τα άλλα κράτη μέλη δεν επαρκούν για την εξαγωγή ασφαλών συμπερασμάτων.</w:t>
      </w:r>
    </w:p>
    <w:p>
      <w:pPr>
        <w:widowControl w:val="0"/>
        <w:shd w:val="clear" w:color="auto" w:fill="FFFFFF"/>
        <w:tabs>
          <w:tab w:val="left" w:pos="0"/>
        </w:tabs>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Το άρθρο 6 παράγραφος 2 λαμβάνεται υπόψη στην εθνική νομοθεσία 26 κρατών μελών. Η IE επιβεβαιώνει τη μεταφορά του άρθρου 6 στο εθνικό δίκαιο μέσω νομικής πράξης που θεσπίστηκε το 1906. Ωστόσο, η πράξη αυτή καλύπτει μόνο την επιβολή κυρώσεων σε φυσικά πρόσωπα και όχι σε νομικά πρόσωπα. Ως εκ τούτου, οι πληροφορίες που παρασχέθηκαν δεν επαρκούν για την αξιολόγηση της μεταφοράς στο εθνικό δίκαιο.</w:t>
      </w:r>
    </w:p>
    <w:p>
      <w:pPr>
        <w:keepNext/>
        <w:numPr>
          <w:ilvl w:val="1"/>
          <w:numId w:val="0"/>
        </w:numPr>
        <w:tabs>
          <w:tab w:val="num" w:pos="850"/>
        </w:tabs>
        <w:spacing w:before="120" w:after="120" w:line="240" w:lineRule="auto"/>
        <w:ind w:left="850" w:hanging="850"/>
        <w:jc w:val="both"/>
        <w:outlineLvl w:val="1"/>
        <w:rPr>
          <w:rFonts w:ascii="Times New Roman" w:hAnsi="Times New Roman"/>
          <w:b/>
          <w:i/>
          <w:noProof/>
          <w:sz w:val="24"/>
        </w:rPr>
      </w:pPr>
      <w:r>
        <w:rPr>
          <w:rFonts w:ascii="Times New Roman" w:hAnsi="Times New Roman"/>
          <w:b/>
          <w:i/>
          <w:noProof/>
          <w:sz w:val="24"/>
        </w:rPr>
        <w:t>Άρθρο 7 — Δικαιοδοσία</w:t>
      </w:r>
    </w:p>
    <w:p>
      <w:pPr>
        <w:spacing w:before="120" w:after="120" w:line="240" w:lineRule="auto"/>
        <w:jc w:val="both"/>
        <w:rPr>
          <w:rFonts w:ascii="Times New Roman" w:hAnsi="Times New Roman"/>
          <w:noProof/>
          <w:sz w:val="24"/>
        </w:rPr>
      </w:pPr>
      <w:r>
        <w:rPr>
          <w:rFonts w:ascii="Times New Roman" w:hAnsi="Times New Roman"/>
          <w:noProof/>
          <w:sz w:val="24"/>
        </w:rPr>
        <w:t>Το άρθρο 7 απαιτεί από τα κράτη μέλη να λάβουν τα αναγκαία μέτρα προκειμένου να θεμελιώσουν τη δικαιοδοσία τους για τα αδικήματα που εμπίπτουν στο πεδίο εφαρμογής της εν λόγω απόφασης-πλαισίου, εφόσον το αδίκημα έχει διαπραχθεί εν όλω ή εν μέρει στο έδαφός τους, από υπήκοό τους, ή προς όφελος νομικού προσώπου που έχει την έδρα του στο έδαφός τους. Τα κράτη μέλη διαθέτουν ένα περιθώριο διακριτικής ευχέρειας όσον αφορά την εφαρμογή των δύο τελευταίων κανόνων δικαιοδοσίας.</w:t>
      </w:r>
    </w:p>
    <w:p>
      <w:pPr>
        <w:shd w:val="clear" w:color="auto" w:fill="FFFFFF"/>
        <w:spacing w:before="120" w:after="120" w:line="240" w:lineRule="auto"/>
        <w:jc w:val="both"/>
        <w:rPr>
          <w:rFonts w:ascii="Times New Roman" w:hAnsi="Times New Roman"/>
          <w:noProof/>
          <w:sz w:val="23"/>
        </w:rPr>
      </w:pPr>
      <w:r>
        <w:rPr>
          <w:rFonts w:ascii="Times New Roman" w:hAnsi="Times New Roman"/>
          <w:noProof/>
          <w:sz w:val="23"/>
        </w:rPr>
        <w:t>Όλα τα κράτη μέλη έχουν θεσπίσει εθνικά μέτρα για τη μεταφορά της διάταξης αυτής στο εθνικό τους δίκαιο.</w:t>
      </w:r>
    </w:p>
    <w:p>
      <w:pPr>
        <w:shd w:val="clear" w:color="auto" w:fill="FFFFFF"/>
        <w:spacing w:before="120" w:after="120" w:line="240" w:lineRule="auto"/>
        <w:jc w:val="both"/>
        <w:rPr>
          <w:rFonts w:ascii="Times New Roman" w:hAnsi="Times New Roman"/>
          <w:noProof/>
          <w:sz w:val="24"/>
        </w:rPr>
      </w:pPr>
      <w:r>
        <w:rPr>
          <w:rFonts w:ascii="Times New Roman" w:hAnsi="Times New Roman"/>
          <w:noProof/>
          <w:color w:val="000000"/>
          <w:sz w:val="24"/>
        </w:rPr>
        <w:t>Σύμφωνα με το άρθρο 7 παράγραφος 2, 16</w:t>
      </w:r>
      <w:r>
        <w:rPr>
          <w:rFonts w:ascii="Times New Roman" w:hAnsi="Times New Roman"/>
          <w:noProof/>
          <w:sz w:val="24"/>
        </w:rPr>
        <w:t xml:space="preserve"> κράτη μέλη</w:t>
      </w:r>
      <w:r>
        <w:rPr>
          <w:rFonts w:ascii="Times New Roman" w:hAnsi="Times New Roman"/>
          <w:noProof/>
          <w:color w:val="000000"/>
          <w:sz w:val="24"/>
        </w:rPr>
        <w:t xml:space="preserve"> (BG, DE, DK, FR, EL, IT, IE, LT, LU, HU, MT, NL, AT, PL, FI και SE) αποφάσισαν να μην εφαρμόσουν ορισμένους κανόνες δικαιοδοσίας (εφόσον το αδίκημα έχει διαπραχθεί από υπήκοό τους ή έχει διαπραχθεί προς όφελος νομικού προσώπου που έχει την έδρα του στο έδαφος του</w:t>
      </w:r>
      <w:r>
        <w:rPr>
          <w:rFonts w:ascii="Times New Roman" w:hAnsi="Times New Roman"/>
          <w:noProof/>
          <w:sz w:val="24"/>
        </w:rPr>
        <w:t xml:space="preserve"> κράτους μέλους</w:t>
      </w:r>
      <w:r>
        <w:rPr>
          <w:rFonts w:ascii="Times New Roman" w:hAnsi="Times New Roman"/>
          <w:noProof/>
          <w:color w:val="000000"/>
          <w:sz w:val="24"/>
        </w:rPr>
        <w:t xml:space="preserve">). </w:t>
      </w:r>
      <w:r>
        <w:rPr>
          <w:rFonts w:ascii="Times New Roman" w:hAnsi="Times New Roman"/>
          <w:noProof/>
          <w:sz w:val="24"/>
        </w:rPr>
        <w:t>Σε ορισμένα κράτη μέλη (όπως FI, FR ή DK) προβλέπεται, βάσει του άρθρου 7 παράγραφος 2 στοιχείο β), απαίτηση διττού αξιόποινου, η οποία ενδέχεται να υπόκειται σε περαιτέρω προϋποθέσεις, όπως η υποβολή αναφοράς από το θύμα (FR) ή η άσκηση δίωξης από τον εισαγγελέα (FR).</w:t>
      </w:r>
    </w:p>
    <w:p>
      <w:pPr>
        <w:shd w:val="clear" w:color="auto" w:fill="FFFFFF"/>
        <w:spacing w:before="120" w:after="120" w:line="240" w:lineRule="auto"/>
        <w:jc w:val="both"/>
        <w:rPr>
          <w:rFonts w:ascii="Times New Roman" w:hAnsi="Times New Roman"/>
          <w:noProof/>
          <w:sz w:val="24"/>
        </w:rPr>
      </w:pPr>
    </w:p>
    <w:p>
      <w:pPr>
        <w:keepNext/>
        <w:tabs>
          <w:tab w:val="num" w:pos="850"/>
        </w:tabs>
        <w:spacing w:before="120" w:after="120" w:line="240" w:lineRule="auto"/>
        <w:ind w:left="850" w:hanging="850"/>
        <w:jc w:val="both"/>
        <w:outlineLvl w:val="0"/>
        <w:rPr>
          <w:rFonts w:ascii="Times New Roman" w:hAnsi="Times New Roman"/>
          <w:b/>
          <w:smallCaps/>
          <w:noProof/>
          <w:sz w:val="24"/>
        </w:rPr>
      </w:pPr>
      <w:r>
        <w:rPr>
          <w:rFonts w:ascii="Times New Roman" w:hAnsi="Times New Roman"/>
          <w:b/>
          <w:smallCaps/>
          <w:noProof/>
          <w:sz w:val="24"/>
        </w:rPr>
        <w:t>ΣΥΜΠΕΡΑΣΜΑΤΑ</w:t>
      </w:r>
    </w:p>
    <w:p>
      <w:pPr>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 xml:space="preserve">Από τις πληροφορίες που ελήφθησαν από τα κράτη μέλη προκύπτει ότι </w:t>
      </w:r>
      <w:bookmarkStart w:id="5" w:name="_CopyToNewDocument_"/>
      <w:bookmarkEnd w:id="5"/>
      <w:r>
        <w:rPr>
          <w:rFonts w:ascii="Times New Roman" w:hAnsi="Times New Roman"/>
          <w:noProof/>
          <w:sz w:val="24"/>
        </w:rPr>
        <w:t>από το 2011 έχουν επέλθει σε πολλά από αυτά σημαντικές μεταρρυθμίσεις. Για παράδειγμα, η Ελλάδα τροποποίησε τις ποινικές διατάξεις της σχετικά με τη διαφθορά το 2014, ενώ το ίδιο έπραξαν επίσης η Βουλγαρία, η Γερμανία, η Εσθονία και η Ισπανία το 2015. Το Βέλγιο τροποποίησε τον ποινικό του κώδικα το 2016 και το 2018, ενώ η Ιταλία το έπραξε το 2017. Η Ουγγαρία θέσπισε νέο ποινικό κώδικα το 2012 και αναθεώρησε το σύνολο των σχετικών νομικών πράξεων. Η Σλοβακία θέσπισε νόμο σχετικά με την ευθύνη των νομικών προσώπων το 2016.</w:t>
      </w:r>
    </w:p>
    <w:p>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Συνολικά, το επίπεδο μεταφοράς της απόφασης-πλαισίου στο εθνικό δίκαιο παρουσιάζει σαφή βελτίωση σε σχέση με την έκθεση εφαρμογής του 2011. Το επίπεδο κυρώσεων που θεσπίστηκε στο πλαίσιο των εθνικών ποινικών κωδίκων συνάδει με τα κατώτατα όρια της απόφασης-πλαισίου σε όλα τα κράτη μέλη. </w:t>
      </w:r>
    </w:p>
    <w:p>
      <w:pPr>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 xml:space="preserve">Ωστόσο, η εφαρμογή ορισμένων διατάξεων της απόφασης-πλαισίου ήταν δυσχερής σε κάποια κράτη μέλη. Για παράδειγμα, η αποδοχή της υπόσχεσης δωροδοκίας δεν καλύπτεται από την εθνική νομοθεσία όλων των κρατών μελών, ενώ σε ορισμένες χώρες η τέλεση αδικήματος από πρόσωπο το οποίο ασκεί διευθυντική λειτουργία ή εργάζεται περιορίζεται σε συγκεκριμένες θέσεις ή αρμοδιότητες. Σε μικρό αριθμό κρατών μελών δεν φαίνεται να καλύπτεται πλήρως η διάταξη περί μη οφειλόμενου πλεονεκτήματος που προσφέρεται ή παρέχεται σε τρίτους. Το μη οφειλόμενο πλεονέκτημα αποτελεί επίσης έννοια η οποία ορίζεται με διάφορους τρόπους, καθώς σε ορισμένες περιπτώσεις καλύπτονται μόνο τα στοιχεία που είναι απολύτως αναγκαία, ενώ σε άλλες παραλείπονται σημαντικά στοιχεία. Επιπλέον, ορισμένα κράτη μέλη έχουν συμπεριλάβει περιορισμό επί του πεδίου εφαρμογής του αδικήματος της δωροδοκίας στον ιδιωτικό τομέα, είτε προβλέποντας ορισμένες συνθήκες υπό τις οποίες μπορεί να τελεστεί το αδίκημα είτε περιορίζοντας το πεδίο εφαρμογής του αδικήματος σε επιχειρήσεις και άλλους μη κερδοσκοπικούς φορείς, παραλείποντας κατά τον τρόπο αυτό τους μη κερδοσκοπικούς οργανισμούς. Σε ορισμένα κράτη μέλη, οι σχετικές διατάξεις του ποινικού κώδικα δεν επεκτείνονται σε μη κερδοσκοπικούς φορείς. </w:t>
      </w:r>
    </w:p>
    <w:p>
      <w:pPr>
        <w:autoSpaceDE w:val="0"/>
        <w:autoSpaceDN w:val="0"/>
        <w:adjustRightInd w:val="0"/>
        <w:spacing w:before="120" w:after="120" w:line="240" w:lineRule="auto"/>
        <w:jc w:val="both"/>
        <w:rPr>
          <w:rFonts w:ascii="Times New Roman" w:hAnsi="Times New Roman"/>
          <w:noProof/>
          <w:sz w:val="24"/>
        </w:rPr>
      </w:pPr>
      <w:r>
        <w:rPr>
          <w:rFonts w:ascii="Times New Roman" w:hAnsi="Times New Roman"/>
          <w:noProof/>
          <w:sz w:val="24"/>
        </w:rPr>
        <w:t>Μολονότι αρκετά κράτη μέλη έχουν καταβάλει προσπάθειες για την τροποποίηση της οικείας εθνικής νομοθεσίας, οι προσπάθειές τους πρέπει να επεκταθούν ώστε να συμπεριλάβουν και την επιβολή των εν λόγω ποινικών μέτρων. Από τα 22 κράτη μέλη που υπέβαλαν στατιστικά στοιχεία στο πλαίσιο της επικαιροποίησης του 2018 για τα έτη αναφοράς 2014-2016, μόνο 13 κράτη μέλη</w:t>
      </w:r>
      <w:r>
        <w:rPr>
          <w:rStyle w:val="FootnoteReference"/>
          <w:rFonts w:ascii="Times New Roman" w:hAnsi="Times New Roman"/>
          <w:noProof/>
          <w:sz w:val="24"/>
        </w:rPr>
        <w:footnoteReference w:id="24"/>
      </w:r>
      <w:r>
        <w:rPr>
          <w:rFonts w:ascii="Times New Roman" w:hAnsi="Times New Roman"/>
          <w:noProof/>
          <w:sz w:val="24"/>
        </w:rPr>
        <w:t xml:space="preserve"> διαβίβασαν καταγεγραμμένα στοιχεία σχετικά με τη δωροδοκία στον ιδιωτικό τομέα. Κατά τα έτη αναφοράς εκδόθηκαν ελάχιστες καταδικαστικές αποφάσεις δωροδοκίας στον ιδιωτικό τομέα.</w:t>
      </w:r>
    </w:p>
    <w:p>
      <w:pPr>
        <w:jc w:val="both"/>
        <w:rPr>
          <w:noProof/>
        </w:rPr>
      </w:pPr>
      <w:r>
        <w:rPr>
          <w:rFonts w:ascii="Times New Roman" w:hAnsi="Times New Roman"/>
          <w:noProof/>
          <w:sz w:val="24"/>
        </w:rPr>
        <w:t>Η Επιτροπή θα συνεχίσει να στηρίζει τα κράτη μέλη για τη διασφάλιση της μεταφοράς, της εφαρμογής και της επιβολής της νομοθεσίας της ΕΕ σε ικανοποιητικό επίπεδο. Σε αυτό το πλαίσιο περιλαμβάνονται ο έλεγχος της πλήρους συμμόρφωσης των εθνικών μέτρων με τις αντίστοιχες διατάξεις της απόφασης-πλαισίου, η διοργάνωση συναντήσεων με τις εθνικές αρχές των κρατών μελών και η διευκόλυνση της ανάπτυξης και της ανταλλαγής βέλτιστων πρακτικών σε συγκεκριμένους τομείς. Στις περιπτώσεις που κρίνεται απαραίτητο, η Επιτροπή θα χρησιμοποιήσει τις εξουσίες επιβολής της δυνάμει των Συνθηκών μέσω διαδικασιών επί παραβάσει. Τέλος, η Επιτροπή θα συνεχίσει να συλλέγει ποινικά στατιστικά στοιχεία που καλύπτουν τη δωροδοκία στον ιδιωτικό τομέα.</w:t>
      </w: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Times New Roman" w:hAnsi="Times New Roman"/>
        <w:b/>
        <w:sz w:val="48"/>
      </w:rPr>
    </w:pPr>
    <w:r>
      <w:tab/>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noProof/>
        <w:sz w:val="24"/>
      </w:rPr>
      <w:t>1</w:t>
    </w:r>
    <w:r>
      <w:rPr>
        <w:rFonts w:ascii="Times New Roman" w:hAnsi="Times New Roman" w:cs="Times New Roman"/>
        <w:sz w:val="24"/>
      </w:rP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pPr>
      <w:r>
        <w:rPr>
          <w:rStyle w:val="FootnoteReference"/>
        </w:rPr>
        <w:footnoteRef/>
      </w:r>
      <w:r>
        <w:tab/>
        <w:t>ΕΕ L 192 της 31.7.2003, σ. 54-56.</w:t>
      </w:r>
    </w:p>
  </w:footnote>
  <w:footnote w:id="3">
    <w:p>
      <w:pPr>
        <w:pStyle w:val="FootnoteText"/>
        <w:ind w:left="284" w:hanging="284"/>
      </w:pPr>
      <w:r>
        <w:rPr>
          <w:rStyle w:val="FootnoteReference"/>
        </w:rPr>
        <w:footnoteRef/>
      </w:r>
      <w:r>
        <w:tab/>
        <w:t>ΕΕ C 115 της 9.5.2008, σ. 322-326.</w:t>
      </w:r>
    </w:p>
  </w:footnote>
  <w:footnote w:id="4">
    <w:p>
      <w:pPr>
        <w:pStyle w:val="FootnoteText"/>
        <w:ind w:left="284" w:hanging="284"/>
      </w:pPr>
      <w:r>
        <w:rPr>
          <w:rStyle w:val="FootnoteReference"/>
        </w:rPr>
        <w:footnoteRef/>
      </w:r>
      <w:r>
        <w:tab/>
        <w:t>COM(2007) 328 τελικό. Το 2007 η Επιτροπή έκρινε ότι μόνο δύο κράτη μέλη είχαν μεταφέρει ορθά τις διατάξεις της στην εθνική τους νομοθεσία.</w:t>
      </w:r>
    </w:p>
  </w:footnote>
  <w:footnote w:id="5">
    <w:p>
      <w:pPr>
        <w:pStyle w:val="FootnoteText"/>
        <w:ind w:left="284" w:hanging="284"/>
      </w:pPr>
      <w:r>
        <w:rPr>
          <w:rStyle w:val="FootnoteReference"/>
        </w:rPr>
        <w:footnoteRef/>
      </w:r>
      <w:r>
        <w:tab/>
        <w:t>COM(2011) 309 τελικό. Η εν λόγω έκθεση κατέληξε στο συμπέρασμα ότι η μεταφορά στο εθνικό δίκαιο εξακολουθούσε να μην είναι ικανοποιητική παρότι είχε σημειωθεί μερική πρόοδος. Το κύριο πρόβλημα ήταν η ελλιπής μεταφορά ορισμένων στοιχείων των άρθρων 2 και 5 στο εθνικό δίκαιο. Ως αποτέλεσμα, η Επιτροπή κάλεσε τα κράτη μέλη να λάβουν χωρίς καθυστέρηση όλα τα αναγκαία μέτρα για τη διόρθωση της κατάστασης. Η Επιτροπή κάλεσε επίσης τα κράτη μέλη να κοινοποιήσουν τα μέτρα που θεσπίστηκαν μετά την τελευταία κοινοποίηση.</w:t>
      </w:r>
    </w:p>
  </w:footnote>
  <w:footnote w:id="6">
    <w:p>
      <w:pPr>
        <w:pStyle w:val="FootnoteText"/>
        <w:ind w:left="284" w:hanging="284"/>
        <w:jc w:val="left"/>
      </w:pPr>
      <w:r>
        <w:rPr>
          <w:rStyle w:val="FootnoteReference"/>
        </w:rPr>
        <w:footnoteRef/>
      </w:r>
      <w:r>
        <w:tab/>
        <w:t>Σειρά Συνθηκών του Συμβουλίου της Ευρώπης — αριθ. 173.</w:t>
      </w:r>
    </w:p>
    <w:p>
      <w:pPr>
        <w:pStyle w:val="FootnoteText"/>
        <w:ind w:left="284" w:hanging="295"/>
        <w:jc w:val="left"/>
      </w:pPr>
      <w:r>
        <w:tab/>
        <w:t>https://www.coe.int/en/web/conventions/full-list/-/conventions/rms/090000168007f3f5</w:t>
      </w:r>
    </w:p>
    <w:p>
      <w:pPr>
        <w:pStyle w:val="FootnoteText"/>
        <w:ind w:left="284" w:hanging="295"/>
        <w:jc w:val="left"/>
      </w:pPr>
      <w:r>
        <w:tab/>
        <w:t>https://www.unodc.org/documents/treaties/UNCAC/Publications/Convention/08-50026_E.pdf</w:t>
      </w:r>
    </w:p>
  </w:footnote>
  <w:footnote w:id="7">
    <w:p>
      <w:pPr>
        <w:pStyle w:val="FootnoteText"/>
        <w:ind w:left="284" w:hanging="295"/>
        <w:jc w:val="left"/>
        <w:rPr>
          <w:lang w:val="hu-HU"/>
        </w:rPr>
      </w:pPr>
      <w:r>
        <w:rPr>
          <w:rStyle w:val="FootnoteReference"/>
        </w:rPr>
        <w:footnoteRef/>
      </w:r>
      <w:r>
        <w:t xml:space="preserve"> </w:t>
      </w:r>
      <w:r>
        <w:tab/>
      </w:r>
      <w:hyperlink r:id="rId1">
        <w:r>
          <w:rPr>
            <w:rStyle w:val="Hyperlink"/>
          </w:rPr>
          <w:t>http://ec.europa.eu/transparency/regexpert/index.cfm?do=groupDetail.groupDetailDoc&amp;id=21215&amp;no=2</w:t>
        </w:r>
      </w:hyperlink>
    </w:p>
  </w:footnote>
  <w:footnote w:id="8">
    <w:p>
      <w:pPr>
        <w:pStyle w:val="FootnoteText"/>
        <w:ind w:left="284" w:hanging="295"/>
        <w:jc w:val="left"/>
        <w:rPr>
          <w:lang w:val="hu-HU"/>
        </w:rPr>
      </w:pPr>
      <w:r>
        <w:rPr>
          <w:rStyle w:val="FootnoteReference"/>
        </w:rPr>
        <w:footnoteRef/>
      </w:r>
      <w:r>
        <w:rPr>
          <w:lang w:val="hu-HU"/>
        </w:rPr>
        <w:t xml:space="preserve"> </w:t>
      </w:r>
      <w:r>
        <w:rPr>
          <w:lang w:val="hu-HU"/>
        </w:rPr>
        <w:tab/>
        <w:t>BE, BG, CZ, DE, ES, HR, IE, IT, CY, LV, LT, LU, HU, RO, AT, PL, PT, SK, SI, FI, SE, UK.</w:t>
      </w:r>
    </w:p>
  </w:footnote>
  <w:footnote w:id="9">
    <w:p>
      <w:pPr>
        <w:pStyle w:val="FootnoteText"/>
        <w:ind w:left="284" w:hanging="295"/>
        <w:jc w:val="left"/>
        <w:rPr>
          <w:lang w:val="en-IE"/>
        </w:rPr>
      </w:pPr>
      <w:r>
        <w:rPr>
          <w:rStyle w:val="FootnoteReference"/>
        </w:rPr>
        <w:footnoteRef/>
      </w:r>
      <w:r>
        <w:rPr>
          <w:lang w:val="en-GB"/>
        </w:rPr>
        <w:t xml:space="preserve"> </w:t>
      </w:r>
      <w:r>
        <w:rPr>
          <w:lang w:val="en-GB"/>
        </w:rPr>
        <w:tab/>
        <w:t xml:space="preserve">BE, HR, IT, LU, LV, PL </w:t>
      </w:r>
      <w:r>
        <w:t>και</w:t>
      </w:r>
      <w:r>
        <w:rPr>
          <w:lang w:val="en-GB"/>
        </w:rPr>
        <w:t xml:space="preserve"> SI.</w:t>
      </w:r>
    </w:p>
  </w:footnote>
  <w:footnote w:id="10">
    <w:p>
      <w:pPr>
        <w:pStyle w:val="FootnoteText"/>
        <w:ind w:left="284" w:hanging="284"/>
      </w:pPr>
      <w:r>
        <w:rPr>
          <w:rStyle w:val="FootnoteReference"/>
        </w:rPr>
        <w:footnoteRef/>
      </w:r>
      <w:r>
        <w:tab/>
        <w:t>Οι παραπομπές σε νομικές διατάξεις, τόσο της εθνικής νομοθεσίας όσο και της Σύμβασης των Ηνωμένων Εθνών κατά της διαφθοράς, παρατίθενται όπως υποβλήθηκαν από τα κράτη μέλη. Το πλαίσιο των αδικημάτων βασίζεται στα άρθρα 15-22 της UNCAC, σε μια προσπάθεια διευκόλυνσης της συγκρισιμότητας στο μέλλον, καθώς και για την καλύτερη κατανόηση των αποκλίσεων μεταξύ των ορισμών και των συστημάτων καταγραφής. Η συμπερίληψη των δεδομένων σε συγκεκριμένη κατηγορία έναντι κάποιας άλλης δεν αποτελεί κρίση της Επιτροπής όσον αφορά το πεδίο εφαρμογής των εθνικών διατάξεων σε σχέση με τις κατηγορίες για τις οποίες ζητήθηκαν δεδομένα. Αναλυτική εξέταση της μεθοδολογίας είναι διαθέσιμη στην ακόλουθη διεύθυνση:</w:t>
      </w:r>
      <w:r>
        <w:tab/>
      </w:r>
      <w:r>
        <w:br/>
      </w:r>
      <w:hyperlink r:id="rId2">
        <w:r>
          <w:rPr>
            <w:rStyle w:val="Hyperlink"/>
          </w:rPr>
          <w:t>https://ec.europa.eu/home-affairs/sites/homeaffairs/files/what-we-do/policies/organized-crime-and-human-trafficking/corruption/docs/official_corruption_statistics_2011_2013_jan16_en.pdf</w:t>
        </w:r>
      </w:hyperlink>
    </w:p>
    <w:p>
      <w:pPr>
        <w:pStyle w:val="FootnoteText"/>
        <w:ind w:left="284" w:hanging="284"/>
        <w:rPr>
          <w:lang w:val="fr-BE"/>
        </w:rPr>
      </w:pPr>
      <w:r>
        <w:rPr>
          <w:lang w:val="fr-BE"/>
        </w:rPr>
        <w:t>.</w:t>
      </w:r>
    </w:p>
  </w:footnote>
  <w:footnote w:id="11">
    <w:p>
      <w:pPr>
        <w:pStyle w:val="FootnoteText"/>
        <w:ind w:left="284" w:hanging="284"/>
        <w:rPr>
          <w:lang w:val="fr-BE"/>
        </w:rPr>
      </w:pPr>
      <w:r>
        <w:rPr>
          <w:rStyle w:val="FootnoteReference"/>
        </w:rPr>
        <w:footnoteRef/>
      </w:r>
      <w:r>
        <w:rPr>
          <w:lang w:val="fr-BE"/>
        </w:rPr>
        <w:tab/>
        <w:t>«</w:t>
      </w:r>
      <w:r>
        <w:rPr>
          <w:i/>
          <w:lang w:val="fr-BE"/>
        </w:rPr>
        <w:t>proposer une offre, une promesse ou un avantage de toute nature</w:t>
      </w:r>
      <w:r>
        <w:rPr>
          <w:lang w:val="fr-BE"/>
        </w:rPr>
        <w:t>».</w:t>
      </w:r>
    </w:p>
  </w:footnote>
  <w:footnote w:id="12">
    <w:p>
      <w:pPr>
        <w:pStyle w:val="FootnoteText"/>
        <w:ind w:left="284" w:hanging="284"/>
      </w:pPr>
      <w:r>
        <w:rPr>
          <w:rStyle w:val="FootnoteReference"/>
        </w:rPr>
        <w:footnoteRef/>
      </w:r>
      <w:r>
        <w:tab/>
        <w:t>Άρθρα 115, 120 και 121 του ποινικού κώδικα.</w:t>
      </w:r>
    </w:p>
  </w:footnote>
  <w:footnote w:id="13">
    <w:p>
      <w:pPr>
        <w:pStyle w:val="FootnoteText"/>
        <w:ind w:left="284" w:hanging="284"/>
      </w:pPr>
      <w:r>
        <w:rPr>
          <w:rStyle w:val="FootnoteReference"/>
        </w:rPr>
        <w:footnoteRef/>
      </w:r>
      <w:r>
        <w:tab/>
        <w:t>Σύμφωνα με τα σημεία 41-42 της αιτιολογικής έκθεσης για τη Σύμβαση ποινικού δικαίου.</w:t>
      </w:r>
    </w:p>
  </w:footnote>
  <w:footnote w:id="14">
    <w:p>
      <w:pPr>
        <w:pStyle w:val="FootnoteText"/>
        <w:ind w:left="284" w:hanging="284"/>
        <w:rPr>
          <w:lang w:val="it-IT"/>
        </w:rPr>
      </w:pPr>
      <w:r>
        <w:rPr>
          <w:rStyle w:val="FootnoteReference"/>
        </w:rPr>
        <w:footnoteRef/>
      </w:r>
      <w:r>
        <w:rPr>
          <w:lang w:val="it-IT"/>
        </w:rPr>
        <w:tab/>
        <w:t>«</w:t>
      </w:r>
      <w:r>
        <w:t>οιοσδήποτε</w:t>
      </w:r>
      <w:r>
        <w:rPr>
          <w:lang w:val="it-IT"/>
        </w:rPr>
        <w:t>».</w:t>
      </w:r>
    </w:p>
  </w:footnote>
  <w:footnote w:id="15">
    <w:p>
      <w:pPr>
        <w:pStyle w:val="FootnoteText"/>
        <w:ind w:left="284" w:hanging="284"/>
        <w:rPr>
          <w:lang w:val="it-IT"/>
        </w:rPr>
      </w:pPr>
      <w:r>
        <w:rPr>
          <w:rStyle w:val="FootnoteReference"/>
        </w:rPr>
        <w:footnoteRef/>
      </w:r>
      <w:r>
        <w:rPr>
          <w:lang w:val="it-IT"/>
        </w:rPr>
        <w:tab/>
        <w:t>«</w:t>
      </w:r>
      <w:r>
        <w:rPr>
          <w:i/>
          <w:color w:val="000000"/>
          <w:lang w:val="it-IT"/>
        </w:rPr>
        <w:t>esercita funzioni direttivi diverse</w:t>
      </w:r>
      <w:r>
        <w:rPr>
          <w:lang w:val="it-IT"/>
        </w:rPr>
        <w:t>»</w:t>
      </w:r>
      <w:r>
        <w:rPr>
          <w:color w:val="000000"/>
          <w:lang w:val="it-IT"/>
        </w:rPr>
        <w:t>.</w:t>
      </w:r>
    </w:p>
  </w:footnote>
  <w:footnote w:id="16">
    <w:p>
      <w:pPr>
        <w:pStyle w:val="FootnoteText"/>
        <w:ind w:left="284" w:hanging="284"/>
        <w:rPr>
          <w:lang w:val="es-ES"/>
        </w:rPr>
      </w:pPr>
      <w:r>
        <w:rPr>
          <w:rStyle w:val="FootnoteReference"/>
        </w:rPr>
        <w:footnoteRef/>
      </w:r>
      <w:r>
        <w:rPr>
          <w:lang w:val="es-ES"/>
        </w:rPr>
        <w:tab/>
      </w:r>
      <w:r>
        <w:rPr>
          <w:color w:val="000000"/>
          <w:lang w:val="es-ES"/>
        </w:rPr>
        <w:t>«</w:t>
      </w:r>
      <w:r>
        <w:rPr>
          <w:i/>
          <w:color w:val="000000"/>
          <w:lang w:val="es-ES"/>
        </w:rPr>
        <w:t>Unternehmen/elinkein</w:t>
      </w:r>
      <w:r>
        <w:rPr>
          <w:color w:val="000000"/>
          <w:lang w:val="es-ES"/>
        </w:rPr>
        <w:t>».</w:t>
      </w:r>
    </w:p>
  </w:footnote>
  <w:footnote w:id="17">
    <w:p>
      <w:pPr>
        <w:pStyle w:val="FootnoteText"/>
        <w:rPr>
          <w:lang w:val="hu-HU"/>
        </w:rPr>
      </w:pPr>
      <w:r>
        <w:rPr>
          <w:rStyle w:val="FootnoteReference"/>
        </w:rPr>
        <w:footnoteRef/>
      </w:r>
      <w:r>
        <w:rPr>
          <w:lang w:val="es-ES"/>
        </w:rPr>
        <w:t xml:space="preserve">   </w:t>
      </w:r>
      <w:r>
        <w:rPr>
          <w:color w:val="000000"/>
          <w:lang w:val="es-ES"/>
        </w:rPr>
        <w:t>«</w:t>
      </w:r>
      <w:r>
        <w:rPr>
          <w:i/>
          <w:color w:val="000000"/>
          <w:lang w:val="es-ES"/>
        </w:rPr>
        <w:t>empresa mercantile/sociedad</w:t>
      </w:r>
      <w:r>
        <w:rPr>
          <w:color w:val="000000"/>
          <w:lang w:val="es-ES"/>
        </w:rPr>
        <w:t>».</w:t>
      </w:r>
    </w:p>
  </w:footnote>
  <w:footnote w:id="18">
    <w:p>
      <w:pPr>
        <w:pStyle w:val="FootnoteText"/>
        <w:ind w:left="284" w:hanging="284"/>
      </w:pPr>
      <w:r>
        <w:rPr>
          <w:rStyle w:val="FootnoteReference"/>
        </w:rPr>
        <w:footnoteRef/>
      </w:r>
      <w:r>
        <w:tab/>
        <w:t>Όπως ορίζεται στο άρθρο 131 παράγραφος 3.</w:t>
      </w:r>
      <w:r>
        <w:rPr>
          <w:i/>
        </w:rPr>
        <w:t xml:space="preserve"> </w:t>
      </w:r>
      <w:r>
        <w:t>«</w:t>
      </w:r>
      <w:r>
        <w:rPr>
          <w:i/>
        </w:rPr>
        <w:t>Αντικείμενο</w:t>
      </w:r>
      <w:r>
        <w:t>» κατά τον ορισμό του άρθρου 130 παράγραφοι 1 και 2.</w:t>
      </w:r>
    </w:p>
  </w:footnote>
  <w:footnote w:id="19">
    <w:p>
      <w:pPr>
        <w:pStyle w:val="FootnoteText"/>
        <w:ind w:left="284" w:hanging="284"/>
      </w:pPr>
      <w:r>
        <w:rPr>
          <w:rStyle w:val="FootnoteReference"/>
        </w:rPr>
        <w:footnoteRef/>
      </w:r>
      <w:r>
        <w:tab/>
        <w:t>Άρθρο 334 παράγραφος 1 του ποινικού κώδικα.</w:t>
      </w:r>
    </w:p>
  </w:footnote>
  <w:footnote w:id="20">
    <w:p>
      <w:pPr>
        <w:pStyle w:val="FootnoteText"/>
        <w:ind w:left="284" w:hanging="284"/>
      </w:pPr>
      <w:r>
        <w:rPr>
          <w:rStyle w:val="FootnoteReference"/>
        </w:rPr>
        <w:footnoteRef/>
      </w:r>
      <w:r>
        <w:tab/>
        <w:t>Άρθρο 328β του ποινικού κώδικα.</w:t>
      </w:r>
    </w:p>
  </w:footnote>
  <w:footnote w:id="21">
    <w:p>
      <w:pPr>
        <w:pStyle w:val="FootnoteText"/>
        <w:ind w:left="284" w:hanging="284"/>
      </w:pPr>
      <w:r>
        <w:rPr>
          <w:rStyle w:val="FootnoteReference"/>
        </w:rPr>
        <w:footnoteRef/>
      </w:r>
      <w:r>
        <w:tab/>
      </w:r>
      <w:r>
        <w:rPr>
          <w:i/>
          <w:color w:val="000000"/>
        </w:rPr>
        <w:t>Unternehmen/elinkeino.</w:t>
      </w:r>
    </w:p>
  </w:footnote>
  <w:footnote w:id="22">
    <w:p>
      <w:pPr>
        <w:pStyle w:val="FootnoteText"/>
        <w:ind w:left="284" w:hanging="284"/>
      </w:pPr>
      <w:r>
        <w:rPr>
          <w:rStyle w:val="FootnoteReference"/>
        </w:rPr>
        <w:footnoteRef/>
      </w:r>
      <w:r>
        <w:tab/>
        <w:t>Αυτό οφείλεται στο γεγονός ότι ο ορισμός της ενεργητικής και παθητικής δωροδοκίας περιλαμβάνει επίσης την «υπόσχεση», την «προσφορά» και την «αίτηση» ή την «αποδοχή της υπόσχεσης» και όχι μόνο την «παροχή» και «αποδοχή».</w:t>
      </w:r>
    </w:p>
  </w:footnote>
  <w:footnote w:id="23">
    <w:p>
      <w:pPr>
        <w:pStyle w:val="FootnoteText"/>
        <w:ind w:left="284" w:hanging="284"/>
      </w:pPr>
      <w:r>
        <w:rPr>
          <w:rStyle w:val="FootnoteReference"/>
        </w:rPr>
        <w:footnoteRef/>
      </w:r>
      <w:r>
        <w:tab/>
      </w:r>
      <w:r>
        <w:rPr>
          <w:i/>
        </w:rPr>
        <w:t>«Favoreggiamento».</w:t>
      </w:r>
    </w:p>
  </w:footnote>
  <w:footnote w:id="24">
    <w:p>
      <w:pPr>
        <w:pStyle w:val="FootnoteText"/>
      </w:pPr>
      <w:r>
        <w:rPr>
          <w:rStyle w:val="FootnoteReference"/>
        </w:rPr>
        <w:footnoteRef/>
      </w:r>
      <w:r>
        <w:t xml:space="preserve"> AT, BE, BG, DE, HR, HU, IT, LT, LU, PL, PT, SL και UK.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98A3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2E07454"/>
    <w:multiLevelType w:val="hybridMultilevel"/>
    <w:tmpl w:val="FDE028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5">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
    <w:nsid w:val="349E4879"/>
    <w:multiLevelType w:val="hybridMultilevel"/>
    <w:tmpl w:val="366E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9">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0">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1">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2">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68864DC"/>
    <w:multiLevelType w:val="singleLevel"/>
    <w:tmpl w:val="485EBDAC"/>
    <w:name w:val="Bullet 0"/>
    <w:lvl w:ilvl="0">
      <w:start w:val="1"/>
      <w:numFmt w:val="bullet"/>
      <w:lvlRestart w:val="0"/>
      <w:pStyle w:val="Tiret4"/>
      <w:lvlText w:val="–"/>
      <w:lvlJc w:val="left"/>
      <w:pPr>
        <w:tabs>
          <w:tab w:val="num" w:pos="3118"/>
        </w:tabs>
        <w:ind w:left="3118" w:hanging="567"/>
      </w:pPr>
    </w:lvl>
  </w:abstractNum>
  <w:abstractNum w:abstractNumId="16">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5F342530"/>
    <w:multiLevelType w:val="singleLevel"/>
    <w:tmpl w:val="D5444702"/>
    <w:name w:val="Tiret 4"/>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F9C40AA"/>
    <w:multiLevelType w:val="singleLevel"/>
    <w:tmpl w:val="B89CB5A2"/>
    <w:name w:val="Bullet 3"/>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62970F71"/>
    <w:multiLevelType w:val="singleLevel"/>
    <w:tmpl w:val="5AFA8C72"/>
    <w:name w:val="Bullet 2"/>
    <w:lvl w:ilvl="0">
      <w:start w:val="1"/>
      <w:numFmt w:val="bullet"/>
      <w:lvlRestart w:val="0"/>
      <w:pStyle w:val="Tiret2"/>
      <w:lvlText w:val="–"/>
      <w:lvlJc w:val="left"/>
      <w:pPr>
        <w:tabs>
          <w:tab w:val="num" w:pos="1984"/>
        </w:tabs>
        <w:ind w:left="1984" w:hanging="567"/>
      </w:pPr>
    </w:lvl>
  </w:abstractNum>
  <w:abstractNum w:abstractNumId="21">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nsid w:val="69995580"/>
    <w:multiLevelType w:val="singleLevel"/>
    <w:tmpl w:val="75CC7CBA"/>
    <w:name w:val="Tiret 2"/>
    <w:lvl w:ilvl="0">
      <w:start w:val="1"/>
      <w:numFmt w:val="decimal"/>
      <w:lvlRestart w:val="0"/>
      <w:pStyle w:val="Considrant"/>
      <w:lvlText w:val="(%1)"/>
      <w:lvlJc w:val="left"/>
      <w:pPr>
        <w:tabs>
          <w:tab w:val="num" w:pos="709"/>
        </w:tabs>
        <w:ind w:left="709" w:hanging="709"/>
      </w:pPr>
    </w:lvl>
  </w:abstractNum>
  <w:abstractNum w:abstractNumId="23">
    <w:nsid w:val="6A6901C1"/>
    <w:multiLevelType w:val="singleLevel"/>
    <w:tmpl w:val="208841AE"/>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4">
    <w:nsid w:val="6D2B5511"/>
    <w:multiLevelType w:val="singleLevel"/>
    <w:tmpl w:val="74A09970"/>
    <w:lvl w:ilvl="0">
      <w:start w:val="1"/>
      <w:numFmt w:val="bullet"/>
      <w:lvlRestart w:val="0"/>
      <w:lvlText w:val=""/>
      <w:lvlJc w:val="left"/>
      <w:pPr>
        <w:tabs>
          <w:tab w:val="num" w:pos="283"/>
        </w:tabs>
        <w:ind w:left="283" w:hanging="283"/>
      </w:pPr>
      <w:rPr>
        <w:rFonts w:ascii="Symbol" w:hAnsi="Symbol" w:hint="default"/>
      </w:rPr>
    </w:lvl>
  </w:abstractNum>
  <w:abstractNum w:abstractNumId="25">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5C26F71"/>
    <w:multiLevelType w:val="multilevel"/>
    <w:tmpl w:val="E01E7708"/>
    <w:name w:val="NumPar"/>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8">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BE95D7F"/>
    <w:multiLevelType w:val="multilevel"/>
    <w:tmpl w:val="F126F780"/>
    <w:name w:val="Heading"/>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0">
    <w:nsid w:val="7D6F67EC"/>
    <w:multiLevelType w:val="hybridMultilevel"/>
    <w:tmpl w:val="3CD6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2">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9"/>
  </w:num>
  <w:num w:numId="2">
    <w:abstractNumId w:val="8"/>
  </w:num>
  <w:num w:numId="3">
    <w:abstractNumId w:val="20"/>
  </w:num>
  <w:num w:numId="4">
    <w:abstractNumId w:val="10"/>
  </w:num>
  <w:num w:numId="5">
    <w:abstractNumId w:val="15"/>
  </w:num>
  <w:num w:numId="6">
    <w:abstractNumId w:val="25"/>
  </w:num>
  <w:num w:numId="7">
    <w:abstractNumId w:val="26"/>
  </w:num>
  <w:num w:numId="8">
    <w:abstractNumId w:val="29"/>
  </w:num>
  <w:num w:numId="9">
    <w:abstractNumId w:val="14"/>
  </w:num>
  <w:num w:numId="10">
    <w:abstractNumId w:val="6"/>
  </w:num>
  <w:num w:numId="11">
    <w:abstractNumId w:val="19"/>
  </w:num>
  <w:num w:numId="12">
    <w:abstractNumId w:val="17"/>
  </w:num>
  <w:num w:numId="13">
    <w:abstractNumId w:val="13"/>
  </w:num>
  <w:num w:numId="14">
    <w:abstractNumId w:val="22"/>
  </w:num>
  <w:num w:numId="15">
    <w:abstractNumId w:val="18"/>
  </w:num>
  <w:num w:numId="16">
    <w:abstractNumId w:val="28"/>
  </w:num>
  <w:num w:numId="17">
    <w:abstractNumId w:val="5"/>
  </w:num>
  <w:num w:numId="18">
    <w:abstractNumId w:val="3"/>
  </w:num>
  <w:num w:numId="19">
    <w:abstractNumId w:val="1"/>
  </w:num>
  <w:num w:numId="20">
    <w:abstractNumId w:val="24"/>
  </w:num>
  <w:num w:numId="21">
    <w:abstractNumId w:val="23"/>
  </w:num>
  <w:num w:numId="22">
    <w:abstractNumId w:val="4"/>
  </w:num>
  <w:num w:numId="23">
    <w:abstractNumId w:val="11"/>
  </w:num>
  <w:num w:numId="24">
    <w:abstractNumId w:val="32"/>
  </w:num>
  <w:num w:numId="25">
    <w:abstractNumId w:val="12"/>
  </w:num>
  <w:num w:numId="26">
    <w:abstractNumId w:val="21"/>
  </w:num>
  <w:num w:numId="27">
    <w:abstractNumId w:val="16"/>
  </w:num>
  <w:num w:numId="28">
    <w:abstractNumId w:val="27"/>
  </w:num>
  <w:num w:numId="29">
    <w:abstractNumId w:val="31"/>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0"/>
  </w:num>
  <w:num w:numId="36">
    <w:abstractNumId w:val="7"/>
  </w:num>
  <w:num w:numId="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AI Borbala (HOME)">
    <w15:presenceInfo w15:providerId="None" w15:userId="GARAI Borbala (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it-IT" w:vendorID="64" w:dllVersion="131078" w:nlCheck="1" w:checkStyle="0"/>
  <w:activeWritingStyle w:appName="MSWord" w:lang="pt-PT" w:vendorID="64" w:dllVersion="131078" w:nlCheck="1" w:checkStyle="0"/>
  <w:activeWritingStyle w:appName="MSWord" w:lang="es-ES" w:vendorID="64" w:dllVersion="131078" w:nlCheck="1" w:checkStyle="1"/>
  <w:revisionView w:markup="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4F07DA2-121D-4392-BC40-217EB249388B"/>
    <w:docVar w:name="LW_COVERPAGE_TYPE" w:val="1"/>
    <w:docVar w:name="LW_CROSSREFERENCE" w:val="&lt;UNUSED&gt;"/>
    <w:docVar w:name="LW_DocType" w:val="NORMAL"/>
    <w:docVar w:name="LW_EMISSION" w:val="26.7.2019"/>
    <w:docVar w:name="LW_EMISSION_ISODATE" w:val="2019-07-26"/>
    <w:docVar w:name="LW_EMISSION_LOCATION" w:val="BRX"/>
    <w:docVar w:name="LW_EMISSION_PREFIX" w:val="Βρυξέλλες, "/>
    <w:docVar w:name="LW_EMISSION_SUFFIX" w:val=" "/>
    <w:docVar w:name="LW_ID_DOCTYPE_NONLW" w:val="CP-006"/>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9) 3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947?\u953?\u945? \u964?\u951?\u957? \u945?\u958?\u953?\u959?\u955?\u972?\u947?\u951?\u963?\u951? \u964?\u959?\u965? \u946?\u945?\u952?\u956?\u959?\u973? \u963?\u964?\u959?\u957? \u959?\u960?\u959?\u943?\u959? \u964?\u945? \u954?\u961?\u940?\u964?\u951? \u956?\u941?\u955?\u951? \u941?\u967?\u959?\u965?\u957? \u955?\u940?\u946?\u949?\u953? \u964?\u945? \u945?\u960?\u945?\u961?\u945?\u943?\u964?\u951?\u964?\u945? \u956?\u941?\u964?\u961?\u945? \u963?\u965?\u956?\u956?\u972?\u961?\u966?\u969?\u963?\u951?\u962? \u956?\u949? \u964?\u951?\u957? \u945?\u960?\u972?\u966?\u945?\u963?\u951?-\u960?\u955?\u945?\u943?\u963?\u953?\u959? 2003/568/\u916?\u917?\u933? \u964?\u959?\u965? \u931?\u965?\u956?\u946?\u959?\u965?\u955?\u943?\u959?\u965?, \u964?\u951?\u962? 22\u945?\u962? \u921?\u959?\u965?\u955?\u943?\u959?\u965? 2003, \u947?\u953?\u945? \u964?\u951?\u957? \u954?\u945?\u964?\u945?\u960?\u959?\u955?\u941?\u956?\u951?\u963?\u951? \u964?\u951?\u962? \u948?\u969?\u961?\u959?\u948?\u959?\u954?\u943?\u945?\u962? \u963?\u964?\u959?\u957? \u953?\u948?\u953?\u969?\u964?\u953?\u954?\u972? \u964?\u959?\u956?\u941?\u945?"/>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 w:name="Stamp" w:val="\\dossiers.dgt.cec.eu.int\dossiers\HOME\HOME-2019-01118\HOME-2019-01118-00-00-EN-EDT-00.201905161329530655768.DOCX"/>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7"/>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Text1"/>
    <w:link w:val="Heading3Char"/>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7"/>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val="el-GR"/>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el-GR"/>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val="el-GR"/>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val="el-GR"/>
    </w:rPr>
  </w:style>
  <w:style w:type="numbering" w:customStyle="1" w:styleId="NoList1">
    <w:name w:val="No List1"/>
    <w:next w:val="NoList"/>
    <w:semiHidden/>
  </w:style>
  <w:style w:type="paragraph" w:styleId="FootnoteText">
    <w:name w:val="footnote text"/>
    <w:basedOn w:val="Normal"/>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semiHidden/>
    <w:rPr>
      <w:rFonts w:ascii="Times New Roman" w:eastAsia="Times New Roman" w:hAnsi="Times New Roman" w:cs="Times New Roman"/>
      <w:sz w:val="20"/>
      <w:szCs w:val="20"/>
      <w:lang w:val="el-GR"/>
    </w:rPr>
  </w:style>
  <w:style w:type="paragraph" w:styleId="TOC1">
    <w:name w:val="toc 1"/>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Calibri"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Calibri" w:hAnsi="Times New Roman" w:cs="Times New Roman"/>
      <w:sz w:val="24"/>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sz w:val="24"/>
      <w:szCs w:val="24"/>
      <w:u w:val="single"/>
    </w:rPr>
  </w:style>
  <w:style w:type="paragraph" w:customStyle="1" w:styleId="Considrant">
    <w:name w:val="Considérant"/>
    <w:basedOn w:val="Normal"/>
    <w:pPr>
      <w:numPr>
        <w:numId w:val="14"/>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IntrtEEE"/>
    <w:pPr>
      <w:spacing w:before="360" w:after="360" w:line="240" w:lineRule="auto"/>
      <w:jc w:val="center"/>
    </w:pPr>
    <w:rPr>
      <w:rFonts w:ascii="Times New Roman" w:eastAsia="Calibri"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
    <w:name w:val="List Bullet"/>
    <w:basedOn w:val="Normal"/>
    <w:pPr>
      <w:numPr>
        <w:numId w:val="35"/>
      </w:numPr>
      <w:tabs>
        <w:tab w:val="clear" w:pos="360"/>
        <w:tab w:val="num" w:pos="283"/>
      </w:tabs>
      <w:spacing w:before="120" w:after="120" w:line="240" w:lineRule="auto"/>
      <w:ind w:left="283" w:hanging="283"/>
      <w:jc w:val="both"/>
    </w:pPr>
    <w:rPr>
      <w:rFonts w:ascii="Times New Roman" w:eastAsia="Times New Roman" w:hAnsi="Times New Roman" w:cs="Times New Roman"/>
      <w:sz w:val="24"/>
      <w:szCs w:val="24"/>
    </w:rPr>
  </w:style>
  <w:style w:type="paragraph" w:customStyle="1" w:styleId="ListDash">
    <w:name w:val="List Dash"/>
    <w:basedOn w:val="Normal"/>
    <w:pPr>
      <w:numPr>
        <w:numId w:val="25"/>
      </w:numPr>
      <w:spacing w:before="120" w:after="12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semiHidden/>
    <w:pPr>
      <w:spacing w:before="120" w:after="12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val="el-GR"/>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pPr>
      <w:numPr>
        <w:numId w:val="15"/>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pPr>
      <w:numPr>
        <w:numId w:val="17"/>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pPr>
      <w:numPr>
        <w:numId w:val="18"/>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pPr>
      <w:numPr>
        <w:numId w:val="19"/>
      </w:numPr>
      <w:spacing w:before="120" w:after="120" w:line="240" w:lineRule="auto"/>
      <w:jc w:val="both"/>
    </w:pPr>
    <w:rPr>
      <w:rFonts w:ascii="Times New Roman" w:eastAsia="Times New Roman" w:hAnsi="Times New Roman" w:cs="Times New Roman"/>
      <w:sz w:val="24"/>
      <w:szCs w:val="24"/>
    </w:rPr>
  </w:style>
  <w:style w:type="paragraph" w:customStyle="1" w:styleId="ListNumber1">
    <w:name w:val="List Number 1"/>
    <w:basedOn w:val="Text1"/>
    <w:pPr>
      <w:numPr>
        <w:numId w:val="16"/>
      </w:numPr>
    </w:pPr>
  </w:style>
  <w:style w:type="paragraph" w:customStyle="1" w:styleId="ListNumberLevel2">
    <w:name w:val="List Number (Level 2)"/>
    <w:basedOn w:val="Normal"/>
    <w:pPr>
      <w:numPr>
        <w:ilvl w:val="1"/>
        <w:numId w:val="15"/>
      </w:numPr>
      <w:spacing w:before="120" w:after="120" w:line="240" w:lineRule="auto"/>
      <w:jc w:val="both"/>
    </w:pPr>
    <w:rPr>
      <w:rFonts w:ascii="Times New Roman" w:eastAsia="Times New Roman" w:hAnsi="Times New Roman" w:cs="Times New Roman"/>
      <w:sz w:val="24"/>
      <w:szCs w:val="24"/>
    </w:rPr>
  </w:style>
  <w:style w:type="paragraph" w:customStyle="1" w:styleId="ListNumber1Level2">
    <w:name w:val="List Number 1 (Level 2)"/>
    <w:basedOn w:val="Text1"/>
    <w:pPr>
      <w:numPr>
        <w:ilvl w:val="1"/>
        <w:numId w:val="16"/>
      </w:numPr>
    </w:pPr>
  </w:style>
  <w:style w:type="paragraph" w:customStyle="1" w:styleId="ListNumber2Level2">
    <w:name w:val="List Number 2 (Level 2)"/>
    <w:basedOn w:val="Text2"/>
    <w:pPr>
      <w:numPr>
        <w:ilvl w:val="1"/>
        <w:numId w:val="17"/>
      </w:numPr>
    </w:pPr>
  </w:style>
  <w:style w:type="paragraph" w:customStyle="1" w:styleId="ListNumber3Level2">
    <w:name w:val="List Number 3 (Level 2)"/>
    <w:basedOn w:val="Text3"/>
    <w:pPr>
      <w:numPr>
        <w:ilvl w:val="1"/>
        <w:numId w:val="18"/>
      </w:numPr>
    </w:pPr>
  </w:style>
  <w:style w:type="paragraph" w:customStyle="1" w:styleId="ListNumber4Level2">
    <w:name w:val="List Number 4 (Level 2)"/>
    <w:basedOn w:val="Text4"/>
    <w:pPr>
      <w:numPr>
        <w:ilvl w:val="1"/>
        <w:numId w:val="19"/>
      </w:numPr>
    </w:pPr>
  </w:style>
  <w:style w:type="paragraph" w:customStyle="1" w:styleId="ListNumberLevel3">
    <w:name w:val="List Number (Level 3)"/>
    <w:basedOn w:val="Normal"/>
    <w:pPr>
      <w:numPr>
        <w:ilvl w:val="2"/>
        <w:numId w:val="15"/>
      </w:numPr>
      <w:spacing w:before="120" w:after="120" w:line="240" w:lineRule="auto"/>
      <w:jc w:val="both"/>
    </w:pPr>
    <w:rPr>
      <w:rFonts w:ascii="Times New Roman" w:eastAsia="Times New Roman" w:hAnsi="Times New Roman" w:cs="Times New Roman"/>
      <w:sz w:val="24"/>
      <w:szCs w:val="24"/>
    </w:rPr>
  </w:style>
  <w:style w:type="paragraph" w:customStyle="1" w:styleId="ListNumber1Level3">
    <w:name w:val="List Number 1 (Level 3)"/>
    <w:basedOn w:val="Text1"/>
    <w:pPr>
      <w:numPr>
        <w:ilvl w:val="2"/>
        <w:numId w:val="16"/>
      </w:numPr>
    </w:pPr>
  </w:style>
  <w:style w:type="paragraph" w:customStyle="1" w:styleId="ListNumber2Level3">
    <w:name w:val="List Number 2 (Level 3)"/>
    <w:basedOn w:val="Text2"/>
    <w:pPr>
      <w:numPr>
        <w:ilvl w:val="2"/>
        <w:numId w:val="17"/>
      </w:numPr>
    </w:pPr>
  </w:style>
  <w:style w:type="paragraph" w:customStyle="1" w:styleId="ListNumber3Level3">
    <w:name w:val="List Number 3 (Level 3)"/>
    <w:basedOn w:val="Text3"/>
    <w:pPr>
      <w:numPr>
        <w:ilvl w:val="2"/>
        <w:numId w:val="18"/>
      </w:numPr>
    </w:pPr>
  </w:style>
  <w:style w:type="paragraph" w:customStyle="1" w:styleId="ListNumber4Level3">
    <w:name w:val="List Number 4 (Level 3)"/>
    <w:basedOn w:val="Text4"/>
    <w:pPr>
      <w:numPr>
        <w:ilvl w:val="2"/>
        <w:numId w:val="19"/>
      </w:numPr>
    </w:pPr>
  </w:style>
  <w:style w:type="paragraph" w:customStyle="1" w:styleId="ListNumberLevel4">
    <w:name w:val="List Number (Level 4)"/>
    <w:basedOn w:val="Normal"/>
    <w:pPr>
      <w:numPr>
        <w:ilvl w:val="3"/>
        <w:numId w:val="15"/>
      </w:numPr>
      <w:spacing w:before="120" w:after="120" w:line="240" w:lineRule="auto"/>
      <w:jc w:val="both"/>
    </w:pPr>
    <w:rPr>
      <w:rFonts w:ascii="Times New Roman" w:eastAsia="Times New Roman" w:hAnsi="Times New Roman" w:cs="Times New Roman"/>
      <w:sz w:val="24"/>
      <w:szCs w:val="24"/>
    </w:rPr>
  </w:style>
  <w:style w:type="paragraph" w:customStyle="1" w:styleId="ListNumber1Level4">
    <w:name w:val="List Number 1 (Level 4)"/>
    <w:basedOn w:val="Text1"/>
    <w:pPr>
      <w:numPr>
        <w:ilvl w:val="3"/>
        <w:numId w:val="16"/>
      </w:numPr>
    </w:pPr>
  </w:style>
  <w:style w:type="paragraph" w:customStyle="1" w:styleId="ListNumber2Level4">
    <w:name w:val="List Number 2 (Level 4)"/>
    <w:basedOn w:val="Text2"/>
    <w:pPr>
      <w:numPr>
        <w:ilvl w:val="3"/>
        <w:numId w:val="17"/>
      </w:numPr>
    </w:pPr>
  </w:style>
  <w:style w:type="paragraph" w:customStyle="1" w:styleId="ListNumber3Level4">
    <w:name w:val="List Number 3 (Level 4)"/>
    <w:basedOn w:val="Text3"/>
    <w:pPr>
      <w:numPr>
        <w:ilvl w:val="3"/>
        <w:numId w:val="18"/>
      </w:numPr>
    </w:pPr>
  </w:style>
  <w:style w:type="paragraph" w:customStyle="1" w:styleId="ListNumber4Level4">
    <w:name w:val="List Number 4 (Level 4)"/>
    <w:basedOn w:val="Text4"/>
    <w:pPr>
      <w:numPr>
        <w:ilvl w:val="3"/>
        <w:numId w:val="19"/>
      </w:numPr>
    </w:pPr>
  </w:style>
  <w:style w:type="paragraph" w:customStyle="1" w:styleId="ListBullet1">
    <w:name w:val="List Bullet 1"/>
    <w:basedOn w:val="Normal"/>
    <w:pPr>
      <w:numPr>
        <w:numId w:val="21"/>
      </w:numPr>
      <w:spacing w:before="120" w:after="120" w:line="240" w:lineRule="auto"/>
      <w:jc w:val="both"/>
    </w:pPr>
    <w:rPr>
      <w:rFonts w:ascii="Times New Roman" w:eastAsia="Times New Roman" w:hAnsi="Times New Roman" w:cs="Times New Roman"/>
      <w:sz w:val="24"/>
      <w:szCs w:val="24"/>
    </w:rPr>
  </w:style>
  <w:style w:type="paragraph" w:styleId="ListBullet2">
    <w:name w:val="List Bullet 2"/>
    <w:basedOn w:val="Normal"/>
    <w:pPr>
      <w:numPr>
        <w:numId w:val="22"/>
      </w:numPr>
      <w:spacing w:before="120" w:after="120" w:line="240" w:lineRule="auto"/>
      <w:jc w:val="both"/>
    </w:pPr>
    <w:rPr>
      <w:rFonts w:ascii="Times New Roman" w:eastAsia="Times New Roman" w:hAnsi="Times New Roman" w:cs="Times New Roman"/>
      <w:sz w:val="24"/>
      <w:szCs w:val="24"/>
    </w:rPr>
  </w:style>
  <w:style w:type="paragraph" w:styleId="ListBullet3">
    <w:name w:val="List Bullet 3"/>
    <w:basedOn w:val="Normal"/>
    <w:pPr>
      <w:numPr>
        <w:numId w:val="23"/>
      </w:numPr>
      <w:spacing w:before="120" w:after="120" w:line="240" w:lineRule="auto"/>
      <w:jc w:val="both"/>
    </w:pPr>
    <w:rPr>
      <w:rFonts w:ascii="Times New Roman" w:eastAsia="Times New Roman" w:hAnsi="Times New Roman" w:cs="Times New Roman"/>
      <w:sz w:val="24"/>
      <w:szCs w:val="24"/>
    </w:rPr>
  </w:style>
  <w:style w:type="paragraph" w:styleId="ListBullet4">
    <w:name w:val="List Bullet 4"/>
    <w:basedOn w:val="Normal"/>
    <w:pPr>
      <w:numPr>
        <w:numId w:val="24"/>
      </w:numPr>
      <w:spacing w:before="120" w:after="120" w:line="240" w:lineRule="auto"/>
      <w:jc w:val="both"/>
    </w:pPr>
    <w:rPr>
      <w:rFonts w:ascii="Times New Roman" w:eastAsia="Times New Roman" w:hAnsi="Times New Roman" w:cs="Times New Roman"/>
      <w:sz w:val="24"/>
      <w:szCs w:val="24"/>
    </w:rPr>
  </w:style>
  <w:style w:type="paragraph" w:customStyle="1" w:styleId="ListDash1">
    <w:name w:val="List Dash 1"/>
    <w:basedOn w:val="Normal"/>
    <w:pPr>
      <w:numPr>
        <w:numId w:val="26"/>
      </w:numPr>
      <w:spacing w:before="120" w:after="120" w:line="240" w:lineRule="auto"/>
      <w:jc w:val="both"/>
    </w:pPr>
    <w:rPr>
      <w:rFonts w:ascii="Times New Roman" w:eastAsia="Times New Roman" w:hAnsi="Times New Roman" w:cs="Times New Roman"/>
      <w:sz w:val="24"/>
      <w:szCs w:val="24"/>
    </w:rPr>
  </w:style>
  <w:style w:type="paragraph" w:customStyle="1" w:styleId="ListDash2">
    <w:name w:val="List Dash 2"/>
    <w:basedOn w:val="Normal"/>
    <w:pPr>
      <w:numPr>
        <w:numId w:val="27"/>
      </w:numPr>
      <w:spacing w:before="120" w:after="120" w:line="240" w:lineRule="auto"/>
      <w:jc w:val="both"/>
    </w:pPr>
    <w:rPr>
      <w:rFonts w:ascii="Times New Roman" w:eastAsia="Times New Roman" w:hAnsi="Times New Roman" w:cs="Times New Roman"/>
      <w:sz w:val="24"/>
      <w:szCs w:val="24"/>
    </w:rPr>
  </w:style>
  <w:style w:type="paragraph" w:customStyle="1" w:styleId="ListDash3">
    <w:name w:val="List Dash 3"/>
    <w:basedOn w:val="Normal"/>
    <w:pPr>
      <w:numPr>
        <w:numId w:val="28"/>
      </w:numPr>
      <w:spacing w:before="120" w:after="120" w:line="240" w:lineRule="auto"/>
      <w:jc w:val="both"/>
    </w:pPr>
    <w:rPr>
      <w:rFonts w:ascii="Times New Roman" w:eastAsia="Times New Roman" w:hAnsi="Times New Roman" w:cs="Times New Roman"/>
      <w:sz w:val="24"/>
      <w:szCs w:val="24"/>
    </w:rPr>
  </w:style>
  <w:style w:type="paragraph" w:customStyle="1" w:styleId="ListDash4">
    <w:name w:val="List Dash 4"/>
    <w:basedOn w:val="Normal"/>
    <w:pPr>
      <w:numPr>
        <w:numId w:val="29"/>
      </w:numPr>
      <w:spacing w:before="120" w:after="120" w:line="240" w:lineRule="auto"/>
      <w:jc w:val="both"/>
    </w:pPr>
    <w:rPr>
      <w:rFonts w:ascii="Times New Roman" w:eastAsia="Times New Roman" w:hAnsi="Times New Roman" w:cs="Times New Roman"/>
      <w:sz w:val="24"/>
      <w:szCs w:val="24"/>
    </w:rPr>
  </w:style>
  <w:style w:type="character" w:styleId="CommentReference">
    <w:name w:val="annotation reference"/>
    <w:semiHidden/>
    <w:rPr>
      <w:sz w:val="16"/>
      <w:szCs w:val="16"/>
      <w:shd w:val="clear" w:color="auto" w:fill="auto"/>
    </w:rPr>
  </w:style>
  <w:style w:type="paragraph" w:styleId="CommentText">
    <w:name w:val="annotation text"/>
    <w:basedOn w:val="Normal"/>
    <w:link w:val="CommentTextChar"/>
    <w:semiHidden/>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val="el-GR"/>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el-GR"/>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shd w:val="clear" w:color="auto" w:fill="auto"/>
    </w:rPr>
  </w:style>
  <w:style w:type="character" w:customStyle="1" w:styleId="normal10">
    <w:name w:val="normal10"/>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Bodytext2">
    <w:name w:val="Body text (2)"/>
    <w:uiPriority w:val="9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l-GR" w:eastAsia="el-GR" w:bidi="el-GR"/>
    </w:rPr>
  </w:style>
  <w:style w:type="paragraph" w:customStyle="1" w:styleId="Declassification">
    <w:name w:val="Declassification"/>
    <w:basedOn w:val="Normal"/>
    <w:next w:val="Normal"/>
    <w:pPr>
      <w:spacing w:after="0" w:line="240" w:lineRule="auto"/>
      <w:jc w:val="both"/>
    </w:pPr>
    <w:rPr>
      <w:rFonts w:ascii="Times New Roman" w:eastAsia="Calibri"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Calibri"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watermark">
    <w:name w:val="watermark"/>
    <w:basedOn w:val="Pagedecouverture"/>
    <w:pPr>
      <w:spacing w:before="120" w:after="120"/>
    </w:pPr>
    <w:rPr>
      <w:rFonts w:eastAsia="Times New Roman"/>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7"/>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Text1"/>
    <w:link w:val="Heading3Char"/>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7"/>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val="el-GR"/>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el-GR"/>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val="el-GR"/>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val="el-GR"/>
    </w:rPr>
  </w:style>
  <w:style w:type="numbering" w:customStyle="1" w:styleId="NoList1">
    <w:name w:val="No List1"/>
    <w:next w:val="NoList"/>
    <w:semiHidden/>
  </w:style>
  <w:style w:type="paragraph" w:styleId="FootnoteText">
    <w:name w:val="footnote text"/>
    <w:basedOn w:val="Normal"/>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semiHidden/>
    <w:rPr>
      <w:rFonts w:ascii="Times New Roman" w:eastAsia="Times New Roman" w:hAnsi="Times New Roman" w:cs="Times New Roman"/>
      <w:sz w:val="20"/>
      <w:szCs w:val="20"/>
      <w:lang w:val="el-GR"/>
    </w:rPr>
  </w:style>
  <w:style w:type="paragraph" w:styleId="TOC1">
    <w:name w:val="toc 1"/>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Calibri"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Calibri" w:hAnsi="Times New Roman" w:cs="Times New Roman"/>
      <w:sz w:val="24"/>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sz w:val="24"/>
      <w:szCs w:val="24"/>
      <w:u w:val="single"/>
    </w:rPr>
  </w:style>
  <w:style w:type="paragraph" w:customStyle="1" w:styleId="Considrant">
    <w:name w:val="Considérant"/>
    <w:basedOn w:val="Normal"/>
    <w:pPr>
      <w:numPr>
        <w:numId w:val="14"/>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IntrtEEE"/>
    <w:pPr>
      <w:spacing w:before="360" w:after="360" w:line="240" w:lineRule="auto"/>
      <w:jc w:val="center"/>
    </w:pPr>
    <w:rPr>
      <w:rFonts w:ascii="Times New Roman" w:eastAsia="Calibri"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
    <w:name w:val="List Bullet"/>
    <w:basedOn w:val="Normal"/>
    <w:pPr>
      <w:numPr>
        <w:numId w:val="35"/>
      </w:numPr>
      <w:tabs>
        <w:tab w:val="clear" w:pos="360"/>
        <w:tab w:val="num" w:pos="283"/>
      </w:tabs>
      <w:spacing w:before="120" w:after="120" w:line="240" w:lineRule="auto"/>
      <w:ind w:left="283" w:hanging="283"/>
      <w:jc w:val="both"/>
    </w:pPr>
    <w:rPr>
      <w:rFonts w:ascii="Times New Roman" w:eastAsia="Times New Roman" w:hAnsi="Times New Roman" w:cs="Times New Roman"/>
      <w:sz w:val="24"/>
      <w:szCs w:val="24"/>
    </w:rPr>
  </w:style>
  <w:style w:type="paragraph" w:customStyle="1" w:styleId="ListDash">
    <w:name w:val="List Dash"/>
    <w:basedOn w:val="Normal"/>
    <w:pPr>
      <w:numPr>
        <w:numId w:val="25"/>
      </w:numPr>
      <w:spacing w:before="120" w:after="12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semiHidden/>
    <w:pPr>
      <w:spacing w:before="120" w:after="12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val="el-GR"/>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pPr>
      <w:numPr>
        <w:numId w:val="15"/>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pPr>
      <w:numPr>
        <w:numId w:val="17"/>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pPr>
      <w:numPr>
        <w:numId w:val="18"/>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pPr>
      <w:numPr>
        <w:numId w:val="19"/>
      </w:numPr>
      <w:spacing w:before="120" w:after="120" w:line="240" w:lineRule="auto"/>
      <w:jc w:val="both"/>
    </w:pPr>
    <w:rPr>
      <w:rFonts w:ascii="Times New Roman" w:eastAsia="Times New Roman" w:hAnsi="Times New Roman" w:cs="Times New Roman"/>
      <w:sz w:val="24"/>
      <w:szCs w:val="24"/>
    </w:rPr>
  </w:style>
  <w:style w:type="paragraph" w:customStyle="1" w:styleId="ListNumber1">
    <w:name w:val="List Number 1"/>
    <w:basedOn w:val="Text1"/>
    <w:pPr>
      <w:numPr>
        <w:numId w:val="16"/>
      </w:numPr>
    </w:pPr>
  </w:style>
  <w:style w:type="paragraph" w:customStyle="1" w:styleId="ListNumberLevel2">
    <w:name w:val="List Number (Level 2)"/>
    <w:basedOn w:val="Normal"/>
    <w:pPr>
      <w:numPr>
        <w:ilvl w:val="1"/>
        <w:numId w:val="15"/>
      </w:numPr>
      <w:spacing w:before="120" w:after="120" w:line="240" w:lineRule="auto"/>
      <w:jc w:val="both"/>
    </w:pPr>
    <w:rPr>
      <w:rFonts w:ascii="Times New Roman" w:eastAsia="Times New Roman" w:hAnsi="Times New Roman" w:cs="Times New Roman"/>
      <w:sz w:val="24"/>
      <w:szCs w:val="24"/>
    </w:rPr>
  </w:style>
  <w:style w:type="paragraph" w:customStyle="1" w:styleId="ListNumber1Level2">
    <w:name w:val="List Number 1 (Level 2)"/>
    <w:basedOn w:val="Text1"/>
    <w:pPr>
      <w:numPr>
        <w:ilvl w:val="1"/>
        <w:numId w:val="16"/>
      </w:numPr>
    </w:pPr>
  </w:style>
  <w:style w:type="paragraph" w:customStyle="1" w:styleId="ListNumber2Level2">
    <w:name w:val="List Number 2 (Level 2)"/>
    <w:basedOn w:val="Text2"/>
    <w:pPr>
      <w:numPr>
        <w:ilvl w:val="1"/>
        <w:numId w:val="17"/>
      </w:numPr>
    </w:pPr>
  </w:style>
  <w:style w:type="paragraph" w:customStyle="1" w:styleId="ListNumber3Level2">
    <w:name w:val="List Number 3 (Level 2)"/>
    <w:basedOn w:val="Text3"/>
    <w:pPr>
      <w:numPr>
        <w:ilvl w:val="1"/>
        <w:numId w:val="18"/>
      </w:numPr>
    </w:pPr>
  </w:style>
  <w:style w:type="paragraph" w:customStyle="1" w:styleId="ListNumber4Level2">
    <w:name w:val="List Number 4 (Level 2)"/>
    <w:basedOn w:val="Text4"/>
    <w:pPr>
      <w:numPr>
        <w:ilvl w:val="1"/>
        <w:numId w:val="19"/>
      </w:numPr>
    </w:pPr>
  </w:style>
  <w:style w:type="paragraph" w:customStyle="1" w:styleId="ListNumberLevel3">
    <w:name w:val="List Number (Level 3)"/>
    <w:basedOn w:val="Normal"/>
    <w:pPr>
      <w:numPr>
        <w:ilvl w:val="2"/>
        <w:numId w:val="15"/>
      </w:numPr>
      <w:spacing w:before="120" w:after="120" w:line="240" w:lineRule="auto"/>
      <w:jc w:val="both"/>
    </w:pPr>
    <w:rPr>
      <w:rFonts w:ascii="Times New Roman" w:eastAsia="Times New Roman" w:hAnsi="Times New Roman" w:cs="Times New Roman"/>
      <w:sz w:val="24"/>
      <w:szCs w:val="24"/>
    </w:rPr>
  </w:style>
  <w:style w:type="paragraph" w:customStyle="1" w:styleId="ListNumber1Level3">
    <w:name w:val="List Number 1 (Level 3)"/>
    <w:basedOn w:val="Text1"/>
    <w:pPr>
      <w:numPr>
        <w:ilvl w:val="2"/>
        <w:numId w:val="16"/>
      </w:numPr>
    </w:pPr>
  </w:style>
  <w:style w:type="paragraph" w:customStyle="1" w:styleId="ListNumber2Level3">
    <w:name w:val="List Number 2 (Level 3)"/>
    <w:basedOn w:val="Text2"/>
    <w:pPr>
      <w:numPr>
        <w:ilvl w:val="2"/>
        <w:numId w:val="17"/>
      </w:numPr>
    </w:pPr>
  </w:style>
  <w:style w:type="paragraph" w:customStyle="1" w:styleId="ListNumber3Level3">
    <w:name w:val="List Number 3 (Level 3)"/>
    <w:basedOn w:val="Text3"/>
    <w:pPr>
      <w:numPr>
        <w:ilvl w:val="2"/>
        <w:numId w:val="18"/>
      </w:numPr>
    </w:pPr>
  </w:style>
  <w:style w:type="paragraph" w:customStyle="1" w:styleId="ListNumber4Level3">
    <w:name w:val="List Number 4 (Level 3)"/>
    <w:basedOn w:val="Text4"/>
    <w:pPr>
      <w:numPr>
        <w:ilvl w:val="2"/>
        <w:numId w:val="19"/>
      </w:numPr>
    </w:pPr>
  </w:style>
  <w:style w:type="paragraph" w:customStyle="1" w:styleId="ListNumberLevel4">
    <w:name w:val="List Number (Level 4)"/>
    <w:basedOn w:val="Normal"/>
    <w:pPr>
      <w:numPr>
        <w:ilvl w:val="3"/>
        <w:numId w:val="15"/>
      </w:numPr>
      <w:spacing w:before="120" w:after="120" w:line="240" w:lineRule="auto"/>
      <w:jc w:val="both"/>
    </w:pPr>
    <w:rPr>
      <w:rFonts w:ascii="Times New Roman" w:eastAsia="Times New Roman" w:hAnsi="Times New Roman" w:cs="Times New Roman"/>
      <w:sz w:val="24"/>
      <w:szCs w:val="24"/>
    </w:rPr>
  </w:style>
  <w:style w:type="paragraph" w:customStyle="1" w:styleId="ListNumber1Level4">
    <w:name w:val="List Number 1 (Level 4)"/>
    <w:basedOn w:val="Text1"/>
    <w:pPr>
      <w:numPr>
        <w:ilvl w:val="3"/>
        <w:numId w:val="16"/>
      </w:numPr>
    </w:pPr>
  </w:style>
  <w:style w:type="paragraph" w:customStyle="1" w:styleId="ListNumber2Level4">
    <w:name w:val="List Number 2 (Level 4)"/>
    <w:basedOn w:val="Text2"/>
    <w:pPr>
      <w:numPr>
        <w:ilvl w:val="3"/>
        <w:numId w:val="17"/>
      </w:numPr>
    </w:pPr>
  </w:style>
  <w:style w:type="paragraph" w:customStyle="1" w:styleId="ListNumber3Level4">
    <w:name w:val="List Number 3 (Level 4)"/>
    <w:basedOn w:val="Text3"/>
    <w:pPr>
      <w:numPr>
        <w:ilvl w:val="3"/>
        <w:numId w:val="18"/>
      </w:numPr>
    </w:pPr>
  </w:style>
  <w:style w:type="paragraph" w:customStyle="1" w:styleId="ListNumber4Level4">
    <w:name w:val="List Number 4 (Level 4)"/>
    <w:basedOn w:val="Text4"/>
    <w:pPr>
      <w:numPr>
        <w:ilvl w:val="3"/>
        <w:numId w:val="19"/>
      </w:numPr>
    </w:pPr>
  </w:style>
  <w:style w:type="paragraph" w:customStyle="1" w:styleId="ListBullet1">
    <w:name w:val="List Bullet 1"/>
    <w:basedOn w:val="Normal"/>
    <w:pPr>
      <w:numPr>
        <w:numId w:val="21"/>
      </w:numPr>
      <w:spacing w:before="120" w:after="120" w:line="240" w:lineRule="auto"/>
      <w:jc w:val="both"/>
    </w:pPr>
    <w:rPr>
      <w:rFonts w:ascii="Times New Roman" w:eastAsia="Times New Roman" w:hAnsi="Times New Roman" w:cs="Times New Roman"/>
      <w:sz w:val="24"/>
      <w:szCs w:val="24"/>
    </w:rPr>
  </w:style>
  <w:style w:type="paragraph" w:styleId="ListBullet2">
    <w:name w:val="List Bullet 2"/>
    <w:basedOn w:val="Normal"/>
    <w:pPr>
      <w:numPr>
        <w:numId w:val="22"/>
      </w:numPr>
      <w:spacing w:before="120" w:after="120" w:line="240" w:lineRule="auto"/>
      <w:jc w:val="both"/>
    </w:pPr>
    <w:rPr>
      <w:rFonts w:ascii="Times New Roman" w:eastAsia="Times New Roman" w:hAnsi="Times New Roman" w:cs="Times New Roman"/>
      <w:sz w:val="24"/>
      <w:szCs w:val="24"/>
    </w:rPr>
  </w:style>
  <w:style w:type="paragraph" w:styleId="ListBullet3">
    <w:name w:val="List Bullet 3"/>
    <w:basedOn w:val="Normal"/>
    <w:pPr>
      <w:numPr>
        <w:numId w:val="23"/>
      </w:numPr>
      <w:spacing w:before="120" w:after="120" w:line="240" w:lineRule="auto"/>
      <w:jc w:val="both"/>
    </w:pPr>
    <w:rPr>
      <w:rFonts w:ascii="Times New Roman" w:eastAsia="Times New Roman" w:hAnsi="Times New Roman" w:cs="Times New Roman"/>
      <w:sz w:val="24"/>
      <w:szCs w:val="24"/>
    </w:rPr>
  </w:style>
  <w:style w:type="paragraph" w:styleId="ListBullet4">
    <w:name w:val="List Bullet 4"/>
    <w:basedOn w:val="Normal"/>
    <w:pPr>
      <w:numPr>
        <w:numId w:val="24"/>
      </w:numPr>
      <w:spacing w:before="120" w:after="120" w:line="240" w:lineRule="auto"/>
      <w:jc w:val="both"/>
    </w:pPr>
    <w:rPr>
      <w:rFonts w:ascii="Times New Roman" w:eastAsia="Times New Roman" w:hAnsi="Times New Roman" w:cs="Times New Roman"/>
      <w:sz w:val="24"/>
      <w:szCs w:val="24"/>
    </w:rPr>
  </w:style>
  <w:style w:type="paragraph" w:customStyle="1" w:styleId="ListDash1">
    <w:name w:val="List Dash 1"/>
    <w:basedOn w:val="Normal"/>
    <w:pPr>
      <w:numPr>
        <w:numId w:val="26"/>
      </w:numPr>
      <w:spacing w:before="120" w:after="120" w:line="240" w:lineRule="auto"/>
      <w:jc w:val="both"/>
    </w:pPr>
    <w:rPr>
      <w:rFonts w:ascii="Times New Roman" w:eastAsia="Times New Roman" w:hAnsi="Times New Roman" w:cs="Times New Roman"/>
      <w:sz w:val="24"/>
      <w:szCs w:val="24"/>
    </w:rPr>
  </w:style>
  <w:style w:type="paragraph" w:customStyle="1" w:styleId="ListDash2">
    <w:name w:val="List Dash 2"/>
    <w:basedOn w:val="Normal"/>
    <w:pPr>
      <w:numPr>
        <w:numId w:val="27"/>
      </w:numPr>
      <w:spacing w:before="120" w:after="120" w:line="240" w:lineRule="auto"/>
      <w:jc w:val="both"/>
    </w:pPr>
    <w:rPr>
      <w:rFonts w:ascii="Times New Roman" w:eastAsia="Times New Roman" w:hAnsi="Times New Roman" w:cs="Times New Roman"/>
      <w:sz w:val="24"/>
      <w:szCs w:val="24"/>
    </w:rPr>
  </w:style>
  <w:style w:type="paragraph" w:customStyle="1" w:styleId="ListDash3">
    <w:name w:val="List Dash 3"/>
    <w:basedOn w:val="Normal"/>
    <w:pPr>
      <w:numPr>
        <w:numId w:val="28"/>
      </w:numPr>
      <w:spacing w:before="120" w:after="120" w:line="240" w:lineRule="auto"/>
      <w:jc w:val="both"/>
    </w:pPr>
    <w:rPr>
      <w:rFonts w:ascii="Times New Roman" w:eastAsia="Times New Roman" w:hAnsi="Times New Roman" w:cs="Times New Roman"/>
      <w:sz w:val="24"/>
      <w:szCs w:val="24"/>
    </w:rPr>
  </w:style>
  <w:style w:type="paragraph" w:customStyle="1" w:styleId="ListDash4">
    <w:name w:val="List Dash 4"/>
    <w:basedOn w:val="Normal"/>
    <w:pPr>
      <w:numPr>
        <w:numId w:val="29"/>
      </w:numPr>
      <w:spacing w:before="120" w:after="120" w:line="240" w:lineRule="auto"/>
      <w:jc w:val="both"/>
    </w:pPr>
    <w:rPr>
      <w:rFonts w:ascii="Times New Roman" w:eastAsia="Times New Roman" w:hAnsi="Times New Roman" w:cs="Times New Roman"/>
      <w:sz w:val="24"/>
      <w:szCs w:val="24"/>
    </w:rPr>
  </w:style>
  <w:style w:type="character" w:styleId="CommentReference">
    <w:name w:val="annotation reference"/>
    <w:semiHidden/>
    <w:rPr>
      <w:sz w:val="16"/>
      <w:szCs w:val="16"/>
      <w:shd w:val="clear" w:color="auto" w:fill="auto"/>
    </w:rPr>
  </w:style>
  <w:style w:type="paragraph" w:styleId="CommentText">
    <w:name w:val="annotation text"/>
    <w:basedOn w:val="Normal"/>
    <w:link w:val="CommentTextChar"/>
    <w:semiHidden/>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val="el-GR"/>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el-GR"/>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shd w:val="clear" w:color="auto" w:fill="auto"/>
    </w:rPr>
  </w:style>
  <w:style w:type="character" w:customStyle="1" w:styleId="normal10">
    <w:name w:val="normal10"/>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Bodytext2">
    <w:name w:val="Body text (2)"/>
    <w:uiPriority w:val="9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l-GR" w:eastAsia="el-GR" w:bidi="el-GR"/>
    </w:rPr>
  </w:style>
  <w:style w:type="paragraph" w:customStyle="1" w:styleId="Declassification">
    <w:name w:val="Declassification"/>
    <w:basedOn w:val="Normal"/>
    <w:next w:val="Normal"/>
    <w:pPr>
      <w:spacing w:after="0" w:line="240" w:lineRule="auto"/>
      <w:jc w:val="both"/>
    </w:pPr>
    <w:rPr>
      <w:rFonts w:ascii="Times New Roman" w:eastAsia="Calibri"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Calibri"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watermark">
    <w:name w:val="watermark"/>
    <w:basedOn w:val="Pagedecouverture"/>
    <w:pPr>
      <w:spacing w:before="120" w:after="120"/>
    </w:pPr>
    <w:rPr>
      <w:rFonts w:eastAsia="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ome-affairs/sites/homeaffairs/files/what-we-do/policies/organized-crime-and-human-trafficking/corruption/docs/official_corruption_statistics_2011_2013_jan16_en.pdf" TargetMode="External"/><Relationship Id="rId1" Type="http://schemas.openxmlformats.org/officeDocument/2006/relationships/hyperlink" Target="http://ec.europa.eu/transparency/regexpert/index.cfm?do=groupDetail.groupDetailDoc&amp;id=21215&amp;n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1FF3C-963A-470A-B24A-7743D0A8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5759</Words>
  <Characters>31967</Characters>
  <Application>Microsoft Office Word</Application>
  <DocSecurity>0</DocSecurity>
  <Lines>541</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22</cp:revision>
  <cp:lastPrinted>2019-07-01T08:07:00Z</cp:lastPrinted>
  <dcterms:created xsi:type="dcterms:W3CDTF">2019-07-24T12:15:00Z</dcterms:created>
  <dcterms:modified xsi:type="dcterms:W3CDTF">2019-07-25T12:07:00Z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