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0D081DAD-D729-4FE9-830D-01FD52A5B20B" style="width:450.75pt;height:320.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120" w:line="240" w:lineRule="auto"/>
        <w:ind w:right="-142"/>
        <w:jc w:val="both"/>
        <w:rPr>
          <w:rFonts w:ascii="Times New Roman" w:eastAsia="MS Mincho" w:hAnsi="Times New Roman" w:cs="Times New Roman"/>
          <w:b/>
          <w:bCs/>
          <w:smallCaps/>
          <w:noProof/>
          <w:sz w:val="24"/>
          <w:szCs w:val="24"/>
        </w:rPr>
      </w:pPr>
      <w:bookmarkStart w:id="1" w:name="_GoBack"/>
      <w:bookmarkEnd w:id="1"/>
      <w:r>
        <w:rPr>
          <w:rFonts w:ascii="Times New Roman" w:hAnsi="Times New Roman"/>
          <w:b/>
          <w:bCs/>
          <w:smallCaps/>
          <w:noProof/>
          <w:sz w:val="24"/>
          <w:szCs w:val="24"/>
        </w:rPr>
        <w:lastRenderedPageBreak/>
        <w:t>JOHDANTO</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Euroopan komissio julkaisi 4. joulukuuta 2018 arvioinnin EU:n puitekehyksestä, joka koskee vuoteen 2020 ulottuvia, romanien kansallisia integrointistrategioita</w:t>
      </w:r>
      <w:r>
        <w:rPr>
          <w:rFonts w:ascii="Times New Roman" w:eastAsia="MS Mincho" w:hAnsi="Times New Roman" w:cs="Times New Roman"/>
          <w:noProof/>
          <w:sz w:val="24"/>
          <w:szCs w:val="24"/>
          <w:vertAlign w:val="superscript"/>
        </w:rPr>
        <w:footnoteReference w:id="1"/>
      </w:r>
      <w:r>
        <w:rPr>
          <w:rFonts w:ascii="Times New Roman" w:hAnsi="Times New Roman"/>
          <w:noProof/>
          <w:sz w:val="24"/>
          <w:szCs w:val="24"/>
        </w:rPr>
        <w:t>. Arvioinnissa tarkasteltiin EU:n puitekehystä ja sitä, millä tavoin se lisäsi muiden EU:n poliittisten, oikeudellisten ja rahoitusvälineiden käyttöönottoa romanien osallisuuden edistämiseksi.</w:t>
      </w:r>
      <w:r>
        <w:rPr>
          <w:rFonts w:ascii="Times New Roman" w:eastAsia="MS Mincho" w:hAnsi="Times New Roman" w:cs="Times New Roman"/>
          <w:noProof/>
          <w:sz w:val="24"/>
          <w:szCs w:val="24"/>
          <w:vertAlign w:val="superscript"/>
        </w:rPr>
        <w:footnoteReference w:id="2"/>
      </w:r>
      <w:r>
        <w:rPr>
          <w:rFonts w:ascii="Times New Roman" w:hAnsi="Times New Roman"/>
          <w:noProof/>
          <w:sz w:val="24"/>
          <w:szCs w:val="24"/>
        </w:rPr>
        <w:t xml:space="preserve"> Jotta aiheesta muodostuisi kokonaiskuva, tässä vuoden 2019 kertomuksessa keskitytään romanien osallistamista lisäävien toimenpiteiden kansalliseen täytäntöönpanoon.</w:t>
      </w:r>
    </w:p>
    <w:p>
      <w:pPr>
        <w:spacing w:after="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Arvioinnin päälähteet:</w:t>
      </w:r>
    </w:p>
    <w:p>
      <w:pPr>
        <w:numPr>
          <w:ilvl w:val="0"/>
          <w:numId w:val="1"/>
        </w:numPr>
        <w:spacing w:after="0" w:line="240" w:lineRule="auto"/>
        <w:ind w:right="-142"/>
        <w:contextualSpacing/>
        <w:jc w:val="both"/>
        <w:rPr>
          <w:rFonts w:ascii="Times New Roman" w:eastAsia="MS Mincho" w:hAnsi="Times New Roman" w:cs="Times New Roman"/>
          <w:noProof/>
          <w:sz w:val="24"/>
          <w:szCs w:val="24"/>
        </w:rPr>
      </w:pPr>
      <w:r>
        <w:rPr>
          <w:rFonts w:ascii="Times New Roman" w:hAnsi="Times New Roman"/>
          <w:noProof/>
          <w:sz w:val="24"/>
          <w:szCs w:val="24"/>
        </w:rPr>
        <w:t>romanien kansallisten yhteysviranomaisten</w:t>
      </w:r>
      <w:r>
        <w:rPr>
          <w:rFonts w:ascii="Times New Roman" w:eastAsia="MS Mincho" w:hAnsi="Times New Roman" w:cs="Times New Roman"/>
          <w:noProof/>
          <w:sz w:val="24"/>
          <w:szCs w:val="24"/>
          <w:vertAlign w:val="superscript"/>
        </w:rPr>
        <w:footnoteReference w:id="3"/>
      </w:r>
      <w:r>
        <w:rPr>
          <w:rFonts w:ascii="Times New Roman" w:hAnsi="Times New Roman"/>
          <w:noProof/>
          <w:sz w:val="24"/>
          <w:szCs w:val="24"/>
        </w:rPr>
        <w:t xml:space="preserve"> raportit;</w:t>
      </w:r>
    </w:p>
    <w:p>
      <w:pPr>
        <w:numPr>
          <w:ilvl w:val="0"/>
          <w:numId w:val="1"/>
        </w:numPr>
        <w:spacing w:after="0" w:line="240" w:lineRule="auto"/>
        <w:ind w:right="-142"/>
        <w:contextualSpacing/>
        <w:jc w:val="both"/>
        <w:rPr>
          <w:rFonts w:ascii="Times New Roman" w:eastAsia="MS Mincho" w:hAnsi="Times New Roman" w:cs="Times New Roman"/>
          <w:noProof/>
          <w:sz w:val="24"/>
          <w:szCs w:val="24"/>
        </w:rPr>
      </w:pPr>
      <w:r>
        <w:rPr>
          <w:rFonts w:ascii="Times New Roman" w:hAnsi="Times New Roman"/>
          <w:noProof/>
          <w:sz w:val="24"/>
          <w:szCs w:val="24"/>
        </w:rPr>
        <w:t xml:space="preserve">kansalaisyhteiskunnan toimijoiden raportit, jotka on laadittu Euroopan parlamentin Roma Civil Monitor </w:t>
      </w:r>
      <w:r>
        <w:rPr>
          <w:rFonts w:ascii="Times New Roman" w:hAnsi="Times New Roman"/>
          <w:noProof/>
          <w:sz w:val="24"/>
          <w:szCs w:val="24"/>
        </w:rPr>
        <w:noBreakHyphen/>
        <w:t>pilottihankkeen</w:t>
      </w:r>
      <w:r>
        <w:rPr>
          <w:rFonts w:ascii="Times New Roman" w:eastAsia="MS Mincho" w:hAnsi="Times New Roman" w:cs="Times New Roman"/>
          <w:noProof/>
          <w:sz w:val="24"/>
          <w:szCs w:val="24"/>
          <w:vertAlign w:val="superscript"/>
        </w:rPr>
        <w:footnoteReference w:id="4"/>
      </w:r>
      <w:r>
        <w:rPr>
          <w:rFonts w:ascii="Times New Roman" w:hAnsi="Times New Roman"/>
          <w:noProof/>
          <w:sz w:val="24"/>
          <w:szCs w:val="24"/>
        </w:rPr>
        <w:t xml:space="preserve"> puitteissa;</w:t>
      </w:r>
    </w:p>
    <w:p>
      <w:pPr>
        <w:numPr>
          <w:ilvl w:val="0"/>
          <w:numId w:val="1"/>
        </w:numPr>
        <w:spacing w:after="0" w:line="240" w:lineRule="auto"/>
        <w:ind w:right="-142"/>
        <w:contextualSpacing/>
        <w:jc w:val="both"/>
        <w:rPr>
          <w:rFonts w:ascii="Times New Roman" w:eastAsia="MS Mincho" w:hAnsi="Times New Roman" w:cs="Times New Roman"/>
          <w:noProof/>
          <w:sz w:val="24"/>
          <w:szCs w:val="24"/>
        </w:rPr>
      </w:pPr>
      <w:r>
        <w:rPr>
          <w:rFonts w:ascii="Times New Roman" w:hAnsi="Times New Roman"/>
          <w:noProof/>
          <w:sz w:val="24"/>
          <w:szCs w:val="24"/>
        </w:rPr>
        <w:t>EU:n perusoikeusviraston</w:t>
      </w:r>
      <w:r>
        <w:rPr>
          <w:rFonts w:ascii="Times New Roman" w:eastAsia="MS Mincho" w:hAnsi="Times New Roman" w:cs="Times New Roman"/>
          <w:noProof/>
          <w:sz w:val="24"/>
          <w:szCs w:val="24"/>
          <w:vertAlign w:val="superscript"/>
        </w:rPr>
        <w:footnoteReference w:id="5"/>
      </w:r>
      <w:r>
        <w:rPr>
          <w:rFonts w:ascii="Times New Roman" w:hAnsi="Times New Roman"/>
          <w:noProof/>
          <w:sz w:val="24"/>
          <w:szCs w:val="24"/>
        </w:rPr>
        <w:t xml:space="preserve"> keräämät tiedot romanien tilanteesta;</w:t>
      </w:r>
    </w:p>
    <w:p>
      <w:pPr>
        <w:numPr>
          <w:ilvl w:val="0"/>
          <w:numId w:val="1"/>
        </w:numPr>
        <w:spacing w:after="120" w:line="240" w:lineRule="auto"/>
        <w:ind w:left="357" w:right="-142" w:hanging="357"/>
        <w:contextualSpacing/>
        <w:jc w:val="both"/>
        <w:rPr>
          <w:rFonts w:ascii="Times New Roman" w:eastAsia="MS Mincho" w:hAnsi="Times New Roman" w:cs="Times New Roman"/>
          <w:noProof/>
          <w:sz w:val="24"/>
          <w:szCs w:val="24"/>
        </w:rPr>
      </w:pPr>
      <w:r>
        <w:rPr>
          <w:rFonts w:ascii="Times New Roman" w:hAnsi="Times New Roman"/>
          <w:noProof/>
          <w:sz w:val="24"/>
          <w:szCs w:val="24"/>
        </w:rPr>
        <w:t>meta-arviointi romanien osallisuutta lisäävistä toimenpiteistä</w:t>
      </w:r>
      <w:r>
        <w:rPr>
          <w:rFonts w:ascii="Times New Roman" w:eastAsia="MS Mincho" w:hAnsi="Times New Roman" w:cs="Times New Roman"/>
          <w:noProof/>
          <w:sz w:val="24"/>
          <w:szCs w:val="24"/>
          <w:vertAlign w:val="superscript"/>
        </w:rPr>
        <w:footnoteReference w:id="6"/>
      </w:r>
      <w:r>
        <w:rPr>
          <w:rFonts w:ascii="Times New Roman" w:hAnsi="Times New Roman"/>
          <w:noProof/>
          <w:sz w:val="24"/>
          <w:szCs w:val="24"/>
        </w:rPr>
        <w:t>.</w:t>
      </w:r>
    </w:p>
    <w:p>
      <w:pPr>
        <w:spacing w:after="120" w:line="240" w:lineRule="auto"/>
        <w:ind w:left="357" w:right="-142"/>
        <w:contextualSpacing/>
        <w:jc w:val="both"/>
        <w:rPr>
          <w:rFonts w:ascii="Times New Roman" w:eastAsia="MS Mincho" w:hAnsi="Times New Roman" w:cs="Times New Roman"/>
          <w:noProof/>
          <w:sz w:val="24"/>
          <w:szCs w:val="24"/>
        </w:rPr>
      </w:pP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Tässä kertomuksessa esitetään yhteenveto tärkeimmistä suuntauksista romanien kansallisia integrointistrategioita koskevan EU:n puitekehyksen kattamilla neljällä politiikan alalla (koulutus, työllisyys, terveydenhuolto, asuminen) sekä syrjinnän ja romanivastaisuuden torjunnan alalla. Kunkin kertomuksessa käsitellyn alan osalta tarkastellaan romanien tilannetta, esitetään yhteenveto pääasiallisista toimenpidetyypeistä ja saavutuksista sekä toimenpiteiden toteuttamisessa kohdatuista haasteista (romanien kansallisten yhteysviranomaisten raporteissa esitettyjen tietojen pohjalta) ja annetaan politiikkaoppimista tukevaa tietoa nostamalla esiin lupaavia lähestymistapoja sekä ensisijaisia aloja, joiden osalta on toteutettava toimia (tiedot perustuvat olemassa oleviin arviointeihin</w:t>
      </w:r>
      <w:r>
        <w:rPr>
          <w:rFonts w:ascii="Times New Roman" w:eastAsia="MS Mincho" w:hAnsi="Times New Roman" w:cs="Times New Roman"/>
          <w:noProof/>
          <w:sz w:val="24"/>
          <w:szCs w:val="24"/>
          <w:vertAlign w:val="superscript"/>
        </w:rPr>
        <w:footnoteReference w:id="7"/>
      </w:r>
      <w:r>
        <w:rPr>
          <w:rFonts w:ascii="Times New Roman" w:hAnsi="Times New Roman"/>
          <w:noProof/>
          <w:sz w:val="24"/>
          <w:szCs w:val="24"/>
        </w:rPr>
        <w:t xml:space="preserve"> sekä kansalaisyhteiskunnan toimijoiden ja romanien kansallisten yhteysviranomaisten palautteisiin).</w:t>
      </w:r>
    </w:p>
    <w:p>
      <w:pPr>
        <w:keepNext/>
        <w:spacing w:before="240" w:after="120" w:line="240" w:lineRule="auto"/>
        <w:ind w:right="-142"/>
        <w:outlineLvl w:val="0"/>
        <w:rPr>
          <w:rFonts w:ascii="Times New Roman" w:eastAsia="MS Mincho" w:hAnsi="Times New Roman" w:cs="Times New Roman"/>
          <w:b/>
          <w:bCs/>
          <w:smallCaps/>
          <w:noProof/>
          <w:sz w:val="24"/>
          <w:szCs w:val="24"/>
        </w:rPr>
      </w:pPr>
      <w:r>
        <w:rPr>
          <w:rFonts w:ascii="Times New Roman" w:hAnsi="Times New Roman"/>
          <w:b/>
          <w:bCs/>
          <w:smallCaps/>
          <w:noProof/>
          <w:sz w:val="24"/>
          <w:szCs w:val="24"/>
        </w:rPr>
        <w:t>I. Keskeiset politiikan alat</w:t>
      </w:r>
    </w:p>
    <w:p>
      <w:pPr>
        <w:spacing w:after="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Tässä kertomuksessa selostetaan toimenpiteitä, joita on toteutettu romanien integraatiota edistävistä tuloksellisista toimenpiteistä annetun neuvoston suosituksen</w:t>
      </w:r>
      <w:r>
        <w:rPr>
          <w:rFonts w:ascii="Times New Roman" w:eastAsia="MS Mincho" w:hAnsi="Times New Roman" w:cs="Times New Roman"/>
          <w:noProof/>
          <w:sz w:val="24"/>
          <w:szCs w:val="24"/>
          <w:vertAlign w:val="superscript"/>
        </w:rPr>
        <w:footnoteReference w:id="8"/>
      </w:r>
      <w:r>
        <w:rPr>
          <w:rFonts w:ascii="Times New Roman" w:hAnsi="Times New Roman"/>
          <w:noProof/>
          <w:sz w:val="24"/>
          <w:szCs w:val="24"/>
        </w:rPr>
        <w:t xml:space="preserve"> johdosta. Mainittujen toimenpiteiden määrä ei välttämättä kerro toiminnan tavoitteellisuudesta tai tuloksellisuudesta. Sekä koulutuksen että syrjinnän ja romanivastaisuuden torjunnan alalla useimmat toimenpiteet ovat romaneille kohdennettuja. Asumisen alalla on yhtä paljon romaneille kohdennettuja toimenpiteitä ja yleisiä politiikkatoimia eli yleisiä toimenpiteitä. Työllisyyden – ja vähäisemmässä määrin terveyden – alalla jäsenvaltiot pyrkivät pääasiassa yleisten toimenpiteiden avulla lisäämään myös romanien osallisuutta.</w:t>
      </w:r>
    </w:p>
    <w:p>
      <w:pPr>
        <w:rPr>
          <w:rFonts w:ascii="Times New Roman" w:hAnsi="Times New Roman"/>
          <w:b/>
          <w:bCs/>
          <w:smallCaps/>
          <w:noProof/>
          <w:sz w:val="24"/>
          <w:szCs w:val="24"/>
        </w:rPr>
      </w:pPr>
      <w:r>
        <w:rPr>
          <w:rFonts w:ascii="Times New Roman" w:hAnsi="Times New Roman"/>
          <w:b/>
          <w:bCs/>
          <w:smallCaps/>
          <w:noProof/>
          <w:sz w:val="24"/>
          <w:szCs w:val="24"/>
        </w:rPr>
        <w:br w:type="page"/>
      </w:r>
    </w:p>
    <w:p>
      <w:pPr>
        <w:spacing w:before="180" w:after="60" w:line="240" w:lineRule="auto"/>
        <w:ind w:right="-142"/>
        <w:outlineLvl w:val="1"/>
        <w:rPr>
          <w:rFonts w:ascii="Times New Roman" w:hAnsi="Times New Roman"/>
          <w:b/>
          <w:bCs/>
          <w:smallCaps/>
          <w:noProof/>
          <w:sz w:val="24"/>
          <w:szCs w:val="24"/>
        </w:rPr>
      </w:pPr>
      <w:r>
        <w:rPr>
          <w:rFonts w:ascii="Times New Roman" w:hAnsi="Times New Roman"/>
          <w:b/>
          <w:bCs/>
          <w:smallCaps/>
          <w:noProof/>
          <w:sz w:val="24"/>
          <w:szCs w:val="24"/>
        </w:rPr>
        <w:lastRenderedPageBreak/>
        <w:t>1</w:t>
      </w:r>
      <w:r>
        <w:rPr>
          <w:rFonts w:ascii="Times New Roman" w:hAnsi="Times New Roman"/>
          <w:b/>
          <w:bCs/>
          <w:smallCaps/>
          <w:noProof/>
        </w:rPr>
        <w:t xml:space="preserve">. </w:t>
      </w:r>
      <w:r>
        <w:rPr>
          <w:rFonts w:ascii="Times New Roman" w:hAnsi="Times New Roman"/>
          <w:b/>
          <w:bCs/>
          <w:smallCaps/>
          <w:noProof/>
          <w:sz w:val="24"/>
          <w:szCs w:val="24"/>
        </w:rPr>
        <w:t>Koulutus</w:t>
      </w:r>
    </w:p>
    <w:p>
      <w:pPr>
        <w:spacing w:before="180" w:after="60" w:line="240" w:lineRule="auto"/>
        <w:ind w:right="-142"/>
        <w:jc w:val="right"/>
        <w:outlineLvl w:val="1"/>
        <w:rPr>
          <w:rFonts w:ascii="Times New Roman" w:eastAsia="MS Mincho" w:hAnsi="Times New Roman" w:cs="Times New Roman"/>
          <w:b/>
          <w:bCs/>
          <w:smallCaps/>
          <w:noProof/>
          <w:sz w:val="24"/>
          <w:szCs w:val="24"/>
        </w:rPr>
      </w:pPr>
      <w:r>
        <w:rPr>
          <w:noProof/>
          <w:lang w:val="en-GB" w:eastAsia="en-GB"/>
        </w:rPr>
        <w:drawing>
          <wp:inline distT="0" distB="0" distL="0" distR="0">
            <wp:extent cx="4964593" cy="3053751"/>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4578" cy="3053742"/>
                    </a:xfrm>
                    <a:prstGeom prst="rect">
                      <a:avLst/>
                    </a:prstGeom>
                    <a:noFill/>
                    <a:ln>
                      <a:noFill/>
                    </a:ln>
                  </pic:spPr>
                </pic:pic>
              </a:graphicData>
            </a:graphic>
          </wp:inline>
        </w:drawing>
      </w:r>
    </w:p>
    <w:p>
      <w:pPr>
        <w:rPr>
          <w:rFonts w:ascii="Times New Roman" w:hAnsi="Times New Roman"/>
          <w:i/>
          <w:noProof/>
          <w:sz w:val="24"/>
          <w:szCs w:val="24"/>
        </w:rPr>
      </w:pPr>
    </w:p>
    <w:p>
      <w:pPr>
        <w:spacing w:after="0" w:line="240" w:lineRule="auto"/>
        <w:jc w:val="both"/>
        <w:rPr>
          <w:rFonts w:ascii="Times New Roman" w:hAnsi="Times New Roman"/>
          <w:i/>
          <w:noProof/>
          <w:sz w:val="24"/>
          <w:szCs w:val="24"/>
        </w:rPr>
      </w:pPr>
      <w:r>
        <w:rPr>
          <w:rFonts w:ascii="Times New Roman" w:hAnsi="Times New Roman"/>
          <w:i/>
          <w:noProof/>
          <w:sz w:val="24"/>
          <w:szCs w:val="24"/>
        </w:rPr>
        <w:t xml:space="preserve">1.1. Toimenpiteiden painopisteet </w:t>
      </w:r>
    </w:p>
    <w:p>
      <w:pPr>
        <w:spacing w:after="0" w:line="240" w:lineRule="auto"/>
        <w:jc w:val="both"/>
        <w:rPr>
          <w:rFonts w:ascii="Times New Roman" w:hAnsi="Times New Roman"/>
          <w:i/>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Useimmat jäsenvaltiot investoivat toimenpiteisiin, joiden tavoitteena on vähentää koulunkäynnin keskeyttäjien määrää (18 jäsenvaltiota). Seuraavaksi yleisimpiä toimenpiteitä ovat seuraavat: kartoitetaan yksittäisten oppilaiden tarpeet yhdessä oppilaan perheen kanssa (14 jäsenvaltiota), lisätään mahdollisuuksia osallistua varhaiskasvatukseen ja parannetaan varhaiskasvatuksen laatua (13 jäsenvaltiota) ja kannustetaan romaneja osallistumaan toisen ja kolmannen asteen koulutukseen ja koulutuksen loppuun saattamiseen (11 jäsenvaltiota). Lisäksi pyritään estämään koulujen eriytyminen, käyttämään osallistavia opetusmenetelmiä ja kehittämään työmarkkinoiden tarpeisiin mukautettuja taitoja (jokaisen tavoitteen osalta 12 jäsenvaltiota).</w:t>
      </w:r>
    </w:p>
    <w:p>
      <w:pPr>
        <w:jc w:val="both"/>
        <w:rPr>
          <w:noProof/>
        </w:rPr>
      </w:pPr>
      <w:r>
        <w:rPr>
          <w:noProof/>
        </w:rPr>
        <w:br w:type="page"/>
      </w:r>
    </w:p>
    <w:p>
      <w:pPr>
        <w:spacing w:after="0" w:line="240" w:lineRule="auto"/>
        <w:rPr>
          <w:rFonts w:ascii="Times New Roman" w:eastAsia="MS Mincho" w:hAnsi="Times New Roman" w:cs="Times New Roman"/>
          <w:noProof/>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1534</wp:posOffset>
                </wp:positionV>
                <wp:extent cx="6048375" cy="249555"/>
                <wp:effectExtent l="0" t="0" r="0" b="0"/>
                <wp:wrapNone/>
                <wp:docPr id="7" name="Text Box 7"/>
                <wp:cNvGraphicFramePr/>
                <a:graphic xmlns:a="http://schemas.openxmlformats.org/drawingml/2006/main">
                  <a:graphicData uri="http://schemas.microsoft.com/office/word/2010/wordprocessingShape">
                    <wps:wsp>
                      <wps:cNvSpPr txBox="1"/>
                      <wps:spPr>
                        <a:xfrm>
                          <a:off x="0" y="0"/>
                          <a:ext cx="6048375" cy="24955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i/>
                                <w:sz w:val="18"/>
                                <w:szCs w:val="18"/>
                              </w:rPr>
                            </w:pPr>
                            <w:r>
                              <w:rPr>
                                <w:rFonts w:ascii="Times New Roman" w:hAnsi="Times New Roman"/>
                                <w:i/>
                                <w:sz w:val="18"/>
                                <w:szCs w:val="18"/>
                              </w:rPr>
                              <w:t>Koulutusta koskevien toimenpiteiden jaottelu neuvoston suositusten osa-alueiden ja toimenpiteiden yleisyyden mukaan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1pt;width:476.25pt;height:1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" fillcolor="white [3201]" stroked="f" strokeweight=".5pt">
                <v:fill opacity="0"/>
                <v:textbox>
                  <w:txbxContent>
                    <w:p>
                      <w:pPr>
                        <w:jc w:val="center"/>
                        <w:rPr>
                          <w:i/>
                          <w:sz w:val="18"/>
                          <w:szCs w:val="18"/>
                        </w:rPr>
                      </w:pPr>
                      <w:r>
                        <w:rPr>
                          <w:rFonts w:ascii="Times New Roman" w:hAnsi="Times New Roman"/>
                          <w:i/>
                          <w:sz w:val="18"/>
                          <w:szCs w:val="18"/>
                        </w:rPr>
                        <w:t>Koulutusta koskevien toimenpiteiden jaottelu neuvoston suositusten osa-alueiden ja toimenpiteiden yleisyyden mukaan</w:t>
                      </w:r>
                    </w:p>
                  </w:txbxContent>
                </v:textbox>
              </v:shape>
            </w:pict>
          </mc:Fallback>
        </mc:AlternateContent>
      </w:r>
    </w:p>
    <w:p>
      <w:pPr>
        <w:keepNext/>
        <w:keepLines/>
        <w:spacing w:after="120" w:line="240" w:lineRule="auto"/>
        <w:ind w:right="-142"/>
        <w:jc w:val="both"/>
        <w:rPr>
          <w:rFonts w:ascii="Times New Roman" w:hAnsi="Times New Roman"/>
          <w:noProof/>
        </w:rPr>
      </w:pP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624</wp:posOffset>
                </wp:positionH>
                <wp:positionV relativeFrom="paragraph">
                  <wp:posOffset>4228741</wp:posOffset>
                </wp:positionV>
                <wp:extent cx="5952226" cy="387985"/>
                <wp:effectExtent l="0" t="0" r="0" b="0"/>
                <wp:wrapNone/>
                <wp:docPr id="5" name="Text Box 5"/>
                <wp:cNvGraphicFramePr/>
                <a:graphic xmlns:a="http://schemas.openxmlformats.org/drawingml/2006/main">
                  <a:graphicData uri="http://schemas.microsoft.com/office/word/2010/wordprocessingShape">
                    <wps:wsp>
                      <wps:cNvSpPr txBox="1"/>
                      <wps:spPr>
                        <a:xfrm>
                          <a:off x="0" y="0"/>
                          <a:ext cx="5952226" cy="3879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line="240" w:lineRule="auto"/>
                              <w:ind w:right="-913"/>
                              <w:jc w:val="both"/>
                              <w:rPr>
                                <w:rFonts w:ascii="Times New Roman" w:hAnsi="Times New Roman"/>
                                <w:sz w:val="19"/>
                                <w:szCs w:val="19"/>
                              </w:rPr>
                            </w:pPr>
                            <w:r>
                              <w:rPr>
                                <w:rFonts w:ascii="Times New Roman" w:hAnsi="Times New Roman"/>
                                <w:sz w:val="19"/>
                                <w:szCs w:val="19"/>
                              </w:rPr>
                              <w:t xml:space="preserve">             Lähde: Euroopan komissio (2018), romanien kansallisten yhteysviranomaisten raportit vuonna 2017 toteutetuista</w:t>
                            </w:r>
                          </w:p>
                          <w:p>
                            <w:pPr>
                              <w:spacing w:after="0" w:line="240" w:lineRule="auto"/>
                              <w:ind w:right="-913"/>
                              <w:jc w:val="both"/>
                              <w:rPr>
                                <w:rFonts w:ascii="Times New Roman" w:hAnsi="Times New Roman"/>
                                <w:sz w:val="19"/>
                                <w:szCs w:val="19"/>
                              </w:rPr>
                            </w:pPr>
                            <w:r>
                              <w:rPr>
                                <w:rFonts w:ascii="Times New Roman" w:hAnsi="Times New Roman"/>
                                <w:sz w:val="19"/>
                                <w:szCs w:val="19"/>
                              </w:rPr>
                              <w:t>romanien osallisuutta lisäävistä toimenpiteistä.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05pt;margin-top:332.95pt;width:468.7pt;height:3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" fillcolor="white [3201]" stroked="f" strokeweight=".5pt">
                <v:fill opacity="0"/>
                <v:textbox>
                  <w:txbxContent>
                    <w:p>
                      <w:pPr>
                        <w:spacing w:after="0" w:line="240" w:lineRule="auto"/>
                        <w:ind w:right="-913"/>
                        <w:jc w:val="both"/>
                        <w:rPr>
                          <w:rFonts w:ascii="Times New Roman" w:hAnsi="Times New Roman"/>
                          <w:sz w:val="19"/>
                          <w:szCs w:val="19"/>
                        </w:rPr>
                      </w:pPr>
                      <w:r>
                        <w:rPr>
                          <w:rFonts w:ascii="Times New Roman" w:hAnsi="Times New Roman"/>
                          <w:sz w:val="19"/>
                          <w:szCs w:val="19"/>
                        </w:rPr>
                        <w:t xml:space="preserve">             Lähde: Euroopan komissio (2018), romanien kansallisten yhteysviranomaisten raportit vuonna 2017 toteutetuista</w:t>
                      </w:r>
                    </w:p>
                    <w:p>
                      <w:pPr>
                        <w:spacing w:after="0" w:line="240" w:lineRule="auto"/>
                        <w:ind w:right="-913"/>
                        <w:jc w:val="both"/>
                        <w:rPr>
                          <w:rFonts w:ascii="Times New Roman" w:hAnsi="Times New Roman"/>
                          <w:sz w:val="19"/>
                          <w:szCs w:val="19"/>
                        </w:rPr>
                      </w:pPr>
                      <w:r>
                        <w:rPr>
                          <w:rFonts w:ascii="Times New Roman" w:hAnsi="Times New Roman"/>
                          <w:sz w:val="19"/>
                          <w:szCs w:val="19"/>
                        </w:rPr>
                        <w:t>romanien osallisuutta lisäävistä toimenpiteistä.</w:t>
                      </w:r>
                    </w:p>
                  </w:txbxContent>
                </v:textbox>
              </v:shape>
            </w:pict>
          </mc:Fallback>
        </mc:AlternateContent>
      </w:r>
      <w:r>
        <w:rPr>
          <w:noProof/>
          <w:lang w:val="en-GB" w:eastAsia="en-GB"/>
        </w:rPr>
        <w:drawing>
          <wp:inline distT="0" distB="0" distL="0" distR="0">
            <wp:extent cx="6048375" cy="42712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6591" cy="4277101"/>
                    </a:xfrm>
                    <a:prstGeom prst="rect">
                      <a:avLst/>
                    </a:prstGeom>
                    <a:noFill/>
                    <a:ln>
                      <a:noFill/>
                    </a:ln>
                  </pic:spPr>
                </pic:pic>
              </a:graphicData>
            </a:graphic>
          </wp:inline>
        </w:drawing>
      </w:r>
    </w:p>
    <w:p>
      <w:pPr>
        <w:spacing w:after="0" w:line="240" w:lineRule="auto"/>
        <w:ind w:right="-142"/>
        <w:jc w:val="both"/>
        <w:rPr>
          <w:rFonts w:ascii="Times New Roman" w:hAnsi="Times New Roman"/>
          <w:noProof/>
          <w:sz w:val="20"/>
          <w:szCs w:val="20"/>
        </w:rPr>
      </w:pPr>
    </w:p>
    <w:p>
      <w:pPr>
        <w:spacing w:after="120" w:line="240" w:lineRule="auto"/>
        <w:ind w:right="-142"/>
        <w:jc w:val="both"/>
        <w:rPr>
          <w:rFonts w:ascii="Times New Roman" w:hAnsi="Times New Roman"/>
          <w:noProof/>
          <w:sz w:val="24"/>
          <w:szCs w:val="24"/>
        </w:rPr>
      </w:pP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Mitä muita keskeisiä painopisteitä toimenpiteillä on edellä mainittujen tavoitteiden lisäksi? Raporttien mukaan jäsenvaltiot suosivat useimmiten toimenpiteitä, joiden tavoitteena on nostaa koulutustasoa. Näihin toimenpiteisiin kuuluvat seuraavat: ehkäistään koulunkäynnin keskeyttämistä, kannustetaan siirtymään toisen ja kolmannen asteen koulutukseen ja saattamaan koulutus loppuun tai tarjotaan tukea koulutusaukkojen täydentämiseen tai aineellisen aseman kohentamiseen. Tämäntyyppisten toimenpiteiden osuus on 36 prosenttia kaikista koulutuksen alan toimenpiteistä. Muiden merkittävien toimenpidekokonaisuuksien avulla edistetään koulutuksesta työhön siirtymistä tukemalla ammatillista kouluttautumista, tuetaan urakehitystä ja elinikäistä oppimista ja kehitetään ammatillisia valmiuksia (9–11 prosenttia). Vähemmän yleisiin toimenpiteisiin kuuluvat integroidut osallistamistoimet ja romanien historian ja kulttuurin sisällyttäminen opetussuunnitelmiin (6–6 prosenttia).</w:t>
      </w:r>
    </w:p>
    <w:p>
      <w:pPr>
        <w:keepNext/>
        <w:spacing w:before="180" w:after="120" w:line="240" w:lineRule="auto"/>
        <w:ind w:right="-142"/>
        <w:outlineLvl w:val="2"/>
        <w:rPr>
          <w:rFonts w:ascii="Times New Roman" w:eastAsia="MS Mincho" w:hAnsi="Times New Roman" w:cs="Times New Roman"/>
          <w:i/>
          <w:noProof/>
          <w:sz w:val="24"/>
          <w:szCs w:val="24"/>
        </w:rPr>
      </w:pPr>
      <w:r>
        <w:rPr>
          <w:rFonts w:ascii="Times New Roman" w:hAnsi="Times New Roman"/>
          <w:i/>
          <w:noProof/>
          <w:sz w:val="24"/>
          <w:szCs w:val="24"/>
        </w:rPr>
        <w:t>1.2. Saavutukset ja haasteet</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Yleisin romanien kansallisten yhteysviranomaisten mainitsema saavutus koulutuksen alalla on neuvonta</w:t>
      </w:r>
      <w:r>
        <w:rPr>
          <w:rFonts w:ascii="Times New Roman" w:eastAsia="MS Mincho" w:hAnsi="Times New Roman" w:cs="Times New Roman"/>
          <w:noProof/>
          <w:sz w:val="24"/>
          <w:szCs w:val="24"/>
          <w:vertAlign w:val="superscript"/>
        </w:rPr>
        <w:footnoteReference w:id="9"/>
      </w:r>
      <w:r>
        <w:rPr>
          <w:rFonts w:ascii="Times New Roman" w:hAnsi="Times New Roman"/>
          <w:noProof/>
          <w:sz w:val="24"/>
          <w:szCs w:val="24"/>
        </w:rPr>
        <w:t>. Muita saavutuksia ovat lastentarhojen valmiuksien lisääntyminen</w:t>
      </w:r>
      <w:r>
        <w:rPr>
          <w:rFonts w:ascii="Times New Roman" w:eastAsia="MS Mincho" w:hAnsi="Times New Roman" w:cs="Times New Roman"/>
          <w:noProof/>
          <w:sz w:val="24"/>
          <w:szCs w:val="24"/>
          <w:vertAlign w:val="superscript"/>
        </w:rPr>
        <w:footnoteReference w:id="10"/>
      </w:r>
      <w:r>
        <w:rPr>
          <w:rFonts w:ascii="Times New Roman" w:hAnsi="Times New Roman"/>
          <w:noProof/>
          <w:sz w:val="24"/>
          <w:szCs w:val="24"/>
        </w:rPr>
        <w:t>, koulunkäynnin keskeyttämisen torjuntaan ja seurantaan tarkoitetun tuen parantuminen</w:t>
      </w:r>
      <w:r>
        <w:rPr>
          <w:rFonts w:ascii="Times New Roman" w:eastAsia="MS Mincho" w:hAnsi="Times New Roman" w:cs="Times New Roman"/>
          <w:noProof/>
          <w:sz w:val="24"/>
          <w:szCs w:val="24"/>
          <w:vertAlign w:val="superscript"/>
        </w:rPr>
        <w:footnoteReference w:id="11"/>
      </w:r>
      <w:r>
        <w:rPr>
          <w:rFonts w:ascii="Times New Roman" w:hAnsi="Times New Roman"/>
          <w:noProof/>
          <w:sz w:val="24"/>
          <w:szCs w:val="24"/>
        </w:rPr>
        <w:t xml:space="preserve"> ja romanien osallisuutta ja syrjimättömyyttä koskevien aiheiden sisällyttäminen opettajankoulutukseen tai kansallisiin opetussuunnitelmiin</w:t>
      </w:r>
      <w:r>
        <w:rPr>
          <w:rFonts w:ascii="Times New Roman" w:eastAsia="MS Mincho" w:hAnsi="Times New Roman" w:cs="Times New Roman"/>
          <w:noProof/>
          <w:sz w:val="24"/>
          <w:szCs w:val="24"/>
          <w:vertAlign w:val="superscript"/>
        </w:rPr>
        <w:footnoteReference w:id="12"/>
      </w:r>
      <w:r>
        <w:rPr>
          <w:rFonts w:ascii="Times New Roman" w:hAnsi="Times New Roman"/>
          <w:noProof/>
          <w:sz w:val="24"/>
          <w:szCs w:val="24"/>
        </w:rPr>
        <w:t>.</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Romanien kansallisten yhteysviranomaisten esille nostamia merkittävimpiä haasteita ovat osallistuminen koulutukseen, poissaolot, koulun keskeyttäminen, perusasteelta toisella asteelle siirtyminen ja toisen asteen koulutuksen loppuun saattaminen.</w:t>
      </w:r>
      <w:r>
        <w:rPr>
          <w:rFonts w:ascii="Times New Roman" w:eastAsia="MS Mincho" w:hAnsi="Times New Roman" w:cs="Times New Roman"/>
          <w:noProof/>
          <w:sz w:val="24"/>
          <w:szCs w:val="24"/>
          <w:vertAlign w:val="superscript"/>
        </w:rPr>
        <w:footnoteReference w:id="13"/>
      </w:r>
      <w:r>
        <w:rPr>
          <w:rFonts w:ascii="Times New Roman" w:hAnsi="Times New Roman"/>
          <w:noProof/>
          <w:sz w:val="24"/>
          <w:szCs w:val="24"/>
        </w:rPr>
        <w:t xml:space="preserve"> Muita haasteita ovat koulujen eriytymisen estäminen</w:t>
      </w:r>
      <w:r>
        <w:rPr>
          <w:rFonts w:ascii="Times New Roman" w:eastAsia="MS Mincho" w:hAnsi="Times New Roman" w:cs="Times New Roman"/>
          <w:noProof/>
          <w:sz w:val="24"/>
          <w:szCs w:val="24"/>
          <w:vertAlign w:val="superscript"/>
        </w:rPr>
        <w:footnoteReference w:id="14"/>
      </w:r>
      <w:r>
        <w:rPr>
          <w:rFonts w:ascii="Times New Roman" w:hAnsi="Times New Roman"/>
          <w:noProof/>
          <w:sz w:val="24"/>
          <w:szCs w:val="24"/>
        </w:rPr>
        <w:t>, inhimillisten valmiuksien varmistaminen ja lisääminen</w:t>
      </w:r>
      <w:r>
        <w:rPr>
          <w:rFonts w:ascii="Times New Roman" w:eastAsia="MS Mincho" w:hAnsi="Times New Roman" w:cs="Times New Roman"/>
          <w:noProof/>
          <w:sz w:val="24"/>
          <w:szCs w:val="24"/>
          <w:vertAlign w:val="superscript"/>
        </w:rPr>
        <w:footnoteReference w:id="15"/>
      </w:r>
      <w:r>
        <w:rPr>
          <w:rFonts w:ascii="Times New Roman" w:hAnsi="Times New Roman"/>
          <w:noProof/>
          <w:sz w:val="24"/>
          <w:szCs w:val="24"/>
        </w:rPr>
        <w:t>, yhteistyö sidosryhmien välillä</w:t>
      </w:r>
      <w:r>
        <w:rPr>
          <w:rFonts w:ascii="Times New Roman" w:eastAsia="MS Mincho" w:hAnsi="Times New Roman" w:cs="Times New Roman"/>
          <w:noProof/>
          <w:sz w:val="24"/>
          <w:szCs w:val="24"/>
          <w:vertAlign w:val="superscript"/>
        </w:rPr>
        <w:footnoteReference w:id="16"/>
      </w:r>
      <w:r>
        <w:rPr>
          <w:rFonts w:ascii="Times New Roman" w:hAnsi="Times New Roman"/>
          <w:noProof/>
          <w:sz w:val="24"/>
          <w:szCs w:val="24"/>
        </w:rPr>
        <w:t>, varhaiskasvatukseen osallistumisen lisääminen</w:t>
      </w:r>
      <w:r>
        <w:rPr>
          <w:rFonts w:ascii="Times New Roman" w:eastAsia="MS Mincho" w:hAnsi="Times New Roman" w:cs="Times New Roman"/>
          <w:noProof/>
          <w:sz w:val="24"/>
          <w:szCs w:val="24"/>
          <w:vertAlign w:val="superscript"/>
        </w:rPr>
        <w:footnoteReference w:id="17"/>
      </w:r>
      <w:r>
        <w:rPr>
          <w:rFonts w:ascii="Times New Roman" w:hAnsi="Times New Roman"/>
          <w:noProof/>
          <w:sz w:val="24"/>
          <w:szCs w:val="24"/>
        </w:rPr>
        <w:t>, aikuiskoulutus ja koulun keskeyttäneille tarkoitettu uusi kouluttautumismahdollisuus</w:t>
      </w:r>
      <w:r>
        <w:rPr>
          <w:rFonts w:ascii="Times New Roman" w:eastAsia="MS Mincho" w:hAnsi="Times New Roman" w:cs="Times New Roman"/>
          <w:noProof/>
          <w:sz w:val="24"/>
          <w:szCs w:val="24"/>
          <w:vertAlign w:val="superscript"/>
        </w:rPr>
        <w:footnoteReference w:id="18"/>
      </w:r>
      <w:r>
        <w:rPr>
          <w:rFonts w:ascii="Times New Roman" w:hAnsi="Times New Roman"/>
          <w:noProof/>
          <w:sz w:val="24"/>
          <w:szCs w:val="24"/>
        </w:rPr>
        <w:t xml:space="preserve"> ja tiedon saatavuus</w:t>
      </w:r>
      <w:r>
        <w:rPr>
          <w:rFonts w:ascii="Times New Roman" w:eastAsia="MS Mincho" w:hAnsi="Times New Roman" w:cs="Times New Roman"/>
          <w:noProof/>
          <w:sz w:val="24"/>
          <w:szCs w:val="24"/>
          <w:vertAlign w:val="superscript"/>
        </w:rPr>
        <w:footnoteReference w:id="19"/>
      </w:r>
      <w:r>
        <w:rPr>
          <w:rFonts w:ascii="Times New Roman" w:hAnsi="Times New Roman"/>
          <w:noProof/>
          <w:sz w:val="24"/>
          <w:szCs w:val="24"/>
        </w:rPr>
        <w:t>.</w:t>
      </w:r>
    </w:p>
    <w:p>
      <w:pPr>
        <w:keepNext/>
        <w:spacing w:before="180" w:after="120" w:line="240" w:lineRule="auto"/>
        <w:ind w:right="-142"/>
        <w:outlineLvl w:val="2"/>
        <w:rPr>
          <w:rFonts w:ascii="Times New Roman" w:eastAsia="MS Mincho" w:hAnsi="Times New Roman" w:cs="Times New Roman"/>
          <w:i/>
          <w:noProof/>
          <w:sz w:val="24"/>
          <w:szCs w:val="24"/>
        </w:rPr>
      </w:pPr>
      <w:r>
        <w:rPr>
          <w:rFonts w:ascii="Times New Roman" w:hAnsi="Times New Roman"/>
          <w:i/>
          <w:noProof/>
          <w:sz w:val="24"/>
          <w:szCs w:val="24"/>
        </w:rPr>
        <w:t>1.3. Politiikkaoppiminen</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 xml:space="preserve">Toimenpiteitä ja arviointeja toteutettiin eniten koulutuksen alalla. Tämän vuoksi koulutuksen alalla on myös suhteellisesti enemmän lupaavia lähestymistapoja ja eri toimintatavoista saatuja oppimiskokemuksia, jotka ovat yhteisiä useille jäsenvaltioille. Tärkeisiin oppimiskokemuksiin tällä alalla kuuluvat muun muassa seuraavat: varhainen puuttuminen ja ennaltaehkäisy on tärkeää, on lisättävä romanivanhempien osallistumista ja vaikutusmahdollisuuksia (sillä vanhempien tuki on oleellista lapsen jokaisessa koulutusvaiheessa), opetussuunnitelman ulkopuolisella toiminnalla on tärkeä merkitys romanilasten identiteetin ja sosiaalisten verkostojen vahvistamisessa ja tarvitaan jatkuvia monitahoisia tukitoimenpiteitä (tuutorointi ja apurahat sekä muiden kustannusesteiden poistaminen), jotta nykyistä useampi siirtyisi koulutustasolta toiselle ja koulutuksesta työelämään. Vaikka positiiviset toimet ovat auttaneet lisäämään romanien osallistumista koulutukseen, on tärkeää, ettei niille romaneille, jotka pääsisivät yleiskoulutukseen tavanomaisia väyliä pitkin, osoiteta erityispaikkoja. </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Erityisesti niissä jäsenvaltioissa, joissa on paljon romanioppilaita, tarvitaan järjestelmällinen, monitahoinen ja pitkäjänteinen lähestymistapa koulujen ja luokkien eriytymisen estämiseksi, sillä eriytyminen on yhä merkittävä ongelma, joka vaikeuttaa muiden osallistamistoimenpiteiden onnistumista. Tämän lähestymistavan keskeisiin osatekijöihin kuuluvat seuraavat: tarjotaan varhainen ja maksuton pääsy laadukkaaseen osallistavaan varhaiskasvatukseen yhdennetyssä ympäristössä (jotta voidaan lisätä romanilasten kouluvalmiuksia, vähentää romani- ja muuhun väestöön kuuluvien lasten ja aikuisten ennakkoluuloja ja estää tällä tavoin myöhempi eriytyminen), tuetaan romanivanhempia koulun valinnassa, kouluviranomaiset sulkevat eriytyneet koulut asteittain ja romanilapsille osoitetaan koulupaikkoja eri kouluista (koulupiirien uudelleenjärjestelyn avulla). Näiden aktiivisten eriytymistä ehkäisevien toimien ohella olisi annettava taloudellista ja ammatillista lisätukea, jotta voidaan lisätä romanilasten sosiaalista ja akateemista integraatiota yleiseen koulujärjestelmään kuuluviin kouluihin. Näihin toimiin kuuluvat muun muassa seuraavat: korvataan koulumatkoista, oppimateriaaleista, aterioista, opetussuunnitelman ulkopuolisesta toiminnasta ja lisäopetuksesta aiheutuvia kuluja, koulutetaan esiopetuksen henkilökunta ja opettajat uusiin opetusmenetelmiin integroiduissa kouluympäristöissä (mukaan lukien stereotypioihin perustuvan ajattelun muuttaminen), helpotetaan vanhempien ja koulujen välistä viestintää, jaetaan vanhemmille tietoa integroidun opetuksen hyödyistä, tarjotaan opiskelijoille mentorointitukea ja romanilapsille koulupäivän jälkeistä tukea ja palkataan kouluavustajia sekä lisätään valtaväestön valveutuneisuutta koulutuksellisen osallisuuden ja kulttuurien välisen opetuksen tärkeästä roolista yhteisöjen välisissä suhteissa kampanjoiden ja median välityksellä</w:t>
      </w:r>
      <w:r>
        <w:rPr>
          <w:rFonts w:ascii="Times New Roman" w:eastAsia="MS Mincho" w:hAnsi="Times New Roman" w:cs="Times New Roman"/>
          <w:noProof/>
          <w:sz w:val="24"/>
          <w:szCs w:val="24"/>
          <w:vertAlign w:val="superscript"/>
        </w:rPr>
        <w:footnoteReference w:id="20"/>
      </w:r>
      <w:r>
        <w:rPr>
          <w:rFonts w:ascii="Times New Roman" w:hAnsi="Times New Roman"/>
          <w:noProof/>
          <w:sz w:val="24"/>
          <w:szCs w:val="24"/>
        </w:rPr>
        <w:t>.</w:t>
      </w:r>
    </w:p>
    <w:tbl>
      <w:tblPr>
        <w:tblStyle w:val="TableGrid"/>
        <w:tblW w:w="9498" w:type="dxa"/>
        <w:tblInd w:w="108" w:type="dxa"/>
        <w:tblLook w:val="04A0" w:firstRow="1" w:lastRow="0" w:firstColumn="1" w:lastColumn="0" w:noHBand="0" w:noVBand="1"/>
      </w:tblPr>
      <w:tblGrid>
        <w:gridCol w:w="4253"/>
        <w:gridCol w:w="5245"/>
      </w:tblGrid>
      <w:tr>
        <w:tc>
          <w:tcPr>
            <w:tcW w:w="4253" w:type="dxa"/>
            <w:shd w:val="clear" w:color="auto" w:fill="D9D9D9"/>
          </w:tcPr>
          <w:p>
            <w:pPr>
              <w:keepNext/>
              <w:keepLines/>
              <w:spacing w:before="120" w:after="120"/>
              <w:ind w:right="-142"/>
              <w:jc w:val="both"/>
              <w:rPr>
                <w:rFonts w:ascii="Times New Roman" w:eastAsia="MS Mincho" w:hAnsi="Times New Roman" w:cs="Times New Roman"/>
                <w:b/>
                <w:noProof/>
                <w:sz w:val="19"/>
                <w:szCs w:val="19"/>
              </w:rPr>
            </w:pPr>
            <w:r>
              <w:rPr>
                <w:rFonts w:ascii="Times New Roman" w:hAnsi="Times New Roman"/>
                <w:b/>
                <w:noProof/>
                <w:sz w:val="19"/>
                <w:szCs w:val="19"/>
              </w:rPr>
              <w:t>Lupaavia lähestymistapoja</w:t>
            </w:r>
          </w:p>
        </w:tc>
        <w:tc>
          <w:tcPr>
            <w:tcW w:w="5245"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hAnsi="Times New Roman"/>
                <w:b/>
                <w:noProof/>
                <w:sz w:val="19"/>
                <w:szCs w:val="19"/>
              </w:rPr>
              <w:t>Ensisijaiset alat, joilla on toteutettava toimia</w:t>
            </w:r>
          </w:p>
        </w:tc>
      </w:tr>
      <w:tr>
        <w:tc>
          <w:tcPr>
            <w:tcW w:w="4253" w:type="dxa"/>
          </w:tcPr>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 xml:space="preserve">BG, CZ, DK, EL, FI, FR, HR, HU, LT, PL, SK: </w:t>
            </w:r>
            <w:r>
              <w:rPr>
                <w:rFonts w:ascii="Times New Roman" w:hAnsi="Times New Roman"/>
                <w:noProof/>
                <w:sz w:val="19"/>
                <w:szCs w:val="19"/>
              </w:rPr>
              <w:t>Pakollisen (maksuttoman) esikouluopetuksen käyttöönotto</w:t>
            </w:r>
            <w:r>
              <w:rPr>
                <w:rFonts w:ascii="Times New Roman" w:hAnsi="Times New Roman"/>
                <w:b/>
                <w:noProof/>
                <w:sz w:val="19"/>
                <w:szCs w:val="19"/>
              </w:rPr>
              <w:t xml:space="preserve"> </w:t>
            </w:r>
            <w:r>
              <w:rPr>
                <w:rFonts w:ascii="Times New Roman" w:hAnsi="Times New Roman"/>
                <w:noProof/>
                <w:sz w:val="19"/>
                <w:szCs w:val="19"/>
              </w:rPr>
              <w:t>tai laajentaminen, Euroopan rakenne- ja investointirahastosta (ERI-rahasto) rahoitettava lastentarhojen kehittäminen, lastentarhanopettajien kouluttaminen</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 xml:space="preserve">CY, EL, ES, IE, IT, HR, HU, LT, LV, NL, PL, PT, RO, SE, SI: </w:t>
            </w:r>
            <w:r>
              <w:rPr>
                <w:rFonts w:ascii="Times New Roman" w:hAnsi="Times New Roman"/>
                <w:noProof/>
                <w:sz w:val="19"/>
                <w:szCs w:val="19"/>
              </w:rPr>
              <w:t>Ohjelmat, joiden tavoitteena on ehkäistä koulunkäynnin keskeyttämistä romani(tyttö)oppilaiden keskuudessa. Tavoitteeseen pyritään koulupäivän jälkeen tarjottavan tuen, tuutoroinnin, apurahojen, mentoroinnin, neuvonnan, avustajien, uuden kouluttautumismahdollisuuden, opettajien kouluttamisen ja perheille tarjottavan tuen avulla</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 xml:space="preserve">AT, CY, FI, HU, IE, IT, PT, RO: </w:t>
            </w:r>
            <w:r>
              <w:rPr>
                <w:rFonts w:ascii="Times New Roman" w:hAnsi="Times New Roman"/>
                <w:noProof/>
                <w:sz w:val="19"/>
                <w:szCs w:val="19"/>
              </w:rPr>
              <w:t>Romanien historian (holokausti mukaan lukien) ja/tai kulttuurin sisällyttäminen kansalliseen opetussuunnitelmaan</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IE, HR, RO:</w:t>
            </w:r>
            <w:r>
              <w:rPr>
                <w:rFonts w:ascii="Times New Roman" w:hAnsi="Times New Roman"/>
                <w:noProof/>
                <w:sz w:val="19"/>
                <w:szCs w:val="19"/>
              </w:rPr>
              <w:t xml:space="preserve"> Koulutuspaikkojen kohdentaminen romaneille toisen ja kolmannen asteen koulutuksessa</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LT:</w:t>
            </w:r>
            <w:r>
              <w:rPr>
                <w:rFonts w:ascii="Times New Roman" w:hAnsi="Times New Roman"/>
                <w:noProof/>
                <w:sz w:val="19"/>
                <w:szCs w:val="19"/>
              </w:rPr>
              <w:t xml:space="preserve"> Valmiuksien lisääminen ja osaamisen kehittäminen romanilapsia opettavien koulujen verkostossa</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SE:</w:t>
            </w:r>
            <w:r>
              <w:rPr>
                <w:rFonts w:ascii="Times New Roman" w:hAnsi="Times New Roman"/>
                <w:noProof/>
                <w:sz w:val="19"/>
                <w:szCs w:val="19"/>
              </w:rPr>
              <w:t xml:space="preserve"> Opettajien kouluttaminen (Södertörnin yliopisto) ja toisen asteen aikuiskoulutus romanikielellä</w:t>
            </w:r>
          </w:p>
        </w:tc>
        <w:tc>
          <w:tcPr>
            <w:tcW w:w="5245" w:type="dxa"/>
          </w:tcPr>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Tuetaan kotikasvatusta ja varhaiskasvatusta osana kokonaisvaltaisia varhaisen vaiheen toimia ja ennaltaehkäisyohjelmia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Otetaan käyttöön laadukas, osallistava, maksuton ja pakollinen esiopetus tai laajennetaan sitä edelleen ja poistetaan esiopetukseen osallistumisen taloudelliset ja muut esteet</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Edistetään koulutuksen laatua, osallistavuutta ja tuloksellisuutta käyttämällä kannustimia (opettajakoulutuksen rahoitus ja uudistaminen); houkutellaan parhaat opettajat epäsuotuisassa asemassa oleviin kouluihin/alueille</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Seurataan ja torjutaan järjestelmällisesti koulujen ja luokkien eriytymistä romaniperheiden tukemiseen tähtäävillä pitkän aikavälin kokonaisvaltaisilla, valmistavilla ja täydentävillä toimenpiteillä</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Kehitetään julkista tukea ja sidosryhmien välistä yhteistyötä eriytymistä ehkäisevien aktiivisten täsmätoimien täydentämiseksi</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Yhdistetään apurahat, tuutorointi ja opetussuunnitelman ulkopuolinen toiminta, jotta voidaan estää koulunkäynnin keskeyttäminen ja tukea opiskelijaa seuraavalle koulutusasteelle siirtymisessä</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Toteutetaan romanityttöihin, heidän vanhempiinsa ja opettajiinsa kohdennettuja toimia, joiden tavoitteena on muuttaa sukupuolistereotypioihin perustuvaa ajattelua ja vähentää koulun keskeyttämistä</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Tuetaan siirtymistä toiselle asteelle ja sen jälkeiseen koulutukseen sekä koulutuksen loppuun saattamista muun muassa romaniopiskelijoille ja heidän perheilleen suunnatun uraohjauksen avulla</w:t>
            </w:r>
          </w:p>
        </w:tc>
      </w:tr>
    </w:tbl>
    <w:p>
      <w:pPr>
        <w:spacing w:before="180" w:after="60" w:line="240" w:lineRule="auto"/>
        <w:ind w:right="-142"/>
        <w:outlineLvl w:val="1"/>
        <w:rPr>
          <w:rFonts w:ascii="Times New Roman" w:eastAsia="MS Mincho" w:hAnsi="Times New Roman" w:cs="Times New Roman"/>
          <w:b/>
          <w:bCs/>
          <w:smallCaps/>
          <w:noProof/>
          <w:sz w:val="24"/>
          <w:szCs w:val="24"/>
        </w:rPr>
      </w:pPr>
      <w:r>
        <w:rPr>
          <w:rFonts w:ascii="Times New Roman" w:hAnsi="Times New Roman"/>
          <w:b/>
          <w:bCs/>
          <w:smallCaps/>
          <w:noProof/>
          <w:sz w:val="24"/>
          <w:szCs w:val="24"/>
        </w:rPr>
        <w:t>2. Työllisyys</w:t>
      </w:r>
    </w:p>
    <w:p>
      <w:pPr>
        <w:spacing w:before="180" w:after="60" w:line="240" w:lineRule="auto"/>
        <w:ind w:right="-142"/>
        <w:jc w:val="right"/>
        <w:outlineLvl w:val="1"/>
        <w:rPr>
          <w:rFonts w:ascii="Times New Roman" w:hAnsi="Times New Roman"/>
          <w:i/>
          <w:noProof/>
        </w:rPr>
      </w:pPr>
      <w:r>
        <w:rPr>
          <w:noProof/>
          <w:lang w:val="en-GB" w:eastAsia="en-GB"/>
        </w:rPr>
        <w:drawing>
          <wp:inline distT="0" distB="0" distL="0" distR="0">
            <wp:extent cx="5650302" cy="1017917"/>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6368" cy="1019010"/>
                    </a:xfrm>
                    <a:prstGeom prst="rect">
                      <a:avLst/>
                    </a:prstGeom>
                    <a:noFill/>
                    <a:ln>
                      <a:noFill/>
                    </a:ln>
                  </pic:spPr>
                </pic:pic>
              </a:graphicData>
            </a:graphic>
          </wp:inline>
        </w:drawing>
      </w:r>
    </w:p>
    <w:p>
      <w:pPr>
        <w:spacing w:before="180" w:after="60" w:line="240" w:lineRule="auto"/>
        <w:ind w:right="-142"/>
        <w:outlineLvl w:val="1"/>
        <w:rPr>
          <w:rFonts w:ascii="Times New Roman" w:eastAsia="MS Mincho" w:hAnsi="Times New Roman" w:cs="Times New Roman"/>
          <w:i/>
          <w:noProof/>
          <w:sz w:val="24"/>
          <w:szCs w:val="24"/>
        </w:rPr>
      </w:pPr>
      <w:r>
        <w:rPr>
          <w:rFonts w:ascii="Times New Roman" w:hAnsi="Times New Roman"/>
          <w:i/>
          <w:noProof/>
          <w:sz w:val="24"/>
          <w:szCs w:val="24"/>
        </w:rPr>
        <w:t xml:space="preserve">2.1. Toimenpiteiden painopisteet </w:t>
      </w:r>
    </w:p>
    <w:p>
      <w:pPr>
        <w:spacing w:after="0" w:line="240" w:lineRule="auto"/>
        <w:ind w:right="-142"/>
        <w:jc w:val="both"/>
        <w:rPr>
          <w:rFonts w:ascii="Times New Roman" w:hAnsi="Times New Roman"/>
          <w:noProof/>
          <w:sz w:val="24"/>
          <w:szCs w:val="24"/>
        </w:rPr>
      </w:pPr>
      <w:r>
        <w:rPr>
          <w:rFonts w:ascii="Times New Roman" w:hAnsi="Times New Roman"/>
          <w:noProof/>
          <w:sz w:val="24"/>
          <w:szCs w:val="24"/>
        </w:rPr>
        <w:t xml:space="preserve">Kahden suurimman ja useimmissa jäsenvaltioissa toteutetun toimenpidekokonaisuuden tavoitteena on poistaa työmarkkinoille pääsyn esteet (15 jäsenvaltiota) ja antaa yksilöllistä tukea työnhakijoille (13 jäsenvaltiota). Pienempi mutta silti merkittävä osa jäsenvaltioista investoi ammatilliseen koulutukseen (9 jäsenvaltiota), elinikäiseen oppimiseen ja ammattitaidon kehittämiseen (10 jäsenvaltiota) sekä itsenäiseen ammatinharjoittamiseen ja yrittäjyyteen (8 jäsenvaltiota). Työelämän ja koulutuksen ulkopuolella olevien romaninuorten kasvavan määrän vuoksi olisi ehdottomasti tarpeen lisätä toimenpiteitä, joiden avulla voidaan tukea ensimmäisen työkokemuksen saamista (10 jäsenvaltiota). Kaksi muuta aluetta, jotka olisi asetettava etusijalle, ovat: suojatoimet ja yksilöidyt palvelut sen varmistamiseksi, että heikossa asemassa olevat romanityönhakijat pääsevät tehokkaasti yleisten julkisten työnvälityspalvelujen piiriin ja positiiviset erityistoimet, joiden avulla parannetaan romanien työllistymismahdollisuuksia julkisella sektorilla. </w:t>
      </w:r>
    </w:p>
    <w:p>
      <w:pPr>
        <w:rPr>
          <w:noProof/>
        </w:rPr>
      </w:pPr>
      <w:r>
        <w:rPr>
          <w:noProof/>
        </w:rPr>
        <w:br w:type="page"/>
      </w:r>
    </w:p>
    <w:p>
      <w:pPr>
        <w:spacing w:after="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-16246</wp:posOffset>
                </wp:positionV>
                <wp:extent cx="5995251" cy="2495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95251" cy="24955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Caption"/>
                              <w:keepNext/>
                              <w:keepLines/>
                              <w:spacing w:after="0"/>
                              <w:jc w:val="center"/>
                              <w:rPr>
                                <w:rFonts w:ascii="Times New Roman" w:hAnsi="Times New Roman" w:cs="Times New Roman"/>
                                <w:color w:val="auto"/>
                              </w:rPr>
                            </w:pPr>
                            <w:r>
                              <w:rPr>
                                <w:rFonts w:ascii="Times New Roman" w:hAnsi="Times New Roman"/>
                                <w:color w:val="auto"/>
                              </w:rPr>
                              <w:t>Työllisyyttä koskevien toimenpiteiden jaottelu neuvoston suositusten osa-alueiden ja toimenpiteiden yleisyyden mukaan</w:t>
                            </w:r>
                          </w:p>
                          <w:p>
                            <w:pPr>
                              <w:spacing w:after="0"/>
                              <w:jc w:val="center"/>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0;margin-top:-1.3pt;width:472.05pt;height:1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" fillcolor="white [3201]" stroked="f" strokeweight=".5pt">
                <v:fill opacity="0"/>
                <v:textbox>
                  <w:txbxContent>
                    <w:p>
                      <w:pPr>
                        <w:pStyle w:val="Caption"/>
                        <w:keepNext/>
                        <w:keepLines/>
                        <w:spacing w:after="0"/>
                        <w:jc w:val="center"/>
                        <w:rPr>
                          <w:rFonts w:ascii="Times New Roman" w:hAnsi="Times New Roman" w:cs="Times New Roman"/>
                          <w:color w:val="auto"/>
                        </w:rPr>
                      </w:pPr>
                      <w:r>
                        <w:rPr>
                          <w:rFonts w:ascii="Times New Roman" w:hAnsi="Times New Roman"/>
                          <w:color w:val="auto"/>
                        </w:rPr>
                        <w:t>Työllisyyttä koskevien toimenpiteiden jaottelu neuvoston suositusten osa-alueiden ja toimenpiteiden yleisyyden mukaan</w:t>
                      </w:r>
                    </w:p>
                    <w:p>
                      <w:pPr>
                        <w:spacing w:after="0"/>
                        <w:jc w:val="center"/>
                        <w:rPr>
                          <w:i/>
                          <w:sz w:val="18"/>
                          <w:szCs w:val="18"/>
                        </w:rPr>
                      </w:pPr>
                    </w:p>
                  </w:txbxContent>
                </v:textbox>
              </v:shape>
            </w:pict>
          </mc:Fallback>
        </mc:AlternateContent>
      </w:r>
    </w:p>
    <w:p>
      <w:pPr>
        <w:spacing w:after="0" w:line="240" w:lineRule="auto"/>
        <w:ind w:right="-142"/>
        <w:jc w:val="both"/>
        <w:rPr>
          <w:rFonts w:ascii="Times New Roman" w:eastAsia="MS Mincho" w:hAnsi="Times New Roman" w:cs="Times New Roman"/>
          <w:noProof/>
          <w:sz w:val="2"/>
          <w:szCs w:val="2"/>
        </w:rPr>
      </w:pPr>
      <w:r>
        <w:rPr>
          <w:noProof/>
          <w:lang w:val="en-GB" w:eastAsia="en-GB"/>
        </w:rPr>
        <w:drawing>
          <wp:inline distT="0" distB="0" distL="0" distR="0">
            <wp:extent cx="6083793" cy="29761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8711" cy="2983411"/>
                    </a:xfrm>
                    <a:prstGeom prst="rect">
                      <a:avLst/>
                    </a:prstGeom>
                    <a:noFill/>
                    <a:ln>
                      <a:noFill/>
                    </a:ln>
                  </pic:spPr>
                </pic:pic>
              </a:graphicData>
            </a:graphic>
          </wp:inline>
        </w:drawing>
      </w:r>
    </w:p>
    <w:p>
      <w:pPr>
        <w:spacing w:before="120"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 xml:space="preserve">Mitä keskeisiä painopisteitä toimenpiteillä on? Jäsenvaltiot suosivat useimmiten yksilöllisen tuen muotoja, kuten tukityöllistämistä, muita kustannusten jakamisen muotoja, urakehityksen tukemista (mentorointi, valmennus) ja ammatillista koulutusta (näiden toimenpiteiden yhteisosuus on 35 prosenttia kaikista toimenpiteistä). Yleisempien sosiaalista osallisuutta, yhteisön kehittämistä, aikuisten ammattiin pätevöittämistä ja täydennyskoulutusta koskevien toimien osuus on 8–9 prosenttia kaikista toimenpiteistä. Vain viidesosa toimenpiteistä kohdistuu nuoriin, mikä on selkeästi riittämätöntä, kun otetaan huomioon romaninuorten työllistymisen haasteellisuus. </w:t>
      </w:r>
    </w:p>
    <w:p>
      <w:pPr>
        <w:spacing w:before="180" w:after="120" w:line="240" w:lineRule="auto"/>
        <w:ind w:right="-142"/>
        <w:outlineLvl w:val="2"/>
        <w:rPr>
          <w:rFonts w:ascii="Times New Roman" w:eastAsia="MS Mincho" w:hAnsi="Times New Roman" w:cs="Times New Roman"/>
          <w:i/>
          <w:noProof/>
          <w:sz w:val="24"/>
          <w:szCs w:val="24"/>
        </w:rPr>
      </w:pPr>
      <w:r>
        <w:rPr>
          <w:rFonts w:ascii="Times New Roman" w:hAnsi="Times New Roman"/>
          <w:i/>
          <w:noProof/>
          <w:sz w:val="24"/>
          <w:szCs w:val="24"/>
        </w:rPr>
        <w:t>2.2. Saavutukset ja haasteet</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Useat romanien kansalliset yhteysviranomaiset nostivat vuotta 2017 koskevissa raporteissaan esiin taloudellisen kasvun positiiviset vaikutukset romanien työllistymismahdollisuuksiin</w:t>
      </w:r>
      <w:r>
        <w:rPr>
          <w:rFonts w:ascii="Times New Roman" w:eastAsia="MS Mincho" w:hAnsi="Times New Roman" w:cs="Times New Roman"/>
          <w:noProof/>
          <w:sz w:val="24"/>
          <w:szCs w:val="24"/>
          <w:vertAlign w:val="superscript"/>
        </w:rPr>
        <w:footnoteReference w:id="21"/>
      </w:r>
      <w:r>
        <w:rPr>
          <w:rFonts w:ascii="Times New Roman" w:hAnsi="Times New Roman"/>
          <w:noProof/>
          <w:sz w:val="24"/>
          <w:szCs w:val="24"/>
        </w:rPr>
        <w:t>. Tosin tätäkin useammat romanien kansalliset yhteysviranomaiset mainitsivat kohdennetut tukitoimet, kuten alueelliset työllisyysohjelmat (ammatinvalinnanohjaus, ammatillinen koulutus tai työssä oppiminen ja romani- tai heikossa asemassa olevien työnhakijoiden ja työpaikkojen yhteensovittaminen)</w:t>
      </w:r>
      <w:r>
        <w:rPr>
          <w:rFonts w:ascii="Times New Roman" w:eastAsia="MS Mincho" w:hAnsi="Times New Roman" w:cs="Times New Roman"/>
          <w:noProof/>
          <w:sz w:val="24"/>
          <w:szCs w:val="24"/>
          <w:vertAlign w:val="superscript"/>
        </w:rPr>
        <w:footnoteReference w:id="22"/>
      </w:r>
      <w:r>
        <w:rPr>
          <w:rFonts w:ascii="Times New Roman" w:hAnsi="Times New Roman"/>
          <w:noProof/>
          <w:sz w:val="24"/>
          <w:szCs w:val="24"/>
        </w:rPr>
        <w:t>. Nämä toimenpiteet ovat tehokkaampia, jos työnvälittäjät, sosiaalityöntekijät tai muut palveluntarjoajat ovat romaneja.</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Romanien kansalliset yhteysviranomaiset nostavat esiin kolme pääasiallista haastetta: täytäntöönpanosta vastaavien rakenteiden valmiudet</w:t>
      </w:r>
      <w:r>
        <w:rPr>
          <w:rFonts w:ascii="Times New Roman" w:eastAsia="MS Mincho" w:hAnsi="Times New Roman" w:cs="Times New Roman"/>
          <w:noProof/>
          <w:sz w:val="24"/>
          <w:szCs w:val="24"/>
          <w:vertAlign w:val="superscript"/>
        </w:rPr>
        <w:footnoteReference w:id="23"/>
      </w:r>
      <w:r>
        <w:rPr>
          <w:rFonts w:ascii="Times New Roman" w:hAnsi="Times New Roman"/>
          <w:noProof/>
          <w:sz w:val="24"/>
          <w:szCs w:val="24"/>
        </w:rPr>
        <w:t>, romaneihin kohdistuva syrjintä</w:t>
      </w:r>
      <w:r>
        <w:rPr>
          <w:rFonts w:ascii="Times New Roman" w:eastAsia="MS Mincho" w:hAnsi="Times New Roman" w:cs="Times New Roman"/>
          <w:noProof/>
          <w:sz w:val="24"/>
          <w:szCs w:val="24"/>
          <w:vertAlign w:val="superscript"/>
        </w:rPr>
        <w:footnoteReference w:id="24"/>
      </w:r>
      <w:r>
        <w:rPr>
          <w:rFonts w:ascii="Times New Roman" w:hAnsi="Times New Roman"/>
          <w:noProof/>
          <w:sz w:val="24"/>
          <w:szCs w:val="24"/>
        </w:rPr>
        <w:t xml:space="preserve"> ja romanien asenteet ja luottamus</w:t>
      </w:r>
      <w:r>
        <w:rPr>
          <w:rFonts w:ascii="Times New Roman" w:eastAsia="MS Mincho" w:hAnsi="Times New Roman" w:cs="Times New Roman"/>
          <w:noProof/>
          <w:sz w:val="24"/>
          <w:szCs w:val="24"/>
          <w:vertAlign w:val="superscript"/>
        </w:rPr>
        <w:footnoteReference w:id="25"/>
      </w:r>
      <w:r>
        <w:rPr>
          <w:rFonts w:ascii="Times New Roman" w:hAnsi="Times New Roman"/>
          <w:noProof/>
          <w:sz w:val="24"/>
          <w:szCs w:val="24"/>
        </w:rPr>
        <w:t>.</w:t>
      </w:r>
    </w:p>
    <w:p>
      <w:pPr>
        <w:keepNext/>
        <w:spacing w:before="180" w:after="120" w:line="240" w:lineRule="auto"/>
        <w:ind w:right="-142"/>
        <w:outlineLvl w:val="2"/>
        <w:rPr>
          <w:rFonts w:ascii="Times New Roman" w:eastAsia="MS Mincho" w:hAnsi="Times New Roman" w:cs="Times New Roman"/>
          <w:i/>
          <w:noProof/>
          <w:sz w:val="24"/>
          <w:szCs w:val="24"/>
        </w:rPr>
      </w:pPr>
      <w:r>
        <w:rPr>
          <w:rFonts w:ascii="Times New Roman" w:hAnsi="Times New Roman"/>
          <w:i/>
          <w:noProof/>
          <w:sz w:val="24"/>
          <w:szCs w:val="24"/>
        </w:rPr>
        <w:t>2.3. Politiikkaoppiminen</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 xml:space="preserve">Havaintojen mukaan työllisyyden alan kriittisimpiä pisteitä ovat koulutuksesta työmarkkinoille siirtymisen varmistaminen, työnantajien harjoittamaan syrjintään puuttuminen ja työvoimatarpeisiin vastaaminen (etenkin koulutuksen ja työelämän ulkopuolella olevien romaninuorten osalta). Jotta sekä sukupuolten välistä työllisyyseroa että koulutuksen ja työelämän ulkopuolella olevien romaninuorten määrää voidaan vähentää, on olennaisen tärkeää luoda kannustimia, tehdä läheistä yhteistyötä yksityisten työnantajien kanssa sekä kohdentaa yleiset työllistämistoimenpiteet romaninuoriin ja </w:t>
      </w:r>
      <w:r>
        <w:rPr>
          <w:rFonts w:ascii="Times New Roman" w:hAnsi="Times New Roman"/>
          <w:noProof/>
          <w:sz w:val="24"/>
          <w:szCs w:val="24"/>
        </w:rPr>
        <w:noBreakHyphen/>
        <w:t>naisiin (sen sijaan, että luodaan rinnakkaisia työllistämisrakenteita). Romanien työllistymistä edistäviin toimiin olisi myös sisällytettävä IT-taitojen ja vieraan kielen taitojen kehittäminen. Työllistymisen varmistamiseksi on kuitenkin puututtava myös muihin esteisiin. Näitä ovat erityisesti työnantajien harjoittama syrjintä, romanityönhakijoiden sosiaalisten verkostojen vähyys tai perinteiset sukupuoliroolit romaniyhteisöissä. Yhdistämällä koulutuksen, tuetun harjoittelun ja työnantajiin kohdennetut syrjinnän vastaiset toimenpiteet on mahdollista saada aikaan tuloksia.</w:t>
      </w:r>
    </w:p>
    <w:tbl>
      <w:tblPr>
        <w:tblStyle w:val="TableGrid"/>
        <w:tblW w:w="9620" w:type="dxa"/>
        <w:tblInd w:w="-5" w:type="dxa"/>
        <w:tblLook w:val="04A0" w:firstRow="1" w:lastRow="0" w:firstColumn="1" w:lastColumn="0" w:noHBand="0" w:noVBand="1"/>
      </w:tblPr>
      <w:tblGrid>
        <w:gridCol w:w="5075"/>
        <w:gridCol w:w="4545"/>
      </w:tblGrid>
      <w:tr>
        <w:trPr>
          <w:trHeight w:val="462"/>
        </w:trPr>
        <w:tc>
          <w:tcPr>
            <w:tcW w:w="5075" w:type="dxa"/>
            <w:shd w:val="clear" w:color="auto" w:fill="D9D9D9"/>
          </w:tcPr>
          <w:p>
            <w:pPr>
              <w:keepNext/>
              <w:keepLines/>
              <w:spacing w:before="120" w:after="120"/>
              <w:ind w:right="-142"/>
              <w:jc w:val="both"/>
              <w:rPr>
                <w:rFonts w:ascii="Times New Roman" w:eastAsia="MS Mincho" w:hAnsi="Times New Roman" w:cs="Times New Roman"/>
                <w:b/>
                <w:noProof/>
                <w:sz w:val="19"/>
                <w:szCs w:val="19"/>
              </w:rPr>
            </w:pPr>
            <w:r>
              <w:rPr>
                <w:rFonts w:ascii="Times New Roman" w:hAnsi="Times New Roman"/>
                <w:b/>
                <w:noProof/>
                <w:sz w:val="19"/>
                <w:szCs w:val="19"/>
              </w:rPr>
              <w:t>Lupaavia lähestymistapoja</w:t>
            </w:r>
          </w:p>
        </w:tc>
        <w:tc>
          <w:tcPr>
            <w:tcW w:w="4545"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hAnsi="Times New Roman"/>
                <w:b/>
                <w:noProof/>
                <w:sz w:val="19"/>
                <w:szCs w:val="19"/>
              </w:rPr>
              <w:t>Ensisijaiset alat, joilla on toteutettava toimia</w:t>
            </w:r>
          </w:p>
        </w:tc>
      </w:tr>
      <w:tr>
        <w:trPr>
          <w:trHeight w:val="6385"/>
        </w:trPr>
        <w:tc>
          <w:tcPr>
            <w:tcW w:w="5075" w:type="dxa"/>
          </w:tcPr>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 xml:space="preserve">BG, CY, ES, IT, LV, NL, PT, SI: </w:t>
            </w:r>
            <w:r>
              <w:rPr>
                <w:rFonts w:ascii="Times New Roman" w:hAnsi="Times New Roman"/>
                <w:noProof/>
                <w:sz w:val="19"/>
                <w:szCs w:val="19"/>
              </w:rPr>
              <w:t>Alueelliset tai paikalliset työllisyysohjelmat (yksilöllinen ohjaus), joiden tavoitteena on lisätä aktiivista työnhakua ja itsenäistä ammatinharjoittamista</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 xml:space="preserve">HU, EL, ES, FR: </w:t>
            </w:r>
            <w:r>
              <w:rPr>
                <w:rFonts w:ascii="Times New Roman" w:hAnsi="Times New Roman"/>
                <w:noProof/>
                <w:sz w:val="19"/>
                <w:szCs w:val="19"/>
              </w:rPr>
              <w:t>Kohdennetut ohjelmat, joiden tavoitteena on parantaa romaninaisten työllistymistä (sosiaalialalle)</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 xml:space="preserve">IT, LT, HU: </w:t>
            </w:r>
            <w:r>
              <w:rPr>
                <w:rFonts w:ascii="Times New Roman" w:hAnsi="Times New Roman"/>
                <w:noProof/>
                <w:sz w:val="19"/>
                <w:szCs w:val="19"/>
              </w:rPr>
              <w:t>Esimerkkejä työnantajien kanssa tehtävästä yhteistyöstä, jonka tavoitteena on lisätä romanien työllistymistä ja vähentää stereotypioihin perustuvaa ajattelua</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 xml:space="preserve">SK: </w:t>
            </w:r>
            <w:r>
              <w:rPr>
                <w:rFonts w:ascii="Times New Roman" w:hAnsi="Times New Roman"/>
                <w:noProof/>
                <w:sz w:val="19"/>
                <w:szCs w:val="19"/>
              </w:rPr>
              <w:t>Julkisia työllisyyspalveluja koskevan lain muuttaminen säätämällä yksilöllisestä, työnhakijaa ja työnvälitystoimistoa sitovasta työllistämissuunnitelmasta</w:t>
            </w:r>
          </w:p>
          <w:p>
            <w:pPr>
              <w:keepNext/>
              <w:keepLines/>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hAnsi="Times New Roman"/>
                <w:b/>
                <w:noProof/>
                <w:sz w:val="19"/>
                <w:szCs w:val="19"/>
              </w:rPr>
              <w:t xml:space="preserve">BE: </w:t>
            </w:r>
            <w:r>
              <w:rPr>
                <w:rFonts w:ascii="Times New Roman" w:hAnsi="Times New Roman"/>
                <w:noProof/>
                <w:sz w:val="19"/>
                <w:szCs w:val="19"/>
              </w:rPr>
              <w:t>Vuodesta 2016 asti romanit ovat päässeet hyötymään ”integraatiopolusta”, joka on perustettu ulkomaalaista alkuperää olevien ihmisten tukemiseksi Valloniassa (tukimuoto sisältää ranskan kielen kursseja, perustason yhteiskuntatietoa sekä tukea työn löytämiseen ja lasten koulutuksen järjestämiseen); kunnat palkkaavat romaneja tukihenkilöiksi sosiaalitoimistoihin, ennaltaehkäisy- tai paikallisiin tietopalveluihin</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 xml:space="preserve">HR: </w:t>
            </w:r>
            <w:r>
              <w:rPr>
                <w:rFonts w:ascii="Times New Roman" w:hAnsi="Times New Roman"/>
                <w:noProof/>
                <w:sz w:val="19"/>
                <w:szCs w:val="19"/>
              </w:rPr>
              <w:t>Oikeusasiamiehen virasto antaa julkisille työvoimavirkailijoille ja muille virkamiehille syrjinnän torjumista koskevaa koulutusta</w:t>
            </w:r>
          </w:p>
          <w:p>
            <w:pPr>
              <w:keepNext/>
              <w:keepLines/>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hAnsi="Times New Roman"/>
                <w:b/>
                <w:noProof/>
                <w:sz w:val="19"/>
                <w:szCs w:val="19"/>
              </w:rPr>
              <w:t xml:space="preserve">UK: </w:t>
            </w:r>
            <w:r>
              <w:rPr>
                <w:rFonts w:ascii="Times New Roman" w:hAnsi="Times New Roman"/>
                <w:noProof/>
                <w:sz w:val="19"/>
                <w:szCs w:val="19"/>
              </w:rPr>
              <w:t xml:space="preserve">Race disparity audit </w:t>
            </w:r>
            <w:r>
              <w:rPr>
                <w:rFonts w:ascii="Times New Roman" w:hAnsi="Times New Roman"/>
                <w:noProof/>
                <w:sz w:val="19"/>
                <w:szCs w:val="19"/>
              </w:rPr>
              <w:noBreakHyphen/>
              <w:t xml:space="preserve">raportti ja </w:t>
            </w:r>
            <w:r>
              <w:rPr>
                <w:rFonts w:ascii="Times New Roman" w:hAnsi="Times New Roman"/>
                <w:noProof/>
                <w:sz w:val="19"/>
                <w:szCs w:val="19"/>
              </w:rPr>
              <w:noBreakHyphen/>
              <w:t>verkkosivu, joiden avulla kerätään ja levitetään etniseen alkuperään perustuvaa työsyrjintää koskevaa tietoa</w:t>
            </w:r>
          </w:p>
        </w:tc>
        <w:tc>
          <w:tcPr>
            <w:tcW w:w="4545" w:type="dxa"/>
          </w:tcPr>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 xml:space="preserve">Mahdollistetaan yleisille työvoimapalveluille romanityönhakijoiden tehokas tukeminen ensisijaisille työmarkkinoille integroitumisessa </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 xml:space="preserve">Koulutetaan ja palkataan (jatkuvasti) romani- ja nuorisomentoreita ja </w:t>
            </w:r>
            <w:r>
              <w:rPr>
                <w:rFonts w:ascii="Times New Roman" w:hAnsi="Times New Roman"/>
                <w:noProof/>
                <w:sz w:val="19"/>
                <w:szCs w:val="19"/>
              </w:rPr>
              <w:noBreakHyphen/>
              <w:t>tukihenkilöitä, jotka avustavat koulutustasolta toiselle ja koulutuksesta työmarkkinoille siirtymisessä</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Kohdennetaan aktiiviset työmarkkinatoimenpiteet entistä täsmällisemmin romaneihin (nuoriin ja naisiin), nuorisotakuu mukaan lukien</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Lisätään työnantajien valveutuneisuutta ja kannustimia romanien palkkaamiseksi</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Seurataan ja torjutaan järjestelmällisesti työmarkkinoille pääsyn estävää ja työpaikoilla tapahtuvaa syrjintää</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Yhdistetään työhön sijoittuminen (työharjoittelu) IT- ja kielikoulutukseen ja työnantajien kanssa tehtävään työhön</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 xml:space="preserve">Asetetaan ensisijaisille työmarkkinoille (uudelleen)integroituminen etusijalle rinnakkais-järjestelmiin nähden (esim. julkinen tai epämuodollinen työ) </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Kehitetään integroituja ratkaisuja, joiden avulla voidaan puuttua paperittomien liikkuvien romanien haavoittuvaan asemaan, mukaan lukien rajat ylittävän yhteistyön avulla</w:t>
            </w:r>
          </w:p>
        </w:tc>
      </w:tr>
    </w:tbl>
    <w:p>
      <w:pPr>
        <w:spacing w:before="180" w:after="60" w:line="240" w:lineRule="auto"/>
        <w:ind w:right="-142"/>
        <w:outlineLvl w:val="1"/>
        <w:rPr>
          <w:rFonts w:ascii="Times New Roman" w:hAnsi="Times New Roman"/>
          <w:noProof/>
          <w:sz w:val="24"/>
          <w:szCs w:val="24"/>
        </w:rPr>
      </w:pPr>
      <w:r>
        <w:rPr>
          <w:rFonts w:ascii="Times New Roman" w:hAnsi="Times New Roman"/>
          <w:b/>
          <w:bCs/>
          <w:smallCaps/>
          <w:noProof/>
          <w:sz w:val="24"/>
          <w:szCs w:val="24"/>
        </w:rPr>
        <w:t>3. Terveydenhuolto</w:t>
      </w:r>
      <w:r>
        <w:rPr>
          <w:rFonts w:ascii="Times New Roman" w:hAnsi="Times New Roman"/>
          <w:noProof/>
          <w:sz w:val="24"/>
          <w:szCs w:val="24"/>
        </w:rPr>
        <w:t xml:space="preserve"> </w:t>
      </w:r>
    </w:p>
    <w:p>
      <w:pPr>
        <w:spacing w:before="180" w:after="60" w:line="240" w:lineRule="auto"/>
        <w:ind w:right="-142"/>
        <w:jc w:val="right"/>
        <w:outlineLvl w:val="1"/>
        <w:rPr>
          <w:rFonts w:ascii="Times New Roman" w:eastAsia="MS Mincho" w:hAnsi="Times New Roman" w:cs="Times New Roman"/>
          <w:b/>
          <w:bCs/>
          <w:smallCaps/>
          <w:noProof/>
          <w:sz w:val="24"/>
          <w:szCs w:val="24"/>
        </w:rPr>
      </w:pPr>
      <w:r>
        <w:rPr>
          <w:noProof/>
          <w:lang w:val="en-GB" w:eastAsia="en-GB"/>
        </w:rPr>
        <w:drawing>
          <wp:inline distT="0" distB="0" distL="0" distR="0">
            <wp:extent cx="5310841" cy="144923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2036" cy="1452293"/>
                    </a:xfrm>
                    <a:prstGeom prst="rect">
                      <a:avLst/>
                    </a:prstGeom>
                    <a:noFill/>
                    <a:ln>
                      <a:noFill/>
                    </a:ln>
                  </pic:spPr>
                </pic:pic>
              </a:graphicData>
            </a:graphic>
          </wp:inline>
        </w:drawing>
      </w:r>
    </w:p>
    <w:p>
      <w:pPr>
        <w:spacing w:before="180" w:after="60" w:line="240" w:lineRule="auto"/>
        <w:ind w:right="-142"/>
        <w:outlineLvl w:val="1"/>
        <w:rPr>
          <w:rFonts w:ascii="Times New Roman" w:eastAsia="MS Mincho" w:hAnsi="Times New Roman" w:cs="Times New Roman"/>
          <w:b/>
          <w:bCs/>
          <w:smallCaps/>
          <w:noProof/>
          <w:sz w:val="24"/>
          <w:szCs w:val="24"/>
        </w:rPr>
      </w:pPr>
      <w:r>
        <w:rPr>
          <w:rFonts w:ascii="Times New Roman" w:hAnsi="Times New Roman"/>
          <w:i/>
          <w:noProof/>
          <w:sz w:val="24"/>
          <w:szCs w:val="24"/>
        </w:rPr>
        <w:t xml:space="preserve">3.1. Toimenpiteiden painopisteet </w:t>
      </w:r>
    </w:p>
    <w:p>
      <w:pPr>
        <w:spacing w:after="120" w:line="240" w:lineRule="auto"/>
        <w:ind w:right="-142"/>
        <w:jc w:val="both"/>
        <w:rPr>
          <w:rFonts w:ascii="Times New Roman" w:hAnsi="Times New Roman"/>
          <w:noProof/>
          <w:sz w:val="24"/>
          <w:szCs w:val="24"/>
        </w:rPr>
      </w:pPr>
      <w:r>
        <w:rPr>
          <w:rFonts w:ascii="Times New Roman" w:hAnsi="Times New Roman"/>
          <w:noProof/>
          <w:sz w:val="24"/>
          <w:szCs w:val="24"/>
        </w:rPr>
        <w:t>Jäsenvaltioiden raporteissa useimmin mainittujen kahden toimenpidetyypin tavoitteena on poistaa terveydenhuoltoon hakeutumisen yleiset esteet ja lisätä terveystietoisuutta (13–14 jäsenvaltiota). Näihin tavoitteisiin pyritään tasapuolisesti sekä terveydenhoidon tarjontaa että kysyntää koskevilla toimenpiteillä. Muihin merkittäviin toimenpiteisiin kuuluvat kohdennetut rokotusohjelmat ja pääsy terveydenhuollon erityispalveluihin (6–7 jäsenvaltiota).</w:t>
      </w:r>
    </w:p>
    <w:p>
      <w:pPr>
        <w:rPr>
          <w:noProof/>
        </w:rPr>
      </w:pPr>
      <w:r>
        <w:rPr>
          <w:noProof/>
        </w:rPr>
        <w:br w:type="page"/>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4864" behindDoc="0" locked="0" layoutInCell="1" allowOverlap="1">
                <wp:simplePos x="0" y="0"/>
                <wp:positionH relativeFrom="column">
                  <wp:posOffset>10160</wp:posOffset>
                </wp:positionH>
                <wp:positionV relativeFrom="paragraph">
                  <wp:posOffset>37836</wp:posOffset>
                </wp:positionV>
                <wp:extent cx="5995035" cy="2495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95035" cy="24955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Caption"/>
                              <w:keepNext/>
                              <w:keepLines/>
                              <w:spacing w:after="0"/>
                              <w:jc w:val="center"/>
                              <w:rPr>
                                <w:rFonts w:ascii="Times New Roman" w:hAnsi="Times New Roman" w:cs="Times New Roman"/>
                                <w:color w:val="auto"/>
                              </w:rPr>
                            </w:pPr>
                            <w:r>
                              <w:rPr>
                                <w:rFonts w:ascii="Times New Roman" w:hAnsi="Times New Roman"/>
                                <w:color w:val="auto"/>
                              </w:rPr>
                              <w:t>Terveyttä koskevien toimenpiteiden jaottelu neuvoston suositusten osa-alueiden ja toimenpiteiden yleisyyden mukaan</w:t>
                            </w:r>
                          </w:p>
                          <w:p>
                            <w:pPr>
                              <w:spacing w:after="0"/>
                              <w:jc w:val="center"/>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8pt;margin-top:3pt;width:472.05pt;height:1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" fillcolor="white [3201]" stroked="f" strokeweight=".5pt">
                <v:fill opacity="0"/>
                <v:textbox>
                  <w:txbxContent>
                    <w:p>
                      <w:pPr>
                        <w:pStyle w:val="Caption"/>
                        <w:keepNext/>
                        <w:keepLines/>
                        <w:spacing w:after="0"/>
                        <w:jc w:val="center"/>
                        <w:rPr>
                          <w:rFonts w:ascii="Times New Roman" w:hAnsi="Times New Roman" w:cs="Times New Roman"/>
                          <w:color w:val="auto"/>
                        </w:rPr>
                      </w:pPr>
                      <w:r>
                        <w:rPr>
                          <w:rFonts w:ascii="Times New Roman" w:hAnsi="Times New Roman"/>
                          <w:color w:val="auto"/>
                        </w:rPr>
                        <w:t>Terveyttä koskevien toimenpiteiden jaottelu neuvoston suositusten osa-alueiden ja toimenpiteiden yleisyyden mukaan</w:t>
                      </w:r>
                    </w:p>
                    <w:p>
                      <w:pPr>
                        <w:spacing w:after="0"/>
                        <w:jc w:val="center"/>
                        <w:rPr>
                          <w:i/>
                          <w:sz w:val="18"/>
                          <w:szCs w:val="18"/>
                        </w:rPr>
                      </w:pPr>
                    </w:p>
                  </w:txbxContent>
                </v:textbox>
              </v:shape>
            </w:pict>
          </mc:Fallback>
        </mc:AlternateContent>
      </w:r>
    </w:p>
    <w:p>
      <w:pPr>
        <w:spacing w:after="120" w:line="240" w:lineRule="auto"/>
        <w:ind w:right="-142"/>
        <w:jc w:val="both"/>
        <w:rPr>
          <w:rFonts w:ascii="Times New Roman" w:hAnsi="Times New Roman"/>
          <w:noProof/>
          <w:sz w:val="24"/>
          <w:szCs w:val="24"/>
        </w:rPr>
      </w:pPr>
      <w:r>
        <w:rPr>
          <w:noProof/>
          <w:lang w:val="en-GB" w:eastAsia="en-GB"/>
        </w:rPr>
        <w:drawing>
          <wp:inline distT="0" distB="0" distL="0" distR="0">
            <wp:extent cx="6064370" cy="1825707"/>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9271" cy="1827183"/>
                    </a:xfrm>
                    <a:prstGeom prst="rect">
                      <a:avLst/>
                    </a:prstGeom>
                    <a:noFill/>
                    <a:ln>
                      <a:noFill/>
                    </a:ln>
                  </pic:spPr>
                </pic:pic>
              </a:graphicData>
            </a:graphic>
          </wp:inline>
        </w:drawing>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 xml:space="preserve">Mitä keskeisiä painopisteitä toimenpiteillä on? Raporttien mukaan jäsenvaltiot suosivat toimenpiteitä, joiden avulla kehitetään terveydenhuollon tarjontaa (henkilöstö, tilat) (26 % toimenpiteistä). Lisäksi toteutetaan kysyntään kohdistuvia toimenpiteitä, kuten terveydenhuoltoa koskevia valistus- ja tiedotuskampanjoita (21 %). Muihin merkittäviin toimenpidekokonaisuuksiin kuuluvat yleiset toimet paikallisen terveyden- ja saniteettihuollon infrastruktuurin parantamiseksi sekä ennaltaehkäisevien palvelujen tarjoaminen (16–17 %). Erittäin tärkeät toimenpiteet, kuten sairausvakuutuksen tarjoaminen romaneille ja terveydenhuoltoalan ammattilaisiin kohdennetut syrjinnän vastaiset kampanjat, ovat paljon harvinaisempia (6–7 %). </w:t>
      </w:r>
    </w:p>
    <w:p>
      <w:pPr>
        <w:keepNext/>
        <w:spacing w:before="180" w:after="120" w:line="240" w:lineRule="auto"/>
        <w:ind w:right="-142"/>
        <w:outlineLvl w:val="2"/>
        <w:rPr>
          <w:rFonts w:ascii="Times New Roman" w:eastAsia="MS Mincho" w:hAnsi="Times New Roman" w:cs="Times New Roman"/>
          <w:i/>
          <w:noProof/>
          <w:sz w:val="24"/>
          <w:szCs w:val="24"/>
        </w:rPr>
      </w:pPr>
      <w:r>
        <w:rPr>
          <w:rFonts w:ascii="Times New Roman" w:hAnsi="Times New Roman"/>
          <w:i/>
          <w:noProof/>
          <w:sz w:val="24"/>
          <w:szCs w:val="24"/>
        </w:rPr>
        <w:t>3.2. Saavutukset ja haasteet</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Romanien kansallisten yhteysviranomaisten useimmin mainitsemiin saavutuksiin kuuluvat rokotuskampanjat</w:t>
      </w:r>
      <w:r>
        <w:rPr>
          <w:rFonts w:ascii="Times New Roman" w:eastAsia="MS Mincho" w:hAnsi="Times New Roman" w:cs="Times New Roman"/>
          <w:noProof/>
          <w:sz w:val="24"/>
          <w:szCs w:val="24"/>
          <w:vertAlign w:val="superscript"/>
        </w:rPr>
        <w:footnoteReference w:id="26"/>
      </w:r>
      <w:r>
        <w:rPr>
          <w:rFonts w:ascii="Times New Roman" w:hAnsi="Times New Roman"/>
          <w:noProof/>
          <w:sz w:val="24"/>
          <w:szCs w:val="24"/>
        </w:rPr>
        <w:t>, muut ennaltaehkäisemis- ja havaitsemisohjelmat</w:t>
      </w:r>
      <w:r>
        <w:rPr>
          <w:rFonts w:ascii="Times New Roman" w:eastAsia="MS Mincho" w:hAnsi="Times New Roman" w:cs="Times New Roman"/>
          <w:noProof/>
          <w:sz w:val="24"/>
          <w:szCs w:val="24"/>
          <w:vertAlign w:val="superscript"/>
        </w:rPr>
        <w:footnoteReference w:id="27"/>
      </w:r>
      <w:r>
        <w:rPr>
          <w:rFonts w:ascii="Times New Roman" w:hAnsi="Times New Roman"/>
          <w:noProof/>
          <w:sz w:val="24"/>
          <w:szCs w:val="24"/>
        </w:rPr>
        <w:t>, hygienian, terveydentilan ja terveydenhuoltoon pääsyn parantaminen</w:t>
      </w:r>
      <w:r>
        <w:rPr>
          <w:rFonts w:ascii="Times New Roman" w:eastAsia="MS Mincho" w:hAnsi="Times New Roman" w:cs="Times New Roman"/>
          <w:noProof/>
          <w:sz w:val="24"/>
          <w:szCs w:val="24"/>
          <w:vertAlign w:val="superscript"/>
        </w:rPr>
        <w:footnoteReference w:id="28"/>
      </w:r>
      <w:r>
        <w:rPr>
          <w:rFonts w:ascii="Times New Roman" w:hAnsi="Times New Roman"/>
          <w:noProof/>
          <w:sz w:val="24"/>
          <w:szCs w:val="24"/>
        </w:rPr>
        <w:t>, tietoisuuden lisääminen</w:t>
      </w:r>
      <w:r>
        <w:rPr>
          <w:rFonts w:ascii="Times New Roman" w:eastAsia="MS Mincho" w:hAnsi="Times New Roman" w:cs="Times New Roman"/>
          <w:noProof/>
          <w:sz w:val="24"/>
          <w:szCs w:val="24"/>
          <w:vertAlign w:val="superscript"/>
        </w:rPr>
        <w:footnoteReference w:id="29"/>
      </w:r>
      <w:r>
        <w:rPr>
          <w:rFonts w:ascii="Times New Roman" w:hAnsi="Times New Roman"/>
          <w:noProof/>
          <w:sz w:val="24"/>
          <w:szCs w:val="24"/>
        </w:rPr>
        <w:t>, terveydenhuollon palveluneuvonta</w:t>
      </w:r>
      <w:r>
        <w:rPr>
          <w:rFonts w:ascii="Times New Roman" w:eastAsia="MS Mincho" w:hAnsi="Times New Roman" w:cs="Times New Roman"/>
          <w:noProof/>
          <w:sz w:val="24"/>
          <w:szCs w:val="24"/>
          <w:vertAlign w:val="superscript"/>
        </w:rPr>
        <w:footnoteReference w:id="30"/>
      </w:r>
      <w:r>
        <w:rPr>
          <w:rFonts w:ascii="Times New Roman" w:hAnsi="Times New Roman"/>
          <w:noProof/>
          <w:sz w:val="24"/>
          <w:szCs w:val="24"/>
        </w:rPr>
        <w:t xml:space="preserve"> ja useiden sidosryhmien välinen yhteistyö, jossa ovat mukana kansalliset ja paikalliset viranomaiset ja kansalaisyhteiskunnan toimijat</w:t>
      </w:r>
      <w:r>
        <w:rPr>
          <w:rFonts w:ascii="Times New Roman" w:eastAsia="MS Mincho" w:hAnsi="Times New Roman" w:cs="Times New Roman"/>
          <w:noProof/>
          <w:sz w:val="24"/>
          <w:szCs w:val="24"/>
          <w:vertAlign w:val="superscript"/>
        </w:rPr>
        <w:footnoteReference w:id="31"/>
      </w:r>
      <w:r>
        <w:rPr>
          <w:rFonts w:ascii="Times New Roman" w:hAnsi="Times New Roman"/>
          <w:noProof/>
          <w:sz w:val="24"/>
          <w:szCs w:val="24"/>
        </w:rPr>
        <w:t>. Huomioitavaa on, että seuraaviin osa-aloihin kohdennettuja toimenpiteitä koskevat maininnat puuttuivat: syrjinnän vastaiset toimenpiteet, elinolojen hygieenisyyden parantaminen ja terveellisten elintarvikkeiden saannin parantaminen.</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Raportoituihin haasteisiin kuuluvat seuraavat: kansallisten ja paikallisten tasojen välisen koordinoinnin ja tehokkaan viestinnän puutteet, riittävän (kansallisen tai EU-) rahoituksen tai henkilöstömäärän ylläpito</w:t>
      </w:r>
      <w:r>
        <w:rPr>
          <w:rFonts w:ascii="Times New Roman" w:eastAsia="MS Mincho" w:hAnsi="Times New Roman" w:cs="Times New Roman"/>
          <w:noProof/>
          <w:sz w:val="24"/>
          <w:szCs w:val="24"/>
          <w:vertAlign w:val="superscript"/>
        </w:rPr>
        <w:footnoteReference w:id="32"/>
      </w:r>
      <w:r>
        <w:rPr>
          <w:rFonts w:ascii="Times New Roman" w:hAnsi="Times New Roman"/>
          <w:noProof/>
          <w:sz w:val="24"/>
          <w:szCs w:val="24"/>
        </w:rPr>
        <w:t>, omaa terveyttä koskevan tietoisuuden puute</w:t>
      </w:r>
      <w:r>
        <w:rPr>
          <w:rFonts w:ascii="Times New Roman" w:eastAsia="MS Mincho" w:hAnsi="Times New Roman" w:cs="Times New Roman"/>
          <w:noProof/>
          <w:sz w:val="24"/>
          <w:szCs w:val="24"/>
          <w:vertAlign w:val="superscript"/>
        </w:rPr>
        <w:footnoteReference w:id="33"/>
      </w:r>
      <w:r>
        <w:rPr>
          <w:rFonts w:ascii="Times New Roman" w:hAnsi="Times New Roman"/>
          <w:noProof/>
          <w:sz w:val="24"/>
          <w:szCs w:val="24"/>
        </w:rPr>
        <w:t>, sairausvakuutusturvan vähäinen kattavuus romanien keskuudessa</w:t>
      </w:r>
      <w:r>
        <w:rPr>
          <w:rFonts w:ascii="Times New Roman" w:eastAsia="MS Mincho" w:hAnsi="Times New Roman" w:cs="Times New Roman"/>
          <w:noProof/>
          <w:sz w:val="24"/>
          <w:szCs w:val="24"/>
          <w:vertAlign w:val="superscript"/>
        </w:rPr>
        <w:footnoteReference w:id="34"/>
      </w:r>
      <w:r>
        <w:rPr>
          <w:rFonts w:ascii="Times New Roman" w:hAnsi="Times New Roman"/>
          <w:noProof/>
          <w:sz w:val="24"/>
          <w:szCs w:val="24"/>
        </w:rPr>
        <w:t xml:space="preserve"> ja terveydenhuoltoalan ammattilaisten puutteelliset tiedot romanien tilanteesta</w:t>
      </w:r>
      <w:r>
        <w:rPr>
          <w:rFonts w:ascii="Times New Roman" w:eastAsia="MS Mincho" w:hAnsi="Times New Roman" w:cs="Times New Roman"/>
          <w:noProof/>
          <w:sz w:val="24"/>
          <w:szCs w:val="24"/>
          <w:vertAlign w:val="superscript"/>
        </w:rPr>
        <w:footnoteReference w:id="35"/>
      </w:r>
      <w:r>
        <w:rPr>
          <w:rFonts w:ascii="Times New Roman" w:hAnsi="Times New Roman"/>
          <w:noProof/>
          <w:sz w:val="24"/>
          <w:szCs w:val="24"/>
        </w:rPr>
        <w:t>. Esiin tuli myös huoli alhaisesta rokotuskattavuudesta romanien keskuudessa. Jotkin maat raportoivat, että tästä on ollut seurauksena muuta väestöä korkeampi ennenaikaisten kuolemien ja sairastavuuden esiintyminen</w:t>
      </w:r>
      <w:r>
        <w:rPr>
          <w:rFonts w:ascii="Times New Roman" w:eastAsia="MS Mincho" w:hAnsi="Times New Roman" w:cs="Times New Roman"/>
          <w:noProof/>
          <w:sz w:val="24"/>
          <w:szCs w:val="24"/>
          <w:vertAlign w:val="superscript"/>
        </w:rPr>
        <w:footnoteReference w:id="36"/>
      </w:r>
      <w:r>
        <w:rPr>
          <w:rFonts w:ascii="Times New Roman" w:hAnsi="Times New Roman"/>
          <w:noProof/>
          <w:sz w:val="24"/>
          <w:szCs w:val="24"/>
        </w:rPr>
        <w:t>. Romanien osallistumisen ja vaikutusmahdollisuuksien lisäämistä terveydenhuollon alalla pidetään haastavana, myös lukutaidon heikkouteen ja kieleen liittyvien esteiden vuoksi</w:t>
      </w:r>
      <w:r>
        <w:rPr>
          <w:rFonts w:ascii="Times New Roman" w:eastAsia="MS Mincho" w:hAnsi="Times New Roman" w:cs="Times New Roman"/>
          <w:noProof/>
          <w:sz w:val="24"/>
          <w:szCs w:val="24"/>
          <w:vertAlign w:val="superscript"/>
        </w:rPr>
        <w:footnoteReference w:id="37"/>
      </w:r>
      <w:r>
        <w:rPr>
          <w:rFonts w:ascii="Times New Roman" w:hAnsi="Times New Roman"/>
          <w:noProof/>
          <w:sz w:val="24"/>
          <w:szCs w:val="24"/>
        </w:rPr>
        <w:t>.</w:t>
      </w:r>
    </w:p>
    <w:p>
      <w:pPr>
        <w:rPr>
          <w:rFonts w:ascii="Times New Roman" w:hAnsi="Times New Roman"/>
          <w:i/>
          <w:noProof/>
          <w:sz w:val="24"/>
          <w:szCs w:val="24"/>
        </w:rPr>
      </w:pPr>
      <w:r>
        <w:rPr>
          <w:rFonts w:ascii="Times New Roman" w:hAnsi="Times New Roman"/>
          <w:i/>
          <w:noProof/>
          <w:sz w:val="24"/>
          <w:szCs w:val="24"/>
        </w:rPr>
        <w:br w:type="page"/>
      </w:r>
    </w:p>
    <w:p>
      <w:pPr>
        <w:keepNext/>
        <w:spacing w:before="180" w:after="120" w:line="240" w:lineRule="auto"/>
        <w:ind w:right="-142"/>
        <w:outlineLvl w:val="2"/>
        <w:rPr>
          <w:rFonts w:ascii="Times New Roman" w:eastAsia="MS Mincho" w:hAnsi="Times New Roman" w:cs="Times New Roman"/>
          <w:i/>
          <w:noProof/>
          <w:sz w:val="24"/>
          <w:szCs w:val="24"/>
        </w:rPr>
      </w:pPr>
      <w:r>
        <w:rPr>
          <w:rFonts w:ascii="Times New Roman" w:hAnsi="Times New Roman"/>
          <w:i/>
          <w:noProof/>
          <w:sz w:val="24"/>
          <w:szCs w:val="24"/>
        </w:rPr>
        <w:t>3.3. Politiikkaoppiminen</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Sekä toimenpiteitä että arviointeja on terveydenhuollon alalla (sekä asumisen alalla) vähän, mikä rajoittaa mahdollisuuksia saada oppimiskokemuksia eri toimenpiteistä ja jakaa niitä koskevaa tietoa. Yleisimmät lupaavat käytännöt ovat ennaltaehkäisyyn painottuvat rokotuskampanjat ja romanitukihenkilöiden kouluttaminen ja työllistäminen terveydenhuollon alalle. On kuitenkin tärkeää, että kohdennettujen tukipalvelujen tavoitteena on lisätä romanien terveystietoisuutta, muuttaa heidän toimintatapojaan sekä rakentaa pitkän aikavälin omaehtoisuutta ja kykyä osallistua yleisiin järjestelmiin sen sijaan, että päädytään luomaan riippuvuus pysyviin tukihenkilöihin ja pitkäaikaisiin rinnakkaisrakenteisiin. Etusijalle olisi asetettava terveydenhuoltoalan ammattilaisiin kohdennetut syrjinnän vastaiset toimenpiteet.</w:t>
      </w:r>
    </w:p>
    <w:tbl>
      <w:tblPr>
        <w:tblStyle w:val="TableGrid"/>
        <w:tblW w:w="9633" w:type="dxa"/>
        <w:tblInd w:w="-5" w:type="dxa"/>
        <w:tblLook w:val="04A0" w:firstRow="1" w:lastRow="0" w:firstColumn="1" w:lastColumn="0" w:noHBand="0" w:noVBand="1"/>
      </w:tblPr>
      <w:tblGrid>
        <w:gridCol w:w="5642"/>
        <w:gridCol w:w="3991"/>
      </w:tblGrid>
      <w:tr>
        <w:trPr>
          <w:trHeight w:val="681"/>
        </w:trPr>
        <w:tc>
          <w:tcPr>
            <w:tcW w:w="5642"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hAnsi="Times New Roman"/>
                <w:b/>
                <w:noProof/>
                <w:sz w:val="19"/>
                <w:szCs w:val="19"/>
              </w:rPr>
              <w:t>Lupaavia lähestymistapoja:</w:t>
            </w:r>
          </w:p>
        </w:tc>
        <w:tc>
          <w:tcPr>
            <w:tcW w:w="3991"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hAnsi="Times New Roman"/>
                <w:b/>
                <w:noProof/>
                <w:sz w:val="19"/>
                <w:szCs w:val="19"/>
              </w:rPr>
              <w:t>Ensisijaiset alat, joilla on toteutettava toimia:</w:t>
            </w:r>
          </w:p>
        </w:tc>
      </w:tr>
      <w:tr>
        <w:trPr>
          <w:trHeight w:val="5229"/>
        </w:trPr>
        <w:tc>
          <w:tcPr>
            <w:tcW w:w="5642" w:type="dxa"/>
          </w:tcPr>
          <w:p>
            <w:pPr>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hAnsi="Times New Roman"/>
                <w:b/>
                <w:noProof/>
                <w:sz w:val="19"/>
                <w:szCs w:val="19"/>
              </w:rPr>
              <w:t xml:space="preserve">BG, CZ, DK, EL, FR, HU, PL, PT, RO, SE, SI, SK: </w:t>
            </w:r>
            <w:r>
              <w:rPr>
                <w:rFonts w:ascii="Times New Roman" w:hAnsi="Times New Roman"/>
                <w:noProof/>
                <w:sz w:val="19"/>
                <w:szCs w:val="19"/>
              </w:rPr>
              <w:t>Romanitukihenkilöiden (avustajat, vierailijat, välittäjät) kouluttaminen ja palkkaaminen terveydenhuollon alalle tavoitteena edistää romanien pääsyä terveydenhuollon piiriin</w:t>
            </w:r>
          </w:p>
          <w:p>
            <w:pPr>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hAnsi="Times New Roman"/>
                <w:b/>
                <w:noProof/>
                <w:sz w:val="19"/>
                <w:szCs w:val="19"/>
              </w:rPr>
              <w:t xml:space="preserve">AT, BG, EL, FR, HU, HR, PL, SK, UK: </w:t>
            </w:r>
            <w:r>
              <w:rPr>
                <w:rFonts w:ascii="Times New Roman" w:hAnsi="Times New Roman"/>
                <w:noProof/>
                <w:sz w:val="19"/>
                <w:szCs w:val="19"/>
              </w:rPr>
              <w:t>Romaneihin (tyttöihin ja naisiin) ja syrjäisillä alueilla eläviin ihmisiin kohdennetut rokotuskampanjat</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CZ, IT, RO, SI, SK:</w:t>
            </w:r>
            <w:r>
              <w:rPr>
                <w:rFonts w:ascii="Times New Roman" w:hAnsi="Times New Roman"/>
                <w:noProof/>
                <w:sz w:val="19"/>
                <w:szCs w:val="19"/>
              </w:rPr>
              <w:t xml:space="preserve"> Terveyden alan pitkän aikavälin kansalliset ohjelmat, toimintasuunnitelmat ja strategiat</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ES:</w:t>
            </w:r>
            <w:r>
              <w:rPr>
                <w:rFonts w:ascii="Times New Roman" w:hAnsi="Times New Roman"/>
                <w:noProof/>
                <w:sz w:val="19"/>
                <w:szCs w:val="19"/>
              </w:rPr>
              <w:t xml:space="preserve"> Romanien ja kansalaisyhteiskunnan osallistuminen sosiaalihuollon ammattilaisille tarkoitettujen, ehkäisevää terveydenhuoltoa ja terveydenhuoltoalan koulusta koskevien ohjelmien suunnitteluun</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FI:</w:t>
            </w:r>
            <w:r>
              <w:rPr>
                <w:rFonts w:ascii="Times New Roman" w:hAnsi="Times New Roman"/>
                <w:noProof/>
                <w:sz w:val="19"/>
                <w:szCs w:val="19"/>
              </w:rPr>
              <w:t xml:space="preserve"> Terveyden ja hyvinvoinnin laitoksen toteuttama tutkimus romanien hyvinvoinnista</w:t>
            </w:r>
          </w:p>
          <w:p>
            <w:pPr>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hAnsi="Times New Roman"/>
                <w:b/>
                <w:noProof/>
                <w:sz w:val="19"/>
                <w:szCs w:val="19"/>
              </w:rPr>
              <w:t>PT:</w:t>
            </w:r>
            <w:r>
              <w:rPr>
                <w:rFonts w:ascii="Times New Roman" w:hAnsi="Times New Roman"/>
                <w:noProof/>
                <w:sz w:val="19"/>
                <w:szCs w:val="19"/>
              </w:rPr>
              <w:t xml:space="preserve"> Romaniväestön terveydenhuoltoon liittyvän epätasa-arvon torjuntaa koskevien toimenpiteiden suunnittelu näytön pohjalta, mukaan lukien teiniäitiyttä, lastentautien seurantaa ja terveitä ruokailutottumuksia koskevan tiedotusmateriaalin laatiminen</w:t>
            </w:r>
          </w:p>
          <w:p>
            <w:pPr>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hAnsi="Times New Roman"/>
                <w:b/>
                <w:noProof/>
                <w:sz w:val="19"/>
                <w:szCs w:val="19"/>
              </w:rPr>
              <w:t xml:space="preserve">LT: </w:t>
            </w:r>
            <w:r>
              <w:rPr>
                <w:rFonts w:ascii="Times New Roman" w:hAnsi="Times New Roman"/>
                <w:noProof/>
                <w:sz w:val="19"/>
                <w:szCs w:val="19"/>
              </w:rPr>
              <w:t xml:space="preserve">Ennaltaehkäisevää hoitoa, seksuaali- ja lisääntymisterveyttä ja lastenhoitoa koskevat tiedotusseminaarit romaninaisille ja </w:t>
            </w:r>
            <w:r>
              <w:rPr>
                <w:rFonts w:ascii="Times New Roman" w:hAnsi="Times New Roman"/>
                <w:noProof/>
                <w:sz w:val="19"/>
                <w:szCs w:val="19"/>
              </w:rPr>
              <w:noBreakHyphen/>
              <w:t>nuorille</w:t>
            </w:r>
          </w:p>
        </w:tc>
        <w:tc>
          <w:tcPr>
            <w:tcW w:w="3991" w:type="dxa"/>
          </w:tcPr>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Lisätään sairausvakuutusturvan kattavuutta, täydennetään ensisijaisissa ja erikoistuneissa hoitopalveluissa olevia aukkoja, mukaan lukien lisääntymis- ja seksuaaliterveyttä koskevat palvelut epäedullisessa asemassa olevilla alueilla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 xml:space="preserve">Tehostetaan huumeriippuvuuden, tupakoinnin, HIV:n, hepatiitin, tuberkuloosin, sydän- ja verisuonitautien ja ennenaikaisen synnytyksen ennaltaehkäisemistä ja torjumista koskevia toimia </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Seurataan ja torjutaan terveydenhuoltoon pääsyyn liittyvää syrjintää ja valveutetaan terveydenhuollon alan ammattilaiset romanien tarpeista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Varmistetaan, että terveydenhuollon alalla toimivat romanitukihenkilöt auttavat vahvistamaan romanien omaehtoisuutta pitkällä aikavälillä</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 xml:space="preserve">Parannetaan ravitsemusta ja epäterveellisiä elinolosuhteita romaninaisiin ja </w:t>
            </w:r>
            <w:r>
              <w:rPr>
                <w:rFonts w:ascii="Times New Roman" w:hAnsi="Times New Roman"/>
                <w:noProof/>
                <w:sz w:val="19"/>
                <w:szCs w:val="19"/>
              </w:rPr>
              <w:noBreakHyphen/>
              <w:t>lapsiperheisiin kohdennetuilla toimilla</w:t>
            </w:r>
          </w:p>
        </w:tc>
      </w:tr>
    </w:tbl>
    <w:p>
      <w:pPr>
        <w:widowControl w:val="0"/>
        <w:spacing w:before="180" w:after="0" w:line="240" w:lineRule="auto"/>
        <w:ind w:right="-142"/>
        <w:outlineLvl w:val="1"/>
        <w:rPr>
          <w:rFonts w:ascii="Times New Roman" w:hAnsi="Times New Roman"/>
          <w:noProof/>
          <w:sz w:val="24"/>
          <w:szCs w:val="24"/>
        </w:rPr>
      </w:pPr>
      <w:r>
        <w:rPr>
          <w:rFonts w:ascii="Times New Roman" w:hAnsi="Times New Roman"/>
          <w:b/>
          <w:bCs/>
          <w:smallCaps/>
          <w:noProof/>
          <w:sz w:val="24"/>
          <w:szCs w:val="24"/>
        </w:rPr>
        <w:t>4. Asuminen</w:t>
      </w:r>
      <w:r>
        <w:rPr>
          <w:rFonts w:ascii="Times New Roman" w:hAnsi="Times New Roman"/>
          <w:noProof/>
          <w:sz w:val="24"/>
          <w:szCs w:val="24"/>
        </w:rPr>
        <w:t xml:space="preserve"> </w:t>
      </w:r>
    </w:p>
    <w:p>
      <w:pPr>
        <w:widowControl w:val="0"/>
        <w:spacing w:before="180" w:after="0" w:line="240" w:lineRule="auto"/>
        <w:ind w:right="-142"/>
        <w:jc w:val="right"/>
        <w:outlineLvl w:val="1"/>
        <w:rPr>
          <w:rFonts w:ascii="Times New Roman" w:hAnsi="Times New Roman"/>
          <w:noProof/>
        </w:rPr>
      </w:pPr>
      <w:r>
        <w:rPr>
          <w:noProof/>
          <w:lang w:val="en-GB" w:eastAsia="en-GB"/>
        </w:rPr>
        <w:drawing>
          <wp:inline distT="0" distB="0" distL="0" distR="0">
            <wp:extent cx="5391509" cy="239642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685" cy="2400950"/>
                    </a:xfrm>
                    <a:prstGeom prst="rect">
                      <a:avLst/>
                    </a:prstGeom>
                    <a:noFill/>
                    <a:ln>
                      <a:noFill/>
                    </a:ln>
                  </pic:spPr>
                </pic:pic>
              </a:graphicData>
            </a:graphic>
          </wp:inline>
        </w:drawing>
      </w:r>
    </w:p>
    <w:p>
      <w:pPr>
        <w:keepNext/>
        <w:spacing w:before="120" w:after="120" w:line="240" w:lineRule="auto"/>
        <w:ind w:right="-142"/>
        <w:outlineLvl w:val="2"/>
        <w:rPr>
          <w:rFonts w:ascii="Times New Roman" w:eastAsia="MS Mincho" w:hAnsi="Times New Roman" w:cs="Times New Roman"/>
          <w:i/>
          <w:noProof/>
          <w:sz w:val="24"/>
          <w:szCs w:val="24"/>
        </w:rPr>
      </w:pPr>
      <w:r>
        <w:rPr>
          <w:rFonts w:ascii="Times New Roman" w:hAnsi="Times New Roman"/>
          <w:i/>
          <w:noProof/>
          <w:sz w:val="24"/>
          <w:szCs w:val="24"/>
        </w:rPr>
        <w:t xml:space="preserve">4.1. Toimenpiteiden painopisteet </w:t>
      </w:r>
    </w:p>
    <w:p>
      <w:pPr>
        <w:spacing w:after="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Jäsenvaltioiden useimmiten raportoimien toimenpiteiden tavoitteena on varmistaa pääsy yleishyödyllisten palvelujen (vesi, sähkö, kaasu) ja asuntoinfrastruktuurin piiriin, torjua eriytymistä ja edistää syrjimätöntä pääsyä sosiaalisen asuntotuotannon asuntoihin (10–12 jäsenvaltiota). Vain pieni osa jäsenvaltioista investoi syrjäytyneisiin yhteisöihin kohdennettuihin yhdennettyihin asumistoimenpiteisiin paikallisten uudistamishankkeiden puitteissa (7 jäsenvaltiota) tai käyttää ERI-rahastoja yhteisölähtöiseen paikalliseen kehittämiseen tai yhdennettyihin alueellisiin investointeihin (4 jäsenvaltiota). Vain kaksi jäsenvaltiota raportoi tarjoavansa leiriytymiskohteita kiertäville romaneille.</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8960" behindDoc="0" locked="0" layoutInCell="1" allowOverlap="1">
                <wp:simplePos x="0" y="0"/>
                <wp:positionH relativeFrom="column">
                  <wp:posOffset>34290</wp:posOffset>
                </wp:positionH>
                <wp:positionV relativeFrom="paragraph">
                  <wp:posOffset>40376</wp:posOffset>
                </wp:positionV>
                <wp:extent cx="5995035" cy="2495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995035" cy="24955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Caption"/>
                              <w:spacing w:after="0"/>
                              <w:jc w:val="center"/>
                              <w:rPr>
                                <w:rFonts w:ascii="Times New Roman" w:hAnsi="Times New Roman" w:cs="Times New Roman"/>
                                <w:color w:val="auto"/>
                              </w:rPr>
                            </w:pPr>
                            <w:r>
                              <w:rPr>
                                <w:rFonts w:ascii="Times New Roman" w:hAnsi="Times New Roman"/>
                                <w:color w:val="auto"/>
                              </w:rPr>
                              <w:t>Asumista koskevien toimenpiteiden jaottelu neuvoston suositusten osa-alueiden ja toimenpiteiden yleisyyden mukaan</w:t>
                            </w:r>
                          </w:p>
                          <w:p>
                            <w:pPr>
                              <w:spacing w:after="0"/>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left:0;text-align:left;margin-left:2.7pt;margin-top:3.2pt;width:472.05pt;height:1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" fillcolor="white [3201]" stroked="f" strokeweight=".5pt">
                <v:fill opacity="0"/>
                <v:textbox>
                  <w:txbxContent>
                    <w:p>
                      <w:pPr>
                        <w:pStyle w:val="Caption"/>
                        <w:spacing w:after="0"/>
                        <w:jc w:val="center"/>
                        <w:rPr>
                          <w:rFonts w:ascii="Times New Roman" w:hAnsi="Times New Roman" w:cs="Times New Roman"/>
                          <w:color w:val="auto"/>
                        </w:rPr>
                      </w:pPr>
                      <w:r>
                        <w:rPr>
                          <w:rFonts w:ascii="Times New Roman" w:hAnsi="Times New Roman"/>
                          <w:color w:val="auto"/>
                        </w:rPr>
                        <w:t>Asumista koskevien toimenpiteiden jaottelu neuvoston suositusten osa-alueiden ja toimenpiteiden yleisyyden mukaan</w:t>
                      </w:r>
                    </w:p>
                    <w:p>
                      <w:pPr>
                        <w:spacing w:after="0"/>
                        <w:rPr>
                          <w:i/>
                          <w:sz w:val="18"/>
                          <w:szCs w:val="18"/>
                        </w:rPr>
                      </w:pPr>
                    </w:p>
                  </w:txbxContent>
                </v:textbox>
              </v:shape>
            </w:pict>
          </mc:Fallback>
        </mc:AlternateContent>
      </w:r>
    </w:p>
    <w:p>
      <w:pPr>
        <w:spacing w:after="120" w:line="240" w:lineRule="auto"/>
        <w:ind w:right="-142"/>
        <w:jc w:val="both"/>
        <w:rPr>
          <w:rFonts w:ascii="Times New Roman" w:eastAsia="MS Mincho" w:hAnsi="Times New Roman" w:cs="Times New Roman"/>
          <w:noProof/>
          <w:sz w:val="24"/>
          <w:szCs w:val="24"/>
        </w:rPr>
      </w:pPr>
      <w:r>
        <w:rPr>
          <w:noProof/>
          <w:lang w:val="en-GB" w:eastAsia="en-GB"/>
        </w:rPr>
        <w:drawing>
          <wp:inline distT="0" distB="0" distL="0" distR="0">
            <wp:extent cx="6029541" cy="3516751"/>
            <wp:effectExtent l="0" t="0" r="952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541" cy="3516751"/>
                    </a:xfrm>
                    <a:prstGeom prst="rect">
                      <a:avLst/>
                    </a:prstGeom>
                    <a:noFill/>
                    <a:ln>
                      <a:noFill/>
                    </a:ln>
                  </pic:spPr>
                </pic:pic>
              </a:graphicData>
            </a:graphic>
          </wp:inline>
        </w:drawing>
      </w:r>
    </w:p>
    <w:p>
      <w:pPr>
        <w:spacing w:before="120"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Mitä keskeisiä painopisteitä toimenpiteillä on? Raporttien mukaan jäsenvaltiot keskittyvät useimmin kunnallisten ja sosiaalisen asuntotuotannon asuntojen kunnossapitoon, tarjontaan ja korjaamiseen (27 %), romanien asuinalueen infrastruktuuriin (16 %) sekä lainsäädännöllisiin toimenpiteisiin, rakennuslupiin tai epämuodollisten asumisjärjestelyjen laillistamiseen (13 %). Näitä kohteita harvemmin investoitiin eriytymisen torjuntaan tähtääviin aktiivisiin toimiin, mukaan lukien slummien poistamista koskevat toimet, ja integroituihin alueellisiin toimenpiteisiin tai kodittomien auttamiseen tarkoitettuun sosiaalitukeen / infrastruktuuriin liittyvään tukeen (mainituista jokainen 7 %).</w:t>
      </w:r>
    </w:p>
    <w:p>
      <w:pPr>
        <w:keepNext/>
        <w:spacing w:before="180" w:after="120" w:line="240" w:lineRule="auto"/>
        <w:ind w:right="-142"/>
        <w:outlineLvl w:val="2"/>
        <w:rPr>
          <w:rFonts w:ascii="Times New Roman" w:eastAsia="MS Mincho" w:hAnsi="Times New Roman" w:cs="Times New Roman"/>
          <w:i/>
          <w:noProof/>
          <w:sz w:val="24"/>
          <w:szCs w:val="24"/>
        </w:rPr>
      </w:pPr>
      <w:r>
        <w:rPr>
          <w:rFonts w:ascii="Times New Roman" w:hAnsi="Times New Roman"/>
          <w:i/>
          <w:noProof/>
          <w:sz w:val="24"/>
          <w:szCs w:val="24"/>
        </w:rPr>
        <w:t>4.2. Saavutukset ja haasteet</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Romanien kansallisten yhteysviranomaisten mukaan merkittävimmät saavutukset liittyvät mahdollisuuteen päästä sosiaalisen asuntotuotannon asuntoon</w:t>
      </w:r>
      <w:r>
        <w:rPr>
          <w:rFonts w:ascii="Times New Roman" w:eastAsia="MS Mincho" w:hAnsi="Times New Roman" w:cs="Times New Roman"/>
          <w:noProof/>
          <w:sz w:val="24"/>
          <w:szCs w:val="24"/>
          <w:vertAlign w:val="superscript"/>
        </w:rPr>
        <w:footnoteReference w:id="38"/>
      </w:r>
      <w:r>
        <w:rPr>
          <w:rFonts w:ascii="Times New Roman" w:hAnsi="Times New Roman"/>
          <w:noProof/>
          <w:sz w:val="24"/>
          <w:szCs w:val="24"/>
        </w:rPr>
        <w:t>. Toinen romanien kansallisten yhteysviranomaisten raporteissa mainittu merkittävä saavutus oli slummien ja alueellisen eriytymisen poistaminen</w:t>
      </w:r>
      <w:r>
        <w:rPr>
          <w:rFonts w:ascii="Times New Roman" w:eastAsia="MS Mincho" w:hAnsi="Times New Roman" w:cs="Times New Roman"/>
          <w:noProof/>
          <w:sz w:val="24"/>
          <w:szCs w:val="24"/>
          <w:vertAlign w:val="superscript"/>
        </w:rPr>
        <w:footnoteReference w:id="39"/>
      </w:r>
      <w:r>
        <w:rPr>
          <w:rFonts w:ascii="Times New Roman" w:hAnsi="Times New Roman"/>
          <w:noProof/>
          <w:sz w:val="24"/>
          <w:szCs w:val="24"/>
        </w:rPr>
        <w:t>. Romanien kansalliset yhteysviranomaiset mainitsivat myös tulokset, jotka koskivat seuraavia: leiriytymiskohteiden tarjonta</w:t>
      </w:r>
      <w:r>
        <w:rPr>
          <w:rFonts w:ascii="Times New Roman" w:eastAsia="MS Mincho" w:hAnsi="Times New Roman" w:cs="Times New Roman"/>
          <w:noProof/>
          <w:sz w:val="24"/>
          <w:szCs w:val="24"/>
          <w:vertAlign w:val="superscript"/>
        </w:rPr>
        <w:footnoteReference w:id="40"/>
      </w:r>
      <w:r>
        <w:rPr>
          <w:rFonts w:ascii="Times New Roman" w:hAnsi="Times New Roman"/>
          <w:noProof/>
          <w:sz w:val="24"/>
          <w:szCs w:val="24"/>
        </w:rPr>
        <w:t>, pääsy yleishyödyllisten palvelujen (esim. vesi, sähkö ja kaasu) piiriin ja asuntojen infrastruktuuri</w:t>
      </w:r>
      <w:r>
        <w:rPr>
          <w:rFonts w:ascii="Times New Roman" w:eastAsia="MS Mincho" w:hAnsi="Times New Roman" w:cs="Times New Roman"/>
          <w:noProof/>
          <w:sz w:val="24"/>
          <w:szCs w:val="24"/>
          <w:vertAlign w:val="superscript"/>
        </w:rPr>
        <w:footnoteReference w:id="41"/>
      </w:r>
      <w:r>
        <w:rPr>
          <w:rFonts w:ascii="Times New Roman" w:hAnsi="Times New Roman"/>
          <w:noProof/>
          <w:sz w:val="24"/>
          <w:szCs w:val="24"/>
        </w:rPr>
        <w:t xml:space="preserve">, asumisjärjestelyjen laillistaminen </w:t>
      </w:r>
      <w:r>
        <w:rPr>
          <w:rFonts w:ascii="Times New Roman" w:eastAsia="MS Mincho" w:hAnsi="Times New Roman" w:cs="Times New Roman"/>
          <w:noProof/>
          <w:sz w:val="24"/>
          <w:szCs w:val="24"/>
          <w:vertAlign w:val="superscript"/>
        </w:rPr>
        <w:footnoteReference w:id="42"/>
      </w:r>
      <w:r>
        <w:rPr>
          <w:rFonts w:ascii="Times New Roman" w:hAnsi="Times New Roman"/>
          <w:noProof/>
          <w:sz w:val="24"/>
          <w:szCs w:val="24"/>
        </w:rPr>
        <w:t xml:space="preserve"> ja kaupunkien elvyttäminen</w:t>
      </w:r>
      <w:r>
        <w:rPr>
          <w:rFonts w:ascii="Times New Roman" w:eastAsia="MS Mincho" w:hAnsi="Times New Roman" w:cs="Times New Roman"/>
          <w:noProof/>
          <w:sz w:val="24"/>
          <w:szCs w:val="24"/>
          <w:vertAlign w:val="superscript"/>
        </w:rPr>
        <w:footnoteReference w:id="43"/>
      </w:r>
      <w:r>
        <w:rPr>
          <w:rFonts w:ascii="Times New Roman" w:hAnsi="Times New Roman"/>
          <w:noProof/>
          <w:sz w:val="24"/>
          <w:szCs w:val="24"/>
        </w:rPr>
        <w:t>.</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Raportoituihin haasteisiin kuuluvat alueellinen eriytyminen</w:t>
      </w:r>
      <w:r>
        <w:rPr>
          <w:rFonts w:ascii="Times New Roman" w:eastAsia="MS Mincho" w:hAnsi="Times New Roman" w:cs="Times New Roman"/>
          <w:noProof/>
          <w:sz w:val="24"/>
          <w:szCs w:val="24"/>
          <w:vertAlign w:val="superscript"/>
        </w:rPr>
        <w:footnoteReference w:id="44"/>
      </w:r>
      <w:r>
        <w:rPr>
          <w:rFonts w:ascii="Times New Roman" w:hAnsi="Times New Roman"/>
          <w:noProof/>
          <w:sz w:val="24"/>
          <w:szCs w:val="24"/>
        </w:rPr>
        <w:t>, esteet, joiden vuoksi romaneilla ei ole mahdollisuutta päästä yksityisen sektorin asuntoihin</w:t>
      </w:r>
      <w:r>
        <w:rPr>
          <w:rFonts w:ascii="Times New Roman" w:eastAsia="MS Mincho" w:hAnsi="Times New Roman" w:cs="Times New Roman"/>
          <w:noProof/>
          <w:sz w:val="24"/>
          <w:szCs w:val="24"/>
          <w:vertAlign w:val="superscript"/>
        </w:rPr>
        <w:footnoteReference w:id="45"/>
      </w:r>
      <w:r>
        <w:rPr>
          <w:rFonts w:ascii="Times New Roman" w:hAnsi="Times New Roman"/>
          <w:noProof/>
          <w:sz w:val="24"/>
          <w:szCs w:val="24"/>
        </w:rPr>
        <w:t xml:space="preserve"> sekä sosiaalisen asuntotuotannon asuntoihin pääsyä koskeva julkinen tuki ja lainsäädäntö</w:t>
      </w:r>
      <w:r>
        <w:rPr>
          <w:rFonts w:ascii="Times New Roman" w:eastAsia="MS Mincho" w:hAnsi="Times New Roman" w:cs="Times New Roman"/>
          <w:noProof/>
          <w:sz w:val="24"/>
          <w:szCs w:val="24"/>
          <w:vertAlign w:val="superscript"/>
        </w:rPr>
        <w:footnoteReference w:id="46"/>
      </w:r>
      <w:r>
        <w:rPr>
          <w:rFonts w:ascii="Times New Roman" w:hAnsi="Times New Roman"/>
          <w:noProof/>
          <w:sz w:val="24"/>
          <w:szCs w:val="24"/>
        </w:rPr>
        <w:t>.</w:t>
      </w:r>
    </w:p>
    <w:p>
      <w:pPr>
        <w:keepNext/>
        <w:spacing w:before="180" w:after="120" w:line="240" w:lineRule="auto"/>
        <w:ind w:right="-142"/>
        <w:outlineLvl w:val="2"/>
        <w:rPr>
          <w:rFonts w:ascii="Times New Roman" w:eastAsia="MS Mincho" w:hAnsi="Times New Roman" w:cs="Times New Roman"/>
          <w:i/>
          <w:noProof/>
          <w:sz w:val="24"/>
          <w:szCs w:val="24"/>
        </w:rPr>
      </w:pPr>
      <w:r>
        <w:rPr>
          <w:rFonts w:ascii="Times New Roman" w:hAnsi="Times New Roman"/>
          <w:i/>
          <w:noProof/>
          <w:sz w:val="24"/>
          <w:szCs w:val="24"/>
        </w:rPr>
        <w:t>4.3. Politiikkaoppiminen</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 xml:space="preserve">Asuminen on ala, jolla on vähiten useille jäsenvaltioille yhteisiä lupaavia lähestymistapoja. Se on myös ala, jolla pitkän aikavälin yhdennetyn ja kokonaisvaltaisen lähestymistavan on havaittu olevan erityisen tärkeä. Tähän kuuluvat muun muassa asunnon tarjoamisen ohella tarjottava tuki, johon sisältyy työllistymiseen, koulutukseen, terveydenhuoltoon ja yhteisön kehittämiseen liittyviä elementtejä ja toimenpiteiden nivominen laajempaan maata ja sosiaalista asuntotarjontaa koskevaan kansalliseen politiikkaan ja lainsäädäntöön. Alueellisen eriytymisen torjumiseksi tarvitaan kohdennettuja, koordinoituja ja osallistavia toimia, kuten seuraavat: romaniedunsaajat otetaan mukaan yhteisö- ja yksilöasumisen muotojen suunnitteluun ja toteutukseen, yhdistetään infrastruktuuriin ja ihmisiin kohdennettavat investoinnit ja lisätään tietoisuutta, jotta etnisten ryhmien välillä olevia jännitteitä ja valtaväestön vastustusta voidaan vähentää. Muita alueita, jotka olisi asetettava etusijalle, ovat muun muassa seuraavat: kehitetään sosiaalista asuntotarjontaa siten, että romanien asunnonsaanti helpottuu, ehkäistään pakkohäätöjä osana kaikille sidosryhmille yhteistä laajaa lähestymistapaa asumiseen ja tarjotaan olosuhteiltaan ja kulttuurisesti asianmukaisia leiriytymispaikkoja kiertäville romaneille. </w:t>
      </w:r>
    </w:p>
    <w:tbl>
      <w:tblPr>
        <w:tblStyle w:val="TableGrid"/>
        <w:tblW w:w="9752" w:type="dxa"/>
        <w:tblInd w:w="-5" w:type="dxa"/>
        <w:tblLook w:val="04A0" w:firstRow="1" w:lastRow="0" w:firstColumn="1" w:lastColumn="0" w:noHBand="0" w:noVBand="1"/>
      </w:tblPr>
      <w:tblGrid>
        <w:gridCol w:w="5925"/>
        <w:gridCol w:w="3827"/>
      </w:tblGrid>
      <w:tr>
        <w:tc>
          <w:tcPr>
            <w:tcW w:w="5925"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hAnsi="Times New Roman"/>
                <w:b/>
                <w:noProof/>
                <w:sz w:val="19"/>
                <w:szCs w:val="19"/>
              </w:rPr>
              <w:t>Lupaavia lähestymistapoja:</w:t>
            </w:r>
          </w:p>
        </w:tc>
        <w:tc>
          <w:tcPr>
            <w:tcW w:w="3827"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hAnsi="Times New Roman"/>
                <w:b/>
                <w:noProof/>
                <w:sz w:val="19"/>
                <w:szCs w:val="19"/>
              </w:rPr>
              <w:t>Ensisijaiset alat, joilla on toteutettava toimia:</w:t>
            </w:r>
          </w:p>
        </w:tc>
      </w:tr>
      <w:tr>
        <w:tc>
          <w:tcPr>
            <w:tcW w:w="5925" w:type="dxa"/>
          </w:tcPr>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ES:</w:t>
            </w:r>
            <w:r>
              <w:rPr>
                <w:rFonts w:ascii="Times New Roman" w:hAnsi="Times New Roman"/>
                <w:noProof/>
                <w:sz w:val="19"/>
                <w:szCs w:val="19"/>
              </w:rPr>
              <w:t xml:space="preserve"> Paikallis- ja aluehallinnot ovat kansalaisyhteiskunnan toimijoiden tuella vähentäneet merkittävästi slummien määrää 15 vuoden aikana ja tällä tavoin torjuneet eriytymistä. Toimenpiteet ovat osa yhtenäistä lähestymistapaa, johon kuuluu myös koulutuksen, terveydenhuollon ja työllisyyden aloilla tehtyjä kestäviä parannuksia.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 xml:space="preserve">CZ: </w:t>
            </w:r>
            <w:r>
              <w:rPr>
                <w:rFonts w:ascii="Times New Roman" w:hAnsi="Times New Roman"/>
                <w:noProof/>
                <w:sz w:val="19"/>
                <w:szCs w:val="19"/>
              </w:rPr>
              <w:t xml:space="preserve">ERI-rahaston tuella laajennetut paikalliset ”asunto ensin” </w:t>
            </w:r>
            <w:r>
              <w:rPr>
                <w:rFonts w:ascii="Times New Roman" w:hAnsi="Times New Roman"/>
                <w:noProof/>
                <w:sz w:val="19"/>
                <w:szCs w:val="19"/>
              </w:rPr>
              <w:noBreakHyphen/>
              <w:t xml:space="preserve">aloitteet, jotka on luotu paikallishallinnon ja kansalaisyhteiskunnan sosiaalivuokratoimistojen pilotoimien onnistuneiden sosiaalisen asumisen mallien pohjalta ja joissa ei oteta huomioon eriytyneiden alueiden asuntoja (työministeriön ja 12 kunnan pilotoima menetelmä </w:t>
            </w:r>
            <w:hyperlink r:id="rId24" w:history="1">
              <w:r>
                <w:rPr>
                  <w:rFonts w:ascii="Times New Roman" w:hAnsi="Times New Roman"/>
                  <w:noProof/>
                  <w:sz w:val="19"/>
                  <w:szCs w:val="19"/>
                </w:rPr>
                <w:t>asumiseen liittyvän eriytymisen tunnistamiseksi</w:t>
              </w:r>
            </w:hyperlink>
            <w:r>
              <w:rPr>
                <w:rFonts w:ascii="Times New Roman" w:hAnsi="Times New Roman"/>
                <w:noProof/>
                <w:sz w:val="19"/>
                <w:szCs w:val="19"/>
              </w:rPr>
              <w:t>)</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EL:</w:t>
            </w:r>
            <w:r>
              <w:rPr>
                <w:rFonts w:ascii="Times New Roman" w:hAnsi="Times New Roman"/>
                <w:noProof/>
                <w:sz w:val="19"/>
                <w:szCs w:val="19"/>
              </w:rPr>
              <w:t xml:space="preserve"> Uusia säädöksiä, joiden tavoitteena on edistää muuttamista leireiltä ja eriytyneiltä asuinalueilta, parantaa infrastruktuuria, luoda asuntokomplekseihin omalähtöinen hallinta- ja turvajärjestelmä ja edistää asunnon saamista yhdennetystä ympäristöstä vuokratuen avulla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FR:</w:t>
            </w:r>
            <w:r>
              <w:rPr>
                <w:rFonts w:ascii="Times New Roman" w:hAnsi="Times New Roman"/>
                <w:noProof/>
                <w:sz w:val="19"/>
                <w:szCs w:val="19"/>
              </w:rPr>
              <w:t xml:space="preserve"> Toulousessa käytössä oleva sidosryhmät yhdistävä kokonaisvaltainen ”asunto ensin” </w:t>
            </w:r>
            <w:r>
              <w:rPr>
                <w:rFonts w:ascii="Times New Roman" w:hAnsi="Times New Roman"/>
                <w:noProof/>
                <w:sz w:val="19"/>
                <w:szCs w:val="19"/>
              </w:rPr>
              <w:noBreakHyphen/>
              <w:t>lähestymistapa, jonka tavoitteena on auttaa romaneja muuttamaan leireiltä yhdennetyille alueille. Samaan toimenpidekokonaisuuteen kuuluu sosiaalituki, lukutaito- ja muuta koulutusta, koulutus- ja työpaikkoja sekä terveydenhuoltopalveluja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 xml:space="preserve">SI: </w:t>
            </w:r>
            <w:r>
              <w:rPr>
                <w:rFonts w:ascii="Times New Roman" w:hAnsi="Times New Roman"/>
                <w:noProof/>
                <w:sz w:val="19"/>
                <w:szCs w:val="19"/>
              </w:rPr>
              <w:t>Julkisia tarjouskilpailuja kunnan perusinfrastruktuuriin liittyvistä palveluista (vesi, sähkö, tiet) kunnissa, joissa asuu romaneja</w:t>
            </w:r>
          </w:p>
          <w:p>
            <w:pPr>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hAnsi="Times New Roman"/>
                <w:b/>
                <w:noProof/>
                <w:sz w:val="19"/>
                <w:szCs w:val="19"/>
              </w:rPr>
              <w:t>LT:</w:t>
            </w:r>
            <w:r>
              <w:rPr>
                <w:rFonts w:ascii="Times New Roman" w:hAnsi="Times New Roman"/>
                <w:noProof/>
                <w:sz w:val="19"/>
                <w:szCs w:val="19"/>
              </w:rPr>
              <w:t xml:space="preserve"> Eriytymisen pysäyttämisprosessi Kirtimain asuinalueella Vilnassa edistämällä muuttamista monilapsisille perheille myönnettävän sosiaalisen asunnon ja vuokratuen avulla</w:t>
            </w:r>
            <w:r>
              <w:rPr>
                <w:rFonts w:ascii="Times New Roman" w:hAnsi="Times New Roman"/>
                <w:b/>
                <w:noProof/>
                <w:sz w:val="19"/>
                <w:szCs w:val="19"/>
              </w:rPr>
              <w:t xml:space="preserve"> </w:t>
            </w:r>
          </w:p>
          <w:p>
            <w:pPr>
              <w:numPr>
                <w:ilvl w:val="0"/>
                <w:numId w:val="11"/>
              </w:numPr>
              <w:spacing w:before="60" w:after="60"/>
              <w:ind w:left="159" w:hanging="176"/>
              <w:jc w:val="both"/>
              <w:rPr>
                <w:rFonts w:ascii="Times New Roman" w:eastAsia="MS Mincho" w:hAnsi="Times New Roman" w:cs="Times New Roman"/>
                <w:b/>
                <w:noProof/>
                <w:sz w:val="19"/>
                <w:szCs w:val="19"/>
              </w:rPr>
            </w:pPr>
            <w:r>
              <w:rPr>
                <w:rFonts w:ascii="Times New Roman" w:hAnsi="Times New Roman"/>
                <w:b/>
                <w:noProof/>
                <w:sz w:val="19"/>
                <w:szCs w:val="19"/>
              </w:rPr>
              <w:t xml:space="preserve">SE: </w:t>
            </w:r>
            <w:r>
              <w:rPr>
                <w:rFonts w:ascii="Times New Roman" w:hAnsi="Times New Roman"/>
                <w:noProof/>
                <w:sz w:val="19"/>
                <w:szCs w:val="19"/>
              </w:rPr>
              <w:t>Vuokranantajille tarkoitettu ohjaus ja koulutus, joiden avulla jaetaan tietoa ja pyritään vähentämään romaneihin kohdistuvaa syrjintää</w:t>
            </w:r>
          </w:p>
        </w:tc>
        <w:tc>
          <w:tcPr>
            <w:tcW w:w="3827" w:type="dxa"/>
          </w:tcPr>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Investoidaan kohtuuhintaiseen ja asianmukaiseen sosiaaliseen asuntotarjontaan yhdennetyillä alueilla ja varmistetaan, että kelpoisuusperusteet ovat romanien saavutettavissa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Tarjotaan asumisen tukea kaikkein heikoimmassa asemassa oleville</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Laillistetaan asuntoja ja ehkäistään pakkohäätöjä</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Yhdistetään eriytymisen estämiseen tähtäävät kokonaisvaltaiset pitkän aikavälin toimet valmisteleviin ja täydentäviin toimenpiteisiin, joiden avulla lisätään julkista tukea ja etnisten ryhmien välistä yhteisöllisyyttä, ja varmistetaan, että yhteisöt osallistuvat suunnitteluun ja täytäntöönpanoon</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Varmistetaan puhtaan veden, perusmukavuuksien ja keskeisten julkisten palvelujen saatavuus kaikille ja otetaan käyttöön romaneihin kohdistetut suojatoimet näiden osalta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Torjutaan (sosiaalisen asuntotuotannon ja yksityisen) asunnon saantiin liittyvää syrjintää</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Varmistetaan, että kiertäville romaneille on tarjolla riittävästi palveluiltaan ja kulttuurisesti asianmukaisia leiriytymispaikkoja</w:t>
            </w:r>
          </w:p>
        </w:tc>
      </w:tr>
    </w:tbl>
    <w:p>
      <w:pPr>
        <w:keepNext/>
        <w:keepLines/>
        <w:spacing w:before="240" w:after="120" w:line="240" w:lineRule="auto"/>
        <w:ind w:right="-142"/>
        <w:outlineLvl w:val="0"/>
        <w:rPr>
          <w:rFonts w:ascii="Times New Roman" w:hAnsi="Times New Roman"/>
          <w:b/>
          <w:bCs/>
          <w:smallCaps/>
          <w:noProof/>
          <w:sz w:val="24"/>
          <w:szCs w:val="24"/>
        </w:rPr>
      </w:pPr>
      <w:r>
        <w:rPr>
          <w:rFonts w:ascii="Times New Roman" w:hAnsi="Times New Roman"/>
          <w:b/>
          <w:bCs/>
          <w:smallCaps/>
          <w:noProof/>
          <w:sz w:val="24"/>
          <w:szCs w:val="24"/>
        </w:rPr>
        <w:t>II. Syrjinnän ja romanivastaisuuden torjuminen</w:t>
      </w:r>
    </w:p>
    <w:p>
      <w:pPr>
        <w:keepNext/>
        <w:keepLines/>
        <w:spacing w:before="240" w:after="120" w:line="240" w:lineRule="auto"/>
        <w:ind w:right="-142"/>
        <w:jc w:val="right"/>
        <w:outlineLvl w:val="0"/>
        <w:rPr>
          <w:rFonts w:ascii="Times New Roman" w:eastAsia="MS Mincho" w:hAnsi="Times New Roman" w:cs="Times New Roman"/>
          <w:b/>
          <w:bCs/>
          <w:smallCaps/>
          <w:noProof/>
          <w:sz w:val="24"/>
          <w:szCs w:val="24"/>
        </w:rPr>
      </w:pPr>
      <w:r>
        <w:rPr>
          <w:noProof/>
          <w:lang w:val="en-GB" w:eastAsia="en-GB"/>
        </w:rPr>
        <w:drawing>
          <wp:inline distT="0" distB="0" distL="0" distR="0">
            <wp:extent cx="5193348" cy="3312544"/>
            <wp:effectExtent l="0" t="0" r="762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3548" cy="3312671"/>
                    </a:xfrm>
                    <a:prstGeom prst="rect">
                      <a:avLst/>
                    </a:prstGeom>
                    <a:noFill/>
                    <a:ln>
                      <a:noFill/>
                    </a:ln>
                  </pic:spPr>
                </pic:pic>
              </a:graphicData>
            </a:graphic>
          </wp:inline>
        </w:drawing>
      </w:r>
    </w:p>
    <w:p>
      <w:pPr>
        <w:keepNext/>
        <w:spacing w:before="180" w:after="120" w:line="240" w:lineRule="auto"/>
        <w:ind w:right="-142"/>
        <w:outlineLvl w:val="2"/>
        <w:rPr>
          <w:rFonts w:ascii="Times New Roman" w:eastAsia="MS Mincho" w:hAnsi="Times New Roman" w:cs="Times New Roman"/>
          <w:b/>
          <w:noProof/>
          <w:sz w:val="24"/>
          <w:szCs w:val="24"/>
        </w:rPr>
      </w:pPr>
      <w:r>
        <w:rPr>
          <w:rFonts w:ascii="Times New Roman" w:hAnsi="Times New Roman"/>
          <w:b/>
          <w:noProof/>
          <w:sz w:val="24"/>
          <w:szCs w:val="24"/>
        </w:rPr>
        <w:t xml:space="preserve">1. </w:t>
      </w:r>
      <w:r>
        <w:rPr>
          <w:rFonts w:ascii="Times New Roman" w:hAnsi="Times New Roman"/>
          <w:b/>
          <w:bCs/>
          <w:smallCaps/>
          <w:noProof/>
          <w:sz w:val="28"/>
          <w:szCs w:val="24"/>
        </w:rPr>
        <w:t>t</w:t>
      </w:r>
      <w:r>
        <w:rPr>
          <w:rFonts w:ascii="Times New Roman" w:hAnsi="Times New Roman"/>
          <w:b/>
          <w:bCs/>
          <w:smallCaps/>
          <w:noProof/>
          <w:sz w:val="24"/>
          <w:szCs w:val="24"/>
        </w:rPr>
        <w:t>oimenpiteiden painopisteet</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 xml:space="preserve">Jäsenvaltioiden raporteissa oli eniten mainintoja seuraavista syrjinnän vastaisista toimenpiteistä: torjutaan romanivastaisuutta lisäämällä tietoisuutta romanien osallistamisen hyödyistä, jaetaan tietoa monimuotoisuudesta ja torjutaan romanivastaista retoriikkaa ja vihapuhetta (10–12 jäsenvaltiota). Muutamat jäsenvaltiot investoivat toimenpiteisiin, joiden avulla pyritään suojelemaan romaninaisia ja </w:t>
      </w:r>
      <w:r>
        <w:rPr>
          <w:rFonts w:ascii="Times New Roman" w:hAnsi="Times New Roman"/>
          <w:noProof/>
          <w:sz w:val="24"/>
          <w:szCs w:val="24"/>
        </w:rPr>
        <w:noBreakHyphen/>
        <w:t>lapsia moninkertaiselta syrjinnältä, (perhe)väkivallalta tai avioliitolta alaikäisenä ja pakkoavioliitolta (2–4 jäsenvaltiota) Ainoastaan neljä jäsenvaltiota raportoi investoivansa toimenpiteisiin, joiden avulla varmistetaan rotusyrjintädirektiivin (2000/43/EY) tehokas täytäntöönpano. Tätäkin harvempi jäsenvaltio mainitsee paikalliset tai alueelliset toimenpiteet, joiden tavoitteena on estää eriytyminen (3 jäsenvaltiota) tai torjua ihmiskauppaa (2 jäsenvaltiota). Ainoastaan yksi jäsenvaltio raportoi toimenpiteistä, joiden avulla pyritään estämään lainvastaiset häädöt tai kerjääminen lasten kanssa ja edistämään rajat ylittävää yhteistyötä.</w:t>
      </w:r>
    </w:p>
    <w:p>
      <w:pPr>
        <w:rPr>
          <w:rFonts w:ascii="Times New Roman" w:eastAsia="MS Mincho" w:hAnsi="Times New Roman" w:cs="Times New Roman"/>
          <w:noProof/>
          <w:sz w:val="24"/>
          <w:szCs w:val="24"/>
        </w:rPr>
      </w:pPr>
      <w:r>
        <w:rPr>
          <w:rFonts w:ascii="Times New Roman" w:eastAsia="MS Mincho" w:hAnsi="Times New Roman" w:cs="Times New Roman"/>
          <w:noProof/>
          <w:sz w:val="24"/>
          <w:szCs w:val="24"/>
        </w:rPr>
        <w:br w:type="page"/>
      </w:r>
    </w:p>
    <w:p>
      <w:pPr>
        <w:spacing w:after="120" w:line="240" w:lineRule="auto"/>
        <w:ind w:right="-142"/>
        <w:jc w:val="both"/>
        <w:rPr>
          <w:rFonts w:ascii="Times New Roman" w:eastAsia="MS Mincho" w:hAnsi="Times New Roman" w:cs="Times New Roman"/>
          <w:noProof/>
          <w:sz w:val="16"/>
          <w:szCs w:val="16"/>
        </w:rPr>
      </w:pPr>
      <w:r>
        <w:rPr>
          <w:rFonts w:ascii="Times New Roman" w:hAnsi="Times New Roman"/>
          <w:noProof/>
          <w:sz w:val="16"/>
          <w:szCs w:val="16"/>
          <w:lang w:val="en-GB" w:eastAsia="en-GB"/>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3439</wp:posOffset>
                </wp:positionV>
                <wp:extent cx="5995035" cy="24955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995035" cy="24955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Caption"/>
                              <w:keepNext/>
                              <w:keepLines/>
                              <w:spacing w:after="0"/>
                              <w:jc w:val="center"/>
                              <w:rPr>
                                <w:rFonts w:ascii="Times New Roman" w:hAnsi="Times New Roman" w:cs="Times New Roman"/>
                                <w:color w:val="auto"/>
                              </w:rPr>
                            </w:pPr>
                            <w:r>
                              <w:rPr>
                                <w:rFonts w:ascii="Times New Roman" w:hAnsi="Times New Roman"/>
                                <w:color w:val="auto"/>
                              </w:rPr>
                              <w:t>Syrjinnän vastaisten toimenpiteiden jaottelu neuvoston suositusten osa-alueiden ja toimenpiteiden yleisyyden mukaan</w:t>
                            </w:r>
                          </w:p>
                          <w:p>
                            <w:pPr>
                              <w:spacing w:after="0"/>
                              <w:jc w:val="center"/>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left:0;text-align:left;margin-left:4.4pt;margin-top:.25pt;width:472.05pt;height:1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" fillcolor="white [3201]" stroked="f" strokeweight=".5pt">
                <v:fill opacity="0"/>
                <v:textbox>
                  <w:txbxContent>
                    <w:p>
                      <w:pPr>
                        <w:pStyle w:val="Caption"/>
                        <w:keepNext/>
                        <w:keepLines/>
                        <w:spacing w:after="0"/>
                        <w:jc w:val="center"/>
                        <w:rPr>
                          <w:rFonts w:ascii="Times New Roman" w:hAnsi="Times New Roman" w:cs="Times New Roman"/>
                          <w:color w:val="auto"/>
                        </w:rPr>
                      </w:pPr>
                      <w:r>
                        <w:rPr>
                          <w:rFonts w:ascii="Times New Roman" w:hAnsi="Times New Roman"/>
                          <w:color w:val="auto"/>
                        </w:rPr>
                        <w:t>Syrjinnän vastaisten toimenpiteiden jaottelu neuvoston suositusten osa-alueiden ja toimenpiteiden yleisyyden mukaan</w:t>
                      </w:r>
                    </w:p>
                    <w:p>
                      <w:pPr>
                        <w:spacing w:after="0"/>
                        <w:jc w:val="center"/>
                        <w:rPr>
                          <w:i/>
                          <w:sz w:val="18"/>
                          <w:szCs w:val="18"/>
                        </w:rPr>
                      </w:pPr>
                    </w:p>
                  </w:txbxContent>
                </v:textbox>
              </v:shape>
            </w:pict>
          </mc:Fallback>
        </mc:AlternateContent>
      </w:r>
    </w:p>
    <w:p>
      <w:pPr>
        <w:spacing w:after="120" w:line="240" w:lineRule="auto"/>
        <w:ind w:right="-142"/>
        <w:jc w:val="both"/>
        <w:rPr>
          <w:rFonts w:ascii="Times New Roman" w:eastAsia="MS Mincho" w:hAnsi="Times New Roman" w:cs="Times New Roman"/>
          <w:noProof/>
          <w:sz w:val="24"/>
          <w:szCs w:val="24"/>
        </w:rPr>
      </w:pPr>
      <w:r>
        <w:rPr>
          <w:noProof/>
          <w:lang w:val="en-GB" w:eastAsia="en-GB"/>
        </w:rPr>
        <w:drawing>
          <wp:inline distT="0" distB="0" distL="0" distR="0">
            <wp:extent cx="6081623" cy="5351466"/>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1900" cy="5351710"/>
                    </a:xfrm>
                    <a:prstGeom prst="rect">
                      <a:avLst/>
                    </a:prstGeom>
                    <a:noFill/>
                    <a:ln>
                      <a:noFill/>
                    </a:ln>
                  </pic:spPr>
                </pic:pic>
              </a:graphicData>
            </a:graphic>
          </wp:inline>
        </w:drawing>
      </w:r>
    </w:p>
    <w:p>
      <w:pPr>
        <w:spacing w:before="120"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 xml:space="preserve">Mitä keskeisiä painopisteitä toimenpiteillä on? Raporttien mukaan jäsenvaltiot investoivat useimmin toimiin, joiden avulla lisätään romanikulttuurin ja </w:t>
      </w:r>
      <w:r>
        <w:rPr>
          <w:rFonts w:ascii="Times New Roman" w:hAnsi="Times New Roman"/>
          <w:noProof/>
          <w:sz w:val="24"/>
          <w:szCs w:val="24"/>
        </w:rPr>
        <w:noBreakHyphen/>
        <w:t>perinnön tunnettuutta ja tällä tavoin lisätään tietoisuutta ja torjutaan romanivastaisuutta epäsuorasti muun väestön keskuudessa (22 %). Hieman pienemmällä osalla toimenpiteistä pyritään lisäämään tietoisuutta torjumalla syrjintää ja suvaitsemattomuutta suoraan (18 %). Muiden toimenpiteiden tavoitteena on lisätä instituutioiden (15 %), romanikansalaisyhteiskunnan (12 %) ja ihmisoikeusvalvonnan mekanismien (11 %) valmiuksia. Keskeiset alat, joilla toteutettiin vähemmän toimia, olivat oikeusavun tarjoaminen, romaninaisten vaikutusmahdollisuuksien lisääminen ja eriytymisen torjunta (5–6 %). Ainoastaan 16 prosenttia raportoiduista syrjinnän vastaisista toimenpiteistä kohdistui nimenomaisesti romaninuoriin ja 10 prosenttia romaninaisiin.</w:t>
      </w:r>
    </w:p>
    <w:p>
      <w:pPr>
        <w:spacing w:after="120" w:line="240" w:lineRule="auto"/>
        <w:ind w:right="-142"/>
        <w:jc w:val="both"/>
        <w:rPr>
          <w:rFonts w:ascii="Times New Roman" w:hAnsi="Times New Roman"/>
          <w:noProof/>
          <w:sz w:val="24"/>
          <w:szCs w:val="24"/>
        </w:rPr>
      </w:pPr>
      <w:r>
        <w:rPr>
          <w:rFonts w:ascii="Times New Roman" w:hAnsi="Times New Roman"/>
          <w:b/>
          <w:bCs/>
          <w:smallCaps/>
          <w:noProof/>
          <w:sz w:val="24"/>
          <w:szCs w:val="24"/>
        </w:rPr>
        <w:t>2. Saavutukset ja haasteet</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 xml:space="preserve">Romanien kansallisten yhteysviranomaisten useimmin mainitsemat saavutukset olivat seuraavat: romaninaisten ja </w:t>
      </w:r>
      <w:r>
        <w:rPr>
          <w:rFonts w:ascii="Times New Roman" w:hAnsi="Times New Roman"/>
          <w:noProof/>
          <w:sz w:val="24"/>
          <w:szCs w:val="24"/>
        </w:rPr>
        <w:noBreakHyphen/>
        <w:t>lasten olosuhteiden parantuminen</w:t>
      </w:r>
      <w:r>
        <w:rPr>
          <w:rFonts w:ascii="Times New Roman" w:eastAsia="MS Mincho" w:hAnsi="Times New Roman" w:cs="Times New Roman"/>
          <w:noProof/>
          <w:sz w:val="24"/>
          <w:szCs w:val="24"/>
          <w:vertAlign w:val="superscript"/>
        </w:rPr>
        <w:footnoteReference w:id="47"/>
      </w:r>
      <w:r>
        <w:rPr>
          <w:rFonts w:ascii="Times New Roman" w:hAnsi="Times New Roman"/>
          <w:noProof/>
          <w:sz w:val="24"/>
          <w:szCs w:val="24"/>
        </w:rPr>
        <w:t>, romanivastaisuuden torjuminen muuttamalla stereotypioihin perustuvaa ajattelua ja edistämällä romanien kulttuurin ja historian tuntemusta</w:t>
      </w:r>
      <w:r>
        <w:rPr>
          <w:rFonts w:ascii="Times New Roman" w:eastAsia="MS Mincho" w:hAnsi="Times New Roman" w:cs="Times New Roman"/>
          <w:noProof/>
          <w:sz w:val="24"/>
          <w:szCs w:val="24"/>
          <w:vertAlign w:val="superscript"/>
        </w:rPr>
        <w:footnoteReference w:id="48"/>
      </w:r>
      <w:r>
        <w:rPr>
          <w:rFonts w:ascii="Times New Roman" w:hAnsi="Times New Roman"/>
          <w:noProof/>
          <w:sz w:val="24"/>
          <w:szCs w:val="24"/>
        </w:rPr>
        <w:t xml:space="preserve"> ja kaikkien asiaankuuluvien toimijoiden (viranomaiset, kansalaisyhteiskunnan toimijat ja romaniyhteisöt) ottaminen mukaan syrjinnän vastaiseen työhön</w:t>
      </w:r>
      <w:r>
        <w:rPr>
          <w:rFonts w:ascii="Times New Roman" w:eastAsia="MS Mincho" w:hAnsi="Times New Roman" w:cs="Times New Roman"/>
          <w:noProof/>
          <w:sz w:val="24"/>
          <w:szCs w:val="24"/>
          <w:vertAlign w:val="superscript"/>
        </w:rPr>
        <w:footnoteReference w:id="49"/>
      </w:r>
      <w:r>
        <w:rPr>
          <w:rFonts w:ascii="Times New Roman" w:hAnsi="Times New Roman"/>
          <w:noProof/>
          <w:sz w:val="24"/>
          <w:szCs w:val="24"/>
        </w:rPr>
        <w:t>.</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Useat romanien kansalliset yhteysviranomaiset mainitsivat haasteet, jotka liittyvät oikeussuojan saatavuuden ja oikeuksien tiedostamisen lisäämiseen</w:t>
      </w:r>
      <w:r>
        <w:rPr>
          <w:rFonts w:ascii="Times New Roman" w:eastAsia="MS Mincho" w:hAnsi="Times New Roman" w:cs="Times New Roman"/>
          <w:noProof/>
          <w:sz w:val="24"/>
          <w:szCs w:val="24"/>
          <w:vertAlign w:val="superscript"/>
        </w:rPr>
        <w:footnoteReference w:id="50"/>
      </w:r>
      <w:r>
        <w:rPr>
          <w:rFonts w:ascii="Times New Roman" w:hAnsi="Times New Roman"/>
          <w:noProof/>
          <w:sz w:val="24"/>
          <w:szCs w:val="24"/>
        </w:rPr>
        <w:t>, sekä vaikeudet, jotka liittyivät stereotypioihin perustuvan ajattelun torjumiseen</w:t>
      </w:r>
      <w:r>
        <w:rPr>
          <w:rFonts w:ascii="Times New Roman" w:eastAsia="MS Mincho" w:hAnsi="Times New Roman" w:cs="Times New Roman"/>
          <w:noProof/>
          <w:sz w:val="24"/>
          <w:szCs w:val="24"/>
          <w:vertAlign w:val="superscript"/>
        </w:rPr>
        <w:footnoteReference w:id="51"/>
      </w:r>
      <w:r>
        <w:rPr>
          <w:rFonts w:ascii="Times New Roman" w:hAnsi="Times New Roman"/>
          <w:noProof/>
          <w:sz w:val="24"/>
          <w:szCs w:val="24"/>
        </w:rPr>
        <w:t xml:space="preserve"> ja romaninaisten ja </w:t>
      </w:r>
      <w:r>
        <w:rPr>
          <w:rFonts w:ascii="Times New Roman" w:hAnsi="Times New Roman"/>
          <w:noProof/>
          <w:sz w:val="24"/>
          <w:szCs w:val="24"/>
        </w:rPr>
        <w:noBreakHyphen/>
        <w:t>lasten tilanteen parantamiseen</w:t>
      </w:r>
      <w:r>
        <w:rPr>
          <w:rFonts w:ascii="Times New Roman" w:eastAsia="MS Mincho" w:hAnsi="Times New Roman" w:cs="Times New Roman"/>
          <w:noProof/>
          <w:sz w:val="24"/>
          <w:szCs w:val="24"/>
          <w:vertAlign w:val="superscript"/>
        </w:rPr>
        <w:footnoteReference w:id="52"/>
      </w:r>
      <w:r>
        <w:rPr>
          <w:rFonts w:ascii="Times New Roman" w:hAnsi="Times New Roman"/>
          <w:noProof/>
          <w:sz w:val="24"/>
          <w:szCs w:val="24"/>
        </w:rPr>
        <w:t>. Tällä alalla olevista suurista haasteista kertoo jo yksistään se seikka, että useat jäsenvaltiot</w:t>
      </w:r>
      <w:r>
        <w:rPr>
          <w:rFonts w:ascii="Times New Roman" w:eastAsia="MS Mincho" w:hAnsi="Times New Roman" w:cs="Times New Roman"/>
          <w:noProof/>
          <w:sz w:val="24"/>
          <w:szCs w:val="24"/>
          <w:vertAlign w:val="superscript"/>
        </w:rPr>
        <w:footnoteReference w:id="53"/>
      </w:r>
      <w:r>
        <w:rPr>
          <w:rFonts w:ascii="Times New Roman" w:hAnsi="Times New Roman"/>
          <w:noProof/>
          <w:sz w:val="24"/>
          <w:szCs w:val="24"/>
        </w:rPr>
        <w:t xml:space="preserve"> – myös sellaiset, joissa on suuria romaniyhteisöjä ja runsaasti havaintoja romanien syrjinnästä – eivät raportoineet minkäänlaisista syrjinnän vastaisista toimenpiteistä.</w:t>
      </w:r>
    </w:p>
    <w:p>
      <w:pPr>
        <w:keepNext/>
        <w:spacing w:before="180" w:after="120" w:line="240" w:lineRule="auto"/>
        <w:ind w:right="-142"/>
        <w:outlineLvl w:val="2"/>
        <w:rPr>
          <w:rFonts w:ascii="Times New Roman" w:eastAsia="MS Mincho" w:hAnsi="Times New Roman" w:cs="Times New Roman"/>
          <w:i/>
          <w:noProof/>
          <w:sz w:val="24"/>
          <w:szCs w:val="24"/>
        </w:rPr>
      </w:pPr>
      <w:r>
        <w:rPr>
          <w:rFonts w:ascii="Times New Roman" w:hAnsi="Times New Roman"/>
          <w:b/>
          <w:bCs/>
          <w:smallCaps/>
          <w:noProof/>
          <w:sz w:val="24"/>
          <w:szCs w:val="24"/>
        </w:rPr>
        <w:t>3. Politiikkaoppiminen</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noProof/>
          <w:sz w:val="24"/>
          <w:szCs w:val="24"/>
        </w:rPr>
        <w:t xml:space="preserve">Romanien osallisuutta lisäävistä toimista saadut kokemukset osoittavat, että pitkän aikavälin muutos millä tahansa politiikka-alalla vaatii puuttumista romanivastaisuuteen ja romaneihin kohdistuvaan syrjintään ja luottamuksen rakentamista romaniyhteisöjen ja muiden väestönosien välille. Jotta romanien osallisuutta lisäävät toimenpiteet onnistuisivat, ne on kaikilla politiikka-aloilla liitettävä yleisiin arvoihin ja niihin on sisällytettävä valtaväestön tietoisuutta lisääviä toimia. Jotta stereotypioihin perustuvaa ajattelua, vihapuhetta ja viharikoksia voidaan torjua, on tärkeä rakentaa positiivista narratiivia romaneista valtaväestön keskuudessa ja vahvistaa romanien identiteettiä erityisillä kohdennetuilla toimilla, joiden tavoitteena on torjua romanivastaisuutta ja edistää romanien historian tunnustamista (holokausti mukaan lukien). Onnistuneimmat toimet eivät ainoastaan asetu linjaan yleisten rakenteiden ja politiikkojen kanssa vaan pikemminkin muuttavat niitä torjumalla ennakkoluuloja ja stereotypioihin perustuvaa ajattelua ja luomalla positiivisen kuvan romaneista päättäjille ja muille sidosryhmille. </w:t>
      </w:r>
    </w:p>
    <w:tbl>
      <w:tblPr>
        <w:tblStyle w:val="TableGrid"/>
        <w:tblW w:w="9752" w:type="dxa"/>
        <w:tblInd w:w="-5" w:type="dxa"/>
        <w:tblLook w:val="04A0" w:firstRow="1" w:lastRow="0" w:firstColumn="1" w:lastColumn="0" w:noHBand="0" w:noVBand="1"/>
      </w:tblPr>
      <w:tblGrid>
        <w:gridCol w:w="5925"/>
        <w:gridCol w:w="3827"/>
      </w:tblGrid>
      <w:tr>
        <w:tc>
          <w:tcPr>
            <w:tcW w:w="5925"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hAnsi="Times New Roman"/>
                <w:b/>
                <w:noProof/>
                <w:sz w:val="19"/>
                <w:szCs w:val="19"/>
              </w:rPr>
              <w:t>Lupaavia lähestymistapoja:</w:t>
            </w:r>
          </w:p>
        </w:tc>
        <w:tc>
          <w:tcPr>
            <w:tcW w:w="3827" w:type="dxa"/>
            <w:shd w:val="clear" w:color="auto" w:fill="D9D9D9"/>
          </w:tcPr>
          <w:p>
            <w:pPr>
              <w:spacing w:before="120" w:after="120"/>
              <w:ind w:right="-142"/>
              <w:jc w:val="both"/>
              <w:rPr>
                <w:rFonts w:ascii="Times New Roman" w:eastAsia="MS Mincho" w:hAnsi="Times New Roman" w:cs="Times New Roman"/>
                <w:b/>
                <w:noProof/>
                <w:sz w:val="19"/>
                <w:szCs w:val="19"/>
              </w:rPr>
            </w:pPr>
            <w:r>
              <w:rPr>
                <w:rFonts w:ascii="Times New Roman" w:hAnsi="Times New Roman"/>
                <w:b/>
                <w:noProof/>
                <w:sz w:val="19"/>
                <w:szCs w:val="19"/>
              </w:rPr>
              <w:t>Ensisijaiset alat, joilla on toteutettava toimia:</w:t>
            </w:r>
          </w:p>
        </w:tc>
      </w:tr>
      <w:tr>
        <w:tc>
          <w:tcPr>
            <w:tcW w:w="5925" w:type="dxa"/>
          </w:tcPr>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AT:</w:t>
            </w:r>
            <w:r>
              <w:rPr>
                <w:rFonts w:ascii="Times New Roman" w:hAnsi="Times New Roman"/>
                <w:noProof/>
                <w:sz w:val="19"/>
                <w:szCs w:val="19"/>
              </w:rPr>
              <w:t xml:space="preserve"> Romanien integraatiota edistäviä kansallisia strategioita koskevan verkkokuulemisen tuloksena toimenpiteitä romanivastaisuuden torjumiseksi vahvistettiin. Romanivastaisuuden torjuminen sisällytettiin tarkistetun strategian kärkitavoitteisiin, ja Itävallan EU-puheenjohtajuuskaudella toteutettiin tätä tavoitetta koskeva tilaisuus. </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DE:</w:t>
            </w:r>
            <w:r>
              <w:rPr>
                <w:rFonts w:ascii="Times New Roman" w:hAnsi="Times New Roman"/>
                <w:noProof/>
                <w:sz w:val="19"/>
                <w:szCs w:val="19"/>
              </w:rPr>
              <w:t xml:space="preserve"> Maahan on perustettu romanivastaisuutta tutkiva riippumaton asiantuntijatyöryhmä, jonka tehtävänä on esittää hallitukselle konkreettisia suosituksia liittyen Saksan sintien ja romanien historiaan, vainoamiseen ja syrjintään sekä suosituksia toimenpiteistä, joiden avulla voidaan puuttua nykypäivän romanivastaisuuteen.</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Romanien holokaustin tunnustaminen ja rasismin vastaisen työryhmän perustaminen ja romanien osallistuminen siihen (</w:t>
            </w:r>
            <w:r>
              <w:rPr>
                <w:rFonts w:ascii="Times New Roman" w:hAnsi="Times New Roman"/>
                <w:b/>
                <w:noProof/>
                <w:sz w:val="19"/>
                <w:szCs w:val="19"/>
              </w:rPr>
              <w:t>SK</w:t>
            </w:r>
            <w:r>
              <w:rPr>
                <w:rFonts w:ascii="Times New Roman" w:hAnsi="Times New Roman"/>
                <w:noProof/>
                <w:sz w:val="19"/>
                <w:szCs w:val="19"/>
              </w:rPr>
              <w:t>); monumentteja, näyttelyitä ja verkkoalusta holokaustin romaniuhrien muistamiseksi (</w:t>
            </w:r>
            <w:r>
              <w:rPr>
                <w:rFonts w:ascii="Times New Roman" w:hAnsi="Times New Roman"/>
                <w:b/>
                <w:noProof/>
                <w:sz w:val="19"/>
                <w:szCs w:val="19"/>
              </w:rPr>
              <w:t>NL</w:t>
            </w:r>
            <w:r>
              <w:rPr>
                <w:rFonts w:ascii="Times New Roman" w:hAnsi="Times New Roman"/>
                <w:noProof/>
                <w:sz w:val="19"/>
                <w:szCs w:val="19"/>
              </w:rPr>
              <w:t>); vuosittaisen holokaustin romaniuhrien muistopäivän tapahtuman järjestäminen Auschwitz-Birkenaun keskitysleirillä (</w:t>
            </w:r>
            <w:r>
              <w:rPr>
                <w:rFonts w:ascii="Times New Roman" w:hAnsi="Times New Roman"/>
                <w:b/>
                <w:noProof/>
                <w:sz w:val="19"/>
                <w:szCs w:val="19"/>
              </w:rPr>
              <w:t>PL</w:t>
            </w:r>
            <w:r>
              <w:rPr>
                <w:rFonts w:ascii="Times New Roman" w:hAnsi="Times New Roman"/>
                <w:noProof/>
                <w:sz w:val="19"/>
                <w:szCs w:val="19"/>
              </w:rPr>
              <w:t xml:space="preserve">); romanihistorian ja </w:t>
            </w:r>
            <w:r>
              <w:rPr>
                <w:rFonts w:ascii="Times New Roman" w:hAnsi="Times New Roman"/>
                <w:noProof/>
                <w:sz w:val="19"/>
                <w:szCs w:val="19"/>
              </w:rPr>
              <w:noBreakHyphen/>
              <w:t>taiteen museo ja korvaukset pakkotyön uhreille (</w:t>
            </w:r>
            <w:r>
              <w:rPr>
                <w:rFonts w:ascii="Times New Roman" w:hAnsi="Times New Roman"/>
                <w:b/>
                <w:noProof/>
                <w:sz w:val="19"/>
                <w:szCs w:val="19"/>
              </w:rPr>
              <w:t>LV</w:t>
            </w:r>
            <w:r>
              <w:rPr>
                <w:rFonts w:ascii="Times New Roman" w:hAnsi="Times New Roman"/>
                <w:noProof/>
                <w:sz w:val="19"/>
                <w:szCs w:val="19"/>
              </w:rPr>
              <w:t>)</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CZ:</w:t>
            </w:r>
            <w:r>
              <w:rPr>
                <w:rFonts w:ascii="Times New Roman" w:hAnsi="Times New Roman"/>
                <w:noProof/>
                <w:sz w:val="19"/>
                <w:szCs w:val="19"/>
              </w:rPr>
              <w:t xml:space="preserve"> Hallitus osti keskitysleirin paikalla olleen sikatilan Letyn kylässä. Paikalle rakennetaan holokaustin romaniuhrien muistomerkki ETA-tuella.</w:t>
            </w:r>
          </w:p>
          <w:p>
            <w:pPr>
              <w:keepNext/>
              <w:keepLines/>
              <w:pageBreakBefore/>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SE:</w:t>
            </w:r>
            <w:r>
              <w:rPr>
                <w:rFonts w:ascii="Times New Roman" w:hAnsi="Times New Roman"/>
                <w:noProof/>
                <w:sz w:val="19"/>
                <w:szCs w:val="19"/>
              </w:rPr>
              <w:t xml:space="preserve"> Romanivastaisuuden historia ja nykytila on tunnustettu romanivastaisuuden torjumista koskevan komission työn tuloksena, poliisin erikoisyksiköt torjuvat viharikoksia tekemällä yhteistyötä vähemmistöjen kanssa, romanit mukaan lukien.</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ES:</w:t>
            </w:r>
            <w:r>
              <w:rPr>
                <w:rFonts w:ascii="Times New Roman" w:hAnsi="Times New Roman"/>
                <w:noProof/>
                <w:sz w:val="19"/>
                <w:szCs w:val="19"/>
              </w:rPr>
              <w:t xml:space="preserve"> Romanien kulttuuri-instituutin, paikallishallinnon sekä romanien kansalaistoimijoiden järjestämät kampanjat, joiden avulla torjutaan stereotypioita ja edistetään romanikulttuuria, Madridin, Barcelonan, Malagan, Sevillan ja Cordoban asianajajayhdistykset antavat maksutonta oikeusapua syrjinnän ja viharikosten uhreille, syyttäjä, joka on erikoistunut viharikoksiin ja syrjintään Espanjan maakunnissa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IT:</w:t>
            </w:r>
            <w:r>
              <w:rPr>
                <w:rFonts w:ascii="Times New Roman" w:hAnsi="Times New Roman"/>
                <w:noProof/>
                <w:sz w:val="19"/>
                <w:szCs w:val="19"/>
              </w:rPr>
              <w:t xml:space="preserve"> Tasa-arvoelin (yhdessä romanien kansallisten yhteysviranomaisten kanssa) on perustanut viharikoksia koskevia valituksia varten yhteyspisteen, joka tarjoaa tukea ja oikeusapua viharikosten uhreille sekä media- ja internetseurantaa koskevaa koulutusta romani- ja muille nuorille, jotta he voivat tarkkailla ja poistaa vihapuhetta ja raportoida siitä </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FI:</w:t>
            </w:r>
            <w:r>
              <w:rPr>
                <w:rFonts w:ascii="Times New Roman" w:hAnsi="Times New Roman"/>
                <w:noProof/>
                <w:sz w:val="19"/>
                <w:szCs w:val="19"/>
              </w:rPr>
              <w:t xml:space="preserve"> Kansalaisyhteiskunnan toimijoiden ja romanien järjestämiä syrjinnän vastaisia kampanjoita, joiden tavoitteena on torjua viharikoksia ja vihapuhetta, tietoisuuden lisääminen romanien keskuudessa perheen sukupuolirooleista, kuntien pakollinen tasa-arvosuunnittelu, yhdenvertaisuusvaltuutettu valvoo suurimpia työnantajia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IE:</w:t>
            </w:r>
            <w:r>
              <w:rPr>
                <w:rFonts w:ascii="Times New Roman" w:hAnsi="Times New Roman"/>
                <w:noProof/>
                <w:sz w:val="19"/>
                <w:szCs w:val="19"/>
              </w:rPr>
              <w:t xml:space="preserve"> Irlannin poliisissa on käytössä eettiset säännöt, joissa on Travellers-yhteisöön kohdistuvan syrjinnän torjumista koskeva kohta; maahan on nimetty 277 eettisten asioiden yhteyshenkilöä, joiden tehtävänä on rakentaa luottamusta Travellers-yhteisön ja poliisin välille</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b/>
                <w:noProof/>
                <w:sz w:val="19"/>
                <w:szCs w:val="19"/>
              </w:rPr>
              <w:t>CZ, EL, HU, SK, RO:</w:t>
            </w:r>
            <w:r>
              <w:rPr>
                <w:rFonts w:ascii="Times New Roman" w:hAnsi="Times New Roman"/>
                <w:noProof/>
                <w:sz w:val="19"/>
                <w:szCs w:val="19"/>
              </w:rPr>
              <w:t xml:space="preserve"> Sosiaalisesti syrjäytyneiden / romaniyhteisöjen kartoittaminen, jotta saatuja tietoja voidaan käyttää toimenpiteiden kohdentamiseen, mukaan lukien ERI-rahastosta rahoitettavat toimet</w:t>
            </w:r>
          </w:p>
          <w:p>
            <w:pPr>
              <w:numPr>
                <w:ilvl w:val="0"/>
                <w:numId w:val="11"/>
              </w:numPr>
              <w:spacing w:before="60" w:after="60"/>
              <w:ind w:left="154" w:hanging="173"/>
              <w:jc w:val="both"/>
              <w:rPr>
                <w:rFonts w:ascii="Times New Roman" w:eastAsia="MS Mincho" w:hAnsi="Times New Roman" w:cs="Times New Roman"/>
                <w:noProof/>
                <w:sz w:val="19"/>
                <w:szCs w:val="19"/>
              </w:rPr>
            </w:pPr>
            <w:r>
              <w:rPr>
                <w:rFonts w:ascii="Times New Roman" w:hAnsi="Times New Roman"/>
                <w:b/>
                <w:noProof/>
                <w:sz w:val="19"/>
                <w:szCs w:val="19"/>
              </w:rPr>
              <w:t>UK:</w:t>
            </w:r>
            <w:r>
              <w:rPr>
                <w:rFonts w:ascii="Times New Roman" w:hAnsi="Times New Roman"/>
                <w:noProof/>
                <w:sz w:val="19"/>
                <w:szCs w:val="19"/>
              </w:rPr>
              <w:t xml:space="preserve"> Mahdollisuus raportoida viharikoksista verkossa</w:t>
            </w:r>
          </w:p>
        </w:tc>
        <w:tc>
          <w:tcPr>
            <w:tcW w:w="3827" w:type="dxa"/>
          </w:tcPr>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Kehitetään etnisesti eriteltyjen (anonymisoitujen) tietojen keräämismenetelmää, jotta voidaan seurata romanivastaisuutta, syrjintää ja julkisten politiikkojen vaikutusta romaneihin</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Kehitetään yhdessä romanikansalaistoimijoiden kanssa koko yhteiskuntaa koskevia toimia, joiden avulla voidaan torjua romanivastaisuutta, viharikoksia ja vihapuhetta, lisätä tietoisuutta niistä, seurata niitä ja asettaa niistä seuraamuksia (osana laajempia rasisminvastaisia strategioita)</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Varmistetaan tasa-arvolainsäädännön täytäntöönpano ja puututaan poliisin ja muiden viranomaisten harjoittamaan syrjivään kohteluun tutkimalla tapaukset perusteellisesti, määräämällä varoittavia seuraamuksia, valveuttamalla ja antamalla syrjinnän vastaista koulutusta</w:t>
            </w:r>
          </w:p>
          <w:p>
            <w:pPr>
              <w:keepNext/>
              <w:keepLines/>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Tuetaan romanien mahdollisuuksia käyttää oikeussuojakeinoja ja keskitytään erityisesti moninkertaisen syrjinnän uhreihin (naiset, hlbti-henkilöt, ilman kansalaisuutta olevat romanit) ja vahvistetaan tasa-arvoelinten valmiuksia puuttua romaneihin kohdistuvaan syrjintään</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Perustetaan romanien johtamia totuus- ja sovintoprosesseja, jotta voidaan tutkia ja dokumentoida romaneihin kohdistuneita väärinkäytöksiä ja lisätä tietoisuutta niistä sekä edistää luottamusta ja sovintoa</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Lisätään romanien mahdollisuuksia osallistua täysimääräisesti politiikkaan, kulttuuriseen ja sosiaaliseen elämään sekä päätöksentekoprosessin kaikkiin vaiheisiin</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 xml:space="preserve">Noudatetaan kokonaisvaltaista, sukupuolen ja lasten aseman huomioivaa lähestymistapaa; torjutaan lapsiin kohdistuvia väärinkäytöksiä, varhaisavioliittoja, kerjäämistä, jossa on mukana lapsia (lasten oikeuksien suojelemista koskevan lainsäädännön täytäntöönpanon avulla), ja väkivaltaa, ihmiskauppa mukaan lukien </w:t>
            </w:r>
          </w:p>
          <w:p>
            <w:pPr>
              <w:numPr>
                <w:ilvl w:val="0"/>
                <w:numId w:val="11"/>
              </w:numPr>
              <w:spacing w:before="60" w:after="60"/>
              <w:ind w:left="159" w:hanging="176"/>
              <w:jc w:val="both"/>
              <w:rPr>
                <w:rFonts w:ascii="Times New Roman" w:eastAsia="MS Mincho" w:hAnsi="Times New Roman" w:cs="Times New Roman"/>
                <w:noProof/>
                <w:sz w:val="19"/>
                <w:szCs w:val="19"/>
              </w:rPr>
            </w:pPr>
            <w:r>
              <w:rPr>
                <w:rFonts w:ascii="Times New Roman" w:hAnsi="Times New Roman"/>
                <w:noProof/>
                <w:sz w:val="19"/>
                <w:szCs w:val="19"/>
              </w:rPr>
              <w:t>Vähennetään kerjäämisen sosiaalisia kustannuksia ja pidetään yllä ihmisarvoa</w:t>
            </w:r>
          </w:p>
        </w:tc>
      </w:tr>
    </w:tbl>
    <w:p>
      <w:pPr>
        <w:spacing w:before="180" w:after="60" w:line="240" w:lineRule="auto"/>
        <w:ind w:right="-142"/>
        <w:outlineLvl w:val="1"/>
        <w:rPr>
          <w:rFonts w:ascii="Times New Roman" w:eastAsia="MS Mincho" w:hAnsi="Times New Roman" w:cs="Times New Roman"/>
          <w:b/>
          <w:bCs/>
          <w:smallCaps/>
          <w:noProof/>
          <w:sz w:val="24"/>
          <w:szCs w:val="24"/>
        </w:rPr>
      </w:pPr>
      <w:r>
        <w:rPr>
          <w:rFonts w:ascii="Times New Roman" w:hAnsi="Times New Roman" w:cs="Times New Roman"/>
          <w:b/>
          <w:bCs/>
          <w:smallCaps/>
          <w:noProof/>
          <w:sz w:val="24"/>
          <w:szCs w:val="24"/>
        </w:rPr>
        <w:t>III. Romanien osallistaminen laajentumisprosessissa mukana olevissa maissa</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cs="Times New Roman"/>
          <w:noProof/>
          <w:sz w:val="24"/>
          <w:szCs w:val="24"/>
        </w:rPr>
        <w:t>Länsi-Balkanin maissa tavoitteet asetettiin odotuksia ja toimeksiantoa</w:t>
      </w:r>
      <w:r>
        <w:rPr>
          <w:rFonts w:ascii="Times New Roman" w:eastAsia="MS Mincho" w:hAnsi="Times New Roman" w:cs="Times New Roman"/>
          <w:noProof/>
          <w:sz w:val="24"/>
          <w:szCs w:val="24"/>
          <w:vertAlign w:val="superscript"/>
        </w:rPr>
        <w:footnoteReference w:id="54"/>
      </w:r>
      <w:r>
        <w:rPr>
          <w:rFonts w:ascii="Times New Roman" w:hAnsi="Times New Roman" w:cs="Times New Roman"/>
          <w:noProof/>
          <w:sz w:val="24"/>
          <w:szCs w:val="24"/>
        </w:rPr>
        <w:t xml:space="preserve"> korkeammalle ja vahvistettiin samat romanien osallistamista koskevat tavoitteet ja otettiin käyttöön samat työskentelymenetelmät</w:t>
      </w:r>
      <w:r>
        <w:rPr>
          <w:rFonts w:ascii="Times New Roman" w:eastAsia="MS Mincho" w:hAnsi="Times New Roman" w:cs="Times New Roman"/>
          <w:noProof/>
          <w:sz w:val="24"/>
          <w:szCs w:val="24"/>
          <w:vertAlign w:val="superscript"/>
        </w:rPr>
        <w:footnoteReference w:id="55"/>
      </w:r>
      <w:r>
        <w:rPr>
          <w:rFonts w:ascii="Times New Roman" w:hAnsi="Times New Roman" w:cs="Times New Roman"/>
          <w:noProof/>
          <w:sz w:val="24"/>
          <w:szCs w:val="24"/>
        </w:rPr>
        <w:t xml:space="preserve"> kuin jäsenvaltioissa. Romanien osallistamisen lisäämiseksi on tehtävä vahvoja ja kestäviä parannuksia, jotta maat voivat edetä kohti EU-jäsenyyttä. Jotta voidaan ottaa huomioon aiempien liittymiskierrosten vaikutukset, etenkin henkilöiden vapaan liikkumisen alalla, romanien integraatio on ensimmäistä kertaa sisällytetty täysimääräisenä osatekijänä meneillään oleviin liittymisneuvotteluihin luvun 23 ”Oikeuslaitos ja perusoikeudet” osalta. Länsi-Balkanin romanien sosioekonomista tilannetta koskevasta kyselystä (2017) saadut tulokset auttoivat yhteistyökumppaneita tunnistamaan uusia haasteita, kuten tehostetun tuen tarpeen, jotta paluumuuttajat voisivat kotoutua alueelle onnistuneesti, ja luomaan vahvan pohjan romaneja koskevissa tulevissa toimenpiteissä huomioitavien vaatimusten määrittämiselle. Ensimmäistä kertaa tiedonantoon on sisällytetty erillinen liite, joka koskee romanien osallistamista laajentumisprosessissa mukana olevissa maissa ja jossa on esitetty yksityiskohtaisesti sekä horisontaaliset että maakohtaiset tiedot.</w:t>
      </w:r>
    </w:p>
    <w:p>
      <w:pPr>
        <w:spacing w:before="240" w:after="120" w:line="240" w:lineRule="auto"/>
        <w:ind w:right="-142"/>
        <w:outlineLvl w:val="0"/>
        <w:rPr>
          <w:rFonts w:ascii="Times New Roman" w:eastAsia="MS Mincho" w:hAnsi="Times New Roman" w:cs="Times New Roman"/>
          <w:b/>
          <w:bCs/>
          <w:smallCaps/>
          <w:noProof/>
          <w:sz w:val="24"/>
          <w:szCs w:val="24"/>
        </w:rPr>
      </w:pPr>
      <w:r>
        <w:rPr>
          <w:rFonts w:ascii="Times New Roman" w:hAnsi="Times New Roman" w:cs="Times New Roman"/>
          <w:b/>
          <w:bCs/>
          <w:smallCaps/>
          <w:noProof/>
          <w:sz w:val="24"/>
          <w:szCs w:val="24"/>
        </w:rPr>
        <w:t>IV. Päätelmät</w:t>
      </w:r>
    </w:p>
    <w:p>
      <w:pPr>
        <w:spacing w:after="120" w:line="240" w:lineRule="auto"/>
        <w:ind w:right="-142"/>
        <w:jc w:val="both"/>
        <w:rPr>
          <w:rFonts w:ascii="Times New Roman" w:eastAsia="MS Mincho" w:hAnsi="Times New Roman" w:cs="Times New Roman"/>
          <w:noProof/>
          <w:sz w:val="24"/>
          <w:szCs w:val="24"/>
        </w:rPr>
      </w:pPr>
      <w:r>
        <w:rPr>
          <w:rFonts w:ascii="Times New Roman" w:hAnsi="Times New Roman" w:cs="Times New Roman"/>
          <w:noProof/>
          <w:sz w:val="24"/>
          <w:szCs w:val="24"/>
        </w:rPr>
        <w:t>Romanien osallistamista lisäävien toimenpiteiden tarkastelusta nousee esiin tarve määritellä ja kehittää tiiviissä yhteistyössä romanien kanssa toimenpiteitä, joilla vastataan käsillä oleviin lukuisiin haasteisiin ja jotka ovat oikeasuhteisia niihin nähden, tuottavat todennäköisesti mitattavia tuloksia ja sisältävät yhteiskunnassa yleisesti hyväksyttävissä olevia realistisia vaihtoehtoja. Romanien osallisuutta lisäävien toimenpiteiden suunnittelun, toteutuksen ja seurannan onnistumista edistävät mm. seuraavat tekijät:</w:t>
      </w:r>
    </w:p>
    <w:p>
      <w:pPr>
        <w:spacing w:after="120" w:line="240" w:lineRule="auto"/>
        <w:ind w:right="-142"/>
        <w:jc w:val="both"/>
        <w:rPr>
          <w:rFonts w:ascii="Times New Roman" w:eastAsia="MS Mincho" w:hAnsi="Times New Roman" w:cs="Times New Roman"/>
          <w:noProof/>
          <w:sz w:val="24"/>
          <w:szCs w:val="24"/>
        </w:rPr>
      </w:pP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Osoitetaan riittävästi </w:t>
      </w:r>
      <w:r>
        <w:rPr>
          <w:rFonts w:ascii="Times New Roman" w:hAnsi="Times New Roman"/>
          <w:b/>
          <w:noProof/>
        </w:rPr>
        <w:t>aikaa</w:t>
      </w:r>
      <w:r>
        <w:rPr>
          <w:rFonts w:ascii="Times New Roman" w:hAnsi="Times New Roman"/>
          <w:noProof/>
        </w:rPr>
        <w:t xml:space="preserve"> paitsi täytäntöönpanoon myös suunnitteluun, konsultointiin, sidosryhmien sitouttamiseen, yhteisöjen luottamuksen lisäämiseen, seurantaan, arviointiin ja politiikan tarkasteluun</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Kerätään järjestelmällisesti luotettavia, sukupuolen ja iän mukaan jaoteltuja </w:t>
      </w:r>
      <w:r>
        <w:rPr>
          <w:rFonts w:ascii="Times New Roman" w:hAnsi="Times New Roman"/>
          <w:b/>
          <w:noProof/>
        </w:rPr>
        <w:t>tietoja</w:t>
      </w:r>
      <w:r>
        <w:rPr>
          <w:rFonts w:ascii="Times New Roman" w:hAnsi="Times New Roman"/>
          <w:noProof/>
        </w:rPr>
        <w:t>, joiden pohjalta voidaan määritellä tarpeita ja tehdä tilanneanalyysejä, luoda perusskenaario, asettaa tavoitteita ja määrittää perusjoukko seuraus- ja vaikutusindikaattoreita varten</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b/>
          <w:noProof/>
        </w:rPr>
        <w:t>Sisällytetään</w:t>
      </w:r>
      <w:r>
        <w:rPr>
          <w:rFonts w:ascii="Times New Roman" w:hAnsi="Times New Roman"/>
          <w:noProof/>
        </w:rPr>
        <w:t xml:space="preserve"> kohdennetut</w:t>
      </w:r>
      <w:r>
        <w:rPr>
          <w:rFonts w:ascii="Times New Roman" w:hAnsi="Times New Roman"/>
          <w:b/>
          <w:noProof/>
        </w:rPr>
        <w:t xml:space="preserve"> toimenpiteet yleisiin politiikkoihin ja oikeudellisiin kehyksiin</w:t>
      </w:r>
      <w:r>
        <w:rPr>
          <w:rFonts w:ascii="Times New Roman" w:hAnsi="Times New Roman"/>
          <w:noProof/>
        </w:rPr>
        <w:t>, jotta voidaan varmistua siitä, että toimenpiteet ovat väliaikaisia, ja lisätä romanien yhdenvertaisia mahdollisuuksia käyttää yleisiä palveluita sen sijaan, että luodaan pysyviä rinnakkaisrakenteita</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Luodaan vahva </w:t>
      </w:r>
      <w:r>
        <w:rPr>
          <w:rFonts w:ascii="Times New Roman" w:hAnsi="Times New Roman"/>
          <w:b/>
          <w:noProof/>
        </w:rPr>
        <w:t>sidosryhmäkumppanuus</w:t>
      </w:r>
      <w:r>
        <w:rPr>
          <w:rFonts w:ascii="Times New Roman" w:hAnsi="Times New Roman"/>
          <w:noProof/>
        </w:rPr>
        <w:t xml:space="preserve"> sitoutumisen, jaetun vastuun ja kestävyyden varmistamiseksi</w:t>
      </w:r>
      <w:r>
        <w:rPr>
          <w:rFonts w:ascii="Times New Roman" w:eastAsia="MS Mincho" w:hAnsi="Times New Roman" w:cs="Times New Roman"/>
          <w:noProof/>
          <w:vertAlign w:val="superscript"/>
        </w:rPr>
        <w:footnoteReference w:id="56"/>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Huolehditaan </w:t>
      </w:r>
      <w:r>
        <w:rPr>
          <w:rFonts w:ascii="Times New Roman" w:hAnsi="Times New Roman"/>
          <w:b/>
          <w:noProof/>
        </w:rPr>
        <w:t>romanien</w:t>
      </w:r>
      <w:r>
        <w:rPr>
          <w:rFonts w:ascii="Times New Roman" w:hAnsi="Times New Roman"/>
          <w:noProof/>
        </w:rPr>
        <w:t xml:space="preserve"> ja kaikkien sidosryhmien </w:t>
      </w:r>
      <w:r>
        <w:rPr>
          <w:rFonts w:ascii="Times New Roman" w:hAnsi="Times New Roman"/>
          <w:b/>
          <w:noProof/>
        </w:rPr>
        <w:t>aktiivisesta osallistumisesta</w:t>
      </w:r>
      <w:r>
        <w:rPr>
          <w:rFonts w:ascii="Times New Roman" w:hAnsi="Times New Roman"/>
          <w:noProof/>
        </w:rPr>
        <w:t xml:space="preserve"> kaikkiin vaiheisiin (suunnitteluun, täytäntöönpanoon, seurantaan, arviointiin ja politiikan tarkasteluun)</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Toteutetaan eri </w:t>
      </w:r>
      <w:r>
        <w:rPr>
          <w:rFonts w:ascii="Times New Roman" w:hAnsi="Times New Roman"/>
          <w:b/>
          <w:noProof/>
        </w:rPr>
        <w:t>osa-alueita yhdistäviä, monialaisia ja integroituja</w:t>
      </w:r>
      <w:r>
        <w:rPr>
          <w:rFonts w:ascii="Times New Roman" w:hAnsi="Times New Roman"/>
          <w:noProof/>
        </w:rPr>
        <w:t xml:space="preserve"> lähestymistapoja, jotta voidaan puuttua moninkertaiseen syrjintään ja monimuotoiseen syrjäytymiseen</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Toteutetaan lähestymistapaa, jossa </w:t>
      </w:r>
      <w:r>
        <w:rPr>
          <w:rFonts w:ascii="Times New Roman" w:hAnsi="Times New Roman"/>
          <w:b/>
          <w:noProof/>
        </w:rPr>
        <w:t>otetaan huomioon sukupuoli ja lapset</w:t>
      </w:r>
      <w:r>
        <w:rPr>
          <w:rFonts w:ascii="Times New Roman" w:hAnsi="Times New Roman"/>
          <w:noProof/>
        </w:rPr>
        <w:t xml:space="preserve">: suunnittelussa otetaan huomioon romaninaisten ja </w:t>
      </w:r>
      <w:r>
        <w:rPr>
          <w:rFonts w:ascii="Times New Roman" w:hAnsi="Times New Roman"/>
          <w:noProof/>
        </w:rPr>
        <w:noBreakHyphen/>
        <w:t>lasten tarpeita koskevien analyysien tulokset, toteutetaan kokonaisvaltaista lähestymistapaa ja varmistetaan jatkuva tuki etenkin kriittisissä siirtymävaiheissa</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Otetaan huomioon romaniyhteisöjen </w:t>
      </w:r>
      <w:r>
        <w:rPr>
          <w:rFonts w:ascii="Times New Roman" w:hAnsi="Times New Roman"/>
          <w:b/>
          <w:noProof/>
        </w:rPr>
        <w:t>monimuotoisuus</w:t>
      </w:r>
      <w:r>
        <w:rPr>
          <w:rFonts w:ascii="Times New Roman" w:hAnsi="Times New Roman"/>
          <w:noProof/>
        </w:rPr>
        <w:t>: vastataan aitoihin tarpeisiin, varmistetaan toimien merkityksellisyys suhteessa paikallisiin oloihin ja puututaan syrjäytymisen ja syrjinnän kaavoihin eri romaniyhteisöjen osalta</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b/>
          <w:noProof/>
        </w:rPr>
        <w:t>Puututaan äärimmäiseen köyhyyteen</w:t>
      </w:r>
      <w:r>
        <w:rPr>
          <w:rFonts w:ascii="Times New Roman" w:hAnsi="Times New Roman"/>
          <w:noProof/>
        </w:rPr>
        <w:t xml:space="preserve"> kohdentamalla toimenpiteet kokonaisvaltaisesti sekä alueeseen että ryhmään, jotta saadaan aikaan pitkän aikavälin muutoksia</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Sovelletaan </w:t>
      </w:r>
      <w:r>
        <w:rPr>
          <w:rFonts w:ascii="Times New Roman" w:hAnsi="Times New Roman"/>
          <w:b/>
          <w:noProof/>
        </w:rPr>
        <w:t>nimenomaista, mutta ei poissulkevaa</w:t>
      </w:r>
      <w:r>
        <w:rPr>
          <w:rFonts w:ascii="Times New Roman" w:hAnsi="Times New Roman"/>
          <w:noProof/>
        </w:rPr>
        <w:t xml:space="preserve"> kohdentamista sen varmistamiseksi, että laajempi konteksti otetaan huomioon ja että muut heikossa asemassa olevat ryhmät eivät koe jäävänsä toimien ulkopuolelle</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Asetetaan etusijalle </w:t>
      </w:r>
      <w:r>
        <w:rPr>
          <w:rFonts w:ascii="Times New Roman" w:hAnsi="Times New Roman"/>
          <w:b/>
          <w:noProof/>
        </w:rPr>
        <w:t>ennaltaehkäiseminen</w:t>
      </w:r>
      <w:r>
        <w:rPr>
          <w:rFonts w:ascii="Times New Roman" w:hAnsi="Times New Roman"/>
          <w:noProof/>
        </w:rPr>
        <w:t xml:space="preserve"> ja </w:t>
      </w:r>
      <w:r>
        <w:rPr>
          <w:rFonts w:ascii="Times New Roman" w:hAnsi="Times New Roman"/>
          <w:b/>
          <w:noProof/>
        </w:rPr>
        <w:t>varhainen puuttuminen</w:t>
      </w:r>
      <w:r>
        <w:rPr>
          <w:rFonts w:ascii="Times New Roman" w:hAnsi="Times New Roman"/>
          <w:noProof/>
        </w:rPr>
        <w:t>, jotta voidaan varmistaa kustannustehokkuus ja saada aikaan pitkän aikavälin kestävä muutos</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Asetetaan (koulutuksen ja asumisen) pitkän aikavälin kärkitavoitteeksi </w:t>
      </w:r>
      <w:r>
        <w:rPr>
          <w:rFonts w:ascii="Times New Roman" w:hAnsi="Times New Roman"/>
          <w:b/>
          <w:noProof/>
        </w:rPr>
        <w:t>eriytymisen ehkäiseminen</w:t>
      </w:r>
      <w:r>
        <w:rPr>
          <w:rFonts w:ascii="Times New Roman" w:hAnsi="Times New Roman"/>
          <w:noProof/>
        </w:rPr>
        <w:t xml:space="preserve"> sen sijaan, että parannetaan erottelevien järjestelyjen laatua</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b/>
          <w:noProof/>
        </w:rPr>
        <w:t>Tunnustetaan romanivastaisuus</w:t>
      </w:r>
      <w:r>
        <w:rPr>
          <w:rFonts w:ascii="Times New Roman" w:hAnsi="Times New Roman"/>
          <w:noProof/>
        </w:rPr>
        <w:t xml:space="preserve"> ja sovelletaan vahvaa syrjinnän vastaista lähestymistapaa romanien osallisuutta lisäävissä toimenpiteissä kaikilla aloilla</w:t>
      </w:r>
      <w:r>
        <w:rPr>
          <w:rStyle w:val="FootnoteReference"/>
          <w:rFonts w:ascii="Times New Roman" w:eastAsia="MS Mincho" w:hAnsi="Times New Roman" w:cs="Times New Roman"/>
          <w:noProof/>
        </w:rPr>
        <w:footnoteReference w:id="57"/>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Hyödynnetään </w:t>
      </w:r>
      <w:r>
        <w:rPr>
          <w:rFonts w:ascii="Times New Roman" w:hAnsi="Times New Roman"/>
          <w:b/>
          <w:noProof/>
        </w:rPr>
        <w:t>asiantuntemusta</w:t>
      </w:r>
      <w:r>
        <w:rPr>
          <w:rFonts w:ascii="Times New Roman" w:hAnsi="Times New Roman"/>
          <w:noProof/>
        </w:rPr>
        <w:t>, jotta voidaan varmistaa laadukkaat, syrjimättömät palvelut</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b/>
          <w:noProof/>
        </w:rPr>
        <w:t>Lisätään</w:t>
      </w:r>
      <w:r>
        <w:rPr>
          <w:rFonts w:ascii="Times New Roman" w:hAnsi="Times New Roman"/>
          <w:noProof/>
        </w:rPr>
        <w:t xml:space="preserve"> kansalaisyhteiskunnan, julkishallinnon ja romanien </w:t>
      </w:r>
      <w:r>
        <w:rPr>
          <w:rFonts w:ascii="Times New Roman" w:hAnsi="Times New Roman"/>
          <w:b/>
          <w:noProof/>
        </w:rPr>
        <w:t>valmiuksia</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Annetaan näkyvää, pitkän aikavälin </w:t>
      </w:r>
      <w:r>
        <w:rPr>
          <w:rFonts w:ascii="Times New Roman" w:hAnsi="Times New Roman"/>
          <w:b/>
          <w:noProof/>
        </w:rPr>
        <w:t>poliittista tukea</w:t>
      </w:r>
      <w:r>
        <w:rPr>
          <w:rFonts w:ascii="Times New Roman" w:hAnsi="Times New Roman"/>
          <w:noProof/>
        </w:rPr>
        <w:t xml:space="preserve"> ja riittävää </w:t>
      </w:r>
      <w:r>
        <w:rPr>
          <w:rFonts w:ascii="Times New Roman" w:hAnsi="Times New Roman"/>
          <w:b/>
          <w:noProof/>
        </w:rPr>
        <w:t>taloudellista tukea</w:t>
      </w:r>
      <w:r>
        <w:rPr>
          <w:rFonts w:ascii="Times New Roman" w:hAnsi="Times New Roman"/>
          <w:noProof/>
        </w:rPr>
        <w:t xml:space="preserve"> (mukaan lukien kansallisista budjeteista osoitetut varat), jotta lupaavien käytäntöjen vakiinnuttaminen ja kestävyys voidaan varmistaa</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Sovelletaan onnistumisen varmistamiseksi </w:t>
      </w:r>
      <w:r>
        <w:rPr>
          <w:rFonts w:ascii="Times New Roman" w:hAnsi="Times New Roman"/>
          <w:b/>
          <w:noProof/>
        </w:rPr>
        <w:t>joustavuutta</w:t>
      </w:r>
      <w:r>
        <w:rPr>
          <w:rFonts w:ascii="Times New Roman" w:hAnsi="Times New Roman"/>
          <w:noProof/>
        </w:rPr>
        <w:t>, jotta politiikkaoppiminen ja toimenpiteiden mukautus olisivat mahdollisia</w:t>
      </w:r>
    </w:p>
    <w:p>
      <w:pPr>
        <w:pStyle w:val="ListParagraph"/>
        <w:numPr>
          <w:ilvl w:val="0"/>
          <w:numId w:val="15"/>
        </w:numPr>
        <w:spacing w:after="120"/>
        <w:ind w:right="-142"/>
        <w:jc w:val="both"/>
        <w:rPr>
          <w:rFonts w:ascii="Times New Roman" w:eastAsia="MS Mincho" w:hAnsi="Times New Roman" w:cs="Times New Roman"/>
          <w:noProof/>
        </w:rPr>
      </w:pPr>
      <w:r>
        <w:rPr>
          <w:rFonts w:ascii="Times New Roman" w:hAnsi="Times New Roman"/>
          <w:noProof/>
        </w:rPr>
        <w:t xml:space="preserve">Toteutetaan riippumatonta määrällistä ja laadullista </w:t>
      </w:r>
      <w:r>
        <w:rPr>
          <w:rFonts w:ascii="Times New Roman" w:hAnsi="Times New Roman"/>
          <w:b/>
          <w:noProof/>
        </w:rPr>
        <w:t>seurantaa ja arviointia</w:t>
      </w:r>
      <w:r>
        <w:rPr>
          <w:rFonts w:ascii="Times New Roman" w:hAnsi="Times New Roman"/>
          <w:noProof/>
        </w:rPr>
        <w:t xml:space="preserve"> edistymisen mittaamista ja politiikan tarkastelua varten.</w:t>
      </w:r>
    </w:p>
    <w:p>
      <w:pPr>
        <w:ind w:right="-142"/>
        <w:rPr>
          <w:noProof/>
        </w:rPr>
      </w:pPr>
    </w:p>
    <w:sectPr>
      <w:headerReference w:type="even" r:id="rId27"/>
      <w:headerReference w:type="default" r:id="rId28"/>
      <w:footerReference w:type="even" r:id="rId29"/>
      <w:footerReference w:type="default" r:id="rId30"/>
      <w:headerReference w:type="first" r:id="rId31"/>
      <w:footerReference w:type="first" r:id="rId32"/>
      <w:pgSz w:w="11900" w:h="16840"/>
      <w:pgMar w:top="1134" w:right="1127" w:bottom="709" w:left="1276"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314945061"/>
      <w:docPartObj>
        <w:docPartGallery w:val="Page Numbers (Bottom of Page)"/>
        <w:docPartUnique/>
      </w:docPartObj>
    </w:sdtPr>
    <w:sdtEndPr>
      <w:rPr>
        <w:noProof/>
      </w:rPr>
    </w:sdtEndPr>
    <w:sdtContent>
      <w:p>
        <w:pPr>
          <w:pStyle w:val="Footer"/>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2</w:t>
        </w:r>
        <w:r>
          <w:rPr>
            <w:rFonts w:ascii="Times New Roman" w:hAnsi="Times New Roman" w:cs="Times New Roman"/>
            <w:sz w:val="20"/>
            <w:szCs w:val="20"/>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1"/>
        <w:ind w:right="-99"/>
        <w:contextualSpacing/>
        <w:rPr>
          <w:sz w:val="18"/>
          <w:szCs w:val="18"/>
        </w:rPr>
      </w:pPr>
      <w:r>
        <w:rPr>
          <w:rStyle w:val="FootnoteReference"/>
          <w:sz w:val="18"/>
          <w:szCs w:val="18"/>
        </w:rPr>
        <w:footnoteRef/>
      </w:r>
      <w:r>
        <w:rPr>
          <w:sz w:val="18"/>
          <w:szCs w:val="18"/>
        </w:rPr>
        <w:t xml:space="preserve"> </w:t>
      </w:r>
      <w:r>
        <w:rPr>
          <w:rFonts w:ascii="Times New Roman" w:hAnsi="Times New Roman"/>
          <w:sz w:val="18"/>
          <w:szCs w:val="18"/>
        </w:rPr>
        <w:t>KOM(2011) 173. Puitekehystä tukevien neuvoston päätelmien (EPSCO 106665/11) mukaisesti jäsenvaltioita kehotettiin valmistelemaan ”kansalliset romanien osallisuutta edistävät strategiansa tai laajempiin sosiaalisen osallisuuden politiikkoihinsa kuuluvat yhdennetyt toimenpidekokonaisuudet”. ’Romanien kansallisella integrointistrategialla’ ja ’strategialla’ tarkoitetaan myös yhdennettyjä toimenpidekokonaisuuksia.</w:t>
      </w:r>
    </w:p>
  </w:footnote>
  <w:footnote w:id="2">
    <w:p>
      <w:pPr>
        <w:pStyle w:val="FootnoteText1"/>
        <w:ind w:right="-99"/>
        <w:contextualSpacing/>
        <w:rPr>
          <w:sz w:val="18"/>
          <w:szCs w:val="18"/>
        </w:rPr>
      </w:pPr>
      <w:r>
        <w:rPr>
          <w:rStyle w:val="FootnoteReference"/>
          <w:sz w:val="18"/>
          <w:szCs w:val="18"/>
        </w:rPr>
        <w:footnoteRef/>
      </w:r>
      <w:r>
        <w:rPr>
          <w:sz w:val="18"/>
          <w:szCs w:val="18"/>
        </w:rPr>
        <w:t xml:space="preserve"> </w:t>
      </w:r>
      <w:r>
        <w:rPr>
          <w:rFonts w:ascii="Times New Roman" w:hAnsi="Times New Roman"/>
          <w:sz w:val="18"/>
          <w:szCs w:val="18"/>
        </w:rPr>
        <w:t>COM(2018) 785. Termillä ’romani’ tarkoitetaan useita eri ryhmiä (mm. romat, sintit, kaaleet, gypsy-romanit, romanichel-ryhmä, boyash-romanit, ashkalit, ’egyptiläiset’, jenishit, dom-, lom-, rom- ja abdal-ryhmät). Mukaan luetaan myös ns. Travellers. Tällä ei kielletä näiden ryhmien erityispiirteitä.</w:t>
      </w:r>
    </w:p>
  </w:footnote>
  <w:footnote w:id="3">
    <w:p>
      <w:pPr>
        <w:pStyle w:val="FootnoteText1"/>
        <w:ind w:right="-99"/>
        <w:contextualSpacing/>
        <w:rPr>
          <w:rFonts w:ascii="Times New Roman" w:hAnsi="Times New Roman" w:cs="Times New Roman"/>
          <w:sz w:val="18"/>
          <w:szCs w:val="18"/>
        </w:rPr>
      </w:pPr>
      <w:r>
        <w:rPr>
          <w:rStyle w:val="FootnoteReference"/>
          <w:sz w:val="18"/>
          <w:szCs w:val="18"/>
        </w:rPr>
        <w:footnoteRef/>
      </w:r>
      <w:r>
        <w:rPr>
          <w:sz w:val="18"/>
          <w:szCs w:val="18"/>
        </w:rPr>
        <w:t xml:space="preserve"> </w:t>
      </w:r>
      <w:r>
        <w:rPr>
          <w:rFonts w:ascii="Times New Roman" w:hAnsi="Times New Roman"/>
          <w:sz w:val="18"/>
          <w:szCs w:val="18"/>
        </w:rPr>
        <w:t>Katso maiden lyhenteiden selitykset sivulta</w:t>
      </w:r>
      <w:r>
        <w:rPr>
          <w:sz w:val="18"/>
          <w:szCs w:val="18"/>
        </w:rPr>
        <w:t xml:space="preserve"> </w:t>
      </w:r>
      <w:hyperlink w:anchor="Codes.2C_names_and_protocol_order_of_European_Union_.28EU.29_Member_States" w:history="1">
        <w:r>
          <w:rPr>
            <w:rStyle w:val="Hyperlink1"/>
            <w:sz w:val="18"/>
            <w:szCs w:val="18"/>
          </w:rPr>
          <w:t>www.ec.europa.eu/eurostat</w:t>
        </w:r>
      </w:hyperlink>
      <w:r>
        <w:rPr>
          <w:sz w:val="18"/>
          <w:szCs w:val="18"/>
        </w:rPr>
        <w:t xml:space="preserve">. </w:t>
      </w:r>
      <w:r>
        <w:rPr>
          <w:rFonts w:ascii="Times New Roman" w:hAnsi="Times New Roman"/>
          <w:sz w:val="18"/>
          <w:szCs w:val="18"/>
        </w:rPr>
        <w:t>Kaikki jäsenvaltiot lukuun ottamatta Tanskaa, Suomea ja Irlantia (sekä Maltaa, jossa ei ole romaniyhteisöä) toimittivat raportin vuonna 2018. Koska Saksa toimitti raporttinsa myöhässä, se on voitu ottaa huomioon ainoastaan liitteessä 1 (maakohtaiset yhteenvedot). Sen sijaan se ei ole mukana temaattisessa analyysissä, jota selostetaan tässä tiedonannossa ja komission yksiköiden valmisteluasiakirjassa.</w:t>
      </w:r>
    </w:p>
  </w:footnote>
  <w:footnote w:id="4">
    <w:p>
      <w:pPr>
        <w:pStyle w:val="FootnoteText1"/>
        <w:ind w:right="-99"/>
        <w:contextualSpacing/>
        <w:rPr>
          <w:rFonts w:ascii="Times New Roman" w:hAnsi="Times New Roman" w:cs="Times New Roman"/>
          <w:sz w:val="18"/>
          <w:szCs w:val="18"/>
        </w:rPr>
      </w:pPr>
      <w:r>
        <w:rPr>
          <w:rStyle w:val="FootnoteReference"/>
          <w:sz w:val="18"/>
          <w:szCs w:val="18"/>
        </w:rPr>
        <w:footnoteRef/>
      </w:r>
      <w:r>
        <w:rPr>
          <w:sz w:val="18"/>
          <w:szCs w:val="18"/>
        </w:rPr>
        <w:t xml:space="preserve"> </w:t>
      </w:r>
      <w:r>
        <w:rPr>
          <w:rFonts w:ascii="Times New Roman" w:hAnsi="Times New Roman"/>
          <w:sz w:val="18"/>
          <w:szCs w:val="18"/>
        </w:rPr>
        <w:t>Liite 1</w:t>
      </w:r>
    </w:p>
  </w:footnote>
  <w:footnote w:id="5">
    <w:p>
      <w:pPr>
        <w:pStyle w:val="FootnoteText1"/>
        <w:ind w:right="-99"/>
        <w:contextualSpacing/>
        <w:rPr>
          <w:sz w:val="18"/>
          <w:szCs w:val="18"/>
        </w:rPr>
      </w:pPr>
      <w:r>
        <w:rPr>
          <w:rStyle w:val="FootnoteReference"/>
          <w:sz w:val="18"/>
          <w:szCs w:val="18"/>
        </w:rPr>
        <w:footnoteRef/>
      </w:r>
      <w:r>
        <w:rPr>
          <w:sz w:val="18"/>
          <w:szCs w:val="18"/>
        </w:rPr>
        <w:t xml:space="preserve"> </w:t>
      </w:r>
      <w:r>
        <w:rPr>
          <w:rFonts w:ascii="Times New Roman" w:hAnsi="Times New Roman"/>
          <w:sz w:val="18"/>
          <w:szCs w:val="18"/>
        </w:rPr>
        <w:t>Komission yksiköiden valmisteluasiakirja.</w:t>
      </w:r>
    </w:p>
  </w:footnote>
  <w:footnote w:id="6">
    <w:p>
      <w:pPr>
        <w:pStyle w:val="FootnoteText1"/>
        <w:ind w:right="-99"/>
        <w:contextualSpacing/>
        <w:rPr>
          <w:sz w:val="18"/>
          <w:szCs w:val="18"/>
        </w:rPr>
      </w:pPr>
      <w:r>
        <w:rPr>
          <w:rStyle w:val="FootnoteReference"/>
          <w:sz w:val="18"/>
          <w:szCs w:val="18"/>
        </w:rPr>
        <w:footnoteRef/>
      </w:r>
      <w:r>
        <w:rPr>
          <w:rFonts w:ascii="Times New Roman" w:hAnsi="Times New Roman"/>
          <w:sz w:val="18"/>
          <w:szCs w:val="18"/>
        </w:rPr>
        <w:t>Euroopan komission yhteinen tutkimuskeskus: Meta-arviointi toimista romanien osallisuuden edistämiseksi (valmistuu vuonna 2019).</w:t>
      </w:r>
    </w:p>
  </w:footnote>
  <w:footnote w:id="7">
    <w:p>
      <w:pPr>
        <w:pStyle w:val="FootnoteText1"/>
        <w:ind w:right="-99"/>
        <w:contextualSpacing/>
        <w:rPr>
          <w:sz w:val="18"/>
          <w:szCs w:val="18"/>
        </w:rPr>
      </w:pPr>
      <w:r>
        <w:rPr>
          <w:rStyle w:val="FootnoteReference"/>
          <w:sz w:val="18"/>
          <w:szCs w:val="18"/>
        </w:rPr>
        <w:footnoteRef/>
      </w:r>
      <w:r>
        <w:rPr>
          <w:sz w:val="18"/>
          <w:szCs w:val="18"/>
        </w:rPr>
        <w:t xml:space="preserve"> </w:t>
      </w:r>
      <w:r>
        <w:rPr>
          <w:rFonts w:ascii="Times New Roman" w:hAnsi="Times New Roman"/>
          <w:sz w:val="18"/>
          <w:szCs w:val="18"/>
        </w:rPr>
        <w:t>Ks. edellinen alaviite.</w:t>
      </w:r>
    </w:p>
  </w:footnote>
  <w:footnote w:id="8">
    <w:p>
      <w:pPr>
        <w:pStyle w:val="FootnoteText1"/>
        <w:contextualSpacing/>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2013/C 378/01</w:t>
      </w:r>
    </w:p>
  </w:footnote>
  <w:footnote w:id="9">
    <w:p>
      <w:pPr>
        <w:pStyle w:val="FootnoteText1"/>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AT, FR, EL, ES, IT, LV, RO.</w:t>
      </w:r>
    </w:p>
  </w:footnote>
  <w:footnote w:id="10">
    <w:p>
      <w:pPr>
        <w:pStyle w:val="FootnoteText1"/>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Esimerkiksi CZ, SK.</w:t>
      </w:r>
    </w:p>
  </w:footnote>
  <w:footnote w:id="11">
    <w:p>
      <w:pPr>
        <w:pStyle w:val="FootnoteText1"/>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Esimerkiksi HU, ES, LV.</w:t>
      </w:r>
    </w:p>
  </w:footnote>
  <w:footnote w:id="12">
    <w:p>
      <w:pPr>
        <w:pStyle w:val="FootnoteText1"/>
      </w:pPr>
      <w:r>
        <w:rPr>
          <w:rStyle w:val="FootnoteReference"/>
          <w:rFonts w:ascii="Times New Roman" w:hAnsi="Times New Roman" w:cs="Times New Roman"/>
          <w:sz w:val="18"/>
          <w:szCs w:val="18"/>
        </w:rPr>
        <w:footnoteRef/>
      </w:r>
      <w:r>
        <w:rPr>
          <w:rFonts w:ascii="Times New Roman" w:hAnsi="Times New Roman"/>
          <w:sz w:val="18"/>
          <w:szCs w:val="18"/>
        </w:rPr>
        <w:t xml:space="preserve"> Esimerkiksi AT, ES, IT, PT.</w:t>
      </w:r>
    </w:p>
  </w:footnote>
  <w:footnote w:id="13">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AT, CY, EE, EL, ES, FR, HR, LT, NL.</w:t>
      </w:r>
    </w:p>
  </w:footnote>
  <w:footnote w:id="14">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EL, ES, HR, RO.</w:t>
      </w:r>
    </w:p>
  </w:footnote>
  <w:footnote w:id="15">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EL, LV, SE, SK. </w:t>
      </w:r>
    </w:p>
  </w:footnote>
  <w:footnote w:id="16">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ES, LT, LV, PL. </w:t>
      </w:r>
    </w:p>
  </w:footnote>
  <w:footnote w:id="17">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BG, EL, ES.</w:t>
      </w:r>
    </w:p>
  </w:footnote>
  <w:footnote w:id="18">
    <w:p>
      <w:pPr>
        <w:pStyle w:val="FootnoteText1"/>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AT, BG, EL.</w:t>
      </w:r>
    </w:p>
  </w:footnote>
  <w:footnote w:id="19">
    <w:p>
      <w:pPr>
        <w:pStyle w:val="FootnoteText1"/>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HR, IT, PT.</w:t>
      </w:r>
    </w:p>
  </w:footnote>
  <w:footnote w:id="20">
    <w:p>
      <w:pPr>
        <w:ind w:right="-99"/>
        <w:contextualSpacing/>
        <w:jc w:val="both"/>
        <w:rPr>
          <w:rFonts w:ascii="Times New Roman" w:hAnsi="Times New Roman" w:cs="Times New Roman"/>
          <w:color w:val="0000FF"/>
          <w:sz w:val="18"/>
          <w:szCs w:val="18"/>
          <w:u w:val="single"/>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w:t>
      </w:r>
      <w:hyperlink r:id="rId1" w:history="1">
        <w:r>
          <w:rPr>
            <w:rStyle w:val="Hyperlink1"/>
            <w:rFonts w:ascii="Times New Roman" w:hAnsi="Times New Roman"/>
            <w:sz w:val="18"/>
            <w:szCs w:val="18"/>
            <w:lang w:val="en-US"/>
          </w:rPr>
          <w:t>http://www.romaeducationfund.org/sites/default/files/publications/desegregation_toolkit__2015_web.pdf</w:t>
        </w:r>
      </w:hyperlink>
    </w:p>
  </w:footnote>
  <w:footnote w:id="21">
    <w:p>
      <w:pPr>
        <w:pStyle w:val="FootnoteText1"/>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sz w:val="18"/>
          <w:szCs w:val="18"/>
          <w:lang w:val="de-DE"/>
        </w:rPr>
        <w:t xml:space="preserve"> BG, ES, HR. </w:t>
      </w:r>
    </w:p>
  </w:footnote>
  <w:footnote w:id="22">
    <w:p>
      <w:pPr>
        <w:pStyle w:val="FootnoteText1"/>
        <w:rPr>
          <w:rFonts w:ascii="Times New Roman" w:hAnsi="Times New Roman" w:cs="Times New Roman"/>
          <w:sz w:val="18"/>
          <w:szCs w:val="18"/>
          <w:lang w:val="de-DE"/>
        </w:rPr>
      </w:pPr>
      <w:r>
        <w:rPr>
          <w:rStyle w:val="FootnoteReference"/>
          <w:rFonts w:ascii="Times New Roman" w:hAnsi="Times New Roman" w:cs="Times New Roman"/>
          <w:sz w:val="18"/>
          <w:szCs w:val="18"/>
        </w:rPr>
        <w:footnoteRef/>
      </w:r>
      <w:r>
        <w:rPr>
          <w:rFonts w:ascii="Times New Roman" w:hAnsi="Times New Roman"/>
          <w:sz w:val="18"/>
          <w:szCs w:val="18"/>
          <w:lang w:val="de-DE"/>
        </w:rPr>
        <w:t xml:space="preserve"> AT, BG, CZ, ES, FR, HR, HU, LV, NL, SK.</w:t>
      </w:r>
    </w:p>
  </w:footnote>
  <w:footnote w:id="23">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AT, EL, PL, PT, SK.</w:t>
      </w:r>
    </w:p>
  </w:footnote>
  <w:footnote w:id="24">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EE, ES, LT, LV, NL, PT, RO.</w:t>
      </w:r>
    </w:p>
  </w:footnote>
  <w:footnote w:id="25">
    <w:p>
      <w:pPr>
        <w:pStyle w:val="FootnoteText1"/>
        <w:rPr>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BG, EE, FR, NL, PT.</w:t>
      </w:r>
    </w:p>
  </w:footnote>
  <w:footnote w:id="26">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EL, FR, HU, HR. </w:t>
      </w:r>
    </w:p>
  </w:footnote>
  <w:footnote w:id="27">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HU, PL, SI.</w:t>
      </w:r>
    </w:p>
  </w:footnote>
  <w:footnote w:id="28">
    <w:p>
      <w:pPr>
        <w:pStyle w:val="FootnoteText1"/>
        <w:rPr>
          <w:rFonts w:ascii="Times New Roman" w:hAnsi="Times New Roman" w:cs="Times New Roman"/>
          <w:sz w:val="18"/>
          <w:szCs w:val="18"/>
          <w:lang w:val="nb-NO"/>
        </w:rPr>
      </w:pPr>
      <w:r>
        <w:rPr>
          <w:rStyle w:val="FootnoteReference"/>
          <w:rFonts w:ascii="Times New Roman" w:hAnsi="Times New Roman" w:cs="Times New Roman"/>
          <w:sz w:val="18"/>
          <w:szCs w:val="18"/>
        </w:rPr>
        <w:footnoteRef/>
      </w:r>
      <w:r>
        <w:rPr>
          <w:rFonts w:ascii="Times New Roman" w:hAnsi="Times New Roman"/>
          <w:sz w:val="18"/>
          <w:szCs w:val="18"/>
          <w:lang w:val="nb-NO"/>
        </w:rPr>
        <w:t xml:space="preserve"> AT, HU, RO.</w:t>
      </w:r>
    </w:p>
  </w:footnote>
  <w:footnote w:id="29">
    <w:p>
      <w:pPr>
        <w:pStyle w:val="FootnoteText1"/>
        <w:rPr>
          <w:rFonts w:ascii="Times New Roman" w:hAnsi="Times New Roman" w:cs="Times New Roman"/>
          <w:sz w:val="18"/>
          <w:szCs w:val="18"/>
          <w:lang w:val="nb-NO"/>
        </w:rPr>
      </w:pPr>
      <w:r>
        <w:rPr>
          <w:rStyle w:val="FootnoteReference"/>
          <w:rFonts w:ascii="Times New Roman" w:hAnsi="Times New Roman" w:cs="Times New Roman"/>
          <w:sz w:val="18"/>
          <w:szCs w:val="18"/>
        </w:rPr>
        <w:footnoteRef/>
      </w:r>
      <w:r>
        <w:rPr>
          <w:rFonts w:ascii="Times New Roman" w:hAnsi="Times New Roman"/>
          <w:sz w:val="18"/>
          <w:szCs w:val="18"/>
          <w:lang w:val="nb-NO"/>
        </w:rPr>
        <w:t xml:space="preserve"> CZ, HU, LT, SI.</w:t>
      </w:r>
    </w:p>
  </w:footnote>
  <w:footnote w:id="30">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FR, RO, SE, SK.</w:t>
      </w:r>
    </w:p>
  </w:footnote>
  <w:footnote w:id="31">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BG, RO.</w:t>
      </w:r>
    </w:p>
  </w:footnote>
  <w:footnote w:id="32">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EL, HU, LT, SE, RO.</w:t>
      </w:r>
    </w:p>
  </w:footnote>
  <w:footnote w:id="33">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BG, CZ, EL, HR.</w:t>
      </w:r>
    </w:p>
  </w:footnote>
  <w:footnote w:id="34">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BG, ES, HR, RO.</w:t>
      </w:r>
    </w:p>
  </w:footnote>
  <w:footnote w:id="35">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AT, CZ. </w:t>
      </w:r>
    </w:p>
  </w:footnote>
  <w:footnote w:id="36">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ES, EL.</w:t>
      </w:r>
    </w:p>
  </w:footnote>
  <w:footnote w:id="37">
    <w:p>
      <w:pPr>
        <w:pStyle w:val="FootnoteText1"/>
        <w:rPr>
          <w:rFonts w:ascii="Times New Roman" w:hAnsi="Times New Roman" w:cs="Times New Roman"/>
          <w:sz w:val="18"/>
          <w:szCs w:val="18"/>
          <w:lang w:val="es-ES"/>
        </w:rPr>
      </w:pPr>
      <w:r>
        <w:rPr>
          <w:rStyle w:val="FootnoteReference"/>
          <w:rFonts w:ascii="Times New Roman" w:hAnsi="Times New Roman" w:cs="Times New Roman"/>
          <w:sz w:val="18"/>
          <w:szCs w:val="18"/>
        </w:rPr>
        <w:footnoteRef/>
      </w:r>
      <w:r>
        <w:rPr>
          <w:rFonts w:ascii="Times New Roman" w:hAnsi="Times New Roman"/>
          <w:sz w:val="18"/>
          <w:szCs w:val="18"/>
          <w:lang w:val="es-ES"/>
        </w:rPr>
        <w:t xml:space="preserve"> BG, PL, SK.</w:t>
      </w:r>
    </w:p>
  </w:footnote>
  <w:footnote w:id="38">
    <w:p>
      <w:pPr>
        <w:pStyle w:val="FootnoteText1"/>
        <w:rPr>
          <w:lang w:val="da-DK"/>
        </w:rPr>
      </w:pPr>
      <w:r>
        <w:rPr>
          <w:rStyle w:val="FootnoteReference"/>
        </w:rPr>
        <w:footnoteRef/>
      </w:r>
      <w:r>
        <w:rPr>
          <w:lang w:val="da-DK"/>
        </w:rPr>
        <w:t xml:space="preserve"> AT, CZ, EL, HU, LV, LT, PT, RO.</w:t>
      </w:r>
    </w:p>
  </w:footnote>
  <w:footnote w:id="39">
    <w:p>
      <w:pPr>
        <w:pStyle w:val="FootnoteText1"/>
        <w:rPr>
          <w:lang w:val="de-DE"/>
        </w:rPr>
      </w:pPr>
      <w:r>
        <w:rPr>
          <w:rStyle w:val="FootnoteReference"/>
        </w:rPr>
        <w:footnoteRef/>
      </w:r>
      <w:r>
        <w:rPr>
          <w:lang w:val="de-DE"/>
        </w:rPr>
        <w:t xml:space="preserve"> ES, FR, HU, IT, LT.</w:t>
      </w:r>
    </w:p>
  </w:footnote>
  <w:footnote w:id="40">
    <w:p>
      <w:pPr>
        <w:pStyle w:val="FootnoteText1"/>
        <w:rPr>
          <w:lang w:val="de-DE"/>
        </w:rPr>
      </w:pPr>
      <w:r>
        <w:rPr>
          <w:rStyle w:val="FootnoteReference"/>
        </w:rPr>
        <w:footnoteRef/>
      </w:r>
      <w:r>
        <w:rPr>
          <w:lang w:val="de-DE"/>
        </w:rPr>
        <w:t xml:space="preserve"> FR, NL.</w:t>
      </w:r>
    </w:p>
  </w:footnote>
  <w:footnote w:id="41">
    <w:p>
      <w:pPr>
        <w:pStyle w:val="FootnoteText1"/>
        <w:rPr>
          <w:lang w:val="de-DE"/>
        </w:rPr>
      </w:pPr>
      <w:r>
        <w:rPr>
          <w:rStyle w:val="FootnoteReference"/>
        </w:rPr>
        <w:footnoteRef/>
      </w:r>
      <w:r>
        <w:rPr>
          <w:lang w:val="de-DE"/>
        </w:rPr>
        <w:t xml:space="preserve"> SI.</w:t>
      </w:r>
    </w:p>
  </w:footnote>
  <w:footnote w:id="42">
    <w:p>
      <w:pPr>
        <w:pStyle w:val="FootnoteText1"/>
        <w:rPr>
          <w:lang w:val="de-DE"/>
        </w:rPr>
      </w:pPr>
      <w:r>
        <w:rPr>
          <w:rStyle w:val="FootnoteReference"/>
        </w:rPr>
        <w:footnoteRef/>
      </w:r>
      <w:r>
        <w:rPr>
          <w:lang w:val="de-DE"/>
        </w:rPr>
        <w:t xml:space="preserve"> HR.</w:t>
      </w:r>
    </w:p>
  </w:footnote>
  <w:footnote w:id="43">
    <w:p>
      <w:pPr>
        <w:pStyle w:val="FootnoteText1"/>
        <w:rPr>
          <w:lang w:val="de-DE"/>
        </w:rPr>
      </w:pPr>
      <w:r>
        <w:rPr>
          <w:rStyle w:val="FootnoteReference"/>
        </w:rPr>
        <w:footnoteRef/>
      </w:r>
      <w:r>
        <w:rPr>
          <w:lang w:val="de-DE"/>
        </w:rPr>
        <w:t xml:space="preserve"> BG.</w:t>
      </w:r>
    </w:p>
  </w:footnote>
  <w:footnote w:id="44">
    <w:p>
      <w:pPr>
        <w:pStyle w:val="FootnoteText1"/>
        <w:rPr>
          <w:lang w:val="de-DE"/>
        </w:rPr>
      </w:pPr>
      <w:r>
        <w:rPr>
          <w:rStyle w:val="FootnoteReference"/>
        </w:rPr>
        <w:footnoteRef/>
      </w:r>
      <w:r>
        <w:rPr>
          <w:lang w:val="de-DE"/>
        </w:rPr>
        <w:t xml:space="preserve"> BG, CY, ES, SK.</w:t>
      </w:r>
    </w:p>
  </w:footnote>
  <w:footnote w:id="45">
    <w:p>
      <w:pPr>
        <w:pStyle w:val="FootnoteText1"/>
        <w:rPr>
          <w:lang w:val="de-DE"/>
        </w:rPr>
      </w:pPr>
      <w:r>
        <w:rPr>
          <w:rStyle w:val="FootnoteReference"/>
        </w:rPr>
        <w:footnoteRef/>
      </w:r>
      <w:r>
        <w:rPr>
          <w:lang w:val="de-DE"/>
        </w:rPr>
        <w:t xml:space="preserve"> ES, LT, LV, NL.</w:t>
      </w:r>
    </w:p>
  </w:footnote>
  <w:footnote w:id="46">
    <w:p>
      <w:pPr>
        <w:pStyle w:val="FootnoteText1"/>
        <w:rPr>
          <w:lang w:val="de-DE"/>
        </w:rPr>
      </w:pPr>
      <w:r>
        <w:rPr>
          <w:rStyle w:val="FootnoteReference"/>
        </w:rPr>
        <w:footnoteRef/>
      </w:r>
      <w:r>
        <w:rPr>
          <w:lang w:val="de-DE"/>
        </w:rPr>
        <w:t xml:space="preserve"> CZ, BG.</w:t>
      </w:r>
    </w:p>
  </w:footnote>
  <w:footnote w:id="47">
    <w:p>
      <w:pPr>
        <w:pStyle w:val="FootnoteText1"/>
        <w:rPr>
          <w:lang w:val="es-ES"/>
        </w:rPr>
      </w:pPr>
      <w:r>
        <w:rPr>
          <w:rStyle w:val="FootnoteReference"/>
        </w:rPr>
        <w:footnoteRef/>
      </w:r>
      <w:r>
        <w:rPr>
          <w:lang w:val="es-ES"/>
        </w:rPr>
        <w:t xml:space="preserve"> BG, EE, ES, HU, HR, PT, SK.</w:t>
      </w:r>
    </w:p>
  </w:footnote>
  <w:footnote w:id="48">
    <w:p>
      <w:pPr>
        <w:pStyle w:val="FootnoteText1"/>
        <w:rPr>
          <w:lang w:val="es-ES"/>
        </w:rPr>
      </w:pPr>
      <w:r>
        <w:rPr>
          <w:rStyle w:val="FootnoteReference"/>
        </w:rPr>
        <w:footnoteRef/>
      </w:r>
      <w:r>
        <w:rPr>
          <w:lang w:val="es-ES"/>
        </w:rPr>
        <w:t xml:space="preserve"> ES, FR, HU, LV.</w:t>
      </w:r>
    </w:p>
  </w:footnote>
  <w:footnote w:id="49">
    <w:p>
      <w:pPr>
        <w:pStyle w:val="FootnoteText1"/>
        <w:rPr>
          <w:lang w:val="es-ES"/>
        </w:rPr>
      </w:pPr>
      <w:r>
        <w:rPr>
          <w:rStyle w:val="FootnoteReference"/>
        </w:rPr>
        <w:footnoteRef/>
      </w:r>
      <w:r>
        <w:rPr>
          <w:lang w:val="es-ES"/>
        </w:rPr>
        <w:t xml:space="preserve"> IT, ES, SI.</w:t>
      </w:r>
    </w:p>
  </w:footnote>
  <w:footnote w:id="50">
    <w:p>
      <w:pPr>
        <w:pStyle w:val="FootnoteText1"/>
        <w:rPr>
          <w:lang w:val="es-ES"/>
        </w:rPr>
      </w:pPr>
      <w:r>
        <w:rPr>
          <w:rStyle w:val="FootnoteReference"/>
        </w:rPr>
        <w:footnoteRef/>
      </w:r>
      <w:r>
        <w:rPr>
          <w:lang w:val="es-ES"/>
        </w:rPr>
        <w:t xml:space="preserve"> AT, CZ, LT, PT.</w:t>
      </w:r>
    </w:p>
  </w:footnote>
  <w:footnote w:id="51">
    <w:p>
      <w:pPr>
        <w:pStyle w:val="FootnoteText1"/>
        <w:rPr>
          <w:lang w:val="es-ES"/>
        </w:rPr>
      </w:pPr>
      <w:r>
        <w:rPr>
          <w:rStyle w:val="FootnoteReference"/>
        </w:rPr>
        <w:footnoteRef/>
      </w:r>
      <w:r>
        <w:rPr>
          <w:lang w:val="es-ES"/>
        </w:rPr>
        <w:t xml:space="preserve"> EE, ES, HR, LV.</w:t>
      </w:r>
    </w:p>
  </w:footnote>
  <w:footnote w:id="52">
    <w:p>
      <w:pPr>
        <w:pStyle w:val="FootnoteText1"/>
        <w:rPr>
          <w:lang w:val="es-ES"/>
        </w:rPr>
      </w:pPr>
      <w:r>
        <w:rPr>
          <w:rStyle w:val="FootnoteReference"/>
        </w:rPr>
        <w:footnoteRef/>
      </w:r>
      <w:r>
        <w:rPr>
          <w:lang w:val="es-ES"/>
        </w:rPr>
        <w:t xml:space="preserve"> BG, ES, SK.</w:t>
      </w:r>
    </w:p>
  </w:footnote>
  <w:footnote w:id="53">
    <w:p>
      <w:pPr>
        <w:pStyle w:val="FootnoteText1"/>
        <w:rPr>
          <w:lang w:val="es-ES"/>
        </w:rPr>
      </w:pPr>
      <w:r>
        <w:rPr>
          <w:rStyle w:val="FootnoteReference"/>
        </w:rPr>
        <w:footnoteRef/>
      </w:r>
      <w:r>
        <w:rPr>
          <w:lang w:val="es-ES"/>
        </w:rPr>
        <w:t xml:space="preserve"> CY, FR, EL, PL, RO.</w:t>
      </w:r>
    </w:p>
  </w:footnote>
  <w:footnote w:id="54">
    <w:p>
      <w:pPr>
        <w:pStyle w:val="FootnoteText1"/>
        <w:rPr>
          <w:rFonts w:ascii="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18"/>
          <w:szCs w:val="18"/>
        </w:rPr>
        <w:t>6 kohta: ”Romanien integroitumisen edistäminen EU:n ulkopuolella: tilanne laajentumismaissa” Laajentumisprosessissa mukana oleville maille asetettiin kolme tavoitetta: IPA-varojen tehokkaampi käyttö, tehostettu seuranta, nykyistä läheisempi yhteistyö kansalaisyhteiskunnan kanssa.</w:t>
      </w:r>
    </w:p>
  </w:footnote>
  <w:footnote w:id="55">
    <w:p>
      <w:pPr>
        <w:pStyle w:val="FootnoteText1"/>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18"/>
          <w:szCs w:val="18"/>
        </w:rPr>
        <w:t>Raportoidaan vuosittain täytäntöönpanon edistymisestä, nimetään romanien kansalliset yhteysviranomaiset, järjestetään vuosittain romanifoorumin tapaaminen läheisessä yhteistyössä kansalaisyhteiskunnan organisaatioiden kanssa, järjestetään romaniseminaareja ja raportoidaan laajentumispaketin ja vakautus- ja assosiaatiosopimuksen mukaisten alakomiteoiden puitteissa tehtyjen sitoumusten täytäntöönpanosta.</w:t>
      </w:r>
    </w:p>
  </w:footnote>
  <w:footnote w:id="56">
    <w:p>
      <w:pPr>
        <w:pStyle w:val="FootnoteText1"/>
        <w:rPr>
          <w:sz w:val="18"/>
          <w:szCs w:val="18"/>
        </w:rPr>
      </w:pPr>
      <w:r>
        <w:rPr>
          <w:rStyle w:val="FootnoteReference"/>
        </w:rPr>
        <w:footnoteRef/>
      </w:r>
      <w:r>
        <w:t xml:space="preserve"> </w:t>
      </w:r>
      <w:r>
        <w:rPr>
          <w:rFonts w:ascii="Times New Roman" w:hAnsi="Times New Roman"/>
          <w:sz w:val="18"/>
          <w:szCs w:val="18"/>
        </w:rPr>
        <w:t>Tämä vaatii sitä, että romanien kanssa toimivat sidosryhmät ja yleisiä julkisia politiikkatoimenpiteitä kehittävät ja täytäntöönpanevat tahot tekevät tiivistä yhteistyötä toistensa kanssa sekä sitä, että paikalliset julkiset ja yksityiset palveluntarjoajat toimivat yhteistyössä romaniyhteisöjen kanssa läheisesti toimivan kansalaisyhteiskunnan kanssa.</w:t>
      </w:r>
    </w:p>
  </w:footnote>
  <w:footnote w:id="5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t xml:space="preserve"> </w:t>
      </w:r>
      <w:r>
        <w:rPr>
          <w:rFonts w:ascii="Times New Roman" w:hAnsi="Times New Roman"/>
          <w:sz w:val="18"/>
          <w:szCs w:val="18"/>
        </w:rPr>
        <w:t>Tähän olisi sisällyttävä myös romanivastaisuuden, viharikosten ja romanivastaisen retoriikan erityispiirteiden tunnustaminen sekä oikeussuojan, suojelun ja tuen saannin haasteellisuuden tunnustaminen romaniuhrien osalta (tähän kuuluvat esimerkiksi vähäinen ilmoittaminen, joka johtuu osaltaan siitä, että uhri pelkää syrjintää tai vastatoimia tutkivien viranomaisten taholta, lisäkärsimysten riski, viranomaisten omien, rikosoikeudellisia seuraamuksia koskevien vääristyneiden asenteiden vaikutukset jne.).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234F1D"/>
    <w:multiLevelType w:val="hybridMultilevel"/>
    <w:tmpl w:val="8A346698"/>
    <w:lvl w:ilvl="0" w:tplc="DDBACED8">
      <w:start w:val="1"/>
      <w:numFmt w:val="bullet"/>
      <w:lvlText w:val="٠"/>
      <w:lvlJc w:val="left"/>
      <w:pPr>
        <w:ind w:left="360" w:hanging="360"/>
      </w:pPr>
      <w:rPr>
        <w:rFonts w:ascii="Courier New" w:hAnsi="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nsid w:val="16795E5C"/>
    <w:multiLevelType w:val="hybridMultilevel"/>
    <w:tmpl w:val="83586FE4"/>
    <w:lvl w:ilvl="0" w:tplc="041B0001">
      <w:start w:val="1"/>
      <w:numFmt w:val="bullet"/>
      <w:lvlText w:val=""/>
      <w:lvlJc w:val="left"/>
      <w:pPr>
        <w:ind w:left="36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33A02FED"/>
    <w:multiLevelType w:val="hybridMultilevel"/>
    <w:tmpl w:val="84809C30"/>
    <w:lvl w:ilvl="0" w:tplc="DDBACED8">
      <w:start w:val="1"/>
      <w:numFmt w:val="bullet"/>
      <w:lvlText w:val="٠"/>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5370A0"/>
    <w:multiLevelType w:val="hybridMultilevel"/>
    <w:tmpl w:val="18BAE8E0"/>
    <w:lvl w:ilvl="0" w:tplc="40F097B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147F22"/>
    <w:multiLevelType w:val="hybridMultilevel"/>
    <w:tmpl w:val="05480814"/>
    <w:lvl w:ilvl="0" w:tplc="DDBACED8">
      <w:start w:val="1"/>
      <w:numFmt w:val="bullet"/>
      <w:lvlText w:val="٠"/>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9C13E2"/>
    <w:multiLevelType w:val="hybridMultilevel"/>
    <w:tmpl w:val="EEC4774E"/>
    <w:lvl w:ilvl="0" w:tplc="40F097B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B37B1A"/>
    <w:multiLevelType w:val="hybridMultilevel"/>
    <w:tmpl w:val="B21A33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nsid w:val="623434E2"/>
    <w:multiLevelType w:val="hybridMultilevel"/>
    <w:tmpl w:val="DD549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5843CF3"/>
    <w:multiLevelType w:val="hybridMultilevel"/>
    <w:tmpl w:val="F2A8B14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6A0D40A0"/>
    <w:multiLevelType w:val="hybridMultilevel"/>
    <w:tmpl w:val="0D54CF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69041E9"/>
    <w:multiLevelType w:val="hybridMultilevel"/>
    <w:tmpl w:val="8482D3AE"/>
    <w:lvl w:ilvl="0" w:tplc="40F097B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1E5B39"/>
    <w:multiLevelType w:val="hybridMultilevel"/>
    <w:tmpl w:val="E4B6CE6A"/>
    <w:lvl w:ilvl="0" w:tplc="40F097B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14274F"/>
    <w:multiLevelType w:val="hybridMultilevel"/>
    <w:tmpl w:val="2F4A89C0"/>
    <w:lvl w:ilvl="0" w:tplc="40F097B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721DAA"/>
    <w:multiLevelType w:val="hybridMultilevel"/>
    <w:tmpl w:val="9926B814"/>
    <w:lvl w:ilvl="0" w:tplc="40F097B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2"/>
  </w:num>
  <w:num w:numId="4">
    <w:abstractNumId w:val="6"/>
  </w:num>
  <w:num w:numId="5">
    <w:abstractNumId w:val="14"/>
  </w:num>
  <w:num w:numId="6">
    <w:abstractNumId w:val="11"/>
  </w:num>
  <w:num w:numId="7">
    <w:abstractNumId w:val="4"/>
  </w:num>
  <w:num w:numId="8">
    <w:abstractNumId w:val="0"/>
  </w:num>
  <w:num w:numId="9">
    <w:abstractNumId w:val="2"/>
  </w:num>
  <w:num w:numId="10">
    <w:abstractNumId w:val="8"/>
  </w:num>
  <w:num w:numId="11">
    <w:abstractNumId w:val="3"/>
  </w:num>
  <w:num w:numId="12">
    <w:abstractNumId w:val="9"/>
  </w:num>
  <w:num w:numId="13">
    <w:abstractNumId w:val="7"/>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de-DE" w:vendorID="64" w:dllVersion="131078" w:nlCheck="1" w:checkStyle="0"/>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i-FI" w:vendorID="64" w:dllVersion="131078" w:nlCheck="1" w:checkStyle="0"/>
  <w:activeWritingStyle w:appName="MSWord" w:lang="fr-FR" w:vendorID="64" w:dllVersion="131078" w:nlCheck="1" w:checkStyle="0"/>
  <w:activeWritingStyle w:appName="MSWord" w:lang="es-ES" w:vendorID="64" w:dllVersion="131078" w:nlCheck="1" w:checkStyle="1"/>
  <w:revisionView w:markup="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0D081DAD-D729-4FE9-830D-01FD52A5B20B"/>
    <w:docVar w:name="LW_COVERPAGE_TYPE" w:val="1"/>
    <w:docVar w:name="LW_CROSSREFERENCE" w:val="{SWD(2019) 320 final}"/>
    <w:docVar w:name="LW_DocType" w:val="NORMAL"/>
    <w:docVar w:name="LW_EMISSION" w:val="5.9.2019"/>
    <w:docVar w:name="LW_EMISSION_ISODATE" w:val="2019-09-05"/>
    <w:docVar w:name="LW_EMISSION_LOCATION" w:val="BRX"/>
    <w:docVar w:name="LW_EMISSION_PREFIX" w:val="Bryssel "/>
    <w:docVar w:name="LW_EMISSION_SUFFIX" w:val=" "/>
    <w:docVar w:name="LW_ID_DOCTYPE_NONLW" w:val="CP-012"/>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19) 40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Vuoden 2019 kertomus romanien kansallisten integrointistrategioiden täytäntöönpanosta&lt;/FMT&gt;"/>
    <w:docVar w:name="LW_TYPE.DOC.CP" w:val="KOMISSION TIEDONANTO EUROOPAN PARLAMENTILLE JA NEUVOSTOLLE"/>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120" w:line="240" w:lineRule="auto"/>
      <w:ind w:right="-96"/>
      <w:outlineLvl w:val="0"/>
    </w:pPr>
    <w:rPr>
      <w:rFonts w:ascii="Times New Roman" w:hAnsi="Times New Roman" w:cs="Times New Roman"/>
      <w:b/>
      <w:bCs/>
      <w:smallCaps/>
      <w:sz w:val="24"/>
      <w:szCs w:val="24"/>
      <w:lang w:eastAsia="en-US"/>
    </w:rPr>
  </w:style>
  <w:style w:type="paragraph" w:styleId="Heading2">
    <w:name w:val="heading 2"/>
    <w:basedOn w:val="ListParagraph"/>
    <w:next w:val="Normal"/>
    <w:link w:val="Heading2Char"/>
    <w:uiPriority w:val="9"/>
    <w:unhideWhenUsed/>
    <w:qFormat/>
    <w:pPr>
      <w:spacing w:before="180" w:after="60"/>
      <w:ind w:left="0" w:right="-96"/>
      <w:contextualSpacing w:val="0"/>
      <w:outlineLvl w:val="1"/>
    </w:pPr>
    <w:rPr>
      <w:rFonts w:ascii="Times New Roman" w:hAnsi="Times New Roman" w:cs="Times New Roman"/>
      <w:b/>
      <w:bCs/>
      <w:smallCaps/>
    </w:rPr>
  </w:style>
  <w:style w:type="paragraph" w:styleId="Heading3">
    <w:name w:val="heading 3"/>
    <w:basedOn w:val="ListParagraph"/>
    <w:next w:val="Normal"/>
    <w:link w:val="Heading3Char"/>
    <w:uiPriority w:val="9"/>
    <w:unhideWhenUsed/>
    <w:qFormat/>
    <w:pPr>
      <w:keepNext/>
      <w:spacing w:before="180" w:after="120"/>
      <w:ind w:left="0" w:right="-96"/>
      <w:contextualSpacing w:val="0"/>
      <w:outlineLvl w:val="2"/>
    </w:pPr>
    <w:rPr>
      <w:rFonts w:ascii="Times New Roman" w:hAnsi="Times New Roman" w:cs="Times New Roman"/>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lang w:eastAsia="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imes New Roman" w:hAnsi="Times New Roman" w:cs="Times New Roman"/>
      <w:b/>
      <w:bCs/>
      <w:smallCaps/>
      <w:sz w:val="24"/>
      <w:szCs w:val="24"/>
      <w:lang w:eastAsia="en-US"/>
    </w:rPr>
  </w:style>
  <w:style w:type="character" w:customStyle="1" w:styleId="Heading2Char">
    <w:name w:val="Heading 2 Char"/>
    <w:basedOn w:val="DefaultParagraphFont"/>
    <w:link w:val="Heading2"/>
    <w:uiPriority w:val="9"/>
    <w:rPr>
      <w:rFonts w:ascii="Times New Roman" w:hAnsi="Times New Roman" w:cs="Times New Roman"/>
      <w:b/>
      <w:bCs/>
      <w:smallCaps/>
      <w:sz w:val="24"/>
      <w:szCs w:val="24"/>
      <w:lang w:eastAsia="en-US"/>
    </w:rPr>
  </w:style>
  <w:style w:type="character" w:customStyle="1" w:styleId="Heading3Char">
    <w:name w:val="Heading 3 Char"/>
    <w:basedOn w:val="DefaultParagraphFont"/>
    <w:link w:val="Heading3"/>
    <w:uiPriority w:val="9"/>
    <w:rPr>
      <w:rFonts w:ascii="Times New Roman" w:hAnsi="Times New Roman" w:cs="Times New Roman"/>
      <w:i/>
      <w:sz w:val="24"/>
      <w:szCs w:val="24"/>
      <w:lang w:eastAsia="en-US"/>
    </w:rPr>
  </w:style>
  <w:style w:type="numbering" w:customStyle="1" w:styleId="NoList1">
    <w:name w:val="No List1"/>
    <w:next w:val="NoList"/>
    <w:uiPriority w:val="99"/>
    <w:semiHidden/>
    <w:unhideWhenUsed/>
  </w:style>
  <w:style w:type="paragraph" w:styleId="ListParagraph">
    <w:name w:val="List Paragraph"/>
    <w:basedOn w:val="Normal"/>
    <w:uiPriority w:val="34"/>
    <w:qFormat/>
    <w:pPr>
      <w:spacing w:after="0" w:line="240" w:lineRule="auto"/>
      <w:ind w:left="720"/>
      <w:contextualSpacing/>
    </w:pPr>
    <w:rPr>
      <w:sz w:val="24"/>
      <w:szCs w:val="24"/>
      <w:lang w:eastAsia="en-US"/>
    </w:rPr>
  </w:style>
  <w:style w:type="character" w:customStyle="1" w:styleId="Hyperlink1">
    <w:name w:val="Hyperlink1"/>
    <w:basedOn w:val="DefaultParagraphFont"/>
    <w:uiPriority w:val="99"/>
    <w:unhideWhenUsed/>
    <w:rPr>
      <w:color w:val="0000FF"/>
      <w:u w:val="single"/>
    </w:rPr>
  </w:style>
  <w:style w:type="paragraph" w:customStyle="1" w:styleId="FootnoteText1">
    <w:name w:val="Footnote Text1"/>
    <w:basedOn w:val="Normal"/>
    <w:next w:val="FootnoteText"/>
    <w:link w:val="FootnoteTextChar"/>
    <w:uiPriority w:val="99"/>
    <w:unhideWhenUsed/>
    <w:pPr>
      <w:spacing w:after="0" w:line="240" w:lineRule="auto"/>
      <w:jc w:val="both"/>
    </w:pPr>
    <w:rPr>
      <w:rFonts w:eastAsia="Cambria"/>
      <w:sz w:val="20"/>
      <w:szCs w:val="20"/>
    </w:rPr>
  </w:style>
  <w:style w:type="character" w:customStyle="1" w:styleId="FootnoteTextChar">
    <w:name w:val="Footnote Text Char"/>
    <w:basedOn w:val="DefaultParagraphFont"/>
    <w:link w:val="FootnoteText1"/>
    <w:uiPriority w:val="99"/>
    <w:rPr>
      <w:rFonts w:eastAsia="Cambria"/>
      <w:sz w:val="20"/>
      <w:szCs w:val="20"/>
      <w:lang w:val="fi-FI"/>
    </w:rPr>
  </w:style>
  <w:style w:type="character" w:styleId="FootnoteReference">
    <w:name w:val="footnote reference"/>
    <w:basedOn w:val="DefaultParagraphFont"/>
    <w:uiPriority w:val="99"/>
    <w:unhideWhenUsed/>
    <w:rPr>
      <w:vertAlign w:val="superscript"/>
    </w:rPr>
  </w:style>
  <w:style w:type="character" w:customStyle="1" w:styleId="FollowedHyperlink1">
    <w:name w:val="FollowedHyperlink1"/>
    <w:basedOn w:val="DefaultParagraphFont"/>
    <w:uiPriority w:val="99"/>
    <w:semiHidden/>
    <w:unhideWhenUsed/>
    <w:rPr>
      <w:color w:val="800080"/>
      <w:u w:val="single"/>
    </w:rPr>
  </w:style>
  <w:style w:type="table" w:styleId="TableGrid">
    <w:name w:val="Table Grid"/>
    <w:basedOn w:val="TableNormal"/>
    <w:uiPriority w:val="39"/>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pPr>
      <w:spacing w:line="240" w:lineRule="auto"/>
      <w:jc w:val="both"/>
    </w:pPr>
    <w:rPr>
      <w:rFonts w:eastAsia="Cambria"/>
      <w:i/>
      <w:iCs/>
      <w:color w:val="1F497D"/>
      <w:sz w:val="18"/>
      <w:szCs w:val="18"/>
      <w:lang w:eastAsia="en-US"/>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semiHidden/>
    <w:unhideWhenUsed/>
    <w:pPr>
      <w:spacing w:after="0" w:line="240" w:lineRule="auto"/>
    </w:pPr>
    <w:rPr>
      <w:sz w:val="24"/>
      <w:szCs w:val="24"/>
      <w:lang w:eastAsia="en-US"/>
    </w:rPr>
  </w:style>
  <w:style w:type="character" w:customStyle="1" w:styleId="CommentTextChar">
    <w:name w:val="Comment Text Char"/>
    <w:basedOn w:val="DefaultParagraphFont"/>
    <w:link w:val="CommentText"/>
    <w:uiPriority w:val="99"/>
    <w:semiHidden/>
    <w:rPr>
      <w:sz w:val="24"/>
      <w:szCs w:val="24"/>
      <w:lang w:eastAsia="en-US"/>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b/>
      <w:bCs/>
      <w:sz w:val="20"/>
      <w:szCs w:val="20"/>
      <w:lang w:eastAsia="en-US"/>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lang w:eastAsia="en-US"/>
    </w:rPr>
  </w:style>
  <w:style w:type="character" w:styleId="PageNumber">
    <w:name w:val="page number"/>
    <w:basedOn w:val="DefaultParagraphFont"/>
    <w:uiPriority w:val="99"/>
    <w:semiHidden/>
    <w:unhideWhenUsed/>
  </w:style>
  <w:style w:type="paragraph" w:customStyle="1" w:styleId="Title1">
    <w:name w:val="Title1"/>
    <w:basedOn w:val="Normal"/>
    <w:next w:val="Normal"/>
    <w:uiPriority w:val="10"/>
    <w:qFormat/>
    <w:pPr>
      <w:spacing w:after="0" w:line="240" w:lineRule="auto"/>
      <w:contextualSpacing/>
      <w:jc w:val="both"/>
    </w:pPr>
    <w:rPr>
      <w:rFonts w:ascii="Calibri" w:eastAsia="MS Gothic" w:hAnsi="Calibri" w:cs="Times New Roman"/>
      <w:spacing w:val="-10"/>
      <w:kern w:val="28"/>
      <w:sz w:val="56"/>
      <w:szCs w:val="56"/>
      <w:lang w:eastAsia="en-GB"/>
    </w:rPr>
  </w:style>
  <w:style w:type="character" w:customStyle="1" w:styleId="TitleChar">
    <w:name w:val="Title Char"/>
    <w:basedOn w:val="DefaultParagraphFont"/>
    <w:link w:val="Title"/>
    <w:uiPriority w:val="10"/>
    <w:rPr>
      <w:rFonts w:ascii="Calibri" w:eastAsia="MS Gothic" w:hAnsi="Calibri" w:cs="Times New Roman"/>
      <w:spacing w:val="-10"/>
      <w:kern w:val="28"/>
      <w:sz w:val="56"/>
      <w:szCs w:val="56"/>
      <w:lang w:val="fi-FI" w:eastAsia="en-GB"/>
    </w:rPr>
  </w:style>
  <w:style w:type="character" w:styleId="Hyperlink">
    <w:name w:val="Hyperlink"/>
    <w:basedOn w:val="DefaultParagraphFont"/>
    <w:uiPriority w:val="99"/>
    <w:semiHidden/>
    <w:unhideWhenUsed/>
    <w:rPr>
      <w:color w:val="0000FF" w:themeColor="hyperlink"/>
      <w:u w:val="single"/>
    </w:rPr>
  </w:style>
  <w:style w:type="paragraph" w:styleId="FootnoteText">
    <w:name w:val="footnote text"/>
    <w:basedOn w:val="Normal"/>
    <w:link w:val="FootnoteTextChar1"/>
    <w:uiPriority w:val="99"/>
    <w:semiHidden/>
    <w:unhideWhenUsed/>
    <w:pPr>
      <w:spacing w:after="0" w:line="240" w:lineRule="auto"/>
    </w:pPr>
    <w:rPr>
      <w:sz w:val="20"/>
      <w:szCs w:val="20"/>
    </w:rPr>
  </w:style>
  <w:style w:type="character" w:customStyle="1" w:styleId="FootnoteTextChar1">
    <w:name w:val="Footnote Text Char1"/>
    <w:basedOn w:val="DefaultParagraphFont"/>
    <w:link w:val="FootnoteText"/>
    <w:uiPriority w:val="99"/>
    <w:semiHidden/>
    <w:rPr>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styleId="Title">
    <w:name w:val="Title"/>
    <w:basedOn w:val="Normal"/>
    <w:next w:val="Normal"/>
    <w:link w:val="TitleChar"/>
    <w:uiPriority w:val="10"/>
    <w:qFormat/>
    <w:pPr>
      <w:spacing w:after="0" w:line="240" w:lineRule="auto"/>
      <w:contextualSpacing/>
    </w:pPr>
    <w:rPr>
      <w:rFonts w:ascii="Calibri" w:eastAsia="MS Gothic" w:hAnsi="Calibri" w:cs="Times New Roman"/>
      <w:spacing w:val="-10"/>
      <w:kern w:val="28"/>
      <w:sz w:val="56"/>
      <w:szCs w:val="56"/>
      <w:lang w:eastAsia="en-GB"/>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customStyle="1" w:styleId="SecurityMarking">
    <w:name w:val="SecurityMarking"/>
    <w:basedOn w:val="Normal"/>
    <w:pPr>
      <w:spacing w:after="0"/>
      <w:ind w:left="5103"/>
    </w:pPr>
    <w:rPr>
      <w:rFonts w:ascii="Times New Roman" w:eastAsiaTheme="minorHAnsi" w:hAnsi="Times New Roman" w:cs="Times New Roman"/>
      <w:sz w:val="28"/>
      <w:lang w:eastAsia="en-US"/>
    </w:rPr>
  </w:style>
  <w:style w:type="paragraph" w:customStyle="1" w:styleId="DateMarking">
    <w:name w:val="DateMarking"/>
    <w:basedOn w:val="Normal"/>
    <w:pPr>
      <w:spacing w:after="0"/>
      <w:ind w:left="5103"/>
    </w:pPr>
    <w:rPr>
      <w:rFonts w:ascii="Times New Roman" w:eastAsiaTheme="minorHAnsi" w:hAnsi="Times New Roman" w:cs="Times New Roman"/>
      <w:i/>
      <w:sz w:val="28"/>
      <w:lang w:eastAsia="en-US"/>
    </w:rPr>
  </w:style>
  <w:style w:type="paragraph" w:customStyle="1" w:styleId="ReleasableTo">
    <w:name w:val="ReleasableTo"/>
    <w:basedOn w:val="Normal"/>
    <w:pPr>
      <w:spacing w:after="0"/>
      <w:ind w:left="5103"/>
    </w:pPr>
    <w:rPr>
      <w:rFonts w:ascii="Times New Roman" w:eastAsiaTheme="minorHAnsi" w:hAnsi="Times New Roman" w:cs="Times New Roman"/>
      <w:i/>
      <w:sz w:val="28"/>
      <w:lang w:eastAsia="en-US"/>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Caption">
    <w:name w:val="caption"/>
    <w:basedOn w:val="Normal"/>
    <w:next w:val="Normal"/>
    <w:uiPriority w:val="35"/>
    <w:unhideWhenUsed/>
    <w:qFormat/>
    <w:pPr>
      <w:spacing w:line="240" w:lineRule="auto"/>
      <w:jc w:val="both"/>
    </w:pPr>
    <w:rPr>
      <w:rFonts w:eastAsiaTheme="minorHAnsi"/>
      <w:i/>
      <w:iCs/>
      <w:color w:val="1F497D" w:themeColor="text2"/>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120" w:line="240" w:lineRule="auto"/>
      <w:ind w:right="-96"/>
      <w:outlineLvl w:val="0"/>
    </w:pPr>
    <w:rPr>
      <w:rFonts w:ascii="Times New Roman" w:hAnsi="Times New Roman" w:cs="Times New Roman"/>
      <w:b/>
      <w:bCs/>
      <w:smallCaps/>
      <w:sz w:val="24"/>
      <w:szCs w:val="24"/>
      <w:lang w:eastAsia="en-US"/>
    </w:rPr>
  </w:style>
  <w:style w:type="paragraph" w:styleId="Heading2">
    <w:name w:val="heading 2"/>
    <w:basedOn w:val="ListParagraph"/>
    <w:next w:val="Normal"/>
    <w:link w:val="Heading2Char"/>
    <w:uiPriority w:val="9"/>
    <w:unhideWhenUsed/>
    <w:qFormat/>
    <w:pPr>
      <w:spacing w:before="180" w:after="60"/>
      <w:ind w:left="0" w:right="-96"/>
      <w:contextualSpacing w:val="0"/>
      <w:outlineLvl w:val="1"/>
    </w:pPr>
    <w:rPr>
      <w:rFonts w:ascii="Times New Roman" w:hAnsi="Times New Roman" w:cs="Times New Roman"/>
      <w:b/>
      <w:bCs/>
      <w:smallCaps/>
    </w:rPr>
  </w:style>
  <w:style w:type="paragraph" w:styleId="Heading3">
    <w:name w:val="heading 3"/>
    <w:basedOn w:val="ListParagraph"/>
    <w:next w:val="Normal"/>
    <w:link w:val="Heading3Char"/>
    <w:uiPriority w:val="9"/>
    <w:unhideWhenUsed/>
    <w:qFormat/>
    <w:pPr>
      <w:keepNext/>
      <w:spacing w:before="180" w:after="120"/>
      <w:ind w:left="0" w:right="-96"/>
      <w:contextualSpacing w:val="0"/>
      <w:outlineLvl w:val="2"/>
    </w:pPr>
    <w:rPr>
      <w:rFonts w:ascii="Times New Roman" w:hAnsi="Times New Roman" w:cs="Times New Roman"/>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lang w:eastAsia="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uiPriority w:val="9"/>
    <w:rPr>
      <w:rFonts w:ascii="Times New Roman" w:hAnsi="Times New Roman" w:cs="Times New Roman"/>
      <w:b/>
      <w:bCs/>
      <w:smallCaps/>
      <w:sz w:val="24"/>
      <w:szCs w:val="24"/>
      <w:lang w:eastAsia="en-US"/>
    </w:rPr>
  </w:style>
  <w:style w:type="character" w:customStyle="1" w:styleId="Heading2Char">
    <w:name w:val="Heading 2 Char"/>
    <w:basedOn w:val="DefaultParagraphFont"/>
    <w:link w:val="Heading2"/>
    <w:uiPriority w:val="9"/>
    <w:rPr>
      <w:rFonts w:ascii="Times New Roman" w:hAnsi="Times New Roman" w:cs="Times New Roman"/>
      <w:b/>
      <w:bCs/>
      <w:smallCaps/>
      <w:sz w:val="24"/>
      <w:szCs w:val="24"/>
      <w:lang w:eastAsia="en-US"/>
    </w:rPr>
  </w:style>
  <w:style w:type="character" w:customStyle="1" w:styleId="Heading3Char">
    <w:name w:val="Heading 3 Char"/>
    <w:basedOn w:val="DefaultParagraphFont"/>
    <w:link w:val="Heading3"/>
    <w:uiPriority w:val="9"/>
    <w:rPr>
      <w:rFonts w:ascii="Times New Roman" w:hAnsi="Times New Roman" w:cs="Times New Roman"/>
      <w:i/>
      <w:sz w:val="24"/>
      <w:szCs w:val="24"/>
      <w:lang w:eastAsia="en-US"/>
    </w:rPr>
  </w:style>
  <w:style w:type="numbering" w:customStyle="1" w:styleId="NoList1">
    <w:name w:val="No List1"/>
    <w:next w:val="NoList"/>
    <w:uiPriority w:val="99"/>
    <w:semiHidden/>
    <w:unhideWhenUsed/>
  </w:style>
  <w:style w:type="paragraph" w:styleId="ListParagraph">
    <w:name w:val="List Paragraph"/>
    <w:basedOn w:val="Normal"/>
    <w:uiPriority w:val="34"/>
    <w:qFormat/>
    <w:pPr>
      <w:spacing w:after="0" w:line="240" w:lineRule="auto"/>
      <w:ind w:left="720"/>
      <w:contextualSpacing/>
    </w:pPr>
    <w:rPr>
      <w:sz w:val="24"/>
      <w:szCs w:val="24"/>
      <w:lang w:eastAsia="en-US"/>
    </w:rPr>
  </w:style>
  <w:style w:type="character" w:customStyle="1" w:styleId="Hyperlink1">
    <w:name w:val="Hyperlink1"/>
    <w:basedOn w:val="DefaultParagraphFont"/>
    <w:uiPriority w:val="99"/>
    <w:unhideWhenUsed/>
    <w:rPr>
      <w:color w:val="0000FF"/>
      <w:u w:val="single"/>
    </w:rPr>
  </w:style>
  <w:style w:type="paragraph" w:customStyle="1" w:styleId="FootnoteText1">
    <w:name w:val="Footnote Text1"/>
    <w:basedOn w:val="Normal"/>
    <w:next w:val="FootnoteText"/>
    <w:link w:val="FootnoteTextChar"/>
    <w:uiPriority w:val="99"/>
    <w:unhideWhenUsed/>
    <w:pPr>
      <w:spacing w:after="0" w:line="240" w:lineRule="auto"/>
      <w:jc w:val="both"/>
    </w:pPr>
    <w:rPr>
      <w:rFonts w:eastAsia="Cambria"/>
      <w:sz w:val="20"/>
      <w:szCs w:val="20"/>
    </w:rPr>
  </w:style>
  <w:style w:type="character" w:customStyle="1" w:styleId="FootnoteTextChar">
    <w:name w:val="Footnote Text Char"/>
    <w:basedOn w:val="DefaultParagraphFont"/>
    <w:link w:val="FootnoteText1"/>
    <w:uiPriority w:val="99"/>
    <w:rPr>
      <w:rFonts w:eastAsia="Cambria"/>
      <w:sz w:val="20"/>
      <w:szCs w:val="20"/>
      <w:lang w:val="fi-FI"/>
    </w:rPr>
  </w:style>
  <w:style w:type="character" w:styleId="FootnoteReference">
    <w:name w:val="footnote reference"/>
    <w:basedOn w:val="DefaultParagraphFont"/>
    <w:uiPriority w:val="99"/>
    <w:unhideWhenUsed/>
    <w:rPr>
      <w:vertAlign w:val="superscript"/>
    </w:rPr>
  </w:style>
  <w:style w:type="character" w:customStyle="1" w:styleId="FollowedHyperlink1">
    <w:name w:val="FollowedHyperlink1"/>
    <w:basedOn w:val="DefaultParagraphFont"/>
    <w:uiPriority w:val="99"/>
    <w:semiHidden/>
    <w:unhideWhenUsed/>
    <w:rPr>
      <w:color w:val="800080"/>
      <w:u w:val="single"/>
    </w:rPr>
  </w:style>
  <w:style w:type="table" w:styleId="TableGrid">
    <w:name w:val="Table Grid"/>
    <w:basedOn w:val="TableNormal"/>
    <w:uiPriority w:val="39"/>
    <w:pPr>
      <w:spacing w:after="0" w:line="240" w:lineRule="auto"/>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pPr>
      <w:spacing w:line="240" w:lineRule="auto"/>
      <w:jc w:val="both"/>
    </w:pPr>
    <w:rPr>
      <w:rFonts w:eastAsia="Cambria"/>
      <w:i/>
      <w:iCs/>
      <w:color w:val="1F497D"/>
      <w:sz w:val="18"/>
      <w:szCs w:val="18"/>
      <w:lang w:eastAsia="en-US"/>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semiHidden/>
    <w:unhideWhenUsed/>
    <w:pPr>
      <w:spacing w:after="0" w:line="240" w:lineRule="auto"/>
    </w:pPr>
    <w:rPr>
      <w:sz w:val="24"/>
      <w:szCs w:val="24"/>
      <w:lang w:eastAsia="en-US"/>
    </w:rPr>
  </w:style>
  <w:style w:type="character" w:customStyle="1" w:styleId="CommentTextChar">
    <w:name w:val="Comment Text Char"/>
    <w:basedOn w:val="DefaultParagraphFont"/>
    <w:link w:val="CommentText"/>
    <w:uiPriority w:val="99"/>
    <w:semiHidden/>
    <w:rPr>
      <w:sz w:val="24"/>
      <w:szCs w:val="24"/>
      <w:lang w:eastAsia="en-US"/>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b/>
      <w:bCs/>
      <w:sz w:val="20"/>
      <w:szCs w:val="20"/>
      <w:lang w:eastAsia="en-US"/>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lang w:eastAsia="en-US"/>
    </w:rPr>
  </w:style>
  <w:style w:type="character" w:styleId="PageNumber">
    <w:name w:val="page number"/>
    <w:basedOn w:val="DefaultParagraphFont"/>
    <w:uiPriority w:val="99"/>
    <w:semiHidden/>
    <w:unhideWhenUsed/>
  </w:style>
  <w:style w:type="paragraph" w:customStyle="1" w:styleId="Title1">
    <w:name w:val="Title1"/>
    <w:basedOn w:val="Normal"/>
    <w:next w:val="Normal"/>
    <w:uiPriority w:val="10"/>
    <w:qFormat/>
    <w:pPr>
      <w:spacing w:after="0" w:line="240" w:lineRule="auto"/>
      <w:contextualSpacing/>
      <w:jc w:val="both"/>
    </w:pPr>
    <w:rPr>
      <w:rFonts w:ascii="Calibri" w:eastAsia="MS Gothic" w:hAnsi="Calibri" w:cs="Times New Roman"/>
      <w:spacing w:val="-10"/>
      <w:kern w:val="28"/>
      <w:sz w:val="56"/>
      <w:szCs w:val="56"/>
      <w:lang w:eastAsia="en-GB"/>
    </w:rPr>
  </w:style>
  <w:style w:type="character" w:customStyle="1" w:styleId="TitleChar">
    <w:name w:val="Title Char"/>
    <w:basedOn w:val="DefaultParagraphFont"/>
    <w:link w:val="Title"/>
    <w:uiPriority w:val="10"/>
    <w:rPr>
      <w:rFonts w:ascii="Calibri" w:eastAsia="MS Gothic" w:hAnsi="Calibri" w:cs="Times New Roman"/>
      <w:spacing w:val="-10"/>
      <w:kern w:val="28"/>
      <w:sz w:val="56"/>
      <w:szCs w:val="56"/>
      <w:lang w:val="fi-FI" w:eastAsia="en-GB"/>
    </w:rPr>
  </w:style>
  <w:style w:type="character" w:styleId="Hyperlink">
    <w:name w:val="Hyperlink"/>
    <w:basedOn w:val="DefaultParagraphFont"/>
    <w:uiPriority w:val="99"/>
    <w:semiHidden/>
    <w:unhideWhenUsed/>
    <w:rPr>
      <w:color w:val="0000FF" w:themeColor="hyperlink"/>
      <w:u w:val="single"/>
    </w:rPr>
  </w:style>
  <w:style w:type="paragraph" w:styleId="FootnoteText">
    <w:name w:val="footnote text"/>
    <w:basedOn w:val="Normal"/>
    <w:link w:val="FootnoteTextChar1"/>
    <w:uiPriority w:val="99"/>
    <w:semiHidden/>
    <w:unhideWhenUsed/>
    <w:pPr>
      <w:spacing w:after="0" w:line="240" w:lineRule="auto"/>
    </w:pPr>
    <w:rPr>
      <w:sz w:val="20"/>
      <w:szCs w:val="20"/>
    </w:rPr>
  </w:style>
  <w:style w:type="character" w:customStyle="1" w:styleId="FootnoteTextChar1">
    <w:name w:val="Footnote Text Char1"/>
    <w:basedOn w:val="DefaultParagraphFont"/>
    <w:link w:val="FootnoteText"/>
    <w:uiPriority w:val="99"/>
    <w:semiHidden/>
    <w:rPr>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styleId="Title">
    <w:name w:val="Title"/>
    <w:basedOn w:val="Normal"/>
    <w:next w:val="Normal"/>
    <w:link w:val="TitleChar"/>
    <w:uiPriority w:val="10"/>
    <w:qFormat/>
    <w:pPr>
      <w:spacing w:after="0" w:line="240" w:lineRule="auto"/>
      <w:contextualSpacing/>
    </w:pPr>
    <w:rPr>
      <w:rFonts w:ascii="Calibri" w:eastAsia="MS Gothic" w:hAnsi="Calibri" w:cs="Times New Roman"/>
      <w:spacing w:val="-10"/>
      <w:kern w:val="28"/>
      <w:sz w:val="56"/>
      <w:szCs w:val="56"/>
      <w:lang w:eastAsia="en-GB"/>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customStyle="1" w:styleId="SecurityMarking">
    <w:name w:val="SecurityMarking"/>
    <w:basedOn w:val="Normal"/>
    <w:pPr>
      <w:spacing w:after="0"/>
      <w:ind w:left="5103"/>
    </w:pPr>
    <w:rPr>
      <w:rFonts w:ascii="Times New Roman" w:eastAsiaTheme="minorHAnsi" w:hAnsi="Times New Roman" w:cs="Times New Roman"/>
      <w:sz w:val="28"/>
      <w:lang w:eastAsia="en-US"/>
    </w:rPr>
  </w:style>
  <w:style w:type="paragraph" w:customStyle="1" w:styleId="DateMarking">
    <w:name w:val="DateMarking"/>
    <w:basedOn w:val="Normal"/>
    <w:pPr>
      <w:spacing w:after="0"/>
      <w:ind w:left="5103"/>
    </w:pPr>
    <w:rPr>
      <w:rFonts w:ascii="Times New Roman" w:eastAsiaTheme="minorHAnsi" w:hAnsi="Times New Roman" w:cs="Times New Roman"/>
      <w:i/>
      <w:sz w:val="28"/>
      <w:lang w:eastAsia="en-US"/>
    </w:rPr>
  </w:style>
  <w:style w:type="paragraph" w:customStyle="1" w:styleId="ReleasableTo">
    <w:name w:val="ReleasableTo"/>
    <w:basedOn w:val="Normal"/>
    <w:pPr>
      <w:spacing w:after="0"/>
      <w:ind w:left="5103"/>
    </w:pPr>
    <w:rPr>
      <w:rFonts w:ascii="Times New Roman" w:eastAsiaTheme="minorHAnsi" w:hAnsi="Times New Roman" w:cs="Times New Roman"/>
      <w:i/>
      <w:sz w:val="28"/>
      <w:lang w:eastAsia="en-US"/>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Caption">
    <w:name w:val="caption"/>
    <w:basedOn w:val="Normal"/>
    <w:next w:val="Normal"/>
    <w:uiPriority w:val="35"/>
    <w:unhideWhenUsed/>
    <w:qFormat/>
    <w:pPr>
      <w:spacing w:line="240" w:lineRule="auto"/>
      <w:jc w:val="both"/>
    </w:pPr>
    <w:rPr>
      <w:rFonts w:eastAsia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kgi-upol.maps.arcgis.com/apps/webappviewer/index.html?id=c6cedcef4aef45ae99484107a2f8f257" TargetMode="Externa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header" Target="header4.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romaeducationfund.org/sites/default/files/publications/desegregation_toolkit__2015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D82AD88-A671-4F3B-827C-0C237F583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17</Pages>
  <Words>4415</Words>
  <Characters>38944</Characters>
  <Application>Microsoft Office Word</Application>
  <DocSecurity>0</DocSecurity>
  <Lines>695</Lines>
  <Paragraphs>179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19</cp:revision>
  <cp:lastPrinted>2019-08-13T08:07:00Z</cp:lastPrinted>
  <dcterms:created xsi:type="dcterms:W3CDTF">2019-09-04T12:14:00Z</dcterms:created>
  <dcterms:modified xsi:type="dcterms:W3CDTF">2019-09-05T08:10:00Z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7.0, Build 20190717</vt:lpwstr>
  </property>
  <property fmtid="{D5CDD505-2E9C-101B-9397-08002B2CF9AE}" pid="8" name="CPTemplateID">
    <vt:lpwstr>CP-012</vt:lpwstr>
  </property>
</Properties>
</file>