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EDD82523-E4D6-42FB-A3ED-E4DC056E1667" style="width:450.45pt;height:406.6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noProof/>
          <w:u w:val="single"/>
        </w:rPr>
      </w:pPr>
      <w:bookmarkStart w:id="1" w:name="_GoBack"/>
      <w:bookmarkEnd w:id="1"/>
      <w:r>
        <w:rPr>
          <w:noProof/>
          <w:u w:val="single"/>
        </w:rPr>
        <w:lastRenderedPageBreak/>
        <w:t>Anexo 1</w:t>
      </w:r>
    </w:p>
    <w:p>
      <w:pPr>
        <w:rPr>
          <w:noProof/>
          <w:u w:val="single"/>
        </w:rPr>
      </w:pPr>
    </w:p>
    <w:p>
      <w:pPr>
        <w:rPr>
          <w:noProof/>
        </w:rPr>
      </w:pPr>
      <w:r>
        <w:rPr>
          <w:noProof/>
        </w:rPr>
        <w:t>Número de autorizações de exportação comunicadas concedidas pelos Estados-Membros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em conformidade com o artigo 20.º, n.º 2, do Regulamento (UE) 2019/125</w:t>
      </w:r>
    </w:p>
    <w:p>
      <w:pPr>
        <w:rPr>
          <w:noProof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2"/>
        <w:gridCol w:w="2830"/>
        <w:gridCol w:w="2830"/>
      </w:tblGrid>
      <w:tr>
        <w:tc>
          <w:tcPr>
            <w:tcW w:w="2952" w:type="dxa"/>
          </w:tcPr>
          <w:p>
            <w:pPr>
              <w:rPr>
                <w:i/>
                <w:noProof/>
              </w:rPr>
            </w:pPr>
          </w:p>
        </w:tc>
        <w:tc>
          <w:tcPr>
            <w:tcW w:w="2952" w:type="dxa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>2017</w:t>
            </w:r>
          </w:p>
        </w:tc>
        <w:tc>
          <w:tcPr>
            <w:tcW w:w="2952" w:type="dxa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>2018</w:t>
            </w:r>
          </w:p>
        </w:tc>
      </w:tr>
      <w:tr>
        <w:tc>
          <w:tcPr>
            <w:tcW w:w="2952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UE</w:t>
            </w:r>
          </w:p>
        </w:tc>
        <w:tc>
          <w:tcPr>
            <w:tcW w:w="2952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292</w:t>
            </w:r>
          </w:p>
        </w:tc>
        <w:tc>
          <w:tcPr>
            <w:tcW w:w="2952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231</w:t>
            </w:r>
          </w:p>
        </w:tc>
      </w:tr>
      <w:tr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Áustria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República Checa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17</w:t>
            </w:r>
          </w:p>
        </w:tc>
      </w:tr>
      <w:tr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Dinamarca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França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5</w:t>
            </w:r>
          </w:p>
        </w:tc>
      </w:tr>
      <w:tr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Alemanha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187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142</w:t>
            </w:r>
          </w:p>
        </w:tc>
      </w:tr>
      <w:tr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Itália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Países Baixos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46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37</w:t>
            </w:r>
          </w:p>
        </w:tc>
      </w:tr>
      <w:tr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Polónia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Portugal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Eslovénia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Espanha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Suécia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Reino Unido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12</w:t>
            </w:r>
          </w:p>
        </w:tc>
      </w:tr>
      <w:tr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Outros Estados-Membros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95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br w:type="page"/>
      </w:r>
    </w:p>
    <w:p>
      <w:pPr>
        <w:rPr>
          <w:noProof/>
          <w:u w:val="single"/>
        </w:rPr>
      </w:pPr>
      <w:r>
        <w:rPr>
          <w:noProof/>
          <w:u w:val="single"/>
        </w:rPr>
        <w:t>Anexo 2</w:t>
      </w:r>
    </w:p>
    <w:p>
      <w:pPr>
        <w:rPr>
          <w:noProof/>
          <w:u w:val="single"/>
        </w:rPr>
      </w:pPr>
    </w:p>
    <w:p>
      <w:pPr>
        <w:rPr>
          <w:noProof/>
        </w:rPr>
      </w:pPr>
      <w:r>
        <w:rPr>
          <w:noProof/>
        </w:rPr>
        <w:t>Utilização final comunicada de exportações autorizadas para países terceiros em 2017, por categoria de produto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</w:t>
      </w:r>
    </w:p>
    <w:p>
      <w:pPr>
        <w:rPr>
          <w:noProof/>
        </w:rPr>
      </w:pPr>
      <w:r>
        <w:rPr>
          <w:noProof/>
        </w:rPr>
        <w:t>(ver descrição completa dos produtos nos anexos III e IV do Regulamento (UE) 2019/125)</w:t>
      </w:r>
    </w:p>
    <w:p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2214"/>
        <w:gridCol w:w="2214"/>
      </w:tblGrid>
      <w:tr>
        <w:tc>
          <w:tcPr>
            <w:tcW w:w="3402" w:type="dxa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>Exportações da UE 2017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</w:p>
        </w:tc>
        <w:tc>
          <w:tcPr>
            <w:tcW w:w="2214" w:type="dxa"/>
          </w:tcPr>
          <w:p>
            <w:pPr>
              <w:rPr>
                <w:noProof/>
              </w:rPr>
            </w:pP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Anexo III, entrada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Número ou quantidade de mercadorias</w:t>
            </w:r>
            <w:r>
              <w:rPr>
                <w:rStyle w:val="FootnoteReference"/>
                <w:noProof/>
              </w:rPr>
              <w:footnoteReference w:id="3"/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Utilização final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 Grilhetas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498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Manutenção da ordem pública(497);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Fabricante (1)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1.2 Algemas ou argolas individuais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Manutenção da ordem pública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1.3 Coberturas contra cuspidelas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n/a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2.1 Armas portáteis de descarga elétrica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73 416</w:t>
            </w:r>
          </w:p>
        </w:tc>
        <w:tc>
          <w:tcPr>
            <w:tcW w:w="2214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comerciante (70 000); private security firm (2 600); police (808)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2.2 Kits para montagem de 2.1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n/a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2.3 Armas destinadas à administração de descargas elétricas que cobrem uma vasta área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n/a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3.1 Armas e equipamentos portáteis concebidos para administrar substâncias químicas 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176 114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comerciantes (153 000); empresas de segurança privadas (12 612); law enforcement (10 000); defesa (500); outros (2)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3.2 PAVA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40 000 ml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Polícia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3.3 Oleorresina de Capsicum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3.4 Aerossol com gás pimenta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190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Polícia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3.5 Equipamento fixo concebido para administrar substâncias químicas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n/a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3.6 Equipamento concebido para administrar substâncias químicas que cobrem uma vasta área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n/a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 xml:space="preserve">Entrada no anexo IV 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</w:p>
        </w:tc>
        <w:tc>
          <w:tcPr>
            <w:tcW w:w="2214" w:type="dxa"/>
          </w:tcPr>
          <w:p>
            <w:pPr>
              <w:rPr>
                <w:noProof/>
              </w:rPr>
            </w:pP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1.1.a) Amobarbital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 ml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Laboratórios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1.1.b) Sal de sódio de amobarbital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1.1.(c) Pentobarbital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7 ml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Laboratórios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1.1.(d) Sal de sódio de pentobarbital 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516 l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Utilização veterinária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1.1.e) Secobarbital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5 mg e 1 ml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Laboratórios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1.1.f) Sal de sódio de secobarbital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n/a</w:t>
            </w:r>
          </w:p>
        </w:tc>
      </w:tr>
    </w:tbl>
    <w:p>
      <w:pPr>
        <w:rPr>
          <w:noProof/>
        </w:rPr>
      </w:pPr>
      <w:r>
        <w:rPr>
          <w:noProof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2214"/>
        <w:gridCol w:w="2214"/>
      </w:tblGrid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1.1.g) Tiopental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181 650 frascos para injetáveis, </w:t>
            </w:r>
            <w:r>
              <w:rPr>
                <w:noProof/>
              </w:rPr>
              <w:br/>
              <w:t xml:space="preserve">45,88 kg,  </w:t>
            </w:r>
            <w:r>
              <w:rPr>
                <w:noProof/>
              </w:rPr>
              <w:br/>
              <w:t>20  mg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Utilização médica (frascos para injetáveis), empresa farmacêutica (kg), laboratório (mg) 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1.1.h) Sal de sódio de tiopental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1 372 100 frascos para injetáveis, 224,22 kg, 37 600 ml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Uso médico e comerciantes (frascos para injetáveis), indústria farmacêutica (kg), grossista (ml)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1.1 Outros produtos anestésicos barbitúricos 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2 ml 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Hospitais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Misturas mencionadas na nota do anexo IV</w:t>
            </w:r>
            <w:r>
              <w:rPr>
                <w:rStyle w:val="FootnoteReference"/>
                <w:noProof/>
              </w:rPr>
              <w:footnoteReference w:id="4"/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n/a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br w:type="page"/>
      </w:r>
    </w:p>
    <w:p>
      <w:pPr>
        <w:rPr>
          <w:noProof/>
          <w:u w:val="single"/>
        </w:rPr>
      </w:pPr>
      <w:r>
        <w:rPr>
          <w:noProof/>
          <w:u w:val="single"/>
        </w:rPr>
        <w:t>Anexo 3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Utilização final comunicada de exportações autorizadas para países terceiros em 2018, por categoria de produto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</w:t>
      </w:r>
    </w:p>
    <w:p>
      <w:pPr>
        <w:rPr>
          <w:noProof/>
        </w:rPr>
      </w:pPr>
      <w:r>
        <w:rPr>
          <w:noProof/>
        </w:rPr>
        <w:t>(ver descrição completa dos produtos nos anexos III e IV do Regulamento (UE) 2019/125)</w:t>
      </w:r>
    </w:p>
    <w:p>
      <w:pPr>
        <w:rPr>
          <w:noProof/>
        </w:rPr>
      </w:pPr>
    </w:p>
    <w:p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2214"/>
        <w:gridCol w:w="2214"/>
      </w:tblGrid>
      <w:tr>
        <w:tc>
          <w:tcPr>
            <w:tcW w:w="3402" w:type="dxa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>Exportações da UE 2018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</w:p>
        </w:tc>
        <w:tc>
          <w:tcPr>
            <w:tcW w:w="2214" w:type="dxa"/>
          </w:tcPr>
          <w:p>
            <w:pPr>
              <w:rPr>
                <w:noProof/>
              </w:rPr>
            </w:pPr>
          </w:p>
        </w:tc>
      </w:tr>
      <w:tr>
        <w:tc>
          <w:tcPr>
            <w:tcW w:w="3402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Anexo III, entrada</w:t>
            </w:r>
          </w:p>
        </w:tc>
        <w:tc>
          <w:tcPr>
            <w:tcW w:w="2214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 Número ou quantidade de mercadorias</w:t>
            </w:r>
            <w:r>
              <w:rPr>
                <w:rStyle w:val="FootnoteReference"/>
                <w:b/>
                <w:noProof/>
              </w:rPr>
              <w:footnoteReference w:id="6"/>
            </w:r>
          </w:p>
        </w:tc>
        <w:tc>
          <w:tcPr>
            <w:tcW w:w="2214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Utilização final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 Grilhetas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555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Manutenção da ordem pública 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1.2 Algemas ou argolas individuais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«Administração Pública»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1.3 Coberturas contra cuspidelas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n/a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2.1 Armas portáteis de descarga elétrica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75 039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Comerciantes (75 000) e polícia (39)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2.2 Kits para montagem de 2.1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n/a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2.3 Armas destinadas à administração de descargas elétricas que cobrem uma vasta área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n/a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3.1 Armas e equipamentos portáteis concebidos para administrar substâncias químicas 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184 752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Comerciantes (175 000), consumidores (7 500), empresa de segurança privada (1 932), alfândegas (200), polícia (76), ONU (34)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3.2 PAVA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n/a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3.3 Oleorresina de Capsicum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6,1 kg 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Indústria alimentar (kg)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3.4 Aerossol com gás pimenta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1445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Empresa de segurança privada (1 000) e polícia (445)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3.5 Equipamento fixo concebido para administrar substâncias químicas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n/a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3.6 Equipamento concebido para administrar substâncias químicas que cobrem uma vasta área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n/a</w:t>
            </w:r>
          </w:p>
        </w:tc>
      </w:tr>
      <w:tr>
        <w:tc>
          <w:tcPr>
            <w:tcW w:w="3402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Entrada no anexo IV </w:t>
            </w:r>
          </w:p>
        </w:tc>
        <w:tc>
          <w:tcPr>
            <w:tcW w:w="2214" w:type="dxa"/>
          </w:tcPr>
          <w:p>
            <w:pPr>
              <w:rPr>
                <w:b/>
                <w:noProof/>
              </w:rPr>
            </w:pPr>
          </w:p>
        </w:tc>
        <w:tc>
          <w:tcPr>
            <w:tcW w:w="2214" w:type="dxa"/>
          </w:tcPr>
          <w:p>
            <w:pPr>
              <w:rPr>
                <w:b/>
                <w:noProof/>
              </w:rPr>
            </w:pP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1.1.a) Amobarbital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n/a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1.1.b) Sal de sódio de amobarbital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n/a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1.1.c) Pentobarbital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10 mg e 6 ml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Laboratórios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1.1.d) Sal de sódio de pentobarbital 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328,8 l e 6 x 100 ml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Utilização veterinária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1.1.e) Secobarbital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n/a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1.1.f) Sal de sódio de secobarbital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n/a</w:t>
            </w:r>
          </w:p>
        </w:tc>
      </w:tr>
    </w:tbl>
    <w:p>
      <w:pPr>
        <w:rPr>
          <w:noProof/>
        </w:rPr>
      </w:pPr>
      <w:r>
        <w:rPr>
          <w:noProof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2214"/>
        <w:gridCol w:w="2214"/>
      </w:tblGrid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1.1.g) Tiopental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&gt;52 000 frascos para injetáveis 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Utilização médica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1.1.h) Sal de sódio de tiopental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1 452 000 frascos para injetáveis e 70,475 kg</w:t>
            </w:r>
          </w:p>
        </w:tc>
        <w:tc>
          <w:tcPr>
            <w:tcW w:w="2214" w:type="dxa"/>
          </w:tcPr>
          <w:p>
            <w:pPr>
              <w:keepLines/>
              <w:rPr>
                <w:noProof/>
              </w:rPr>
            </w:pPr>
            <w:r>
              <w:rPr>
                <w:noProof/>
              </w:rPr>
              <w:t>Comerciantes (1 100 000 frascos para injetáveis), indústria farmacêutica (40 kg), hospitais e utilização médica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1.1 Outros produtos anestésicos barbitúricos 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Misturas mencionadas na nota do anexo IV</w:t>
            </w:r>
            <w:r>
              <w:rPr>
                <w:rStyle w:val="FootnoteReference"/>
                <w:noProof/>
              </w:rPr>
              <w:footnoteReference w:id="7"/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1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n/a</w:t>
            </w:r>
          </w:p>
        </w:tc>
      </w:tr>
    </w:tbl>
    <w:p>
      <w:pPr>
        <w:rPr>
          <w:noProof/>
          <w:u w:val="single"/>
        </w:rPr>
      </w:pPr>
    </w:p>
    <w:p>
      <w:pPr>
        <w:rPr>
          <w:noProof/>
          <w:u w:val="single"/>
        </w:rPr>
      </w:pPr>
    </w:p>
    <w:p>
      <w:pPr>
        <w:rPr>
          <w:noProof/>
          <w:u w:val="single"/>
        </w:rPr>
      </w:pPr>
      <w:r>
        <w:rPr>
          <w:noProof/>
        </w:rPr>
        <w:br w:type="page"/>
      </w:r>
    </w:p>
    <w:p>
      <w:pPr>
        <w:rPr>
          <w:noProof/>
          <w:u w:val="single"/>
        </w:rPr>
      </w:pPr>
      <w:r>
        <w:rPr>
          <w:noProof/>
          <w:u w:val="single"/>
        </w:rPr>
        <w:t>Anexo 4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Destinos comunicados</w:t>
      </w:r>
      <w:r>
        <w:rPr>
          <w:rStyle w:val="FootnoteReference"/>
          <w:noProof/>
        </w:rPr>
        <w:footnoteReference w:id="8"/>
      </w:r>
      <w:r>
        <w:rPr>
          <w:noProof/>
        </w:rPr>
        <w:t xml:space="preserve"> de exportações autorizadas em 2017, por categoria de produto</w:t>
      </w:r>
    </w:p>
    <w:p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4428"/>
      </w:tblGrid>
      <w:tr>
        <w:tc>
          <w:tcPr>
            <w:tcW w:w="3402" w:type="dxa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>Destinos das exportações da UE em 2017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Anexo III, entrada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 Grilhetas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Andorra, Argentina, Austrália, Costa Rica, Rússia, Suíça, Estados Unidos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1.2 Algemas ou argolas individuais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Austrália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1.3 Coberturas contra cuspidelas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n/a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2.1 Armas portáteis de descarga elétrica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Andorra, Bósnia e Herzegovina, Montenegro, Nova Caledónia, Nigéria, Sérvia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2.2 Kits para montagem de 2.1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n/a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2.3 Armas destinadas à administração de descargas elétricas que cobrem uma vasta área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n/a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3.1 Armas e equipamentos portáteis concebidos para administrar substâncias químicas 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Andorra, Bangladeche, Bósnia e Herzegovina, Camboja, Chile, Costa Rica, República Democrática do Congo, Gana, Índia, Japão, Líbano, Montenegro, Namíbia, Níger, Nigéria, Sérvia, África do Sul, Suíça, Taiwan, Tunísia, Ucrânia, Uruguai, Estados Unidos, Venezuela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3.2 PAVA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Anguila, Austrália, Bermudas, Brasil, Ilhas Falkland, Índia, Coreia do Sul, Rússia, Singapura, África do Sul, Suíça, Taiwan, Turquia, Emirados Árabes Unidos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3.3 Oleorresina de Capsicum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China, território das Caraíbas neerlandesas, Índia, Quénia, Nigéria, Noruega, Singapura, África do Sul, Suíça, Ucrânia, Estados Unidos da América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3.4 Aerossol com gás pimenta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Federação da Rússia, Suíça, Turquia, Estados Unidos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3.5 Equipamento fixo concebido para administrar substâncias químicas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n/a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3.6 Equipamento concebido para administrar substâncias químicas que cobrem uma vasta área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n/a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 xml:space="preserve">Entrada no anexo IV 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1.1.a) Amobarbital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África do Sul, Suíça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1.1.b) Sal de sódio de amobarbital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n/a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1.1.(c) Pentobarbital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Noruega, África do Sul, Suíça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1.1.(d) Sal de sódio de pentobarbital 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Austrália, China, Canadá, Malásia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1.1.e) Secobarbital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México, África do Sul, Suíça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1.1.f) Sal de sódio de secobarbital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n/a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1.1.g) Tiopental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Angola, Bósnia e Herzegovina, Costa Rica, Guiné-Bissau, Mauritânia, México, Sérvia, África do Sul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1.1.h) Sal de sódio de tiopental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Argélia, Bangladeche, Bolívia, República Centro-Africana, China (Hong Kong), Costa do Marfim, Guiné Equatorial, Gabão, Gâmbia, Guiana, Haiti, Índia, Irão, Iraque, Jordânia, Líbano, Libéria, Catar, Serra Leoa, Singapura, Sudão do Sul, Suíça, Síria, Togo, Turquia, Iémen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Outra ou ausência de especificação no anexo IV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Argentina, Austrália, Bangladeche, Canadá, Chile, Colômbia, Cuba, Equador, Egito, Gana, Indonésia, Irão, Israel, Japão, Jordânia, Quénia, Líbia, México, Nova Zelândia, Noruega, Omã, Paquistão, Peru, Coreia do Sul, Arábia Saudita, África do Sul, Sudão, Suíça, Turquia, Uganda, Uruguai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br w:type="page"/>
      </w:r>
    </w:p>
    <w:p>
      <w:pPr>
        <w:rPr>
          <w:noProof/>
          <w:u w:val="single"/>
        </w:rPr>
      </w:pPr>
      <w:r>
        <w:rPr>
          <w:noProof/>
          <w:u w:val="single"/>
        </w:rPr>
        <w:t>Anexo 5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Destinos comunicados</w:t>
      </w:r>
      <w:r>
        <w:rPr>
          <w:rStyle w:val="FootnoteReference"/>
          <w:noProof/>
        </w:rPr>
        <w:footnoteReference w:id="9"/>
      </w:r>
      <w:r>
        <w:rPr>
          <w:noProof/>
        </w:rPr>
        <w:t xml:space="preserve"> de exportações autorizadas em 2018, por categoria de produto</w:t>
      </w:r>
    </w:p>
    <w:p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4428"/>
      </w:tblGrid>
      <w:tr>
        <w:tc>
          <w:tcPr>
            <w:tcW w:w="3402" w:type="dxa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>Destinos das exportações da UE em 2018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Anexo III, entrada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 Grilhetas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Barém, Botsuana, Montenegro, Nova Zelândia, Suíça, Estados Unidos da América 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1.2 Algemas ou argolas individuais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EAU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1.3 Coberturas contra cuspidelas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n/a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2.1 Armas portáteis de descarga elétrica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Azerbaijão, Bósnia e Herzegovina, território dos Países Baixos, Moldávia, Nigéria, Arábia Saudita, Sérvia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2.2 Kits para montagem de 2.1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n/a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2.3 Armas destinadas à administração de descargas elétricas que cobrem uma vasta área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n/a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3.1 Armas e equipamentos portáteis concebidos para administrar substâncias químicas 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Andorra, Argentina, Arménia, Azerbaijão, Bósnia e Herzegovina, República Centro-Africana, Etiópia, Índia, Israel, Japão, Jordânia, Kosovo</w:t>
            </w:r>
            <w:r>
              <w:rPr>
                <w:rStyle w:val="FootnoteReference"/>
                <w:noProof/>
              </w:rPr>
              <w:footnoteReference w:id="10"/>
            </w:r>
            <w:r>
              <w:rPr>
                <w:noProof/>
              </w:rPr>
              <w:t xml:space="preserve">, Libéria, Moldávia, Montenegro, Níger, Nigéria, Arábia Saudita, Sérvia, Somália, África do Sul, Suíça, Taiwan, Tanzânia, Emirados Árabes Unidos, Ucrânia, Estados Unidos da América 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3.2 PAVA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Austrália, Brasil, Índia, Coreia do Sul, Rússia, África do Sul, Suíça, Emirados Árabes Unidos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3.3 Oleorresina de Capsicum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Andorra, Argentina, Austrália, território das Caraíbas neerlandesas, Japão, Quénia, Federação da Rússia, Singapura, África do Sul, Suíça, Tunísia, Ucrânia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3.4 Aerossol com gás pimenta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China, Rússia, Singapura, Suíça, Ucrânia, Estados Unidos da América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3.5 Equipamento fixo concebido para administrar substâncias químicas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n/a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3.6 Equipamento concebido para administrar substâncias químicas que cobrem uma vasta área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n/a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 xml:space="preserve">Entrada no anexo IV 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1.1.a) Amobarbital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n/a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1.1.b) Sal de sódio de amobarbital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n/a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1.1.(c) Pentobarbital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Arábia Saudita, Sérvia, Estados Unidos da América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1.1.(d) Sal de sódio de pentobarbital 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Belize, Canadá, China, Kosovo, Malásia 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1.1.e) Secobarbital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Arábia Saudita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1.1.f) Sal de sódio de secobarbital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n/a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1.1.g) Tiopental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Bósnia e Herzegovina, Sérvia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1.1.h) Sal de sódio de tiopental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Albânia, Argélia, Argentina, Bangladeche, Belize, República Centro-Africana, Chade, Costa do Marfim, Geórgia, Gana, Guiné-Conacri, Haiti, Irão, Iraque, Líbano, Maláui, Níger, Nigéria, Arábia Saudita, Serra Leoa, Singapura, África do Sul, Sudão do Sul, Sudão, Suíça, Síria, Tajiquistão, Timor-Leste, Togo, Turquia</w:t>
            </w:r>
          </w:p>
        </w:tc>
      </w:tr>
      <w:tr>
        <w:tc>
          <w:tcPr>
            <w:tcW w:w="340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Outra ou ausência de especificação no anexo IV</w:t>
            </w:r>
          </w:p>
        </w:tc>
        <w:tc>
          <w:tcPr>
            <w:tcW w:w="44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Argentina, Austrália, Canadá, Chile, Colômbia, Cuba, Etiópia, Irão, Quénia, Malásia, Noruega, Peru, Coreia do Sul, África do Sul, Suriname, Suíça, Turquia, Zimbabué</w:t>
            </w:r>
          </w:p>
        </w:tc>
      </w:tr>
    </w:tbl>
    <w:p>
      <w:pPr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PT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PT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ootnoteText"/>
        <w:ind w:left="720" w:hanging="720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A autorização geral de exportação da União (anexo V do Regulamento (UE) 2019/125) não é uma autorização concedida por um Estado-Membro. </w:t>
      </w:r>
    </w:p>
  </w:footnote>
  <w:footnote w:id="2">
    <w:p>
      <w:pPr>
        <w:pStyle w:val="FootnoteText"/>
        <w:ind w:left="720" w:hanging="720"/>
      </w:pPr>
      <w:r>
        <w:rPr>
          <w:rStyle w:val="FootnoteReference"/>
        </w:rPr>
        <w:footnoteRef/>
      </w:r>
      <w:r>
        <w:t xml:space="preserve"> </w:t>
      </w:r>
      <w:r>
        <w:tab/>
        <w:t>De notar que um Estado-Membro não forneceu informações sobre o número e as quantidades, nem sobre as categorias de utilizadores finais.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É indicada uma medição específica no que respeita às quantidades</w:t>
      </w:r>
    </w:p>
  </w:footnote>
  <w:footnote w:id="4">
    <w:p>
      <w:pPr>
        <w:pStyle w:val="FootnoteText"/>
        <w:ind w:left="720" w:hanging="720"/>
      </w:pPr>
      <w:r>
        <w:rPr>
          <w:rStyle w:val="FootnoteReference"/>
        </w:rPr>
        <w:footnoteRef/>
      </w:r>
      <w:r>
        <w:t xml:space="preserve"> </w:t>
      </w:r>
      <w:r>
        <w:tab/>
        <w:t>Produtos que contêm um dos produtos anestésicos enumerados como produtos anestésicos barbitúricos de ação rápida ou intermédia.</w:t>
      </w:r>
    </w:p>
  </w:footnote>
  <w:footnote w:id="5">
    <w:p>
      <w:pPr>
        <w:pStyle w:val="FootnoteText"/>
        <w:ind w:left="720" w:hanging="720"/>
      </w:pPr>
      <w:r>
        <w:rPr>
          <w:rStyle w:val="FootnoteReference"/>
        </w:rPr>
        <w:footnoteRef/>
      </w:r>
      <w:r>
        <w:t xml:space="preserve"> </w:t>
      </w:r>
      <w:r>
        <w:tab/>
        <w:t>De notar que um Estado-Membro não forneceu informações sobre o número e as quantidades, nem sobre as categorias de utilizadores finais.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É indicada uma medição específica no que respeita às quantidades.</w:t>
      </w:r>
    </w:p>
  </w:footnote>
  <w:footnote w:id="7">
    <w:p>
      <w:pPr>
        <w:pStyle w:val="FootnoteText"/>
        <w:ind w:left="720" w:hanging="720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Produtos que contêm um dos produtos anestésicos enumerados como produtos anestésicos barbitúricos de ação rápida ou intermédia. </w:t>
      </w:r>
    </w:p>
  </w:footnote>
  <w:footnote w:id="8">
    <w:p>
      <w:pPr>
        <w:pStyle w:val="FootnoteText"/>
        <w:ind w:left="720" w:hanging="720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Os termos «território das Caraíbas neerlandesas» designam os territórios neerlandeses que não fazem parte do território aduaneiro da União, </w:t>
      </w:r>
      <w:r>
        <w:rPr>
          <w:i/>
        </w:rPr>
        <w:t xml:space="preserve">ou seja, </w:t>
      </w:r>
      <w:r>
        <w:t>Aruba, Bonaire, Curaçau, Saba, Santo Eustáquio e São Martinho.</w:t>
      </w:r>
    </w:p>
  </w:footnote>
  <w:footnote w:id="9">
    <w:p>
      <w:pPr>
        <w:pStyle w:val="FootnoteText"/>
        <w:ind w:left="720" w:hanging="720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Os termos «território das Caraíbas neerlandesas» designam os territórios neerlandeses que não fazem parte do território aduaneiro da União, </w:t>
      </w:r>
      <w:r>
        <w:rPr>
          <w:i/>
        </w:rPr>
        <w:t xml:space="preserve">ou seja, </w:t>
      </w:r>
      <w:r>
        <w:t>Aruba, Bonaire, Curaçau, Saba, Santo Eustáquio e São Martinho.</w:t>
      </w:r>
    </w:p>
  </w:footnote>
  <w:footnote w:id="10">
    <w:p>
      <w:pPr>
        <w:pStyle w:val="FootnoteText"/>
        <w:ind w:left="720" w:hanging="720"/>
      </w:pPr>
      <w:r>
        <w:rPr>
          <w:rStyle w:val="FootnoteReference"/>
        </w:rPr>
        <w:footnoteRef/>
      </w:r>
      <w:r>
        <w:t xml:space="preserve"> </w:t>
      </w:r>
      <w:r>
        <w:tab/>
        <w:t>Esta designação não prejudica as posições relativas ao estatuto e está conforme com a Resolução 1244 (1999) do Conselho de Segurança das Nações Unidas e com o parecer do TIJ sobre a declaração de independência do Kosovo.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67D3"/>
    <w:multiLevelType w:val="multilevel"/>
    <w:tmpl w:val="17441560"/>
    <w:lvl w:ilvl="0">
      <w:start w:val="1"/>
      <w:numFmt w:val="decimal"/>
      <w:pStyle w:val="HeaderSensitivityRight"/>
      <w:lvlText w:val="%1."/>
      <w:lvlJc w:val="left"/>
      <w:pPr>
        <w:ind w:left="135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2" w:hanging="1800"/>
      </w:pPr>
      <w:rPr>
        <w:rFonts w:hint="default"/>
      </w:rPr>
    </w:lvl>
  </w:abstractNum>
  <w:abstractNum w:abstractNumId="1">
    <w:nsid w:val="06674B3B"/>
    <w:multiLevelType w:val="multilevel"/>
    <w:tmpl w:val="9384C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26F5762"/>
    <w:multiLevelType w:val="hybridMultilevel"/>
    <w:tmpl w:val="441C6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B3227"/>
    <w:multiLevelType w:val="multilevel"/>
    <w:tmpl w:val="203A9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949DE"/>
    <w:multiLevelType w:val="multilevel"/>
    <w:tmpl w:val="41282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558D0"/>
    <w:multiLevelType w:val="hybridMultilevel"/>
    <w:tmpl w:val="203A9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A423C"/>
    <w:multiLevelType w:val="hybridMultilevel"/>
    <w:tmpl w:val="78F4CB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71D82A76"/>
    <w:multiLevelType w:val="multilevel"/>
    <w:tmpl w:val="5D445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do"/>
    <w:docVar w:name="LW_ANNEX_NBR_FIRST" w:val="1"/>
    <w:docVar w:name="LW_ANNEX_NBR_LAST" w:val="5"/>
    <w:docVar w:name="LW_ANNEX_UNIQUE" w:val="0"/>
    <w:docVar w:name="LW_CORRIGENDUM" w:val="&lt;UNUSED&gt;"/>
    <w:docVar w:name="LW_COVERPAGE_EXISTS" w:val="True"/>
    <w:docVar w:name="LW_COVERPAGE_GUID" w:val="EDD82523-E4D6-42FB-A3ED-E4DC056E1667"/>
    <w:docVar w:name="LW_COVERPAGE_TYPE" w:val="1"/>
    <w:docVar w:name="LW_CROSSREFERENCE" w:val="&lt;UNUSED&gt;"/>
    <w:docVar w:name="LW_DocType" w:val="NORMAL"/>
    <w:docVar w:name="LW_EMISSION" w:val="1.10.2019"/>
    <w:docVar w:name="LW_EMISSION_ISODATE" w:val="2019-10-01"/>
    <w:docVar w:name="LW_EMISSION_LOCATION" w:val="BRX"/>
    <w:docVar w:name="LW_EMISSION_PREFIX" w:val="Bruxelas, "/>
    <w:docVar w:name="LW_EMISSION_SUFFIX" w:val=" "/>
    <w:docVar w:name="LW_ID_DOCTYPE_NONLW" w:val="CP-039"/>
    <w:docVar w:name="LW_LANGUE" w:val="PT"/>
    <w:docVar w:name="LW_LEVEL_OF_SENSITIVITY" w:val="Standard treatment"/>
    <w:docVar w:name="LW_NOM.INST" w:val="COMISSÃO EUROPEIA"/>
    <w:docVar w:name="LW_NOM.INST_JOINTDOC" w:val="&lt;EMPTY&gt;"/>
    <w:docVar w:name="LW_OBJETACTEPRINCIPAL.CP" w:val="&lt;FMT:Bold&gt;Relatório relativo às autorizações de exportação em 2017 e 2018 ao abrigo do Regulamento que rege &lt;/FMT&gt;o comércio de determinadas mercadorias suscetíveis de serem utilizadas para aplicar a pena de morte ou infligir tortura ou outras penas ou tratamentos cruéis, desumanos ou degradantes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9) 44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EXOS_x000b_"/>
    <w:docVar w:name="LW_TYPEACTEPRINCIPAL.CP" w:val="RELATÓRIO DA COMISSÃO AO PARLAMENTO EUROPEU E AO CONSELHO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pt-PT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lang w:eastAsia="pt-PT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  <w:lang w:eastAsia="pt-PT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eastAsia="pt-PT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NumPar">
    <w:name w:val="LegalNumPar"/>
    <w:basedOn w:val="Normal"/>
    <w:pPr>
      <w:numPr>
        <w:numId w:val="6"/>
      </w:numPr>
      <w:spacing w:line="360" w:lineRule="auto"/>
    </w:pPr>
  </w:style>
  <w:style w:type="paragraph" w:customStyle="1" w:styleId="LegalNumPar2">
    <w:name w:val="LegalNumPar2"/>
    <w:basedOn w:val="Normal"/>
    <w:pPr>
      <w:numPr>
        <w:ilvl w:val="1"/>
        <w:numId w:val="6"/>
      </w:numPr>
      <w:spacing w:line="360" w:lineRule="auto"/>
    </w:pPr>
  </w:style>
  <w:style w:type="paragraph" w:customStyle="1" w:styleId="LegalNumPar3">
    <w:name w:val="LegalNumPar3"/>
    <w:basedOn w:val="Normal"/>
    <w:pPr>
      <w:numPr>
        <w:ilvl w:val="2"/>
        <w:numId w:val="6"/>
      </w:numPr>
      <w:spacing w:line="360" w:lineRule="auto"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b/>
      <w:sz w:val="32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b/>
      <w:sz w:val="32"/>
      <w:szCs w:val="24"/>
    </w:rPr>
  </w:style>
  <w:style w:type="paragraph" w:styleId="EndnoteText">
    <w:name w:val="endnote text"/>
    <w:basedOn w:val="Normal"/>
    <w:link w:val="EndnoteTextChar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lang w:eastAsia="pt-PT"/>
    </w:rPr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 w:cs="Segoe UI"/>
      <w:sz w:val="18"/>
      <w:szCs w:val="18"/>
      <w:lang w:eastAsia="pt-PT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lang w:eastAsia="pt-PT"/>
    </w:rPr>
  </w:style>
  <w:style w:type="paragraph" w:customStyle="1" w:styleId="Normal1">
    <w:name w:val="Normal1"/>
    <w:basedOn w:val="Normal"/>
    <w:pPr>
      <w:spacing w:before="100" w:beforeAutospacing="1" w:after="100" w:afterAutospacing="1"/>
    </w:pPr>
  </w:style>
  <w:style w:type="paragraph" w:customStyle="1" w:styleId="HeaderSensitivityRight">
    <w:name w:val="Header Sensitivity Right"/>
    <w:basedOn w:val="Normal"/>
    <w:link w:val="HeaderSensitivityRightChar"/>
    <w:pPr>
      <w:numPr>
        <w:numId w:val="2"/>
      </w:numPr>
      <w:spacing w:after="120"/>
      <w:ind w:left="0"/>
      <w:jc w:val="right"/>
    </w:pPr>
    <w:rPr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Pr>
      <w:sz w:val="24"/>
      <w:szCs w:val="24"/>
      <w:lang w:eastAsia="pt-PT"/>
    </w:rPr>
  </w:style>
  <w:style w:type="character" w:customStyle="1" w:styleId="HeaderSensitivityRightChar">
    <w:name w:val="Header Sensitivity Right Char"/>
    <w:basedOn w:val="ListParagraphChar"/>
    <w:link w:val="HeaderSensitivityRight"/>
    <w:rPr>
      <w:sz w:val="28"/>
      <w:szCs w:val="24"/>
      <w:lang w:eastAsia="pt-PT"/>
    </w:rPr>
  </w:style>
  <w:style w:type="paragraph" w:customStyle="1" w:styleId="Typedudocument">
    <w:name w:val="Type du document"/>
    <w:basedOn w:val="Normal"/>
    <w:next w:val="Normal"/>
    <w:pPr>
      <w:spacing w:before="360"/>
      <w:jc w:val="center"/>
    </w:pPr>
    <w:rPr>
      <w:rFonts w:eastAsiaTheme="minorHAnsi"/>
      <w:b/>
      <w:szCs w:val="22"/>
    </w:rPr>
  </w:style>
  <w:style w:type="paragraph" w:customStyle="1" w:styleId="Accompagnant">
    <w:name w:val="Accompagnant"/>
    <w:basedOn w:val="Normal"/>
    <w:next w:val="Normal"/>
    <w:pPr>
      <w:spacing w:after="240"/>
      <w:jc w:val="center"/>
    </w:pPr>
    <w:rPr>
      <w:rFonts w:eastAsiaTheme="minorHAnsi"/>
      <w:b/>
      <w:i/>
      <w:szCs w:val="22"/>
    </w:rPr>
  </w:style>
  <w:style w:type="paragraph" w:customStyle="1" w:styleId="Typeacteprincipal">
    <w:name w:val="Type acte principal"/>
    <w:basedOn w:val="Normal"/>
    <w:next w:val="Normal"/>
    <w:pPr>
      <w:spacing w:after="240"/>
      <w:jc w:val="center"/>
    </w:pPr>
    <w:rPr>
      <w:rFonts w:eastAsiaTheme="minorHAnsi"/>
      <w:b/>
      <w:szCs w:val="22"/>
    </w:rPr>
  </w:style>
  <w:style w:type="paragraph" w:customStyle="1" w:styleId="Objetacteprincipal">
    <w:name w:val="Objet acte principal"/>
    <w:basedOn w:val="Normal"/>
    <w:next w:val="Normal"/>
    <w:pPr>
      <w:spacing w:after="360"/>
      <w:jc w:val="center"/>
    </w:pPr>
    <w:rPr>
      <w:rFonts w:eastAsiaTheme="minorHAns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pt-PT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lang w:eastAsia="pt-PT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  <w:lang w:eastAsia="pt-PT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eastAsia="pt-PT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NumPar">
    <w:name w:val="LegalNumPar"/>
    <w:basedOn w:val="Normal"/>
    <w:pPr>
      <w:numPr>
        <w:numId w:val="6"/>
      </w:numPr>
      <w:spacing w:line="360" w:lineRule="auto"/>
    </w:pPr>
  </w:style>
  <w:style w:type="paragraph" w:customStyle="1" w:styleId="LegalNumPar2">
    <w:name w:val="LegalNumPar2"/>
    <w:basedOn w:val="Normal"/>
    <w:pPr>
      <w:numPr>
        <w:ilvl w:val="1"/>
        <w:numId w:val="6"/>
      </w:numPr>
      <w:spacing w:line="360" w:lineRule="auto"/>
    </w:pPr>
  </w:style>
  <w:style w:type="paragraph" w:customStyle="1" w:styleId="LegalNumPar3">
    <w:name w:val="LegalNumPar3"/>
    <w:basedOn w:val="Normal"/>
    <w:pPr>
      <w:numPr>
        <w:ilvl w:val="2"/>
        <w:numId w:val="6"/>
      </w:numPr>
      <w:spacing w:line="360" w:lineRule="auto"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b/>
      <w:sz w:val="32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b/>
      <w:sz w:val="32"/>
      <w:szCs w:val="24"/>
    </w:rPr>
  </w:style>
  <w:style w:type="paragraph" w:styleId="EndnoteText">
    <w:name w:val="endnote text"/>
    <w:basedOn w:val="Normal"/>
    <w:link w:val="EndnoteTextChar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lang w:eastAsia="pt-PT"/>
    </w:rPr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 w:cs="Segoe UI"/>
      <w:sz w:val="18"/>
      <w:szCs w:val="18"/>
      <w:lang w:eastAsia="pt-PT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lang w:eastAsia="pt-PT"/>
    </w:rPr>
  </w:style>
  <w:style w:type="paragraph" w:customStyle="1" w:styleId="Normal1">
    <w:name w:val="Normal1"/>
    <w:basedOn w:val="Normal"/>
    <w:pPr>
      <w:spacing w:before="100" w:beforeAutospacing="1" w:after="100" w:afterAutospacing="1"/>
    </w:pPr>
  </w:style>
  <w:style w:type="paragraph" w:customStyle="1" w:styleId="HeaderSensitivityRight">
    <w:name w:val="Header Sensitivity Right"/>
    <w:basedOn w:val="Normal"/>
    <w:link w:val="HeaderSensitivityRightChar"/>
    <w:pPr>
      <w:numPr>
        <w:numId w:val="2"/>
      </w:numPr>
      <w:spacing w:after="120"/>
      <w:ind w:left="0"/>
      <w:jc w:val="right"/>
    </w:pPr>
    <w:rPr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Pr>
      <w:sz w:val="24"/>
      <w:szCs w:val="24"/>
      <w:lang w:eastAsia="pt-PT"/>
    </w:rPr>
  </w:style>
  <w:style w:type="character" w:customStyle="1" w:styleId="HeaderSensitivityRightChar">
    <w:name w:val="Header Sensitivity Right Char"/>
    <w:basedOn w:val="ListParagraphChar"/>
    <w:link w:val="HeaderSensitivityRight"/>
    <w:rPr>
      <w:sz w:val="28"/>
      <w:szCs w:val="24"/>
      <w:lang w:eastAsia="pt-PT"/>
    </w:rPr>
  </w:style>
  <w:style w:type="paragraph" w:customStyle="1" w:styleId="Typedudocument">
    <w:name w:val="Type du document"/>
    <w:basedOn w:val="Normal"/>
    <w:next w:val="Normal"/>
    <w:pPr>
      <w:spacing w:before="360"/>
      <w:jc w:val="center"/>
    </w:pPr>
    <w:rPr>
      <w:rFonts w:eastAsiaTheme="minorHAnsi"/>
      <w:b/>
      <w:szCs w:val="22"/>
    </w:rPr>
  </w:style>
  <w:style w:type="paragraph" w:customStyle="1" w:styleId="Accompagnant">
    <w:name w:val="Accompagnant"/>
    <w:basedOn w:val="Normal"/>
    <w:next w:val="Normal"/>
    <w:pPr>
      <w:spacing w:after="240"/>
      <w:jc w:val="center"/>
    </w:pPr>
    <w:rPr>
      <w:rFonts w:eastAsiaTheme="minorHAnsi"/>
      <w:b/>
      <w:i/>
      <w:szCs w:val="22"/>
    </w:rPr>
  </w:style>
  <w:style w:type="paragraph" w:customStyle="1" w:styleId="Typeacteprincipal">
    <w:name w:val="Type acte principal"/>
    <w:basedOn w:val="Normal"/>
    <w:next w:val="Normal"/>
    <w:pPr>
      <w:spacing w:after="240"/>
      <w:jc w:val="center"/>
    </w:pPr>
    <w:rPr>
      <w:rFonts w:eastAsiaTheme="minorHAnsi"/>
      <w:b/>
      <w:szCs w:val="22"/>
    </w:rPr>
  </w:style>
  <w:style w:type="paragraph" w:customStyle="1" w:styleId="Objetacteprincipal">
    <w:name w:val="Objet acte principal"/>
    <w:basedOn w:val="Normal"/>
    <w:next w:val="Normal"/>
    <w:pPr>
      <w:spacing w:after="360"/>
      <w:jc w:val="center"/>
    </w:pPr>
    <w:rPr>
      <w:rFonts w:eastAsiaTheme="minorHAns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1379</Words>
  <Characters>7991</Characters>
  <Application>Microsoft Office Word</Application>
  <DocSecurity>0</DocSecurity>
  <Lines>532</Lines>
  <Paragraphs>347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STRAVER Albertus (FPI)</dc:creator>
  <cp:lastModifiedBy>DIGIT/C6</cp:lastModifiedBy>
  <cp:revision>8</cp:revision>
  <dcterms:created xsi:type="dcterms:W3CDTF">2019-09-23T10:51:00Z</dcterms:created>
  <dcterms:modified xsi:type="dcterms:W3CDTF">2019-09-30T09:39:00Z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5</vt:lpwstr>
  </property>
  <property fmtid="{D5CDD505-2E9C-101B-9397-08002B2CF9AE}" pid="5" name="Unique annex">
    <vt:lpwstr>0</vt:lpwstr>
  </property>
  <property fmtid="{D5CDD505-2E9C-101B-9397-08002B2CF9AE}" pid="6" name="Part">
    <vt:lpwstr>&lt;UNUSED&gt;</vt:lpwstr>
  </property>
  <property fmtid="{D5CDD505-2E9C-101B-9397-08002B2CF9AE}" pid="7" name="Total parts">
    <vt:lpwstr>&lt;UNUSED&gt;</vt:lpwstr>
  </property>
  <property fmtid="{D5CDD505-2E9C-101B-9397-08002B2CF9AE}" pid="8" name="DocStatus">
    <vt:lpwstr>Green</vt:lpwstr>
  </property>
  <property fmtid="{D5CDD505-2E9C-101B-9397-08002B2CF9AE}" pid="9" name="CPTemplateID">
    <vt:lpwstr>CP-039</vt:lpwstr>
  </property>
  <property fmtid="{D5CDD505-2E9C-101B-9397-08002B2CF9AE}" pid="10" name="Last edited using">
    <vt:lpwstr>LW 7.0, Build 20190717</vt:lpwstr>
  </property>
  <property fmtid="{D5CDD505-2E9C-101B-9397-08002B2CF9AE}" pid="11" name="Created using">
    <vt:lpwstr>LW 7.0, Build 20190717</vt:lpwstr>
  </property>
</Properties>
</file>