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0D1A7DF4-CE77-4F97-B3C2-B270026515DB" style="width:450.75pt;height:307.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jc w:val="center"/>
        <w:rPr>
          <w:noProof/>
        </w:rPr>
      </w:pPr>
      <w:bookmarkStart w:id="1" w:name="_GoBack"/>
      <w:bookmarkEnd w:id="1"/>
      <w:r>
        <w:rPr>
          <w:b/>
          <w:noProof/>
        </w:rPr>
        <w:lastRenderedPageBreak/>
        <w:t>SPIS TREŚCI</w:t>
      </w:r>
    </w:p>
    <w:sdt>
      <w:sdtPr>
        <w:rPr>
          <w:rFonts w:ascii="Times New Roman" w:hAnsi="Times New Roman"/>
          <w:b w:val="0"/>
          <w:caps/>
          <w:noProof/>
          <w:sz w:val="24"/>
        </w:rPr>
        <w:id w:val="-1038434714"/>
        <w:docPartObj>
          <w:docPartGallery w:val="Table of Contents"/>
          <w:docPartUnique/>
        </w:docPartObj>
      </w:sdtPr>
      <w:sdtEndPr>
        <w:rPr>
          <w:bCs/>
        </w:rPr>
      </w:sdtEndPr>
      <w:sdtContent>
        <w:p>
          <w:pPr>
            <w:pStyle w:val="TOCHeading"/>
            <w:rPr>
              <w:noProof/>
            </w:rPr>
          </w:pPr>
          <w:r>
            <w:rPr>
              <w:noProof/>
            </w:rPr>
            <w:t>Spis treści</w:t>
          </w:r>
        </w:p>
        <w:p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GB" w:eastAsia="en-GB" w:bidi="ar-SA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3748701" w:history="1">
            <w:r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  <w:noProof/>
              </w:rPr>
              <w:t>Streszczenie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GB" w:eastAsia="en-GB" w:bidi="ar-SA"/>
            </w:rPr>
          </w:pPr>
          <w:hyperlink w:anchor="_Toc13748702" w:history="1">
            <w:r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  <w:noProof/>
              </w:rPr>
              <w:t>Kontekst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GB" w:eastAsia="en-GB" w:bidi="ar-SA"/>
            </w:rPr>
          </w:pPr>
          <w:hyperlink w:anchor="_Toc13748703" w:history="1">
            <w:r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  <w:noProof/>
              </w:rPr>
              <w:t>Zatwierdzone jednostki przeprowadzające napromieniowanie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GB" w:eastAsia="en-GB" w:bidi="ar-SA"/>
            </w:rPr>
          </w:pPr>
          <w:hyperlink w:anchor="_Toc13748704" w:history="1">
            <w:r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  <w:noProof/>
              </w:rPr>
              <w:t>Wyniki kontroli dokonanych w jednostkach przeprowadzających napromieniowanie w latach 2016–2017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en-GB" w:eastAsia="en-GB" w:bidi="ar-SA"/>
            </w:rPr>
          </w:pPr>
          <w:hyperlink w:anchor="_Toc13748705" w:history="1">
            <w:r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  <w:noProof/>
              </w:rPr>
              <w:t>Wyniki kontroli na etapie wprowadzania produktów do obrotu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bCs/>
              <w:noProof/>
            </w:rPr>
            <w:fldChar w:fldCharType="end"/>
          </w:r>
        </w:p>
      </w:sdtContent>
    </w:sdt>
    <w:p>
      <w:pPr>
        <w:rPr>
          <w:noProof/>
          <w:szCs w:val="24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440" w:bottom="1440" w:left="1440" w:header="601" w:footer="1077" w:gutter="0"/>
          <w:cols w:space="720"/>
          <w:titlePg/>
          <w:docGrid w:linePitch="326"/>
        </w:sectPr>
      </w:pPr>
      <w:bookmarkStart w:id="2" w:name="_Toc463512784"/>
    </w:p>
    <w:p>
      <w:pPr>
        <w:pStyle w:val="Heading1"/>
        <w:ind w:left="480" w:hanging="480"/>
        <w:rPr>
          <w:noProof/>
        </w:rPr>
      </w:pPr>
      <w:bookmarkStart w:id="3" w:name="_Toc2614208"/>
      <w:bookmarkStart w:id="4" w:name="_Toc10645564"/>
      <w:bookmarkStart w:id="5" w:name="_Toc13748701"/>
      <w:r>
        <w:rPr>
          <w:noProof/>
        </w:rPr>
        <w:lastRenderedPageBreak/>
        <w:t>Streszczenie</w:t>
      </w:r>
      <w:bookmarkEnd w:id="2"/>
      <w:bookmarkEnd w:id="3"/>
      <w:bookmarkEnd w:id="4"/>
      <w:bookmarkEnd w:id="5"/>
    </w:p>
    <w:p>
      <w:pPr>
        <w:pStyle w:val="Text1"/>
        <w:spacing w:after="0"/>
        <w:rPr>
          <w:noProof/>
        </w:rPr>
      </w:pPr>
      <w:r>
        <w:rPr>
          <w:noProof/>
        </w:rPr>
        <w:t>Zgodnie z art. 7 ust. 3 dyrektywy 1999/2/WE Parlamentu Europejskiego i Rady z dnia 22 lutego 1999 r. w sprawie zbliżenia ustawodawstw państw członkowskich dotyczących środków spożywczych oraz składników środków spożywczych poddanych działaniu promieniowania jonizującego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państwa członkowskie co roku przesyłają Komisji: 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t xml:space="preserve">wyniki kontroli przeprowadzonych w jednostkach przeprowadzających napromieniowanie, szczególnie w odniesieniu do kategorii i ilości produktów poddawanych promieniowaniu oraz stosowane dawki, oraz </w:t>
      </w:r>
    </w:p>
    <w:p>
      <w:pPr>
        <w:pStyle w:val="ListDash1"/>
        <w:numPr>
          <w:ilvl w:val="0"/>
          <w:numId w:val="20"/>
        </w:numPr>
        <w:rPr>
          <w:noProof/>
        </w:rPr>
      </w:pPr>
      <w:r>
        <w:rPr>
          <w:noProof/>
        </w:rPr>
        <w:t xml:space="preserve">wyniki kontroli przeprowadzonych na etapie wprowadzania produktów do obrotu handlowego. </w:t>
      </w:r>
    </w:p>
    <w:p>
      <w:pPr>
        <w:pStyle w:val="Text1"/>
        <w:spacing w:after="0"/>
        <w:rPr>
          <w:noProof/>
        </w:rPr>
      </w:pPr>
      <w:r>
        <w:rPr>
          <w:noProof/>
        </w:rPr>
        <w:t>W art. 7 ust. 4 wspomnianej dyrektywy nakłada się na Komisję obowiązek opublikowania w </w:t>
      </w:r>
      <w:r>
        <w:rPr>
          <w:i/>
          <w:noProof/>
        </w:rPr>
        <w:t>Dzienniku Urzędowym Unii Europejskiej</w:t>
      </w:r>
      <w:r>
        <w:rPr>
          <w:noProof/>
        </w:rPr>
        <w:t xml:space="preserve">: 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t>szczegółowych danych dotyczących zatwierdzonych jednostek przeprowadzających napromieniowanie w państwach członkowskich, a także wszelkich zmian ich statusu,</w:t>
      </w:r>
    </w:p>
    <w:p>
      <w:pPr>
        <w:pStyle w:val="ListDash1"/>
        <w:numPr>
          <w:ilvl w:val="0"/>
          <w:numId w:val="20"/>
        </w:numPr>
        <w:rPr>
          <w:noProof/>
        </w:rPr>
      </w:pPr>
      <w:r>
        <w:rPr>
          <w:noProof/>
        </w:rPr>
        <w:t xml:space="preserve">sprawozdania w oparciu o informacje dostarczane co roku przez krajowe organy nadzoru. </w:t>
      </w:r>
    </w:p>
    <w:p>
      <w:pPr>
        <w:pStyle w:val="Text1"/>
        <w:rPr>
          <w:noProof/>
        </w:rPr>
      </w:pPr>
      <w:r>
        <w:rPr>
          <w:noProof/>
        </w:rPr>
        <w:t xml:space="preserve">Niniejsze sprawozdanie obejmuje okres od dnia 1 stycznia 2016 r. do dnia 31 grudnia 2017 r. Zawiera ono zestawienie informacji przekazanych Komisji przez 28 państw członkowskich za 2016 r. i przez 27 państw członkowskich za 2017 r. Malta nie przedstawiła żadnych danych za 2017 r. </w:t>
      </w:r>
    </w:p>
    <w:p>
      <w:pPr>
        <w:ind w:firstLine="482"/>
        <w:rPr>
          <w:b/>
          <w:noProof/>
        </w:rPr>
      </w:pPr>
      <w:r>
        <w:rPr>
          <w:b/>
          <w:noProof/>
        </w:rPr>
        <w:t xml:space="preserve">Okres: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</w:rPr>
        <w:t>1/1/2016 – 31/12/2017</w:t>
      </w:r>
    </w:p>
    <w:p>
      <w:pPr>
        <w:pStyle w:val="Text1"/>
        <w:ind w:left="0" w:firstLine="482"/>
        <w:rPr>
          <w:noProof/>
        </w:rPr>
      </w:pPr>
      <w:r>
        <w:rPr>
          <w:b/>
          <w:noProof/>
        </w:rPr>
        <w:t>Państwa objęte sprawozdaniem:</w:t>
      </w:r>
      <w:r>
        <w:rPr>
          <w:noProof/>
        </w:rPr>
        <w:tab/>
        <w:t>Państwa członkowskie UE i państwa EFTA</w:t>
      </w:r>
    </w:p>
    <w:p>
      <w:pPr>
        <w:ind w:firstLine="482"/>
        <w:rPr>
          <w:noProof/>
        </w:rPr>
      </w:pPr>
      <w:r>
        <w:rPr>
          <w:b/>
          <w:noProof/>
        </w:rPr>
        <w:t>Źródło: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28 państw członkowskich i Norwegia</w:t>
      </w:r>
    </w:p>
    <w:p>
      <w:pPr>
        <w:pStyle w:val="Text1"/>
        <w:spacing w:after="0"/>
        <w:ind w:left="0" w:firstLine="482"/>
        <w:rPr>
          <w:b/>
          <w:noProof/>
        </w:rPr>
      </w:pPr>
      <w:r>
        <w:rPr>
          <w:b/>
          <w:noProof/>
        </w:rPr>
        <w:t>Jednostki przeprowadzające napromieniowanie: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t>Liczba państw posiadających jednostki przeprowadzające napromieniowanie:</w:t>
      </w:r>
      <w:r>
        <w:rPr>
          <w:noProof/>
        </w:rPr>
        <w:tab/>
        <w:t xml:space="preserve">14 państw członkowskich i Norwegia 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t>Liczba zatwierdzonych jednostek:</w:t>
      </w:r>
      <w:r>
        <w:rPr>
          <w:noProof/>
        </w:rPr>
        <w:tab/>
        <w:t xml:space="preserve">24 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t>Liczba zamkniętych jednostek:</w:t>
      </w:r>
      <w:r>
        <w:rPr>
          <w:noProof/>
        </w:rPr>
        <w:tab/>
        <w:t>2</w:t>
      </w:r>
    </w:p>
    <w:p>
      <w:pPr>
        <w:pStyle w:val="ListDash1"/>
        <w:numPr>
          <w:ilvl w:val="0"/>
          <w:numId w:val="20"/>
        </w:numPr>
        <w:rPr>
          <w:noProof/>
        </w:rPr>
      </w:pPr>
      <w:r>
        <w:rPr>
          <w:noProof/>
        </w:rPr>
        <w:t>Liczba państw przeprowadzających napromieniowanie:</w:t>
      </w:r>
      <w:r>
        <w:rPr>
          <w:noProof/>
        </w:rPr>
        <w:tab/>
        <w:t>10 państw członkowskich i Norwegia</w:t>
      </w:r>
    </w:p>
    <w:p>
      <w:pPr>
        <w:spacing w:after="0"/>
        <w:ind w:firstLine="482"/>
        <w:rPr>
          <w:b/>
          <w:noProof/>
        </w:rPr>
      </w:pPr>
      <w:r>
        <w:rPr>
          <w:b/>
          <w:noProof/>
        </w:rPr>
        <w:t>Dane dotyczące napromieniania:</w:t>
      </w:r>
    </w:p>
    <w:p>
      <w:pPr>
        <w:pStyle w:val="ListDash1"/>
        <w:numPr>
          <w:ilvl w:val="0"/>
          <w:numId w:val="20"/>
        </w:numPr>
        <w:tabs>
          <w:tab w:val="clear" w:pos="765"/>
          <w:tab w:val="num" w:pos="4253"/>
        </w:tabs>
        <w:spacing w:after="0"/>
        <w:ind w:right="-312"/>
        <w:jc w:val="left"/>
        <w:rPr>
          <w:noProof/>
        </w:rPr>
      </w:pPr>
      <w:r>
        <w:rPr>
          <w:noProof/>
        </w:rPr>
        <w:t>Ilość produktów poddanych napromienianiu:</w:t>
      </w:r>
      <w:r>
        <w:rPr>
          <w:noProof/>
        </w:rPr>
        <w:tab/>
        <w:t>10 211 ton (-11,4 % w porównaniu do średniej za 2015 r.)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t>Główne towary poddane napromienianiu:</w:t>
      </w:r>
      <w:r>
        <w:rPr>
          <w:noProof/>
        </w:rPr>
        <w:tab/>
      </w:r>
      <w:r>
        <w:rPr>
          <w:noProof/>
        </w:rPr>
        <w:tab/>
        <w:t>żabie udka (57 %) oraz suszone zioła aromatyczne, przyprawy korzenne i warzywne (20,77 %)</w:t>
      </w:r>
    </w:p>
    <w:p>
      <w:pPr>
        <w:pStyle w:val="ListDash1"/>
        <w:numPr>
          <w:ilvl w:val="0"/>
          <w:numId w:val="20"/>
        </w:numPr>
        <w:tabs>
          <w:tab w:val="clear" w:pos="765"/>
          <w:tab w:val="num" w:pos="4253"/>
        </w:tabs>
        <w:ind w:left="766" w:hanging="284"/>
        <w:rPr>
          <w:noProof/>
        </w:rPr>
      </w:pPr>
      <w:r>
        <w:rPr>
          <w:noProof/>
        </w:rPr>
        <w:t xml:space="preserve">Główne miejsce napromieniania: </w:t>
      </w:r>
      <w:r>
        <w:rPr>
          <w:noProof/>
        </w:rPr>
        <w:tab/>
      </w:r>
      <w:r>
        <w:rPr>
          <w:noProof/>
        </w:rPr>
        <w:tab/>
        <w:t xml:space="preserve">Belgia (68 %) i Niderlandy (13 %) </w:t>
      </w:r>
    </w:p>
    <w:p>
      <w:pPr>
        <w:pStyle w:val="Text1"/>
        <w:spacing w:after="0"/>
        <w:ind w:left="0" w:firstLine="482"/>
        <w:rPr>
          <w:b/>
          <w:noProof/>
        </w:rPr>
      </w:pPr>
      <w:r>
        <w:rPr>
          <w:b/>
          <w:noProof/>
        </w:rPr>
        <w:t>Kontrole na etapie wprowadzania do obrotu: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t>Liczba zbadanych próbek:</w:t>
      </w:r>
      <w:r>
        <w:rPr>
          <w:noProof/>
        </w:rPr>
        <w:tab/>
        <w:t>11 162</w:t>
      </w:r>
    </w:p>
    <w:p>
      <w:pPr>
        <w:pStyle w:val="ListDash1"/>
        <w:numPr>
          <w:ilvl w:val="0"/>
          <w:numId w:val="20"/>
        </w:numPr>
        <w:spacing w:after="0"/>
        <w:rPr>
          <w:noProof/>
        </w:rPr>
      </w:pPr>
      <w:r>
        <w:rPr>
          <w:noProof/>
        </w:rPr>
        <w:lastRenderedPageBreak/>
        <w:t>Liczba próbek niespełniających wymogów:</w:t>
      </w:r>
      <w:r>
        <w:rPr>
          <w:noProof/>
        </w:rPr>
        <w:tab/>
        <w:t>87 (0,8 %)</w:t>
      </w:r>
    </w:p>
    <w:p>
      <w:pPr>
        <w:pStyle w:val="ListDash1"/>
        <w:numPr>
          <w:ilvl w:val="0"/>
          <w:numId w:val="20"/>
        </w:numPr>
        <w:rPr>
          <w:noProof/>
        </w:rPr>
      </w:pPr>
      <w:r>
        <w:rPr>
          <w:noProof/>
        </w:rPr>
        <w:t>Główne towary poddane analizie:</w:t>
      </w:r>
      <w:r>
        <w:rPr>
          <w:noProof/>
        </w:rPr>
        <w:tab/>
        <w:t>Zioła i przyprawy (42 %)</w:t>
      </w:r>
      <w:r>
        <w:rPr>
          <w:noProof/>
        </w:rPr>
        <w:tab/>
        <w:t xml:space="preserve"> 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Zboża, nasiona, warzywa, owoce i uzyskane z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nich produkty (22 %)</w:t>
      </w:r>
    </w:p>
    <w:p>
      <w:pPr>
        <w:pStyle w:val="Heading1"/>
        <w:rPr>
          <w:noProof/>
        </w:rPr>
      </w:pPr>
      <w:r>
        <w:rPr>
          <w:noProof/>
        </w:rPr>
        <w:br w:type="page"/>
      </w:r>
      <w:bookmarkStart w:id="6" w:name="_Toc2614209"/>
      <w:bookmarkStart w:id="7" w:name="_Toc10645565"/>
      <w:bookmarkStart w:id="8" w:name="_Toc13748702"/>
      <w:r>
        <w:rPr>
          <w:noProof/>
        </w:rPr>
        <w:t>Kontekst</w:t>
      </w:r>
      <w:bookmarkEnd w:id="6"/>
      <w:bookmarkEnd w:id="7"/>
      <w:bookmarkEnd w:id="8"/>
    </w:p>
    <w:p>
      <w:pPr>
        <w:pStyle w:val="Text1"/>
        <w:rPr>
          <w:noProof/>
        </w:rPr>
      </w:pPr>
      <w:bookmarkStart w:id="9" w:name="_Toc458513287"/>
      <w:bookmarkStart w:id="10" w:name="_Toc458682050"/>
      <w:bookmarkStart w:id="11" w:name="_Toc458682051"/>
      <w:bookmarkStart w:id="12" w:name="_Toc458682053"/>
      <w:bookmarkStart w:id="13" w:name="_Toc458682054"/>
      <w:bookmarkStart w:id="14" w:name="_Toc458682055"/>
      <w:bookmarkStart w:id="15" w:name="_Toc458682057"/>
      <w:bookmarkStart w:id="16" w:name="_Toc458682058"/>
      <w:bookmarkStart w:id="17" w:name="_Toc458682060"/>
      <w:bookmarkStart w:id="18" w:name="_Toc458682062"/>
      <w:bookmarkStart w:id="19" w:name="_Toc463512786"/>
      <w:bookmarkStart w:id="20" w:name="_Toc12163736"/>
      <w:bookmarkStart w:id="21" w:name="_Toc12164128"/>
      <w:bookmarkStart w:id="22" w:name="_Toc12168379"/>
      <w:bookmarkStart w:id="23" w:name="_Toc13647373"/>
      <w:bookmarkStart w:id="24" w:name="_Toc13647468"/>
      <w:bookmarkStart w:id="25" w:name="_Toc1694154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noProof/>
        </w:rPr>
        <w:t xml:space="preserve">Napromienianie żywności polega na przetwarzaniu środków spożywczych przy pomocy określonego rodzaju energii promieniowania, znanej jako promieniowanie jonizujące. Energia promieniowania ma różne długości fal i stopnie mocy i znika z chwilą usunięcia źródła energii. Napromieniowanie jest wykorzystywane w celach sanitarnych i fitosanitarnych, aby zabić bakterie (takie jak </w:t>
      </w:r>
      <w:r>
        <w:rPr>
          <w:i/>
          <w:noProof/>
        </w:rPr>
        <w:t>Salmonella</w:t>
      </w:r>
      <w:r>
        <w:rPr>
          <w:noProof/>
        </w:rPr>
        <w:t xml:space="preserve">, </w:t>
      </w:r>
      <w:r>
        <w:rPr>
          <w:i/>
          <w:noProof/>
        </w:rPr>
        <w:t>Campylobacter</w:t>
      </w:r>
      <w:r>
        <w:rPr>
          <w:noProof/>
        </w:rPr>
        <w:t xml:space="preserve"> i </w:t>
      </w:r>
      <w:r>
        <w:rPr>
          <w:i/>
          <w:noProof/>
        </w:rPr>
        <w:t>E. coli</w:t>
      </w:r>
      <w:r>
        <w:rPr>
          <w:noProof/>
        </w:rPr>
        <w:t>), które mogą powodować zatrucia pokarmowe, oraz zlikwidować organizmy szkodliwe dla roślin lub produktów roślinnych, takie jak owady i inne agrofagi. Stosowane jest również do opóźniania dojrzewania owoców, powstrzymywania kiełkowania warzyw lub wypuszczania pędów przez warzywa (takie jak cebula i ziemniaki), a także do wydłużenia okresu przechowywania żywności. Napromienianie żywności nie może zastąpić właściwego obchodzenia się z żywnością, a napromieniowana żywność nadal wymaga odpowiedniego schładzania i w razie potrzeby musi być gotowana przed spożyciem.</w:t>
      </w:r>
    </w:p>
    <w:p>
      <w:pPr>
        <w:pStyle w:val="Text1"/>
        <w:rPr>
          <w:noProof/>
        </w:rPr>
      </w:pPr>
      <w:r>
        <w:rPr>
          <w:noProof/>
        </w:rPr>
        <w:t>Unijne ramy regulacyjne w zakresie napromieniania żywności („dyrektywy w sprawie napromieniania żywności”) obejmują:</w:t>
      </w:r>
    </w:p>
    <w:p>
      <w:pPr>
        <w:pStyle w:val="ListDash1"/>
        <w:numPr>
          <w:ilvl w:val="0"/>
          <w:numId w:val="22"/>
        </w:numPr>
        <w:rPr>
          <w:noProof/>
        </w:rPr>
      </w:pPr>
      <w:r>
        <w:rPr>
          <w:noProof/>
        </w:rPr>
        <w:t xml:space="preserve">dyrektywę 1999/2/WE (dyrektywa ramowa) Parlamentu Europejskiego i Rady z dnia 22 lutego 1999 r. w sprawie zbliżenia ustawodawstw państw członkowskich dotyczących środków spożywczych oraz składników środków spożywczych poddanych działaniu promieniowania jonizującego. Dyrektywa ta zawiera szczegółowe przepisy dotyczące produkcji, wprowadzania do obrotu i przywozu żywności i składników żywności poddanych napromienianiu; </w:t>
      </w:r>
    </w:p>
    <w:p>
      <w:pPr>
        <w:pStyle w:val="ListDash1"/>
        <w:numPr>
          <w:ilvl w:val="0"/>
          <w:numId w:val="20"/>
        </w:numPr>
        <w:rPr>
          <w:b/>
          <w:noProof/>
        </w:rPr>
      </w:pPr>
      <w:r>
        <w:rPr>
          <w:noProof/>
        </w:rPr>
        <w:t>dyrektywę 1999/3/WE (dyrektywa wykonawcza) Parlamentu Europejskiego i Rady z dnia 22 lutego 1999 r. w sprawie ustanowienia wspólnotowego wykazu środków spożywczych oraz składników środków spożywczych poddanych działaniu promieniowania jonizującego</w:t>
      </w:r>
      <w:r>
        <w:rPr>
          <w:rStyle w:val="FootnoteReference"/>
          <w:noProof/>
        </w:rPr>
        <w:footnoteReference w:id="2"/>
      </w:r>
      <w:r>
        <w:rPr>
          <w:noProof/>
        </w:rPr>
        <w:t>. Wykaz obejmuje obecnie jedną kategorię żywności: suszone zioła aromatyczne, przyprawy korzenne i przyprawy warzywne. Wykaz krajowych zezwoleń dotyczących żywności i składników żywności, które mogą być poddawane promieniowaniu jonizującemu, został opublikowany przez Komisję w </w:t>
      </w:r>
      <w:r>
        <w:rPr>
          <w:i/>
          <w:noProof/>
        </w:rPr>
        <w:t>Dzienniku Urzędowym Unii Europejskiej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>
      <w:pPr>
        <w:pStyle w:val="Text1"/>
        <w:rPr>
          <w:noProof/>
        </w:rPr>
      </w:pPr>
      <w:r>
        <w:rPr>
          <w:noProof/>
        </w:rPr>
        <w:t xml:space="preserve">Żywność i składniki żywności mogą być poddawane napromienianiu wyłącznie w zatwierdzonych jednostkach przeprowadzających napromieniowanie. Jednostki w UE są zatwierdzane przez właściwe organy danego państwa członkowskiego. Zgodnie z art. 7 ust. 3 dyrektywy 1999/2/WE państwa członkowskie mają obowiązek przekazywania Komisji wykazów swoich zatwierdzonych jednostek przeprowadzających napromieniowanie. </w:t>
      </w:r>
    </w:p>
    <w:p>
      <w:pPr>
        <w:pStyle w:val="Text1"/>
        <w:rPr>
          <w:noProof/>
        </w:rPr>
      </w:pPr>
      <w:r>
        <w:rPr>
          <w:noProof/>
        </w:rPr>
        <w:t>Wszelka żywność napromieniowana lub zawierająca napromienione składniki musiała zostać poddana napromienianiu wyłącznie w zatwierdzonych jednostkach. Wykaz zatwierdzonych jednostek przeprowadzających napromieniowanie w państwach członkowskich jest publikowany przez Komisję w </w:t>
      </w:r>
      <w:r>
        <w:rPr>
          <w:i/>
          <w:noProof/>
        </w:rPr>
        <w:t>Dzienniku Urzędowym Unii Europejskiej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Style w:val="Text1"/>
        <w:rPr>
          <w:noProof/>
        </w:rPr>
      </w:pPr>
      <w:r>
        <w:rPr>
          <w:noProof/>
        </w:rPr>
        <w:t>Na podstawie art. 6 dyrektywy 1999/2/WE na wszelkiej napromieniowanej żywności lub napromieniowanych składnikach żywności złożonej umieszcza się wyrazy „napromieniowane” lub „poddane promieniowaniu jonizującemu”.</w:t>
      </w:r>
    </w:p>
    <w:p>
      <w:pPr>
        <w:pStyle w:val="Text1"/>
        <w:rPr>
          <w:noProof/>
        </w:rPr>
      </w:pPr>
      <w:r>
        <w:rPr>
          <w:noProof/>
        </w:rPr>
        <w:t>Do celów egzekwowania prawidłowego etykietowania i wykrywania niedozwolonych produktów Europejski Komitet Normalizacyjny (CEN), po uzyskaniu odpowiedniego zlecenia od Komisji Europejskiej, ustalił normy dla kilku metod analitycznych.</w:t>
      </w:r>
    </w:p>
    <w:p>
      <w:pPr>
        <w:pStyle w:val="Heading1"/>
        <w:rPr>
          <w:rStyle w:val="Corpsdutexte"/>
          <w:noProof/>
          <w:sz w:val="24"/>
          <w:szCs w:val="20"/>
          <w:shd w:val="clear" w:color="auto" w:fill="auto"/>
        </w:rPr>
      </w:pPr>
      <w:bookmarkStart w:id="26" w:name="_Toc2614210"/>
      <w:bookmarkStart w:id="27" w:name="_Toc10645566"/>
      <w:bookmarkStart w:id="28" w:name="_Toc13748703"/>
      <w:r>
        <w:rPr>
          <w:noProof/>
        </w:rPr>
        <w:t>Zatwierdzone jednostki przeprowadzające napromieniowanie</w:t>
      </w:r>
      <w:bookmarkEnd w:id="19"/>
      <w:bookmarkEnd w:id="26"/>
      <w:bookmarkEnd w:id="27"/>
      <w:bookmarkEnd w:id="28"/>
    </w:p>
    <w:p>
      <w:pPr>
        <w:pStyle w:val="Text1"/>
        <w:rPr>
          <w:noProof/>
        </w:rPr>
      </w:pPr>
      <w:r>
        <w:rPr>
          <w:rStyle w:val="Corpsdutexte"/>
          <w:noProof/>
          <w:color w:val="000000"/>
        </w:rPr>
        <w:t xml:space="preserve">W UE istnieją obecnie 24 jednostki przeprowadzające napromieniowanie. </w:t>
      </w:r>
      <w:r>
        <w:rPr>
          <w:noProof/>
        </w:rPr>
        <w:t xml:space="preserve">Dwie uprzednio zatwierdzone jednostki przeprowadzające napromieniowanie zostały zamknięte w 2015 r. </w:t>
      </w:r>
    </w:p>
    <w:p>
      <w:pPr>
        <w:pStyle w:val="Text1"/>
        <w:rPr>
          <w:noProof/>
        </w:rPr>
      </w:pPr>
      <w:r>
        <w:rPr>
          <w:rStyle w:val="Corpsdutexte"/>
          <w:noProof/>
          <w:color w:val="000000"/>
        </w:rPr>
        <w:t xml:space="preserve">Jednostki są zlokalizowane w 14 państwach członkowskich: pięć we Francji, cztery w Niemczech, po dwie w Bułgarii, Niderlandach i Hiszpanii, po jednej w Belgii, Republice Czeskiej, Chorwacji, Estonii, we Włoszech, na Węgrzech, w Polsce, Rumunii i Zjednoczonym Królestwie. </w:t>
      </w:r>
    </w:p>
    <w:p>
      <w:pPr>
        <w:pStyle w:val="Text1"/>
        <w:rPr>
          <w:rStyle w:val="Corpsdutexte"/>
          <w:noProof/>
          <w:color w:val="000000"/>
        </w:rPr>
      </w:pPr>
      <w:r>
        <w:rPr>
          <w:rStyle w:val="Corpsdutexte"/>
          <w:noProof/>
          <w:color w:val="000000"/>
        </w:rPr>
        <w:t>Spośród tych 14 państw członkowskich, w których znajdują się jednostki przeprowadzające napromieniowanie, Bułgaria, Włochy, Rumunia i Zjednoczone Królestwo nie przeprowadziły napromieniania żadnych środków spożywczych w okresie objętym niniejszym sprawozdaniem.</w:t>
      </w:r>
    </w:p>
    <w:p>
      <w:pPr>
        <w:pStyle w:val="Heading1"/>
        <w:rPr>
          <w:noProof/>
        </w:rPr>
      </w:pPr>
      <w:bookmarkStart w:id="29" w:name="_Toc2614168"/>
      <w:bookmarkStart w:id="30" w:name="_Toc2614211"/>
      <w:bookmarkStart w:id="31" w:name="_Toc2614169"/>
      <w:bookmarkStart w:id="32" w:name="_Toc2614212"/>
      <w:bookmarkStart w:id="33" w:name="_Toc2614170"/>
      <w:bookmarkStart w:id="34" w:name="_Toc2614213"/>
      <w:bookmarkStart w:id="35" w:name="_Toc463512787"/>
      <w:bookmarkStart w:id="36" w:name="_Toc2614214"/>
      <w:bookmarkStart w:id="37" w:name="_Toc10645567"/>
      <w:bookmarkStart w:id="38" w:name="_Toc13748704"/>
      <w:bookmarkEnd w:id="29"/>
      <w:bookmarkEnd w:id="30"/>
      <w:bookmarkEnd w:id="31"/>
      <w:bookmarkEnd w:id="32"/>
      <w:bookmarkEnd w:id="33"/>
      <w:bookmarkEnd w:id="34"/>
      <w:r>
        <w:rPr>
          <w:noProof/>
        </w:rPr>
        <w:t>Wyniki kontroli dokonanych w jednostkach przeprowadzających napromieniowanie w latach 2016–2017</w:t>
      </w:r>
      <w:bookmarkEnd w:id="35"/>
      <w:bookmarkEnd w:id="36"/>
      <w:bookmarkEnd w:id="37"/>
      <w:bookmarkEnd w:id="38"/>
    </w:p>
    <w:p>
      <w:pPr>
        <w:pStyle w:val="Text1"/>
        <w:rPr>
          <w:noProof/>
        </w:rPr>
      </w:pPr>
      <w:bookmarkStart w:id="39" w:name="_Toc458682066"/>
      <w:bookmarkEnd w:id="20"/>
      <w:bookmarkEnd w:id="21"/>
      <w:bookmarkEnd w:id="22"/>
      <w:bookmarkEnd w:id="23"/>
      <w:bookmarkEnd w:id="24"/>
      <w:bookmarkEnd w:id="25"/>
      <w:bookmarkEnd w:id="39"/>
      <w:r>
        <w:rPr>
          <w:noProof/>
        </w:rPr>
        <w:t xml:space="preserve">W latach 2016 i 2017 w państwach członkowskich UE poddano działaniu promieniowania jonizującego łącznie 10 211 ton produktów. Napromienianie odbywało się głównie w dwóch państwach członkowskich: Belgii, gdzie przeprowadzono napromienianie dwóch trzecich napromienianej w UE żywności (68 %), oraz w Niderlandach (13 %). </w:t>
      </w:r>
    </w:p>
    <w:p>
      <w:pPr>
        <w:pStyle w:val="Text1"/>
        <w:rPr>
          <w:noProof/>
        </w:rPr>
      </w:pPr>
      <w:r>
        <w:rPr>
          <w:noProof/>
        </w:rPr>
        <w:t xml:space="preserve">Dwa główne produkty, które poddawano napromienianiu w UE, to żabie udka (ok. 57 %) oraz suszone zioła aromatyczne, przyprawy korzenne i warzywne (ok. 21 %). Na wykresie 1 pokazano rozkład produktów poddanych napromienianiu w zatwierdzonych jednostkach w państwach członkowskich UE w latach 2016 i 2017. </w:t>
      </w:r>
    </w:p>
    <w:p>
      <w:pPr>
        <w:pStyle w:val="Text1"/>
        <w:rPr>
          <w:noProof/>
        </w:rPr>
      </w:pPr>
      <w:r>
        <w:rPr>
          <w:b/>
          <w:noProof/>
        </w:rPr>
        <w:t>Wykres 1</w:t>
      </w:r>
      <w:r>
        <w:rPr>
          <w:noProof/>
        </w:rPr>
        <w:t xml:space="preserve"> – Podział według kategorii środków spożywczych poddanych napromienianiu w UE w latach 2016–2017</w:t>
      </w:r>
    </w:p>
    <w:p>
      <w:pPr>
        <w:pStyle w:val="Text1"/>
        <w:ind w:left="0"/>
        <w:jc w:val="center"/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581650" cy="378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ext1"/>
        <w:rPr>
          <w:noProof/>
        </w:rPr>
      </w:pPr>
      <w:r>
        <w:rPr>
          <w:noProof/>
        </w:rPr>
        <w:t xml:space="preserve">Ilości środków spożywczych (w tonach) poddanych działaniu promieniowania jonizującego w UE zmniejszają się od 2010 r., jak pokazano na wykresie 2. </w:t>
      </w:r>
    </w:p>
    <w:p>
      <w:pPr>
        <w:pStyle w:val="Text1"/>
        <w:rPr>
          <w:noProof/>
        </w:rPr>
      </w:pPr>
      <w:r>
        <w:rPr>
          <w:b/>
          <w:noProof/>
        </w:rPr>
        <w:t>Wykres 2</w:t>
      </w:r>
      <w:r>
        <w:rPr>
          <w:noProof/>
        </w:rPr>
        <w:t xml:space="preserve"> – Ilość środków spożywczych poddanych działaniu promieniowania jonizującego w zatwierdzonych jednostkach przeprowadzających napromieniowanie w Unii Europejskiej od 2010 r.</w:t>
      </w:r>
    </w:p>
    <w:p>
      <w:pPr>
        <w:pStyle w:val="Text1"/>
        <w:rPr>
          <w:noProof/>
        </w:rPr>
      </w:pPr>
    </w:p>
    <w:p>
      <w:pPr>
        <w:pStyle w:val="Text1"/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31510" cy="3122878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1"/>
        <w:rPr>
          <w:noProof/>
        </w:rPr>
      </w:pPr>
      <w:bookmarkStart w:id="40" w:name="_Toc2614172"/>
      <w:bookmarkStart w:id="41" w:name="_Toc2614215"/>
      <w:bookmarkStart w:id="42" w:name="_Toc2614173"/>
      <w:bookmarkStart w:id="43" w:name="_Toc2614216"/>
      <w:bookmarkStart w:id="44" w:name="_Toc2614174"/>
      <w:bookmarkStart w:id="45" w:name="_Toc2614217"/>
      <w:bookmarkStart w:id="46" w:name="_Toc458682069"/>
      <w:bookmarkStart w:id="47" w:name="_Toc2614175"/>
      <w:bookmarkStart w:id="48" w:name="_Toc2614218"/>
      <w:bookmarkStart w:id="49" w:name="_Toc2614176"/>
      <w:bookmarkStart w:id="50" w:name="_Toc2614219"/>
      <w:bookmarkStart w:id="51" w:name="_Toc2614177"/>
      <w:bookmarkStart w:id="52" w:name="_Toc2614220"/>
      <w:bookmarkStart w:id="53" w:name="_Toc2614178"/>
      <w:bookmarkStart w:id="54" w:name="_Toc2614221"/>
      <w:bookmarkStart w:id="55" w:name="_Toc2614179"/>
      <w:bookmarkStart w:id="56" w:name="_Toc2614222"/>
      <w:bookmarkStart w:id="57" w:name="_Toc2614180"/>
      <w:bookmarkStart w:id="58" w:name="_Toc2614223"/>
      <w:bookmarkStart w:id="59" w:name="_Toc2614181"/>
      <w:bookmarkStart w:id="60" w:name="_Toc2614224"/>
      <w:bookmarkStart w:id="61" w:name="_Toc2614182"/>
      <w:bookmarkStart w:id="62" w:name="_Toc2614225"/>
      <w:bookmarkStart w:id="63" w:name="_Toc2614183"/>
      <w:bookmarkStart w:id="64" w:name="_Toc2614226"/>
      <w:bookmarkStart w:id="65" w:name="_Toc2614184"/>
      <w:bookmarkStart w:id="66" w:name="_Toc2614227"/>
      <w:bookmarkStart w:id="67" w:name="_Toc2614185"/>
      <w:bookmarkStart w:id="68" w:name="_Toc2614228"/>
      <w:bookmarkStart w:id="69" w:name="_Toc2614186"/>
      <w:bookmarkStart w:id="70" w:name="_Toc2614229"/>
      <w:bookmarkStart w:id="71" w:name="_Toc2614230"/>
      <w:bookmarkStart w:id="72" w:name="_Toc12163743"/>
      <w:bookmarkStart w:id="73" w:name="_Toc12164135"/>
      <w:bookmarkStart w:id="74" w:name="_Toc12168387"/>
      <w:bookmarkStart w:id="75" w:name="_Toc13647381"/>
      <w:bookmarkStart w:id="76" w:name="_Toc13647476"/>
      <w:bookmarkStart w:id="77" w:name="_Toc16941551"/>
      <w:bookmarkStart w:id="78" w:name="_Toc463512788"/>
      <w:bookmarkStart w:id="79" w:name="_Toc10645568"/>
      <w:bookmarkStart w:id="80" w:name="_Toc13748705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noProof/>
        </w:rPr>
        <w:t>Wyniki kontroli na etapie wprowadzania produktów do obrotu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pStyle w:val="Text1"/>
        <w:rPr>
          <w:noProof/>
        </w:rPr>
      </w:pPr>
      <w:bookmarkStart w:id="81" w:name="_Toc12163744"/>
      <w:bookmarkStart w:id="82" w:name="_Toc12164136"/>
      <w:bookmarkStart w:id="83" w:name="_Toc12168388"/>
      <w:bookmarkStart w:id="84" w:name="_Toc13647382"/>
      <w:bookmarkStart w:id="85" w:name="_Toc13647477"/>
      <w:bookmarkStart w:id="86" w:name="_Toc16941552"/>
      <w:r>
        <w:rPr>
          <w:noProof/>
        </w:rPr>
        <w:t xml:space="preserve">W latach 2016–2017 24 państwa członkowskie przeanalizowały 11 162 próbki, tj. średnio o 7,02 % mniej niż w 2015 r. Dane dla każdego państwa członkowskiego są dostępne w załączniku II oraz podsumowane na wykresie 3. </w:t>
      </w:r>
    </w:p>
    <w:p>
      <w:pPr>
        <w:pStyle w:val="Text1"/>
        <w:rPr>
          <w:noProof/>
        </w:rPr>
      </w:pPr>
      <w:r>
        <w:rPr>
          <w:b/>
          <w:noProof/>
        </w:rPr>
        <w:t>Wykres 3</w:t>
      </w:r>
      <w:r>
        <w:rPr>
          <w:noProof/>
        </w:rPr>
        <w:t xml:space="preserve"> – Próbki przeanalizowane na etapie wprowadzania produktów do obrotu w każdym państwie członkowskim w latach 2016–2017</w:t>
      </w:r>
    </w:p>
    <w:p>
      <w:pPr>
        <w:pStyle w:val="Text1"/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649595" cy="3036627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72" cy="304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ext1"/>
        <w:rPr>
          <w:noProof/>
        </w:rPr>
      </w:pPr>
      <w:r>
        <w:rPr>
          <w:noProof/>
        </w:rPr>
        <w:t>Pięć państw (cztery państwa członkowskie i Norwegia) nie przeprowadziło żadnych kontroli analitycznych na etapie wprowadzania produktów do obrotu w latach 2016–2017 ze względu na ograniczenia budżetowe (Chorwacja (2016), Dania (2017) i Norwegia (2016 i 2017)), brak zdolności laboratoryjnych (Estonia i Cypr (2016, 2017)) lub inne priorytety w zakresie kontroli (Szwecja (2016, 2017)). W 2017 r. Malta nie zgłosiła żadnej próby.</w:t>
      </w:r>
    </w:p>
    <w:p>
      <w:pPr>
        <w:pStyle w:val="Text1"/>
        <w:rPr>
          <w:noProof/>
        </w:rPr>
      </w:pPr>
      <w:r>
        <w:rPr>
          <w:noProof/>
        </w:rPr>
        <w:t xml:space="preserve">Z ogólnej liczby 11 162 próbek 87 nie było zgodnych z przepisami (0,8 %), a 113 próbek (1 %) dało niejednoznaczne wyniki. Zaobserwowane przypadki niezgodności dotyczyły przede wszystkim niepoprawnego etykietowania i zabronionego napromieniania. Odsetek niezgodności był niższy niż w poprzednim sprawozdaniu. </w:t>
      </w:r>
    </w:p>
    <w:p>
      <w:pPr>
        <w:pStyle w:val="Text1"/>
        <w:rPr>
          <w:noProof/>
        </w:rPr>
      </w:pPr>
      <w:r>
        <w:rPr>
          <w:noProof/>
        </w:rPr>
        <w:t>Jak przedstawiono na wykresie 4, na etapie wprowadzania do obrotu większość poddanych analizie produktów stanowiły „zioła i przyprawy” (42 %) oraz „zboża, nasiona, warzywa, owoce i uzyskane z nich produkty” (22 %). W kategorii „Pozostałe” (suplementy diety oraz zupy i sosy) odsetek ten wyniósł 17 %.</w:t>
      </w:r>
    </w:p>
    <w:p>
      <w:pPr>
        <w:pStyle w:val="Text1"/>
        <w:rPr>
          <w:noProof/>
        </w:rPr>
      </w:pPr>
    </w:p>
    <w:p>
      <w:pPr>
        <w:pStyle w:val="Text1"/>
        <w:rPr>
          <w:noProof/>
        </w:rPr>
      </w:pPr>
      <w:r>
        <w:rPr>
          <w:b/>
          <w:noProof/>
        </w:rPr>
        <w:t>Wykres 4</w:t>
      </w:r>
      <w:r>
        <w:rPr>
          <w:noProof/>
        </w:rPr>
        <w:t xml:space="preserve"> – Kategoria środków spożywczych poddanych analizie na etapie wprowadzania produktów do obrotu w Unii Europejskiej w latach 2016–2017</w:t>
      </w:r>
    </w:p>
    <w:bookmarkEnd w:id="81"/>
    <w:bookmarkEnd w:id="82"/>
    <w:bookmarkEnd w:id="83"/>
    <w:bookmarkEnd w:id="84"/>
    <w:bookmarkEnd w:id="85"/>
    <w:bookmarkEnd w:id="86"/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31510" cy="3645039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17150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i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13386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Dz.U. L 66 z 13.3.1999, s. 16.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Dz.U. L 66 z 13.3.1999, s. 24.</w:t>
      </w:r>
    </w:p>
  </w:footnote>
  <w:footnote w:id="3">
    <w:p>
      <w:pPr>
        <w:pStyle w:val="FootnoteText"/>
        <w:rPr>
          <w:i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rStyle w:val="Emphasis"/>
          <w:i w:val="0"/>
        </w:rPr>
        <w:t>Dz.U. C 283 z 24.11.2009, s. 5.</w:t>
      </w:r>
    </w:p>
  </w:footnote>
  <w:footnote w:id="4">
    <w:p>
      <w:pPr>
        <w:pStyle w:val="FootnoteText"/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rStyle w:val="Emphasis"/>
          <w:i w:val="0"/>
        </w:rPr>
        <w:t>Dz.U. C 37 z 30.1.2019, s.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A2900F7"/>
    <w:multiLevelType w:val="multilevel"/>
    <w:tmpl w:val="58D08B22"/>
    <w:name w:val="ListDash4Numbering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  <w:lvl w:ilvl="1">
      <w:start w:val="1"/>
      <w:numFmt w:val="bullet"/>
      <w:pStyle w:val="ListDash4Level2"/>
      <w:lvlText w:val="–"/>
      <w:lvlJc w:val="left"/>
      <w:pPr>
        <w:tabs>
          <w:tab w:val="num" w:pos="1769"/>
        </w:tabs>
        <w:ind w:left="1769" w:hanging="284"/>
      </w:pPr>
      <w:rPr>
        <w:rFonts w:ascii="Times New Roman" w:hAnsi="Times New Roman"/>
      </w:rPr>
    </w:lvl>
    <w:lvl w:ilvl="2">
      <w:start w:val="1"/>
      <w:numFmt w:val="bullet"/>
      <w:pStyle w:val="ListDash4Level3"/>
      <w:lvlText w:val="–"/>
      <w:lvlJc w:val="left"/>
      <w:pPr>
        <w:tabs>
          <w:tab w:val="num" w:pos="2052"/>
        </w:tabs>
        <w:ind w:left="2052" w:hanging="283"/>
      </w:pPr>
      <w:rPr>
        <w:rFonts w:ascii="Times New Roman" w:hAnsi="Times New Roman"/>
      </w:rPr>
    </w:lvl>
    <w:lvl w:ilvl="3">
      <w:start w:val="1"/>
      <w:numFmt w:val="bullet"/>
      <w:pStyle w:val="ListDash4Level4"/>
      <w:lvlText w:val="–"/>
      <w:lvlJc w:val="left"/>
      <w:pPr>
        <w:tabs>
          <w:tab w:val="num" w:pos="2336"/>
        </w:tabs>
        <w:ind w:left="233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EFB7115"/>
    <w:multiLevelType w:val="multilevel"/>
    <w:tmpl w:val="27264FCA"/>
    <w:name w:val="ListNumber3Numbering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120B7201"/>
    <w:multiLevelType w:val="multilevel"/>
    <w:tmpl w:val="860AC2F2"/>
    <w:name w:val="ListNumberNumbering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4">
    <w:nsid w:val="1262685D"/>
    <w:multiLevelType w:val="multilevel"/>
    <w:tmpl w:val="F4AC0F20"/>
    <w:name w:val="ListBullet4Numbering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start w:val="1"/>
      <w:numFmt w:val="bullet"/>
      <w:pStyle w:val="ListBullet4Level2"/>
      <w:lvlText w:val=""/>
      <w:lvlJc w:val="left"/>
      <w:pPr>
        <w:tabs>
          <w:tab w:val="num" w:pos="1769"/>
        </w:tabs>
        <w:ind w:left="1769" w:hanging="284"/>
      </w:pPr>
      <w:rPr>
        <w:rFonts w:ascii="Symbol" w:hAnsi="Symbol"/>
      </w:rPr>
    </w:lvl>
    <w:lvl w:ilvl="2">
      <w:start w:val="1"/>
      <w:numFmt w:val="bullet"/>
      <w:pStyle w:val="ListBullet4Level3"/>
      <w:lvlText w:val=""/>
      <w:lvlJc w:val="left"/>
      <w:pPr>
        <w:tabs>
          <w:tab w:val="num" w:pos="2052"/>
        </w:tabs>
        <w:ind w:left="2052" w:hanging="283"/>
      </w:pPr>
      <w:rPr>
        <w:rFonts w:ascii="Symbol" w:hAnsi="Symbol"/>
      </w:rPr>
    </w:lvl>
    <w:lvl w:ilvl="3">
      <w:start w:val="1"/>
      <w:numFmt w:val="bullet"/>
      <w:pStyle w:val="ListBullet4Level4"/>
      <w:lvlText w:val=""/>
      <w:lvlJc w:val="left"/>
      <w:pPr>
        <w:tabs>
          <w:tab w:val="num" w:pos="2336"/>
        </w:tabs>
        <w:ind w:left="2336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5">
    <w:nsid w:val="143D0A16"/>
    <w:multiLevelType w:val="multilevel"/>
    <w:tmpl w:val="EEEC63D2"/>
    <w:name w:val="ListBullet3Numbering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start w:val="1"/>
      <w:numFmt w:val="bullet"/>
      <w:pStyle w:val="ListBullet3Level2"/>
      <w:lvlText w:val=""/>
      <w:lvlJc w:val="left"/>
      <w:pPr>
        <w:tabs>
          <w:tab w:val="num" w:pos="1769"/>
        </w:tabs>
        <w:ind w:left="1769" w:hanging="284"/>
      </w:pPr>
      <w:rPr>
        <w:rFonts w:ascii="Symbol" w:hAnsi="Symbol"/>
      </w:rPr>
    </w:lvl>
    <w:lvl w:ilvl="2">
      <w:start w:val="1"/>
      <w:numFmt w:val="bullet"/>
      <w:pStyle w:val="ListBullet3Level3"/>
      <w:lvlText w:val=""/>
      <w:lvlJc w:val="left"/>
      <w:pPr>
        <w:tabs>
          <w:tab w:val="num" w:pos="2052"/>
        </w:tabs>
        <w:ind w:left="2052" w:hanging="283"/>
      </w:pPr>
      <w:rPr>
        <w:rFonts w:ascii="Symbol" w:hAnsi="Symbol"/>
      </w:rPr>
    </w:lvl>
    <w:lvl w:ilvl="3">
      <w:start w:val="1"/>
      <w:numFmt w:val="bullet"/>
      <w:pStyle w:val="ListBullet3Level4"/>
      <w:lvlText w:val=""/>
      <w:lvlJc w:val="left"/>
      <w:pPr>
        <w:tabs>
          <w:tab w:val="num" w:pos="2336"/>
        </w:tabs>
        <w:ind w:left="2336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6">
    <w:nsid w:val="172F0AC5"/>
    <w:multiLevelType w:val="multilevel"/>
    <w:tmpl w:val="41723792"/>
    <w:name w:val="ListNumber2Numbering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7">
    <w:nsid w:val="1C7B624F"/>
    <w:multiLevelType w:val="multilevel"/>
    <w:tmpl w:val="0B90D798"/>
    <w:name w:val="ListDash2Numbering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  <w:lvl w:ilvl="1">
      <w:start w:val="1"/>
      <w:numFmt w:val="bullet"/>
      <w:pStyle w:val="ListDash2Level2"/>
      <w:lvlText w:val="–"/>
      <w:lvlJc w:val="left"/>
      <w:pPr>
        <w:tabs>
          <w:tab w:val="num" w:pos="1769"/>
        </w:tabs>
        <w:ind w:left="1769" w:hanging="284"/>
      </w:pPr>
      <w:rPr>
        <w:rFonts w:ascii="Times New Roman" w:hAnsi="Times New Roman"/>
      </w:rPr>
    </w:lvl>
    <w:lvl w:ilvl="2">
      <w:start w:val="1"/>
      <w:numFmt w:val="bullet"/>
      <w:pStyle w:val="ListDash2Level3"/>
      <w:lvlText w:val="–"/>
      <w:lvlJc w:val="left"/>
      <w:pPr>
        <w:tabs>
          <w:tab w:val="num" w:pos="2052"/>
        </w:tabs>
        <w:ind w:left="2052" w:hanging="283"/>
      </w:pPr>
      <w:rPr>
        <w:rFonts w:ascii="Times New Roman" w:hAnsi="Times New Roman"/>
      </w:rPr>
    </w:lvl>
    <w:lvl w:ilvl="3">
      <w:start w:val="1"/>
      <w:numFmt w:val="bullet"/>
      <w:pStyle w:val="ListDash2Level4"/>
      <w:lvlText w:val="–"/>
      <w:lvlJc w:val="left"/>
      <w:pPr>
        <w:tabs>
          <w:tab w:val="num" w:pos="2336"/>
        </w:tabs>
        <w:ind w:left="233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8">
    <w:nsid w:val="2C8DFDF8"/>
    <w:multiLevelType w:val="multilevel"/>
    <w:tmpl w:val="E12263FA"/>
    <w:name w:val="ListBullet2Numbering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start w:val="1"/>
      <w:numFmt w:val="bullet"/>
      <w:pStyle w:val="ListBullet2Level2"/>
      <w:lvlText w:val=""/>
      <w:lvlJc w:val="left"/>
      <w:pPr>
        <w:tabs>
          <w:tab w:val="num" w:pos="1769"/>
        </w:tabs>
        <w:ind w:left="1769" w:hanging="284"/>
      </w:pPr>
      <w:rPr>
        <w:rFonts w:ascii="Symbol" w:hAnsi="Symbol"/>
      </w:rPr>
    </w:lvl>
    <w:lvl w:ilvl="2">
      <w:start w:val="1"/>
      <w:numFmt w:val="bullet"/>
      <w:pStyle w:val="ListBullet2Level3"/>
      <w:lvlText w:val=""/>
      <w:lvlJc w:val="left"/>
      <w:pPr>
        <w:tabs>
          <w:tab w:val="num" w:pos="2052"/>
        </w:tabs>
        <w:ind w:left="2052" w:hanging="283"/>
      </w:pPr>
      <w:rPr>
        <w:rFonts w:ascii="Symbol" w:hAnsi="Symbol"/>
      </w:rPr>
    </w:lvl>
    <w:lvl w:ilvl="3">
      <w:start w:val="1"/>
      <w:numFmt w:val="bullet"/>
      <w:pStyle w:val="ListBullet2Level4"/>
      <w:lvlText w:val=""/>
      <w:lvlJc w:val="left"/>
      <w:pPr>
        <w:tabs>
          <w:tab w:val="num" w:pos="2336"/>
        </w:tabs>
        <w:ind w:left="2336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9">
    <w:nsid w:val="2CAB4527"/>
    <w:multiLevelType w:val="multilevel"/>
    <w:tmpl w:val="26C24C12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293CE3"/>
    <w:multiLevelType w:val="multilevel"/>
    <w:tmpl w:val="F6C484F2"/>
    <w:name w:val="LegalNumParNumbering"/>
    <w:lvl w:ilvl="0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tabs>
          <w:tab w:val="num" w:pos="952"/>
        </w:tabs>
        <w:ind w:left="952" w:hanging="476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tabs>
          <w:tab w:val="num" w:pos="1429"/>
        </w:tabs>
        <w:ind w:left="1429" w:hanging="477"/>
      </w:pPr>
      <w:rPr>
        <w:rFonts w:hint="default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1">
    <w:nsid w:val="36324F1E"/>
    <w:multiLevelType w:val="multilevel"/>
    <w:tmpl w:val="9BEEA062"/>
    <w:name w:val="ListDash3Numbering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  <w:lvl w:ilvl="1">
      <w:start w:val="1"/>
      <w:numFmt w:val="bullet"/>
      <w:pStyle w:val="ListDash3Level2"/>
      <w:lvlText w:val="–"/>
      <w:lvlJc w:val="left"/>
      <w:pPr>
        <w:tabs>
          <w:tab w:val="num" w:pos="1769"/>
        </w:tabs>
        <w:ind w:left="1769" w:hanging="284"/>
      </w:pPr>
      <w:rPr>
        <w:rFonts w:ascii="Times New Roman" w:hAnsi="Times New Roman"/>
      </w:rPr>
    </w:lvl>
    <w:lvl w:ilvl="2">
      <w:start w:val="1"/>
      <w:numFmt w:val="bullet"/>
      <w:pStyle w:val="ListDash3Level3"/>
      <w:lvlText w:val="–"/>
      <w:lvlJc w:val="left"/>
      <w:pPr>
        <w:tabs>
          <w:tab w:val="num" w:pos="2052"/>
        </w:tabs>
        <w:ind w:left="2052" w:hanging="283"/>
      </w:pPr>
      <w:rPr>
        <w:rFonts w:ascii="Times New Roman" w:hAnsi="Times New Roman"/>
      </w:rPr>
    </w:lvl>
    <w:lvl w:ilvl="3">
      <w:start w:val="1"/>
      <w:numFmt w:val="bullet"/>
      <w:pStyle w:val="ListDash3Level4"/>
      <w:lvlText w:val="–"/>
      <w:lvlJc w:val="left"/>
      <w:pPr>
        <w:tabs>
          <w:tab w:val="num" w:pos="2336"/>
        </w:tabs>
        <w:ind w:left="233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2">
    <w:nsid w:val="37CB1E1C"/>
    <w:multiLevelType w:val="multilevel"/>
    <w:tmpl w:val="C166FEFE"/>
    <w:name w:val="ListDash1Numbering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  <w:lvl w:ilvl="1">
      <w:start w:val="1"/>
      <w:numFmt w:val="bullet"/>
      <w:pStyle w:val="ListDash1Level2"/>
      <w:lvlText w:val="–"/>
      <w:lvlJc w:val="left"/>
      <w:pPr>
        <w:tabs>
          <w:tab w:val="num" w:pos="1049"/>
        </w:tabs>
        <w:ind w:left="1049" w:hanging="284"/>
      </w:pPr>
      <w:rPr>
        <w:rFonts w:ascii="Times New Roman" w:hAnsi="Times New Roman"/>
      </w:rPr>
    </w:lvl>
    <w:lvl w:ilvl="2">
      <w:start w:val="1"/>
      <w:numFmt w:val="bullet"/>
      <w:pStyle w:val="ListDash1Level3"/>
      <w:lvlText w:val="–"/>
      <w:lvlJc w:val="left"/>
      <w:pPr>
        <w:tabs>
          <w:tab w:val="num" w:pos="1332"/>
        </w:tabs>
        <w:ind w:left="1332" w:hanging="283"/>
      </w:pPr>
      <w:rPr>
        <w:rFonts w:ascii="Times New Roman" w:hAnsi="Times New Roman"/>
      </w:rPr>
    </w:lvl>
    <w:lvl w:ilvl="3">
      <w:start w:val="1"/>
      <w:numFmt w:val="bullet"/>
      <w:pStyle w:val="ListDash1Level4"/>
      <w:lvlText w:val="–"/>
      <w:lvlJc w:val="left"/>
      <w:pPr>
        <w:tabs>
          <w:tab w:val="num" w:pos="1616"/>
        </w:tabs>
        <w:ind w:left="161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3">
    <w:nsid w:val="3A7730C4"/>
    <w:multiLevelType w:val="multilevel"/>
    <w:tmpl w:val="4726FE22"/>
    <w:name w:val="ListBullet1Numbering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>
      <w:start w:val="1"/>
      <w:numFmt w:val="bullet"/>
      <w:pStyle w:val="ListBullet1Level2"/>
      <w:lvlText w:val=""/>
      <w:lvlJc w:val="left"/>
      <w:pPr>
        <w:tabs>
          <w:tab w:val="num" w:pos="1049"/>
        </w:tabs>
        <w:ind w:left="1049" w:hanging="284"/>
      </w:pPr>
      <w:rPr>
        <w:rFonts w:ascii="Symbol" w:hAnsi="Symbol"/>
      </w:rPr>
    </w:lvl>
    <w:lvl w:ilvl="2">
      <w:start w:val="1"/>
      <w:numFmt w:val="bullet"/>
      <w:pStyle w:val="ListBullet1Level3"/>
      <w:lvlText w:val=""/>
      <w:lvlJc w:val="left"/>
      <w:pPr>
        <w:tabs>
          <w:tab w:val="num" w:pos="1332"/>
        </w:tabs>
        <w:ind w:left="1332" w:hanging="283"/>
      </w:pPr>
      <w:rPr>
        <w:rFonts w:ascii="Symbol" w:hAnsi="Symbol"/>
      </w:rPr>
    </w:lvl>
    <w:lvl w:ilvl="3">
      <w:start w:val="1"/>
      <w:numFmt w:val="bullet"/>
      <w:pStyle w:val="ListBullet1Level4"/>
      <w:lvlText w:val=""/>
      <w:lvlJc w:val="left"/>
      <w:pPr>
        <w:tabs>
          <w:tab w:val="num" w:pos="1616"/>
        </w:tabs>
        <w:ind w:left="1616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4">
    <w:nsid w:val="429E662A"/>
    <w:multiLevelType w:val="multilevel"/>
    <w:tmpl w:val="73C6DB94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5">
    <w:nsid w:val="4E1A982C"/>
    <w:multiLevelType w:val="multilevel"/>
    <w:tmpl w:val="4D4E31FE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6">
    <w:nsid w:val="5072619B"/>
    <w:multiLevelType w:val="multilevel"/>
    <w:tmpl w:val="0C428848"/>
    <w:name w:val="ListDashNumbering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bullet"/>
      <w:pStyle w:val="ListDashLevel2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</w:rPr>
    </w:lvl>
    <w:lvl w:ilvl="2">
      <w:start w:val="1"/>
      <w:numFmt w:val="bullet"/>
      <w:pStyle w:val="ListDashLevel3"/>
      <w:lvlText w:val="–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bullet"/>
      <w:pStyle w:val="ListDashLevel4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7">
    <w:nsid w:val="6057433F"/>
    <w:multiLevelType w:val="singleLevel"/>
    <w:tmpl w:val="3D5ECD48"/>
    <w:lvl w:ilvl="0">
      <w:start w:val="1"/>
      <w:numFmt w:val="bullet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>
    <w:nsid w:val="6977472E"/>
    <w:multiLevelType w:val="multilevel"/>
    <w:tmpl w:val="61A42F62"/>
    <w:name w:val="ListNumber4Numbering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9">
    <w:nsid w:val="7C65145E"/>
    <w:multiLevelType w:val="multilevel"/>
    <w:tmpl w:val="C4FC72D8"/>
    <w:name w:val="EurolookHeading"/>
    <w:lvl w:ilvl="0">
      <w:start w:val="1"/>
      <w:numFmt w:val="decimal"/>
      <w:pStyle w:val="Heading1"/>
      <w:lvlText w:val="%1."/>
      <w:lvlJc w:val="left"/>
      <w:pPr>
        <w:tabs>
          <w:tab w:val="num" w:pos="623"/>
        </w:tabs>
        <w:ind w:left="623" w:hanging="48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2"/>
        </w:tabs>
        <w:ind w:left="1202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2"/>
        </w:tabs>
        <w:ind w:left="1922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2"/>
        </w:tabs>
        <w:ind w:left="1922" w:hanging="72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3838" w:hanging="95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3838" w:hanging="958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880"/>
        </w:tabs>
        <w:ind w:left="3838" w:hanging="95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880"/>
        </w:tabs>
        <w:ind w:left="3838" w:hanging="958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880"/>
        </w:tabs>
        <w:ind w:left="3838" w:hanging="958"/>
      </w:pPr>
    </w:lvl>
  </w:abstractNum>
  <w:abstractNum w:abstractNumId="20">
    <w:nsid w:val="7C651460"/>
    <w:multiLevelType w:val="multilevel"/>
    <w:tmpl w:val="DCAA060D"/>
    <w:name w:val="Annex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18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1"/>
  </w:num>
  <w:num w:numId="18">
    <w:abstractNumId w:val="20"/>
  </w:num>
  <w:num w:numId="19">
    <w:abstractNumId w:val="0"/>
  </w:num>
  <w:num w:numId="20">
    <w:abstractNumId w:val="17"/>
  </w:num>
  <w:num w:numId="21">
    <w:abstractNumId w:val="9"/>
  </w:num>
  <w:num w:numId="2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D1A7DF4-CE77-4F97-B3C2-B270026515DB"/>
    <w:docVar w:name="LW_COVERPAGE_TYPE" w:val="1"/>
    <w:docVar w:name="LW_CROSSREFERENCE" w:val="&lt;UNUSED&gt;"/>
    <w:docVar w:name="LW_DocType" w:val="EUROLOOK"/>
    <w:docVar w:name="LW_EMISSION" w:val="8.10.2019"/>
    <w:docVar w:name="LW_EMISSION_ISODATE" w:val="2019-10-08"/>
    <w:docVar w:name="LW_EMISSION_LOCATION" w:val="BRX"/>
    <w:docVar w:name="LW_EMISSION_PREFIX" w:val="Bruksela, dnia "/>
    <w:docVar w:name="LW_EMISSION_SUFFIX" w:val=" r."/>
    <w:docVar w:name="LW_ID_DOCTYPE_NONLW" w:val="CP-006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5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za lata 2016-2017 dotycz\u261?ce \u380?ywno\u347?ci i sk\u322?adników \u380?ywno\u347?ci poddanych dzia\u322?aniu promieniowania jonizuj\u261?cego"/>
    <w:docVar w:name="LW_TYPE.DOC.CP" w:val="SPRAWOZDANIE KOMISJI DLA PARLAMENTU EUROPEJSKIEGO I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pl-PL" w:bidi="pl-PL"/>
      </w:rPr>
    </w:rPrDefault>
    <w:pPrDefault/>
  </w:docDefaults>
  <w:latentStyles w:defLockedState="1" w:defUIPriority="0" w:defSemiHidden="1" w:defUnhideWhenUsed="1" w:defQFormat="0" w:count="267">
    <w:lsdException w:name="Normal" w:semiHidden="0" w:uiPriority="90" w:unhideWhenUsed="0" w:qFormat="1"/>
    <w:lsdException w:name="heading 1" w:semiHidden="0" w:uiPriority="90" w:unhideWhenUsed="0" w:qFormat="1"/>
    <w:lsdException w:name="heading 2" w:semiHidden="0" w:uiPriority="90" w:unhideWhenUsed="0" w:qFormat="1"/>
    <w:lsdException w:name="heading 3" w:semiHidden="0" w:uiPriority="90" w:unhideWhenUsed="0" w:qFormat="1"/>
    <w:lsdException w:name="heading 4" w:semiHidden="0" w:uiPriority="90" w:unhideWhenUsed="0" w:qFormat="1"/>
    <w:lsdException w:name="heading 5" w:unhideWhenUsed="0"/>
    <w:lsdException w:name="heading 6" w:unhideWhenUsed="0"/>
    <w:lsdException w:name="toc 1" w:uiPriority="39"/>
    <w:lsdException w:name="toc 2" w:uiPriority="39"/>
    <w:lsdException w:name="toc 3" w:uiPriority="99"/>
    <w:lsdException w:name="toc 4" w:uiPriority="99"/>
    <w:lsdException w:name="header" w:semiHidden="0" w:uiPriority="99"/>
    <w:lsdException w:name="footer" w:semiHidden="0" w:uiPriority="99"/>
    <w:lsdException w:name="caption" w:semiHidden="0"/>
    <w:lsdException w:name="List Bullet" w:semiHidden="0"/>
    <w:lsdException w:name="List Number" w:semiHidden="0" w:unhideWhenUsed="0"/>
    <w:lsdException w:name="List 4" w:unhideWhenUsed="0"/>
    <w:lsdException w:name="List 5" w:unhideWhenUsed="0"/>
    <w:lsdException w:name="List Bullet 2" w:semiHidden="0"/>
    <w:lsdException w:name="List Bullet 3" w:semiHidden="0"/>
    <w:lsdException w:name="List Bullet 4" w:semiHidden="0"/>
    <w:lsdException w:name="List Number 2" w:semiHidden="0"/>
    <w:lsdException w:name="List Number 3" w:semiHidden="0"/>
    <w:lsdException w:name="List Number 4" w:semiHidden="0"/>
    <w:lsdException w:name="Title" w:semiHidden="0" w:unhideWhenUsed="0"/>
    <w:lsdException w:name="Signature" w:semiHidden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Table" w:uiPriority="99"/>
    <w:lsdException w:name="Table Grid" w:semiHidden="0" w:unhideWhenUsed="0"/>
    <w:lsdException w:name="Placeholder Text" w:uiPriority="99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uiPriority w:val="90"/>
    <w:qFormat/>
    <w:pPr>
      <w:spacing w:after="240"/>
      <w:jc w:val="both"/>
    </w:pPr>
  </w:style>
  <w:style w:type="paragraph" w:styleId="Heading1">
    <w:name w:val="heading 1"/>
    <w:basedOn w:val="Normal"/>
    <w:next w:val="Text1"/>
    <w:uiPriority w:val="90"/>
    <w:qFormat/>
    <w:pPr>
      <w:keepNext/>
      <w:numPr>
        <w:numId w:val="2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uiPriority w:val="90"/>
    <w:qFormat/>
    <w:pPr>
      <w:keepNext/>
      <w:numPr>
        <w:ilvl w:val="1"/>
        <w:numId w:val="2"/>
      </w:numPr>
      <w:outlineLvl w:val="1"/>
    </w:pPr>
    <w:rPr>
      <w:b/>
    </w:rPr>
  </w:style>
  <w:style w:type="paragraph" w:styleId="Heading3">
    <w:name w:val="heading 3"/>
    <w:basedOn w:val="Normal"/>
    <w:next w:val="Text3"/>
    <w:uiPriority w:val="90"/>
    <w:qFormat/>
    <w:pPr>
      <w:keepNext/>
      <w:numPr>
        <w:ilvl w:val="2"/>
        <w:numId w:val="2"/>
      </w:numPr>
      <w:outlineLvl w:val="2"/>
    </w:pPr>
    <w:rPr>
      <w:i/>
    </w:rPr>
  </w:style>
  <w:style w:type="paragraph" w:styleId="Heading4">
    <w:name w:val="heading 4"/>
    <w:basedOn w:val="Normal"/>
    <w:next w:val="Text4"/>
    <w:uiPriority w:val="90"/>
    <w:qFormat/>
    <w:pPr>
      <w:keepNext/>
      <w:numPr>
        <w:ilvl w:val="3"/>
        <w:numId w:val="2"/>
      </w:numPr>
      <w:outlineLvl w:val="3"/>
    </w:pPr>
  </w:style>
  <w:style w:type="paragraph" w:styleId="Heading5">
    <w:name w:val="heading 5"/>
    <w:basedOn w:val="Normal"/>
    <w:next w:val="Normal"/>
    <w:semiHidden/>
    <w:pPr>
      <w:keepNext/>
      <w:numPr>
        <w:ilvl w:val="4"/>
        <w:numId w:val="2"/>
      </w:numPr>
      <w:outlineLvl w:val="4"/>
    </w:pPr>
  </w:style>
  <w:style w:type="paragraph" w:styleId="Heading6">
    <w:name w:val="heading 6"/>
    <w:basedOn w:val="Normal"/>
    <w:next w:val="Normal"/>
    <w:semiHidden/>
    <w:pPr>
      <w:keepNext/>
      <w:numPr>
        <w:ilvl w:val="5"/>
        <w:numId w:val="2"/>
      </w:numPr>
      <w:outlineLvl w:val="5"/>
    </w:pPr>
  </w:style>
  <w:style w:type="paragraph" w:styleId="Heading7">
    <w:name w:val="heading 7"/>
    <w:basedOn w:val="Normal"/>
    <w:next w:val="Normal"/>
    <w:semiHidden/>
    <w:pPr>
      <w:keepNext/>
      <w:numPr>
        <w:ilvl w:val="6"/>
        <w:numId w:val="2"/>
      </w:numPr>
      <w:outlineLvl w:val="6"/>
    </w:pPr>
  </w:style>
  <w:style w:type="paragraph" w:styleId="Heading8">
    <w:name w:val="heading 8"/>
    <w:basedOn w:val="Normal"/>
    <w:next w:val="Normal"/>
    <w:semiHidden/>
    <w:pPr>
      <w:keepNext/>
      <w:numPr>
        <w:ilvl w:val="7"/>
        <w:numId w:val="2"/>
      </w:numPr>
      <w:outlineLvl w:val="7"/>
    </w:pPr>
  </w:style>
  <w:style w:type="paragraph" w:styleId="Heading9">
    <w:name w:val="heading 9"/>
    <w:basedOn w:val="Normal"/>
    <w:next w:val="Normal"/>
    <w:semiHidden/>
    <w:pPr>
      <w:keepNext/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ossReference">
    <w:name w:val="Cross Reference"/>
    <w:basedOn w:val="DefaultParagraphFont"/>
    <w:uiPriority w:val="99"/>
    <w:rPr>
      <w:i/>
    </w:rPr>
  </w:style>
  <w:style w:type="character" w:customStyle="1" w:styleId="MarkingText">
    <w:name w:val="MarkingText"/>
    <w:semiHidden/>
    <w:rPr>
      <w:i/>
      <w:sz w:val="28"/>
    </w:rPr>
  </w:style>
  <w:style w:type="character" w:customStyle="1" w:styleId="MarkingLabel">
    <w:name w:val="MarkingLabel"/>
    <w:semiHidden/>
    <w:rPr>
      <w:b/>
      <w:caps/>
      <w:sz w:val="28"/>
    </w:rPr>
  </w:style>
  <w:style w:type="character" w:customStyle="1" w:styleId="BodyPlaceholderText">
    <w:name w:val="BodyPlaceholderText"/>
    <w:basedOn w:val="PlaceholderText"/>
    <w:uiPriority w:val="1"/>
    <w:semiHidden/>
    <w:rPr>
      <w:color w:val="3366CC"/>
    </w:rPr>
  </w:style>
  <w:style w:type="character" w:styleId="PlaceholderText">
    <w:name w:val="Placeholder Text"/>
    <w:basedOn w:val="DefaultParagraphFont"/>
    <w:uiPriority w:val="99"/>
    <w:semiHidden/>
    <w:rPr>
      <w:color w:val="2C8F6C"/>
    </w:rPr>
  </w:style>
  <w:style w:type="paragraph" w:customStyle="1" w:styleId="LegalNumPar3">
    <w:name w:val="LegalNumPar3"/>
    <w:basedOn w:val="Normal"/>
    <w:pPr>
      <w:numPr>
        <w:ilvl w:val="2"/>
        <w:numId w:val="1"/>
      </w:numPr>
      <w:spacing w:line="360" w:lineRule="auto"/>
      <w:jc w:val="left"/>
    </w:pPr>
  </w:style>
  <w:style w:type="paragraph" w:customStyle="1" w:styleId="LegalNumPar2">
    <w:name w:val="LegalNumPar2"/>
    <w:basedOn w:val="Normal"/>
    <w:pPr>
      <w:numPr>
        <w:ilvl w:val="1"/>
        <w:numId w:val="1"/>
      </w:numPr>
      <w:spacing w:line="360" w:lineRule="auto"/>
      <w:jc w:val="left"/>
    </w:pPr>
  </w:style>
  <w:style w:type="paragraph" w:customStyle="1" w:styleId="LegalNumPar">
    <w:name w:val="LegalNumPar"/>
    <w:basedOn w:val="Normal"/>
    <w:uiPriority w:val="90"/>
    <w:qFormat/>
    <w:pPr>
      <w:numPr>
        <w:numId w:val="1"/>
      </w:numPr>
      <w:spacing w:line="360" w:lineRule="auto"/>
      <w:jc w:val="left"/>
    </w:pPr>
  </w:style>
  <w:style w:type="paragraph" w:customStyle="1" w:styleId="Marking">
    <w:name w:val="Marking"/>
    <w:basedOn w:val="Normal"/>
    <w:pPr>
      <w:spacing w:line="276" w:lineRule="auto"/>
      <w:contextualSpacing/>
      <w:jc w:val="right"/>
    </w:pPr>
    <w:rPr>
      <w:sz w:val="28"/>
    </w:rPr>
  </w:style>
  <w:style w:type="paragraph" w:customStyle="1" w:styleId="ListNumber4Level4">
    <w:name w:val="List Number 4 (Level 4)"/>
    <w:basedOn w:val="Text4"/>
    <w:semiHidden/>
    <w:unhideWhenUsed/>
    <w:pPr>
      <w:numPr>
        <w:ilvl w:val="3"/>
        <w:numId w:val="12"/>
      </w:numPr>
    </w:pPr>
  </w:style>
  <w:style w:type="paragraph" w:customStyle="1" w:styleId="ListNumber4Level3">
    <w:name w:val="List Number 4 (Level 3)"/>
    <w:basedOn w:val="Text4"/>
    <w:semiHidden/>
    <w:unhideWhenUsed/>
    <w:pPr>
      <w:numPr>
        <w:ilvl w:val="2"/>
        <w:numId w:val="12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2"/>
      </w:numPr>
    </w:pPr>
  </w:style>
  <w:style w:type="paragraph" w:styleId="ListNumber4">
    <w:name w:val="List Number 4"/>
    <w:basedOn w:val="Text4"/>
    <w:pPr>
      <w:numPr>
        <w:numId w:val="12"/>
      </w:numPr>
    </w:pPr>
  </w:style>
  <w:style w:type="paragraph" w:customStyle="1" w:styleId="ListNumber3Level4">
    <w:name w:val="List Number 3 (Level 4)"/>
    <w:basedOn w:val="Text3"/>
    <w:unhideWhenUsed/>
    <w:pPr>
      <w:numPr>
        <w:ilvl w:val="3"/>
        <w:numId w:val="11"/>
      </w:numPr>
    </w:pPr>
  </w:style>
  <w:style w:type="paragraph" w:customStyle="1" w:styleId="ListNumber3Level3">
    <w:name w:val="List Number 3 (Level 3)"/>
    <w:basedOn w:val="Text3"/>
    <w:unhideWhenUsed/>
    <w:pPr>
      <w:numPr>
        <w:ilvl w:val="2"/>
        <w:numId w:val="11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1"/>
      </w:numPr>
    </w:pPr>
  </w:style>
  <w:style w:type="paragraph" w:styleId="ListNumber3">
    <w:name w:val="List Number 3"/>
    <w:basedOn w:val="Text3"/>
    <w:pPr>
      <w:numPr>
        <w:numId w:val="11"/>
      </w:numPr>
    </w:pPr>
  </w:style>
  <w:style w:type="paragraph" w:customStyle="1" w:styleId="ListNumber2Level4">
    <w:name w:val="List Number 2 (Level 4)"/>
    <w:basedOn w:val="Text2"/>
    <w:semiHidden/>
    <w:unhideWhenUsed/>
    <w:pPr>
      <w:numPr>
        <w:ilvl w:val="3"/>
        <w:numId w:val="10"/>
      </w:numPr>
    </w:pPr>
  </w:style>
  <w:style w:type="paragraph" w:customStyle="1" w:styleId="ListNumber2Level3">
    <w:name w:val="List Number 2 (Level 3)"/>
    <w:basedOn w:val="Text2"/>
    <w:semiHidden/>
    <w:unhideWhenUsed/>
    <w:pPr>
      <w:numPr>
        <w:ilvl w:val="2"/>
        <w:numId w:val="10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0"/>
      </w:numPr>
    </w:pPr>
  </w:style>
  <w:style w:type="paragraph" w:styleId="ListNumber2">
    <w:name w:val="List Number 2"/>
    <w:basedOn w:val="Text2"/>
    <w:pPr>
      <w:numPr>
        <w:numId w:val="10"/>
      </w:numPr>
    </w:pPr>
  </w:style>
  <w:style w:type="paragraph" w:customStyle="1" w:styleId="ListNumber1Level4">
    <w:name w:val="List Number 1 (Level 4)"/>
    <w:basedOn w:val="Text1"/>
    <w:semiHidden/>
    <w:unhideWhenUsed/>
    <w:pPr>
      <w:numPr>
        <w:ilvl w:val="3"/>
        <w:numId w:val="9"/>
      </w:numPr>
    </w:pPr>
  </w:style>
  <w:style w:type="paragraph" w:customStyle="1" w:styleId="ListNumber1Level3">
    <w:name w:val="List Number 1 (Level 3)"/>
    <w:basedOn w:val="Text1"/>
    <w:semiHidden/>
    <w:unhideWhenUsed/>
    <w:pPr>
      <w:numPr>
        <w:ilvl w:val="2"/>
        <w:numId w:val="9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9"/>
      </w:numPr>
    </w:pPr>
  </w:style>
  <w:style w:type="paragraph" w:customStyle="1" w:styleId="ListNumber1">
    <w:name w:val="List Number 1"/>
    <w:basedOn w:val="Text1"/>
    <w:pPr>
      <w:numPr>
        <w:numId w:val="9"/>
      </w:numPr>
    </w:pPr>
  </w:style>
  <w:style w:type="paragraph" w:customStyle="1" w:styleId="ListNumberLevel4">
    <w:name w:val="List Number (Level 4)"/>
    <w:basedOn w:val="Normal"/>
    <w:semiHidden/>
    <w:unhideWhenUsed/>
    <w:pPr>
      <w:numPr>
        <w:ilvl w:val="3"/>
        <w:numId w:val="8"/>
      </w:numPr>
    </w:pPr>
  </w:style>
  <w:style w:type="paragraph" w:customStyle="1" w:styleId="ListNumberLevel3">
    <w:name w:val="List Number (Level 3)"/>
    <w:basedOn w:val="Normal"/>
    <w:semiHidden/>
    <w:unhideWhenUsed/>
    <w:pPr>
      <w:numPr>
        <w:ilvl w:val="2"/>
        <w:numId w:val="8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customStyle="1" w:styleId="ListDash4Level4">
    <w:name w:val="List Dash 4 (Level 4)"/>
    <w:basedOn w:val="Text4"/>
    <w:semiHidden/>
    <w:unhideWhenUsed/>
    <w:pPr>
      <w:numPr>
        <w:ilvl w:val="3"/>
        <w:numId w:val="17"/>
      </w:numPr>
    </w:pPr>
  </w:style>
  <w:style w:type="paragraph" w:customStyle="1" w:styleId="ListDash4Level3">
    <w:name w:val="List Dash 4 (Level 3)"/>
    <w:basedOn w:val="Text4"/>
    <w:semiHidden/>
    <w:unhideWhenUsed/>
    <w:pPr>
      <w:numPr>
        <w:ilvl w:val="2"/>
        <w:numId w:val="17"/>
      </w:numPr>
    </w:pPr>
  </w:style>
  <w:style w:type="paragraph" w:customStyle="1" w:styleId="ListDash4Level2">
    <w:name w:val="List Dash 4 (Level 2)"/>
    <w:basedOn w:val="Text4"/>
    <w:pPr>
      <w:numPr>
        <w:ilvl w:val="1"/>
        <w:numId w:val="17"/>
      </w:numPr>
    </w:pPr>
  </w:style>
  <w:style w:type="paragraph" w:customStyle="1" w:styleId="ListDash4">
    <w:name w:val="List Dash 4"/>
    <w:basedOn w:val="Text4"/>
    <w:pPr>
      <w:numPr>
        <w:numId w:val="17"/>
      </w:numPr>
    </w:pPr>
  </w:style>
  <w:style w:type="paragraph" w:customStyle="1" w:styleId="ListDash3Level4">
    <w:name w:val="List Dash 3 (Level 4)"/>
    <w:basedOn w:val="Text3"/>
    <w:semiHidden/>
    <w:unhideWhenUsed/>
    <w:pPr>
      <w:numPr>
        <w:ilvl w:val="3"/>
        <w:numId w:val="16"/>
      </w:numPr>
    </w:pPr>
  </w:style>
  <w:style w:type="paragraph" w:customStyle="1" w:styleId="ListDash3Level3">
    <w:name w:val="List Dash 3 (Level 3)"/>
    <w:basedOn w:val="Text3"/>
    <w:semiHidden/>
    <w:unhideWhenUsed/>
    <w:pPr>
      <w:numPr>
        <w:ilvl w:val="2"/>
        <w:numId w:val="16"/>
      </w:numPr>
    </w:pPr>
  </w:style>
  <w:style w:type="paragraph" w:customStyle="1" w:styleId="ListDash3Level2">
    <w:name w:val="List Dash 3 (Level 2)"/>
    <w:basedOn w:val="Text3"/>
    <w:pPr>
      <w:numPr>
        <w:ilvl w:val="1"/>
        <w:numId w:val="16"/>
      </w:numPr>
    </w:pPr>
  </w:style>
  <w:style w:type="paragraph" w:customStyle="1" w:styleId="ListDash3">
    <w:name w:val="List Dash 3"/>
    <w:basedOn w:val="Text3"/>
    <w:pPr>
      <w:numPr>
        <w:numId w:val="16"/>
      </w:numPr>
    </w:pPr>
  </w:style>
  <w:style w:type="paragraph" w:customStyle="1" w:styleId="ListDash2Level4">
    <w:name w:val="List Dash 2 (Level 4)"/>
    <w:basedOn w:val="Text2"/>
    <w:semiHidden/>
    <w:unhideWhenUsed/>
    <w:pPr>
      <w:numPr>
        <w:ilvl w:val="3"/>
        <w:numId w:val="15"/>
      </w:numPr>
    </w:pPr>
  </w:style>
  <w:style w:type="paragraph" w:customStyle="1" w:styleId="ListDash2Level3">
    <w:name w:val="List Dash 2 (Level 3)"/>
    <w:basedOn w:val="Text2"/>
    <w:semiHidden/>
    <w:unhideWhenUsed/>
    <w:pPr>
      <w:numPr>
        <w:ilvl w:val="2"/>
        <w:numId w:val="15"/>
      </w:numPr>
    </w:pPr>
  </w:style>
  <w:style w:type="paragraph" w:customStyle="1" w:styleId="ListDash2Level2">
    <w:name w:val="List Dash 2 (Level 2)"/>
    <w:basedOn w:val="Text2"/>
    <w:pPr>
      <w:numPr>
        <w:ilvl w:val="1"/>
        <w:numId w:val="15"/>
      </w:numPr>
    </w:pPr>
  </w:style>
  <w:style w:type="paragraph" w:customStyle="1" w:styleId="ListDash2">
    <w:name w:val="List Dash 2"/>
    <w:basedOn w:val="Text2"/>
    <w:pPr>
      <w:numPr>
        <w:numId w:val="15"/>
      </w:numPr>
    </w:pPr>
  </w:style>
  <w:style w:type="paragraph" w:customStyle="1" w:styleId="ListDash1Level4">
    <w:name w:val="List Dash 1 (Level 4)"/>
    <w:basedOn w:val="Text1"/>
    <w:semiHidden/>
    <w:unhideWhenUsed/>
    <w:pPr>
      <w:numPr>
        <w:ilvl w:val="3"/>
        <w:numId w:val="14"/>
      </w:numPr>
    </w:pPr>
  </w:style>
  <w:style w:type="paragraph" w:customStyle="1" w:styleId="ListDash1Level3">
    <w:name w:val="List Dash 1 (Level 3)"/>
    <w:basedOn w:val="Text1"/>
    <w:semiHidden/>
    <w:unhideWhenUsed/>
    <w:pPr>
      <w:numPr>
        <w:ilvl w:val="2"/>
        <w:numId w:val="14"/>
      </w:numPr>
    </w:pPr>
  </w:style>
  <w:style w:type="paragraph" w:customStyle="1" w:styleId="ListDash1Level2">
    <w:name w:val="List Dash 1 (Level 2)"/>
    <w:basedOn w:val="Text1"/>
    <w:pPr>
      <w:numPr>
        <w:ilvl w:val="1"/>
        <w:numId w:val="14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Level4">
    <w:name w:val="List Dash (Level 4)"/>
    <w:basedOn w:val="Normal"/>
    <w:semiHidden/>
    <w:unhideWhenUsed/>
    <w:pPr>
      <w:numPr>
        <w:ilvl w:val="3"/>
        <w:numId w:val="13"/>
      </w:numPr>
    </w:pPr>
  </w:style>
  <w:style w:type="paragraph" w:customStyle="1" w:styleId="ListDashLevel3">
    <w:name w:val="List Dash (Level 3)"/>
    <w:basedOn w:val="Normal"/>
    <w:semiHidden/>
    <w:unhideWhenUsed/>
    <w:pPr>
      <w:numPr>
        <w:ilvl w:val="2"/>
        <w:numId w:val="13"/>
      </w:numPr>
    </w:pPr>
  </w:style>
  <w:style w:type="paragraph" w:customStyle="1" w:styleId="ListDashLevel2">
    <w:name w:val="List Dash (Level 2)"/>
    <w:basedOn w:val="Normal"/>
    <w:pPr>
      <w:numPr>
        <w:ilvl w:val="1"/>
        <w:numId w:val="13"/>
      </w:numPr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Bullet4Level4">
    <w:name w:val="List Bullet 4 (Level 4)"/>
    <w:basedOn w:val="Text4"/>
    <w:semiHidden/>
    <w:unhideWhenUsed/>
    <w:pPr>
      <w:numPr>
        <w:ilvl w:val="3"/>
        <w:numId w:val="7"/>
      </w:numPr>
    </w:pPr>
  </w:style>
  <w:style w:type="paragraph" w:customStyle="1" w:styleId="ListBullet4Level3">
    <w:name w:val="List Bullet 4 (Level 3)"/>
    <w:basedOn w:val="Text4"/>
    <w:semiHidden/>
    <w:unhideWhenUsed/>
    <w:pPr>
      <w:numPr>
        <w:ilvl w:val="2"/>
        <w:numId w:val="7"/>
      </w:numPr>
    </w:pPr>
  </w:style>
  <w:style w:type="paragraph" w:customStyle="1" w:styleId="ListBullet4Level2">
    <w:name w:val="List Bullet 4 (Level 2)"/>
    <w:basedOn w:val="Text4"/>
    <w:pPr>
      <w:numPr>
        <w:ilvl w:val="1"/>
        <w:numId w:val="7"/>
      </w:numPr>
    </w:pPr>
  </w:style>
  <w:style w:type="paragraph" w:styleId="ListBullet4">
    <w:name w:val="List Bullet 4"/>
    <w:basedOn w:val="Text4"/>
    <w:pPr>
      <w:numPr>
        <w:numId w:val="7"/>
      </w:numPr>
    </w:pPr>
  </w:style>
  <w:style w:type="paragraph" w:customStyle="1" w:styleId="ListBullet3Level4">
    <w:name w:val="List Bullet 3 (Level 4)"/>
    <w:basedOn w:val="Text3"/>
    <w:semiHidden/>
    <w:unhideWhenUsed/>
    <w:pPr>
      <w:numPr>
        <w:ilvl w:val="3"/>
        <w:numId w:val="6"/>
      </w:numPr>
    </w:pPr>
  </w:style>
  <w:style w:type="paragraph" w:customStyle="1" w:styleId="ListBullet3Level3">
    <w:name w:val="List Bullet 3 (Level 3)"/>
    <w:basedOn w:val="Text3"/>
    <w:semiHidden/>
    <w:unhideWhenUsed/>
    <w:pPr>
      <w:numPr>
        <w:ilvl w:val="2"/>
        <w:numId w:val="6"/>
      </w:numPr>
    </w:pPr>
  </w:style>
  <w:style w:type="paragraph" w:customStyle="1" w:styleId="ListBullet3Level2">
    <w:name w:val="List Bullet 3 (Level 2)"/>
    <w:basedOn w:val="Text3"/>
    <w:pPr>
      <w:numPr>
        <w:ilvl w:val="1"/>
        <w:numId w:val="6"/>
      </w:numPr>
    </w:pPr>
  </w:style>
  <w:style w:type="paragraph" w:styleId="ListBullet3">
    <w:name w:val="List Bullet 3"/>
    <w:basedOn w:val="Text3"/>
    <w:pPr>
      <w:numPr>
        <w:numId w:val="6"/>
      </w:numPr>
    </w:pPr>
  </w:style>
  <w:style w:type="paragraph" w:customStyle="1" w:styleId="ListBullet2Level4">
    <w:name w:val="List Bullet 2 (Level 4)"/>
    <w:basedOn w:val="Text2"/>
    <w:semiHidden/>
    <w:unhideWhenUsed/>
    <w:pPr>
      <w:numPr>
        <w:ilvl w:val="3"/>
        <w:numId w:val="5"/>
      </w:numPr>
    </w:pPr>
  </w:style>
  <w:style w:type="paragraph" w:customStyle="1" w:styleId="ListBullet2Level3">
    <w:name w:val="List Bullet 2 (Level 3)"/>
    <w:basedOn w:val="Text2"/>
    <w:semiHidden/>
    <w:unhideWhenUsed/>
    <w:pPr>
      <w:numPr>
        <w:ilvl w:val="2"/>
        <w:numId w:val="5"/>
      </w:numPr>
    </w:pPr>
  </w:style>
  <w:style w:type="paragraph" w:customStyle="1" w:styleId="ListBullet2Level2">
    <w:name w:val="List Bullet 2 (Level 2)"/>
    <w:basedOn w:val="Text2"/>
    <w:pPr>
      <w:numPr>
        <w:ilvl w:val="1"/>
        <w:numId w:val="5"/>
      </w:numPr>
    </w:pPr>
  </w:style>
  <w:style w:type="paragraph" w:styleId="ListBullet2">
    <w:name w:val="List Bullet 2"/>
    <w:basedOn w:val="Text2"/>
    <w:pPr>
      <w:numPr>
        <w:numId w:val="5"/>
      </w:numPr>
    </w:pPr>
  </w:style>
  <w:style w:type="paragraph" w:customStyle="1" w:styleId="ListBullet1Level4">
    <w:name w:val="List Bullet 1 (Level 4)"/>
    <w:basedOn w:val="Text1"/>
    <w:semiHidden/>
    <w:unhideWhenUsed/>
    <w:pPr>
      <w:numPr>
        <w:ilvl w:val="3"/>
        <w:numId w:val="4"/>
      </w:numPr>
    </w:pPr>
  </w:style>
  <w:style w:type="paragraph" w:customStyle="1" w:styleId="ListBullet1Level3">
    <w:name w:val="List Bullet 1 (Level 3)"/>
    <w:basedOn w:val="Text1"/>
    <w:semiHidden/>
    <w:unhideWhenUsed/>
    <w:pPr>
      <w:numPr>
        <w:ilvl w:val="2"/>
        <w:numId w:val="4"/>
      </w:numPr>
    </w:pPr>
  </w:style>
  <w:style w:type="paragraph" w:customStyle="1" w:styleId="ListBullet1Level2">
    <w:name w:val="List Bullet 1 (Level 2)"/>
    <w:basedOn w:val="Text1"/>
    <w:pPr>
      <w:numPr>
        <w:ilvl w:val="1"/>
        <w:numId w:val="4"/>
      </w:numPr>
    </w:pPr>
  </w:style>
  <w:style w:type="paragraph" w:customStyle="1" w:styleId="ListBullet1">
    <w:name w:val="List Bullet 1"/>
    <w:basedOn w:val="Text1"/>
    <w:pPr>
      <w:numPr>
        <w:numId w:val="4"/>
      </w:numPr>
    </w:pPr>
  </w:style>
  <w:style w:type="paragraph" w:customStyle="1" w:styleId="ListBulletLevel4">
    <w:name w:val="List Bullet (Level 4)"/>
    <w:basedOn w:val="Text1"/>
    <w:semiHidden/>
    <w:unhideWhenUsed/>
    <w:pPr>
      <w:numPr>
        <w:ilvl w:val="3"/>
        <w:numId w:val="3"/>
      </w:numPr>
    </w:pPr>
  </w:style>
  <w:style w:type="paragraph" w:customStyle="1" w:styleId="ListBulletLevel3">
    <w:name w:val="List Bullet (Level 3)"/>
    <w:basedOn w:val="Text1"/>
    <w:semiHidden/>
    <w:unhideWhenUsed/>
    <w:pPr>
      <w:numPr>
        <w:ilvl w:val="2"/>
        <w:numId w:val="3"/>
      </w:numPr>
    </w:pPr>
  </w:style>
  <w:style w:type="paragraph" w:customStyle="1" w:styleId="ListBulletLevel2">
    <w:name w:val="List Bullet (Level 2)"/>
    <w:basedOn w:val="Text1"/>
    <w:pPr>
      <w:numPr>
        <w:ilvl w:val="1"/>
        <w:numId w:val="3"/>
      </w:numPr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before="120" w:after="60"/>
      <w:ind w:right="720"/>
    </w:pPr>
    <w:rPr>
      <w:b/>
    </w:rPr>
  </w:style>
  <w:style w:type="paragraph" w:styleId="TOC4">
    <w:name w:val="toc 4"/>
    <w:basedOn w:val="Normal"/>
    <w:next w:val="Normal"/>
    <w:uiPriority w:val="99"/>
    <w:semiHidden/>
    <w:pPr>
      <w:tabs>
        <w:tab w:val="left" w:pos="1446"/>
        <w:tab w:val="left" w:pos="1587"/>
        <w:tab w:val="right" w:leader="dot" w:pos="8640"/>
      </w:tabs>
      <w:spacing w:after="60"/>
      <w:ind w:left="1445" w:right="720" w:hanging="850"/>
    </w:pPr>
    <w:rPr>
      <w:noProof/>
      <w:sz w:val="20"/>
    </w:rPr>
  </w:style>
  <w:style w:type="paragraph" w:styleId="TOC3">
    <w:name w:val="toc 3"/>
    <w:basedOn w:val="Normal"/>
    <w:next w:val="Normal"/>
    <w:uiPriority w:val="99"/>
    <w:semiHidden/>
    <w:pPr>
      <w:tabs>
        <w:tab w:val="left" w:pos="595"/>
        <w:tab w:val="right" w:leader="dot" w:pos="8640"/>
      </w:tabs>
      <w:spacing w:after="60"/>
      <w:ind w:left="1190" w:right="720" w:hanging="595"/>
    </w:pPr>
    <w:rPr>
      <w:sz w:val="20"/>
    </w:rPr>
  </w:style>
  <w:style w:type="paragraph" w:styleId="TOC2">
    <w:name w:val="toc 2"/>
    <w:basedOn w:val="Normal"/>
    <w:next w:val="Normal"/>
    <w:uiPriority w:val="39"/>
    <w:semiHidden/>
    <w:pPr>
      <w:tabs>
        <w:tab w:val="left" w:pos="595"/>
        <w:tab w:val="right" w:leader="dot" w:pos="8640"/>
      </w:tabs>
      <w:spacing w:after="60"/>
      <w:ind w:left="595" w:right="720" w:hanging="595"/>
    </w:pPr>
    <w:rPr>
      <w:noProof/>
      <w:sz w:val="20"/>
    </w:rPr>
  </w:style>
  <w:style w:type="paragraph" w:styleId="TOC1">
    <w:name w:val="toc 1"/>
    <w:basedOn w:val="Normal"/>
    <w:next w:val="Normal"/>
    <w:uiPriority w:val="39"/>
    <w:pPr>
      <w:tabs>
        <w:tab w:val="left" w:pos="595"/>
        <w:tab w:val="right" w:leader="dot" w:pos="8640"/>
      </w:tabs>
      <w:spacing w:after="60"/>
      <w:ind w:left="595" w:right="720" w:hanging="595"/>
    </w:pPr>
    <w:rPr>
      <w:b/>
      <w:caps/>
      <w:sz w:val="20"/>
    </w:rPr>
  </w:style>
  <w:style w:type="paragraph" w:styleId="TOCHeading">
    <w:name w:val="TOC Heading"/>
    <w:basedOn w:val="Normal"/>
    <w:next w:val="Normal"/>
    <w:uiPriority w:val="39"/>
    <w:semiHidden/>
    <w:qFormat/>
    <w:pPr>
      <w:spacing w:after="120"/>
      <w:jc w:val="center"/>
    </w:pPr>
    <w:rPr>
      <w:rFonts w:ascii="Times New Roman Bold" w:hAnsi="Times New Roman Bold"/>
      <w:b/>
      <w:sz w:val="32"/>
    </w:rPr>
  </w:style>
  <w:style w:type="paragraph" w:customStyle="1" w:styleId="NumPar4">
    <w:name w:val="NumPar 4"/>
    <w:basedOn w:val="Heading4"/>
    <w:uiPriority w:val="90"/>
    <w:qFormat/>
    <w:pPr>
      <w:keepNext w:val="0"/>
      <w:outlineLvl w:val="9"/>
    </w:pPr>
  </w:style>
  <w:style w:type="paragraph" w:customStyle="1" w:styleId="NumPar3">
    <w:name w:val="NumPar 3"/>
    <w:basedOn w:val="Heading3"/>
    <w:uiPriority w:val="90"/>
    <w:qFormat/>
    <w:pPr>
      <w:keepNext w:val="0"/>
      <w:outlineLvl w:val="9"/>
    </w:pPr>
    <w:rPr>
      <w:i w:val="0"/>
    </w:rPr>
  </w:style>
  <w:style w:type="paragraph" w:customStyle="1" w:styleId="NumPar2">
    <w:name w:val="NumPar 2"/>
    <w:basedOn w:val="Heading2"/>
    <w:uiPriority w:val="90"/>
    <w:qFormat/>
    <w:pPr>
      <w:keepNext w:val="0"/>
      <w:outlineLvl w:val="9"/>
    </w:pPr>
    <w:rPr>
      <w:b w:val="0"/>
    </w:rPr>
  </w:style>
  <w:style w:type="paragraph" w:customStyle="1" w:styleId="NumPar1">
    <w:name w:val="NumPar 1"/>
    <w:basedOn w:val="Heading1"/>
    <w:uiPriority w:val="90"/>
    <w:qFormat/>
    <w:pPr>
      <w:keepNext w:val="0"/>
      <w:spacing w:before="0"/>
      <w:outlineLvl w:val="9"/>
    </w:pPr>
    <w:rPr>
      <w:b w:val="0"/>
      <w:smallCaps w:val="0"/>
    </w:rPr>
  </w:style>
  <w:style w:type="paragraph" w:styleId="MacroText">
    <w:name w:val="macro"/>
    <w:basedOn w:val="Normal"/>
    <w:uiPriority w:val="90"/>
    <w:qFormat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rFonts w:ascii="Courier New" w:hAnsi="Courier New"/>
      <w:sz w:val="22"/>
    </w:rPr>
  </w:style>
  <w:style w:type="paragraph" w:styleId="FootnoteText">
    <w:name w:val="footnote text"/>
    <w:basedOn w:val="Normal"/>
    <w:link w:val="FootnoteTextChar"/>
    <w:semiHidden/>
    <w:pPr>
      <w:spacing w:after="120"/>
      <w:ind w:left="357" w:hanging="357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sz w:val="16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Releasable">
    <w:name w:val="Releasable"/>
    <w:basedOn w:val="Normal"/>
    <w:pPr>
      <w:spacing w:after="0"/>
      <w:jc w:val="center"/>
    </w:pPr>
    <w:rPr>
      <w:b/>
      <w:caps/>
      <w:sz w:val="32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ferences">
    <w:name w:val="References"/>
    <w:basedOn w:val="Normal"/>
    <w:next w:val="Normal"/>
    <w:pPr>
      <w:ind w:left="5102"/>
      <w:jc w:val="left"/>
    </w:pPr>
    <w:rPr>
      <w:sz w:val="20"/>
    </w:rPr>
  </w:style>
  <w:style w:type="paragraph" w:styleId="Date">
    <w:name w:val="Date"/>
    <w:basedOn w:val="Normal"/>
    <w:next w:val="References"/>
    <w:pPr>
      <w:spacing w:after="0"/>
      <w:ind w:left="5102" w:right="-567"/>
      <w:jc w:val="left"/>
    </w:pPr>
  </w:style>
  <w:style w:type="paragraph" w:customStyle="1" w:styleId="Contact">
    <w:name w:val="Contact"/>
    <w:basedOn w:val="Normal"/>
    <w:uiPriority w:val="99"/>
    <w:pPr>
      <w:spacing w:before="480" w:after="0"/>
      <w:ind w:left="567" w:hanging="567"/>
      <w:jc w:val="left"/>
    </w:pPr>
  </w:style>
  <w:style w:type="paragraph" w:styleId="Caption">
    <w:name w:val="caption"/>
    <w:basedOn w:val="Normal"/>
    <w:next w:val="Normal"/>
    <w:pPr>
      <w:spacing w:before="160"/>
    </w:pPr>
    <w:rPr>
      <w:i/>
      <w:sz w:val="22"/>
    </w:rPr>
  </w:style>
  <w:style w:type="paragraph" w:customStyle="1" w:styleId="ZDGName">
    <w:name w:val="Z_DGName"/>
    <w:basedOn w:val="Normal"/>
    <w:uiPriority w:val="99"/>
    <w:semiHidden/>
    <w:pPr>
      <w:widowControl w:val="0"/>
      <w:spacing w:after="0"/>
      <w:ind w:right="85"/>
      <w:jc w:val="left"/>
    </w:pPr>
    <w:rPr>
      <w:sz w:val="16"/>
    </w:rPr>
  </w:style>
  <w:style w:type="paragraph" w:customStyle="1" w:styleId="ZCom">
    <w:name w:val="Z_Com"/>
    <w:basedOn w:val="Normal"/>
    <w:next w:val="Normal"/>
    <w:uiPriority w:val="99"/>
    <w:semiHidden/>
    <w:pPr>
      <w:widowControl w:val="0"/>
      <w:spacing w:before="90" w:after="0"/>
      <w:ind w:right="85"/>
    </w:pPr>
  </w:style>
  <w:style w:type="paragraph" w:customStyle="1" w:styleId="ZFlag">
    <w:name w:val="Z_Flag"/>
    <w:basedOn w:val="Normal"/>
    <w:next w:val="Normal"/>
    <w:uiPriority w:val="99"/>
    <w:semiHidden/>
    <w:pPr>
      <w:widowControl w:val="0"/>
      <w:spacing w:after="0"/>
      <w:ind w:right="85"/>
    </w:p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uiPriority w:val="90"/>
    <w:qFormat/>
    <w:pPr>
      <w:ind w:left="1202"/>
    </w:pPr>
  </w:style>
  <w:style w:type="paragraph" w:customStyle="1" w:styleId="Text3">
    <w:name w:val="Text 3"/>
    <w:basedOn w:val="Normal"/>
    <w:uiPriority w:val="90"/>
    <w:qFormat/>
    <w:pPr>
      <w:ind w:left="1202"/>
    </w:pPr>
  </w:style>
  <w:style w:type="paragraph" w:customStyle="1" w:styleId="Text4">
    <w:name w:val="Text 4"/>
    <w:basedOn w:val="Normal"/>
    <w:uiPriority w:val="90"/>
    <w:qFormat/>
    <w:pPr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2"/>
      <w:jc w:val="left"/>
    </w:pPr>
  </w:style>
  <w:style w:type="paragraph" w:customStyle="1" w:styleId="PartTitle">
    <w:name w:val="PartTitle"/>
    <w:basedOn w:val="Normal"/>
    <w:next w:val="ChapterTitle"/>
    <w:uiPriority w:val="90"/>
    <w:qFormat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0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uiPriority w:val="90"/>
    <w:qFormat/>
    <w:pPr>
      <w:keepNext/>
      <w:spacing w:after="480"/>
      <w:jc w:val="center"/>
    </w:pPr>
    <w:rPr>
      <w:b/>
      <w:smallCaps/>
      <w:sz w:val="28"/>
    </w:rPr>
  </w:style>
  <w:style w:type="paragraph" w:styleId="Signature">
    <w:name w:val="Signature"/>
    <w:basedOn w:val="Normal"/>
    <w:next w:val="Enclosures"/>
    <w:pPr>
      <w:tabs>
        <w:tab w:val="left" w:pos="5102"/>
      </w:tabs>
      <w:spacing w:before="1200" w:after="0"/>
      <w:ind w:left="5102"/>
      <w:jc w:val="center"/>
    </w:pPr>
  </w:style>
  <w:style w:type="paragraph" w:customStyle="1" w:styleId="SignatureL">
    <w:name w:val="SignatureL"/>
    <w:basedOn w:val="Normal"/>
    <w:next w:val="Enclosures"/>
    <w:pPr>
      <w:tabs>
        <w:tab w:val="left" w:pos="5102"/>
      </w:tabs>
      <w:spacing w:before="1200" w:after="0"/>
      <w:jc w:val="left"/>
    </w:pPr>
  </w:style>
  <w:style w:type="paragraph" w:customStyle="1" w:styleId="DoubSign">
    <w:name w:val="DoubSign"/>
    <w:basedOn w:val="Normal"/>
    <w:next w:val="Enclosures"/>
    <w:pPr>
      <w:tabs>
        <w:tab w:val="left" w:pos="5102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1"/>
      </w:tabs>
      <w:spacing w:before="480" w:after="0"/>
      <w:ind w:left="2382" w:hanging="1191"/>
      <w:jc w:val="left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customStyle="1" w:styleId="YReferences">
    <w:name w:val="YReferences"/>
    <w:basedOn w:val="Normal"/>
    <w:next w:val="Normal"/>
    <w:pPr>
      <w:spacing w:after="480"/>
      <w:ind w:left="3062" w:hanging="1531"/>
    </w:pPr>
  </w:style>
  <w:style w:type="paragraph" w:customStyle="1" w:styleId="FooterLine">
    <w:name w:val="Footer Line"/>
    <w:basedOn w:val="Footer"/>
    <w:next w:val="Footer"/>
    <w:uiPriority w:val="99"/>
    <w:pPr>
      <w:tabs>
        <w:tab w:val="right" w:pos="8646"/>
      </w:tabs>
      <w:spacing w:before="120" w:line="264" w:lineRule="auto"/>
      <w:ind w:right="0"/>
      <w:jc w:val="both"/>
    </w:pPr>
  </w:style>
  <w:style w:type="paragraph" w:customStyle="1" w:styleId="HistoryTable">
    <w:name w:val="HistoryTable"/>
    <w:basedOn w:val="Normal"/>
    <w:pPr>
      <w:spacing w:before="60" w:after="60"/>
      <w:jc w:val="left"/>
    </w:pPr>
    <w:rPr>
      <w:sz w:val="20"/>
    </w:rPr>
  </w:style>
  <w:style w:type="paragraph" w:customStyle="1" w:styleId="HistTableHeading">
    <w:name w:val="HistTableHeading"/>
    <w:basedOn w:val="Normal"/>
    <w:next w:val="HistoryTable"/>
    <w:pPr>
      <w:spacing w:after="120"/>
      <w:jc w:val="center"/>
    </w:pPr>
    <w:rPr>
      <w:rFonts w:ascii="Times New Roman Bold" w:hAnsi="Times New Roman Bold"/>
      <w:b/>
      <w:sz w:val="32"/>
    </w:rPr>
  </w:style>
  <w:style w:type="paragraph" w:customStyle="1" w:styleId="FigureTitle">
    <w:name w:val="Figure Title"/>
    <w:basedOn w:val="Normal"/>
    <w:next w:val="FigureBody"/>
    <w:uiPriority w:val="6"/>
    <w:pPr>
      <w:keepNext/>
      <w:spacing w:after="180"/>
    </w:pPr>
    <w:rPr>
      <w:b/>
    </w:rPr>
  </w:style>
  <w:style w:type="paragraph" w:customStyle="1" w:styleId="FigureBody">
    <w:name w:val="Figure Body"/>
    <w:basedOn w:val="Normal"/>
    <w:next w:val="FigureNote"/>
    <w:uiPriority w:val="7"/>
    <w:pPr>
      <w:keepNext/>
      <w:spacing w:after="40"/>
    </w:pPr>
  </w:style>
  <w:style w:type="paragraph" w:customStyle="1" w:styleId="FigureNote">
    <w:name w:val="Figure Note"/>
    <w:basedOn w:val="FigureSource"/>
    <w:next w:val="FigureSource"/>
    <w:uiPriority w:val="7"/>
    <w:rPr>
      <w:b/>
    </w:rPr>
  </w:style>
  <w:style w:type="paragraph" w:customStyle="1" w:styleId="FigureSource">
    <w:name w:val="Figure Source"/>
    <w:basedOn w:val="Normal"/>
    <w:next w:val="Normal"/>
    <w:uiPriority w:val="7"/>
    <w:rPr>
      <w:sz w:val="20"/>
    </w:rPr>
  </w:style>
  <w:style w:type="paragraph" w:customStyle="1" w:styleId="AnnexHeading1">
    <w:name w:val="Annex Heading 1"/>
    <w:basedOn w:val="Normal"/>
    <w:next w:val="Normal"/>
    <w:pPr>
      <w:pageBreakBefore/>
      <w:spacing w:before="240"/>
      <w:outlineLvl w:val="0"/>
    </w:pPr>
    <w:rPr>
      <w:b/>
      <w:smallCaps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table" w:customStyle="1" w:styleId="TableLetterhead">
    <w:name w:val="Table Letterhead"/>
    <w:basedOn w:val="TableNormal"/>
    <w:uiPriority w:val="99"/>
    <w:tblPr>
      <w:tblCellMar>
        <w:left w:w="0" w:type="dxa"/>
        <w:bottom w:w="340" w:type="dxa"/>
        <w:right w:w="0" w:type="dxa"/>
      </w:tblCellMar>
    </w:tblPr>
  </w:style>
  <w:style w:type="table" w:customStyle="1" w:styleId="TableHistory">
    <w:name w:val="Table History"/>
    <w:basedOn w:val="TableNormal"/>
    <w:uiPriority w:val="99"/>
    <w:pPr>
      <w:spacing w:before="60" w:after="60" w:line="264" w:lineRule="auto"/>
    </w:pPr>
    <w:rPr>
      <w:sz w:val="22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5">
    <w:name w:val="List Number 5"/>
    <w:basedOn w:val="Normal"/>
    <w:locked/>
    <w:pPr>
      <w:numPr>
        <w:numId w:val="19"/>
      </w:numPr>
    </w:pPr>
  </w:style>
  <w:style w:type="character" w:styleId="FootnoteReference">
    <w:name w:val="footnote reference"/>
    <w:semiHidden/>
    <w:locked/>
    <w:rPr>
      <w:shd w:val="clear" w:color="auto" w:fill="auto"/>
      <w:vertAlign w:val="superscript"/>
    </w:rPr>
  </w:style>
  <w:style w:type="paragraph" w:customStyle="1" w:styleId="Pagedecouverture">
    <w:name w:val="Page de couverture"/>
    <w:basedOn w:val="Normal"/>
    <w:next w:val="Normal"/>
    <w:link w:val="PagedecouvertureChar"/>
    <w:pPr>
      <w:spacing w:after="0"/>
    </w:pPr>
    <w:rPr>
      <w:szCs w:val="24"/>
    </w:rPr>
  </w:style>
  <w:style w:type="character" w:customStyle="1" w:styleId="Corpsdutexte">
    <w:name w:val="Corps du texte_"/>
    <w:link w:val="Corpsdutexte0"/>
    <w:uiPriority w:val="99"/>
    <w:rPr>
      <w:sz w:val="23"/>
      <w:szCs w:val="23"/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after="1380" w:line="278" w:lineRule="exact"/>
      <w:ind w:hanging="560"/>
      <w:jc w:val="center"/>
    </w:pPr>
    <w:rPr>
      <w:sz w:val="23"/>
      <w:szCs w:val="23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link w:val="FooterCoverPage"/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link w:val="HeaderCoverPage"/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lock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</w:rPr>
  </w:style>
  <w:style w:type="paragraph" w:styleId="BalloonText">
    <w:name w:val="Balloon Text"/>
    <w:basedOn w:val="Normal"/>
    <w:link w:val="BalloonTextChar"/>
    <w:semiHidden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/>
    </w:pPr>
    <w:rPr>
      <w:rFonts w:eastAsiaTheme="minorHAnsi"/>
      <w:szCs w:val="22"/>
      <w:lang w:eastAsia="en-US" w:bidi="ar-SA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PagedecouvertureChar">
    <w:name w:val="Page de couverture Char"/>
    <w:basedOn w:val="DefaultParagraphFont"/>
    <w:link w:val="Pagedecouverture"/>
    <w:rPr>
      <w:szCs w:val="24"/>
    </w:rPr>
  </w:style>
  <w:style w:type="character" w:customStyle="1" w:styleId="HeaderSensitivityRightChar">
    <w:name w:val="Header Sensitivity Right Char"/>
    <w:basedOn w:val="PagedecouvertureChar"/>
    <w:link w:val="HeaderSensitivityRight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pl-PL" w:bidi="pl-PL"/>
      </w:rPr>
    </w:rPrDefault>
    <w:pPrDefault/>
  </w:docDefaults>
  <w:latentStyles w:defLockedState="1" w:defUIPriority="0" w:defSemiHidden="1" w:defUnhideWhenUsed="1" w:defQFormat="0" w:count="267">
    <w:lsdException w:name="Normal" w:semiHidden="0" w:uiPriority="90" w:unhideWhenUsed="0" w:qFormat="1"/>
    <w:lsdException w:name="heading 1" w:semiHidden="0" w:uiPriority="90" w:unhideWhenUsed="0" w:qFormat="1"/>
    <w:lsdException w:name="heading 2" w:semiHidden="0" w:uiPriority="90" w:unhideWhenUsed="0" w:qFormat="1"/>
    <w:lsdException w:name="heading 3" w:semiHidden="0" w:uiPriority="90" w:unhideWhenUsed="0" w:qFormat="1"/>
    <w:lsdException w:name="heading 4" w:semiHidden="0" w:uiPriority="90" w:unhideWhenUsed="0" w:qFormat="1"/>
    <w:lsdException w:name="heading 5" w:unhideWhenUsed="0"/>
    <w:lsdException w:name="heading 6" w:unhideWhenUsed="0"/>
    <w:lsdException w:name="toc 1" w:uiPriority="39"/>
    <w:lsdException w:name="toc 2" w:uiPriority="39"/>
    <w:lsdException w:name="toc 3" w:uiPriority="99"/>
    <w:lsdException w:name="toc 4" w:uiPriority="99"/>
    <w:lsdException w:name="header" w:semiHidden="0" w:uiPriority="99"/>
    <w:lsdException w:name="footer" w:semiHidden="0" w:uiPriority="99"/>
    <w:lsdException w:name="caption" w:semiHidden="0"/>
    <w:lsdException w:name="List Bullet" w:semiHidden="0"/>
    <w:lsdException w:name="List Number" w:semiHidden="0" w:unhideWhenUsed="0"/>
    <w:lsdException w:name="List 4" w:unhideWhenUsed="0"/>
    <w:lsdException w:name="List 5" w:unhideWhenUsed="0"/>
    <w:lsdException w:name="List Bullet 2" w:semiHidden="0"/>
    <w:lsdException w:name="List Bullet 3" w:semiHidden="0"/>
    <w:lsdException w:name="List Bullet 4" w:semiHidden="0"/>
    <w:lsdException w:name="List Number 2" w:semiHidden="0"/>
    <w:lsdException w:name="List Number 3" w:semiHidden="0"/>
    <w:lsdException w:name="List Number 4" w:semiHidden="0"/>
    <w:lsdException w:name="Title" w:semiHidden="0" w:unhideWhenUsed="0"/>
    <w:lsdException w:name="Signature" w:semiHidden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Table" w:uiPriority="99"/>
    <w:lsdException w:name="Table Grid" w:semiHidden="0" w:unhideWhenUsed="0"/>
    <w:lsdException w:name="Placeholder Text" w:uiPriority="99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uiPriority w:val="90"/>
    <w:qFormat/>
    <w:pPr>
      <w:spacing w:after="240"/>
      <w:jc w:val="both"/>
    </w:pPr>
  </w:style>
  <w:style w:type="paragraph" w:styleId="Heading1">
    <w:name w:val="heading 1"/>
    <w:basedOn w:val="Normal"/>
    <w:next w:val="Text1"/>
    <w:uiPriority w:val="90"/>
    <w:qFormat/>
    <w:pPr>
      <w:keepNext/>
      <w:numPr>
        <w:numId w:val="2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uiPriority w:val="90"/>
    <w:qFormat/>
    <w:pPr>
      <w:keepNext/>
      <w:numPr>
        <w:ilvl w:val="1"/>
        <w:numId w:val="2"/>
      </w:numPr>
      <w:outlineLvl w:val="1"/>
    </w:pPr>
    <w:rPr>
      <w:b/>
    </w:rPr>
  </w:style>
  <w:style w:type="paragraph" w:styleId="Heading3">
    <w:name w:val="heading 3"/>
    <w:basedOn w:val="Normal"/>
    <w:next w:val="Text3"/>
    <w:uiPriority w:val="90"/>
    <w:qFormat/>
    <w:pPr>
      <w:keepNext/>
      <w:numPr>
        <w:ilvl w:val="2"/>
        <w:numId w:val="2"/>
      </w:numPr>
      <w:outlineLvl w:val="2"/>
    </w:pPr>
    <w:rPr>
      <w:i/>
    </w:rPr>
  </w:style>
  <w:style w:type="paragraph" w:styleId="Heading4">
    <w:name w:val="heading 4"/>
    <w:basedOn w:val="Normal"/>
    <w:next w:val="Text4"/>
    <w:uiPriority w:val="90"/>
    <w:qFormat/>
    <w:pPr>
      <w:keepNext/>
      <w:numPr>
        <w:ilvl w:val="3"/>
        <w:numId w:val="2"/>
      </w:numPr>
      <w:outlineLvl w:val="3"/>
    </w:pPr>
  </w:style>
  <w:style w:type="paragraph" w:styleId="Heading5">
    <w:name w:val="heading 5"/>
    <w:basedOn w:val="Normal"/>
    <w:next w:val="Normal"/>
    <w:semiHidden/>
    <w:pPr>
      <w:keepNext/>
      <w:numPr>
        <w:ilvl w:val="4"/>
        <w:numId w:val="2"/>
      </w:numPr>
      <w:outlineLvl w:val="4"/>
    </w:pPr>
  </w:style>
  <w:style w:type="paragraph" w:styleId="Heading6">
    <w:name w:val="heading 6"/>
    <w:basedOn w:val="Normal"/>
    <w:next w:val="Normal"/>
    <w:semiHidden/>
    <w:pPr>
      <w:keepNext/>
      <w:numPr>
        <w:ilvl w:val="5"/>
        <w:numId w:val="2"/>
      </w:numPr>
      <w:outlineLvl w:val="5"/>
    </w:pPr>
  </w:style>
  <w:style w:type="paragraph" w:styleId="Heading7">
    <w:name w:val="heading 7"/>
    <w:basedOn w:val="Normal"/>
    <w:next w:val="Normal"/>
    <w:semiHidden/>
    <w:pPr>
      <w:keepNext/>
      <w:numPr>
        <w:ilvl w:val="6"/>
        <w:numId w:val="2"/>
      </w:numPr>
      <w:outlineLvl w:val="6"/>
    </w:pPr>
  </w:style>
  <w:style w:type="paragraph" w:styleId="Heading8">
    <w:name w:val="heading 8"/>
    <w:basedOn w:val="Normal"/>
    <w:next w:val="Normal"/>
    <w:semiHidden/>
    <w:pPr>
      <w:keepNext/>
      <w:numPr>
        <w:ilvl w:val="7"/>
        <w:numId w:val="2"/>
      </w:numPr>
      <w:outlineLvl w:val="7"/>
    </w:pPr>
  </w:style>
  <w:style w:type="paragraph" w:styleId="Heading9">
    <w:name w:val="heading 9"/>
    <w:basedOn w:val="Normal"/>
    <w:next w:val="Normal"/>
    <w:semiHidden/>
    <w:pPr>
      <w:keepNext/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ossReference">
    <w:name w:val="Cross Reference"/>
    <w:basedOn w:val="DefaultParagraphFont"/>
    <w:uiPriority w:val="99"/>
    <w:rPr>
      <w:i/>
    </w:rPr>
  </w:style>
  <w:style w:type="character" w:customStyle="1" w:styleId="MarkingText">
    <w:name w:val="MarkingText"/>
    <w:semiHidden/>
    <w:rPr>
      <w:i/>
      <w:sz w:val="28"/>
    </w:rPr>
  </w:style>
  <w:style w:type="character" w:customStyle="1" w:styleId="MarkingLabel">
    <w:name w:val="MarkingLabel"/>
    <w:semiHidden/>
    <w:rPr>
      <w:b/>
      <w:caps/>
      <w:sz w:val="28"/>
    </w:rPr>
  </w:style>
  <w:style w:type="character" w:customStyle="1" w:styleId="BodyPlaceholderText">
    <w:name w:val="BodyPlaceholderText"/>
    <w:basedOn w:val="PlaceholderText"/>
    <w:uiPriority w:val="1"/>
    <w:semiHidden/>
    <w:rPr>
      <w:color w:val="3366CC"/>
    </w:rPr>
  </w:style>
  <w:style w:type="character" w:styleId="PlaceholderText">
    <w:name w:val="Placeholder Text"/>
    <w:basedOn w:val="DefaultParagraphFont"/>
    <w:uiPriority w:val="99"/>
    <w:semiHidden/>
    <w:rPr>
      <w:color w:val="2C8F6C"/>
    </w:rPr>
  </w:style>
  <w:style w:type="paragraph" w:customStyle="1" w:styleId="LegalNumPar3">
    <w:name w:val="LegalNumPar3"/>
    <w:basedOn w:val="Normal"/>
    <w:pPr>
      <w:numPr>
        <w:ilvl w:val="2"/>
        <w:numId w:val="1"/>
      </w:numPr>
      <w:spacing w:line="360" w:lineRule="auto"/>
      <w:jc w:val="left"/>
    </w:pPr>
  </w:style>
  <w:style w:type="paragraph" w:customStyle="1" w:styleId="LegalNumPar2">
    <w:name w:val="LegalNumPar2"/>
    <w:basedOn w:val="Normal"/>
    <w:pPr>
      <w:numPr>
        <w:ilvl w:val="1"/>
        <w:numId w:val="1"/>
      </w:numPr>
      <w:spacing w:line="360" w:lineRule="auto"/>
      <w:jc w:val="left"/>
    </w:pPr>
  </w:style>
  <w:style w:type="paragraph" w:customStyle="1" w:styleId="LegalNumPar">
    <w:name w:val="LegalNumPar"/>
    <w:basedOn w:val="Normal"/>
    <w:uiPriority w:val="90"/>
    <w:qFormat/>
    <w:pPr>
      <w:numPr>
        <w:numId w:val="1"/>
      </w:numPr>
      <w:spacing w:line="360" w:lineRule="auto"/>
      <w:jc w:val="left"/>
    </w:pPr>
  </w:style>
  <w:style w:type="paragraph" w:customStyle="1" w:styleId="Marking">
    <w:name w:val="Marking"/>
    <w:basedOn w:val="Normal"/>
    <w:pPr>
      <w:spacing w:line="276" w:lineRule="auto"/>
      <w:contextualSpacing/>
      <w:jc w:val="right"/>
    </w:pPr>
    <w:rPr>
      <w:sz w:val="28"/>
    </w:rPr>
  </w:style>
  <w:style w:type="paragraph" w:customStyle="1" w:styleId="ListNumber4Level4">
    <w:name w:val="List Number 4 (Level 4)"/>
    <w:basedOn w:val="Text4"/>
    <w:semiHidden/>
    <w:unhideWhenUsed/>
    <w:pPr>
      <w:numPr>
        <w:ilvl w:val="3"/>
        <w:numId w:val="12"/>
      </w:numPr>
    </w:pPr>
  </w:style>
  <w:style w:type="paragraph" w:customStyle="1" w:styleId="ListNumber4Level3">
    <w:name w:val="List Number 4 (Level 3)"/>
    <w:basedOn w:val="Text4"/>
    <w:semiHidden/>
    <w:unhideWhenUsed/>
    <w:pPr>
      <w:numPr>
        <w:ilvl w:val="2"/>
        <w:numId w:val="12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2"/>
      </w:numPr>
    </w:pPr>
  </w:style>
  <w:style w:type="paragraph" w:styleId="ListNumber4">
    <w:name w:val="List Number 4"/>
    <w:basedOn w:val="Text4"/>
    <w:pPr>
      <w:numPr>
        <w:numId w:val="12"/>
      </w:numPr>
    </w:pPr>
  </w:style>
  <w:style w:type="paragraph" w:customStyle="1" w:styleId="ListNumber3Level4">
    <w:name w:val="List Number 3 (Level 4)"/>
    <w:basedOn w:val="Text3"/>
    <w:unhideWhenUsed/>
    <w:pPr>
      <w:numPr>
        <w:ilvl w:val="3"/>
        <w:numId w:val="11"/>
      </w:numPr>
    </w:pPr>
  </w:style>
  <w:style w:type="paragraph" w:customStyle="1" w:styleId="ListNumber3Level3">
    <w:name w:val="List Number 3 (Level 3)"/>
    <w:basedOn w:val="Text3"/>
    <w:unhideWhenUsed/>
    <w:pPr>
      <w:numPr>
        <w:ilvl w:val="2"/>
        <w:numId w:val="11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1"/>
      </w:numPr>
    </w:pPr>
  </w:style>
  <w:style w:type="paragraph" w:styleId="ListNumber3">
    <w:name w:val="List Number 3"/>
    <w:basedOn w:val="Text3"/>
    <w:pPr>
      <w:numPr>
        <w:numId w:val="11"/>
      </w:numPr>
    </w:pPr>
  </w:style>
  <w:style w:type="paragraph" w:customStyle="1" w:styleId="ListNumber2Level4">
    <w:name w:val="List Number 2 (Level 4)"/>
    <w:basedOn w:val="Text2"/>
    <w:semiHidden/>
    <w:unhideWhenUsed/>
    <w:pPr>
      <w:numPr>
        <w:ilvl w:val="3"/>
        <w:numId w:val="10"/>
      </w:numPr>
    </w:pPr>
  </w:style>
  <w:style w:type="paragraph" w:customStyle="1" w:styleId="ListNumber2Level3">
    <w:name w:val="List Number 2 (Level 3)"/>
    <w:basedOn w:val="Text2"/>
    <w:semiHidden/>
    <w:unhideWhenUsed/>
    <w:pPr>
      <w:numPr>
        <w:ilvl w:val="2"/>
        <w:numId w:val="10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0"/>
      </w:numPr>
    </w:pPr>
  </w:style>
  <w:style w:type="paragraph" w:styleId="ListNumber2">
    <w:name w:val="List Number 2"/>
    <w:basedOn w:val="Text2"/>
    <w:pPr>
      <w:numPr>
        <w:numId w:val="10"/>
      </w:numPr>
    </w:pPr>
  </w:style>
  <w:style w:type="paragraph" w:customStyle="1" w:styleId="ListNumber1Level4">
    <w:name w:val="List Number 1 (Level 4)"/>
    <w:basedOn w:val="Text1"/>
    <w:semiHidden/>
    <w:unhideWhenUsed/>
    <w:pPr>
      <w:numPr>
        <w:ilvl w:val="3"/>
        <w:numId w:val="9"/>
      </w:numPr>
    </w:pPr>
  </w:style>
  <w:style w:type="paragraph" w:customStyle="1" w:styleId="ListNumber1Level3">
    <w:name w:val="List Number 1 (Level 3)"/>
    <w:basedOn w:val="Text1"/>
    <w:semiHidden/>
    <w:unhideWhenUsed/>
    <w:pPr>
      <w:numPr>
        <w:ilvl w:val="2"/>
        <w:numId w:val="9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9"/>
      </w:numPr>
    </w:pPr>
  </w:style>
  <w:style w:type="paragraph" w:customStyle="1" w:styleId="ListNumber1">
    <w:name w:val="List Number 1"/>
    <w:basedOn w:val="Text1"/>
    <w:pPr>
      <w:numPr>
        <w:numId w:val="9"/>
      </w:numPr>
    </w:pPr>
  </w:style>
  <w:style w:type="paragraph" w:customStyle="1" w:styleId="ListNumberLevel4">
    <w:name w:val="List Number (Level 4)"/>
    <w:basedOn w:val="Normal"/>
    <w:semiHidden/>
    <w:unhideWhenUsed/>
    <w:pPr>
      <w:numPr>
        <w:ilvl w:val="3"/>
        <w:numId w:val="8"/>
      </w:numPr>
    </w:pPr>
  </w:style>
  <w:style w:type="paragraph" w:customStyle="1" w:styleId="ListNumberLevel3">
    <w:name w:val="List Number (Level 3)"/>
    <w:basedOn w:val="Normal"/>
    <w:semiHidden/>
    <w:unhideWhenUsed/>
    <w:pPr>
      <w:numPr>
        <w:ilvl w:val="2"/>
        <w:numId w:val="8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customStyle="1" w:styleId="ListDash4Level4">
    <w:name w:val="List Dash 4 (Level 4)"/>
    <w:basedOn w:val="Text4"/>
    <w:semiHidden/>
    <w:unhideWhenUsed/>
    <w:pPr>
      <w:numPr>
        <w:ilvl w:val="3"/>
        <w:numId w:val="17"/>
      </w:numPr>
    </w:pPr>
  </w:style>
  <w:style w:type="paragraph" w:customStyle="1" w:styleId="ListDash4Level3">
    <w:name w:val="List Dash 4 (Level 3)"/>
    <w:basedOn w:val="Text4"/>
    <w:semiHidden/>
    <w:unhideWhenUsed/>
    <w:pPr>
      <w:numPr>
        <w:ilvl w:val="2"/>
        <w:numId w:val="17"/>
      </w:numPr>
    </w:pPr>
  </w:style>
  <w:style w:type="paragraph" w:customStyle="1" w:styleId="ListDash4Level2">
    <w:name w:val="List Dash 4 (Level 2)"/>
    <w:basedOn w:val="Text4"/>
    <w:pPr>
      <w:numPr>
        <w:ilvl w:val="1"/>
        <w:numId w:val="17"/>
      </w:numPr>
    </w:pPr>
  </w:style>
  <w:style w:type="paragraph" w:customStyle="1" w:styleId="ListDash4">
    <w:name w:val="List Dash 4"/>
    <w:basedOn w:val="Text4"/>
    <w:pPr>
      <w:numPr>
        <w:numId w:val="17"/>
      </w:numPr>
    </w:pPr>
  </w:style>
  <w:style w:type="paragraph" w:customStyle="1" w:styleId="ListDash3Level4">
    <w:name w:val="List Dash 3 (Level 4)"/>
    <w:basedOn w:val="Text3"/>
    <w:semiHidden/>
    <w:unhideWhenUsed/>
    <w:pPr>
      <w:numPr>
        <w:ilvl w:val="3"/>
        <w:numId w:val="16"/>
      </w:numPr>
    </w:pPr>
  </w:style>
  <w:style w:type="paragraph" w:customStyle="1" w:styleId="ListDash3Level3">
    <w:name w:val="List Dash 3 (Level 3)"/>
    <w:basedOn w:val="Text3"/>
    <w:semiHidden/>
    <w:unhideWhenUsed/>
    <w:pPr>
      <w:numPr>
        <w:ilvl w:val="2"/>
        <w:numId w:val="16"/>
      </w:numPr>
    </w:pPr>
  </w:style>
  <w:style w:type="paragraph" w:customStyle="1" w:styleId="ListDash3Level2">
    <w:name w:val="List Dash 3 (Level 2)"/>
    <w:basedOn w:val="Text3"/>
    <w:pPr>
      <w:numPr>
        <w:ilvl w:val="1"/>
        <w:numId w:val="16"/>
      </w:numPr>
    </w:pPr>
  </w:style>
  <w:style w:type="paragraph" w:customStyle="1" w:styleId="ListDash3">
    <w:name w:val="List Dash 3"/>
    <w:basedOn w:val="Text3"/>
    <w:pPr>
      <w:numPr>
        <w:numId w:val="16"/>
      </w:numPr>
    </w:pPr>
  </w:style>
  <w:style w:type="paragraph" w:customStyle="1" w:styleId="ListDash2Level4">
    <w:name w:val="List Dash 2 (Level 4)"/>
    <w:basedOn w:val="Text2"/>
    <w:semiHidden/>
    <w:unhideWhenUsed/>
    <w:pPr>
      <w:numPr>
        <w:ilvl w:val="3"/>
        <w:numId w:val="15"/>
      </w:numPr>
    </w:pPr>
  </w:style>
  <w:style w:type="paragraph" w:customStyle="1" w:styleId="ListDash2Level3">
    <w:name w:val="List Dash 2 (Level 3)"/>
    <w:basedOn w:val="Text2"/>
    <w:semiHidden/>
    <w:unhideWhenUsed/>
    <w:pPr>
      <w:numPr>
        <w:ilvl w:val="2"/>
        <w:numId w:val="15"/>
      </w:numPr>
    </w:pPr>
  </w:style>
  <w:style w:type="paragraph" w:customStyle="1" w:styleId="ListDash2Level2">
    <w:name w:val="List Dash 2 (Level 2)"/>
    <w:basedOn w:val="Text2"/>
    <w:pPr>
      <w:numPr>
        <w:ilvl w:val="1"/>
        <w:numId w:val="15"/>
      </w:numPr>
    </w:pPr>
  </w:style>
  <w:style w:type="paragraph" w:customStyle="1" w:styleId="ListDash2">
    <w:name w:val="List Dash 2"/>
    <w:basedOn w:val="Text2"/>
    <w:pPr>
      <w:numPr>
        <w:numId w:val="15"/>
      </w:numPr>
    </w:pPr>
  </w:style>
  <w:style w:type="paragraph" w:customStyle="1" w:styleId="ListDash1Level4">
    <w:name w:val="List Dash 1 (Level 4)"/>
    <w:basedOn w:val="Text1"/>
    <w:semiHidden/>
    <w:unhideWhenUsed/>
    <w:pPr>
      <w:numPr>
        <w:ilvl w:val="3"/>
        <w:numId w:val="14"/>
      </w:numPr>
    </w:pPr>
  </w:style>
  <w:style w:type="paragraph" w:customStyle="1" w:styleId="ListDash1Level3">
    <w:name w:val="List Dash 1 (Level 3)"/>
    <w:basedOn w:val="Text1"/>
    <w:semiHidden/>
    <w:unhideWhenUsed/>
    <w:pPr>
      <w:numPr>
        <w:ilvl w:val="2"/>
        <w:numId w:val="14"/>
      </w:numPr>
    </w:pPr>
  </w:style>
  <w:style w:type="paragraph" w:customStyle="1" w:styleId="ListDash1Level2">
    <w:name w:val="List Dash 1 (Level 2)"/>
    <w:basedOn w:val="Text1"/>
    <w:pPr>
      <w:numPr>
        <w:ilvl w:val="1"/>
        <w:numId w:val="14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Level4">
    <w:name w:val="List Dash (Level 4)"/>
    <w:basedOn w:val="Normal"/>
    <w:semiHidden/>
    <w:unhideWhenUsed/>
    <w:pPr>
      <w:numPr>
        <w:ilvl w:val="3"/>
        <w:numId w:val="13"/>
      </w:numPr>
    </w:pPr>
  </w:style>
  <w:style w:type="paragraph" w:customStyle="1" w:styleId="ListDashLevel3">
    <w:name w:val="List Dash (Level 3)"/>
    <w:basedOn w:val="Normal"/>
    <w:semiHidden/>
    <w:unhideWhenUsed/>
    <w:pPr>
      <w:numPr>
        <w:ilvl w:val="2"/>
        <w:numId w:val="13"/>
      </w:numPr>
    </w:pPr>
  </w:style>
  <w:style w:type="paragraph" w:customStyle="1" w:styleId="ListDashLevel2">
    <w:name w:val="List Dash (Level 2)"/>
    <w:basedOn w:val="Normal"/>
    <w:pPr>
      <w:numPr>
        <w:ilvl w:val="1"/>
        <w:numId w:val="13"/>
      </w:numPr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Bullet4Level4">
    <w:name w:val="List Bullet 4 (Level 4)"/>
    <w:basedOn w:val="Text4"/>
    <w:semiHidden/>
    <w:unhideWhenUsed/>
    <w:pPr>
      <w:numPr>
        <w:ilvl w:val="3"/>
        <w:numId w:val="7"/>
      </w:numPr>
    </w:pPr>
  </w:style>
  <w:style w:type="paragraph" w:customStyle="1" w:styleId="ListBullet4Level3">
    <w:name w:val="List Bullet 4 (Level 3)"/>
    <w:basedOn w:val="Text4"/>
    <w:semiHidden/>
    <w:unhideWhenUsed/>
    <w:pPr>
      <w:numPr>
        <w:ilvl w:val="2"/>
        <w:numId w:val="7"/>
      </w:numPr>
    </w:pPr>
  </w:style>
  <w:style w:type="paragraph" w:customStyle="1" w:styleId="ListBullet4Level2">
    <w:name w:val="List Bullet 4 (Level 2)"/>
    <w:basedOn w:val="Text4"/>
    <w:pPr>
      <w:numPr>
        <w:ilvl w:val="1"/>
        <w:numId w:val="7"/>
      </w:numPr>
    </w:pPr>
  </w:style>
  <w:style w:type="paragraph" w:styleId="ListBullet4">
    <w:name w:val="List Bullet 4"/>
    <w:basedOn w:val="Text4"/>
    <w:pPr>
      <w:numPr>
        <w:numId w:val="7"/>
      </w:numPr>
    </w:pPr>
  </w:style>
  <w:style w:type="paragraph" w:customStyle="1" w:styleId="ListBullet3Level4">
    <w:name w:val="List Bullet 3 (Level 4)"/>
    <w:basedOn w:val="Text3"/>
    <w:semiHidden/>
    <w:unhideWhenUsed/>
    <w:pPr>
      <w:numPr>
        <w:ilvl w:val="3"/>
        <w:numId w:val="6"/>
      </w:numPr>
    </w:pPr>
  </w:style>
  <w:style w:type="paragraph" w:customStyle="1" w:styleId="ListBullet3Level3">
    <w:name w:val="List Bullet 3 (Level 3)"/>
    <w:basedOn w:val="Text3"/>
    <w:semiHidden/>
    <w:unhideWhenUsed/>
    <w:pPr>
      <w:numPr>
        <w:ilvl w:val="2"/>
        <w:numId w:val="6"/>
      </w:numPr>
    </w:pPr>
  </w:style>
  <w:style w:type="paragraph" w:customStyle="1" w:styleId="ListBullet3Level2">
    <w:name w:val="List Bullet 3 (Level 2)"/>
    <w:basedOn w:val="Text3"/>
    <w:pPr>
      <w:numPr>
        <w:ilvl w:val="1"/>
        <w:numId w:val="6"/>
      </w:numPr>
    </w:pPr>
  </w:style>
  <w:style w:type="paragraph" w:styleId="ListBullet3">
    <w:name w:val="List Bullet 3"/>
    <w:basedOn w:val="Text3"/>
    <w:pPr>
      <w:numPr>
        <w:numId w:val="6"/>
      </w:numPr>
    </w:pPr>
  </w:style>
  <w:style w:type="paragraph" w:customStyle="1" w:styleId="ListBullet2Level4">
    <w:name w:val="List Bullet 2 (Level 4)"/>
    <w:basedOn w:val="Text2"/>
    <w:semiHidden/>
    <w:unhideWhenUsed/>
    <w:pPr>
      <w:numPr>
        <w:ilvl w:val="3"/>
        <w:numId w:val="5"/>
      </w:numPr>
    </w:pPr>
  </w:style>
  <w:style w:type="paragraph" w:customStyle="1" w:styleId="ListBullet2Level3">
    <w:name w:val="List Bullet 2 (Level 3)"/>
    <w:basedOn w:val="Text2"/>
    <w:semiHidden/>
    <w:unhideWhenUsed/>
    <w:pPr>
      <w:numPr>
        <w:ilvl w:val="2"/>
        <w:numId w:val="5"/>
      </w:numPr>
    </w:pPr>
  </w:style>
  <w:style w:type="paragraph" w:customStyle="1" w:styleId="ListBullet2Level2">
    <w:name w:val="List Bullet 2 (Level 2)"/>
    <w:basedOn w:val="Text2"/>
    <w:pPr>
      <w:numPr>
        <w:ilvl w:val="1"/>
        <w:numId w:val="5"/>
      </w:numPr>
    </w:pPr>
  </w:style>
  <w:style w:type="paragraph" w:styleId="ListBullet2">
    <w:name w:val="List Bullet 2"/>
    <w:basedOn w:val="Text2"/>
    <w:pPr>
      <w:numPr>
        <w:numId w:val="5"/>
      </w:numPr>
    </w:pPr>
  </w:style>
  <w:style w:type="paragraph" w:customStyle="1" w:styleId="ListBullet1Level4">
    <w:name w:val="List Bullet 1 (Level 4)"/>
    <w:basedOn w:val="Text1"/>
    <w:semiHidden/>
    <w:unhideWhenUsed/>
    <w:pPr>
      <w:numPr>
        <w:ilvl w:val="3"/>
        <w:numId w:val="4"/>
      </w:numPr>
    </w:pPr>
  </w:style>
  <w:style w:type="paragraph" w:customStyle="1" w:styleId="ListBullet1Level3">
    <w:name w:val="List Bullet 1 (Level 3)"/>
    <w:basedOn w:val="Text1"/>
    <w:semiHidden/>
    <w:unhideWhenUsed/>
    <w:pPr>
      <w:numPr>
        <w:ilvl w:val="2"/>
        <w:numId w:val="4"/>
      </w:numPr>
    </w:pPr>
  </w:style>
  <w:style w:type="paragraph" w:customStyle="1" w:styleId="ListBullet1Level2">
    <w:name w:val="List Bullet 1 (Level 2)"/>
    <w:basedOn w:val="Text1"/>
    <w:pPr>
      <w:numPr>
        <w:ilvl w:val="1"/>
        <w:numId w:val="4"/>
      </w:numPr>
    </w:pPr>
  </w:style>
  <w:style w:type="paragraph" w:customStyle="1" w:styleId="ListBullet1">
    <w:name w:val="List Bullet 1"/>
    <w:basedOn w:val="Text1"/>
    <w:pPr>
      <w:numPr>
        <w:numId w:val="4"/>
      </w:numPr>
    </w:pPr>
  </w:style>
  <w:style w:type="paragraph" w:customStyle="1" w:styleId="ListBulletLevel4">
    <w:name w:val="List Bullet (Level 4)"/>
    <w:basedOn w:val="Text1"/>
    <w:semiHidden/>
    <w:unhideWhenUsed/>
    <w:pPr>
      <w:numPr>
        <w:ilvl w:val="3"/>
        <w:numId w:val="3"/>
      </w:numPr>
    </w:pPr>
  </w:style>
  <w:style w:type="paragraph" w:customStyle="1" w:styleId="ListBulletLevel3">
    <w:name w:val="List Bullet (Level 3)"/>
    <w:basedOn w:val="Text1"/>
    <w:semiHidden/>
    <w:unhideWhenUsed/>
    <w:pPr>
      <w:numPr>
        <w:ilvl w:val="2"/>
        <w:numId w:val="3"/>
      </w:numPr>
    </w:pPr>
  </w:style>
  <w:style w:type="paragraph" w:customStyle="1" w:styleId="ListBulletLevel2">
    <w:name w:val="List Bullet (Level 2)"/>
    <w:basedOn w:val="Text1"/>
    <w:pPr>
      <w:numPr>
        <w:ilvl w:val="1"/>
        <w:numId w:val="3"/>
      </w:numPr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before="120" w:after="60"/>
      <w:ind w:right="720"/>
    </w:pPr>
    <w:rPr>
      <w:b/>
    </w:rPr>
  </w:style>
  <w:style w:type="paragraph" w:styleId="TOC4">
    <w:name w:val="toc 4"/>
    <w:basedOn w:val="Normal"/>
    <w:next w:val="Normal"/>
    <w:uiPriority w:val="99"/>
    <w:semiHidden/>
    <w:pPr>
      <w:tabs>
        <w:tab w:val="left" w:pos="1446"/>
        <w:tab w:val="left" w:pos="1587"/>
        <w:tab w:val="right" w:leader="dot" w:pos="8640"/>
      </w:tabs>
      <w:spacing w:after="60"/>
      <w:ind w:left="1445" w:right="720" w:hanging="850"/>
    </w:pPr>
    <w:rPr>
      <w:noProof/>
      <w:sz w:val="20"/>
    </w:rPr>
  </w:style>
  <w:style w:type="paragraph" w:styleId="TOC3">
    <w:name w:val="toc 3"/>
    <w:basedOn w:val="Normal"/>
    <w:next w:val="Normal"/>
    <w:uiPriority w:val="99"/>
    <w:semiHidden/>
    <w:pPr>
      <w:tabs>
        <w:tab w:val="left" w:pos="595"/>
        <w:tab w:val="right" w:leader="dot" w:pos="8640"/>
      </w:tabs>
      <w:spacing w:after="60"/>
      <w:ind w:left="1190" w:right="720" w:hanging="595"/>
    </w:pPr>
    <w:rPr>
      <w:sz w:val="20"/>
    </w:rPr>
  </w:style>
  <w:style w:type="paragraph" w:styleId="TOC2">
    <w:name w:val="toc 2"/>
    <w:basedOn w:val="Normal"/>
    <w:next w:val="Normal"/>
    <w:uiPriority w:val="39"/>
    <w:semiHidden/>
    <w:pPr>
      <w:tabs>
        <w:tab w:val="left" w:pos="595"/>
        <w:tab w:val="right" w:leader="dot" w:pos="8640"/>
      </w:tabs>
      <w:spacing w:after="60"/>
      <w:ind w:left="595" w:right="720" w:hanging="595"/>
    </w:pPr>
    <w:rPr>
      <w:noProof/>
      <w:sz w:val="20"/>
    </w:rPr>
  </w:style>
  <w:style w:type="paragraph" w:styleId="TOC1">
    <w:name w:val="toc 1"/>
    <w:basedOn w:val="Normal"/>
    <w:next w:val="Normal"/>
    <w:uiPriority w:val="39"/>
    <w:pPr>
      <w:tabs>
        <w:tab w:val="left" w:pos="595"/>
        <w:tab w:val="right" w:leader="dot" w:pos="8640"/>
      </w:tabs>
      <w:spacing w:after="60"/>
      <w:ind w:left="595" w:right="720" w:hanging="595"/>
    </w:pPr>
    <w:rPr>
      <w:b/>
      <w:caps/>
      <w:sz w:val="20"/>
    </w:rPr>
  </w:style>
  <w:style w:type="paragraph" w:styleId="TOCHeading">
    <w:name w:val="TOC Heading"/>
    <w:basedOn w:val="Normal"/>
    <w:next w:val="Normal"/>
    <w:uiPriority w:val="39"/>
    <w:semiHidden/>
    <w:qFormat/>
    <w:pPr>
      <w:spacing w:after="120"/>
      <w:jc w:val="center"/>
    </w:pPr>
    <w:rPr>
      <w:rFonts w:ascii="Times New Roman Bold" w:hAnsi="Times New Roman Bold"/>
      <w:b/>
      <w:sz w:val="32"/>
    </w:rPr>
  </w:style>
  <w:style w:type="paragraph" w:customStyle="1" w:styleId="NumPar4">
    <w:name w:val="NumPar 4"/>
    <w:basedOn w:val="Heading4"/>
    <w:uiPriority w:val="90"/>
    <w:qFormat/>
    <w:pPr>
      <w:keepNext w:val="0"/>
      <w:outlineLvl w:val="9"/>
    </w:pPr>
  </w:style>
  <w:style w:type="paragraph" w:customStyle="1" w:styleId="NumPar3">
    <w:name w:val="NumPar 3"/>
    <w:basedOn w:val="Heading3"/>
    <w:uiPriority w:val="90"/>
    <w:qFormat/>
    <w:pPr>
      <w:keepNext w:val="0"/>
      <w:outlineLvl w:val="9"/>
    </w:pPr>
    <w:rPr>
      <w:i w:val="0"/>
    </w:rPr>
  </w:style>
  <w:style w:type="paragraph" w:customStyle="1" w:styleId="NumPar2">
    <w:name w:val="NumPar 2"/>
    <w:basedOn w:val="Heading2"/>
    <w:uiPriority w:val="90"/>
    <w:qFormat/>
    <w:pPr>
      <w:keepNext w:val="0"/>
      <w:outlineLvl w:val="9"/>
    </w:pPr>
    <w:rPr>
      <w:b w:val="0"/>
    </w:rPr>
  </w:style>
  <w:style w:type="paragraph" w:customStyle="1" w:styleId="NumPar1">
    <w:name w:val="NumPar 1"/>
    <w:basedOn w:val="Heading1"/>
    <w:uiPriority w:val="90"/>
    <w:qFormat/>
    <w:pPr>
      <w:keepNext w:val="0"/>
      <w:spacing w:before="0"/>
      <w:outlineLvl w:val="9"/>
    </w:pPr>
    <w:rPr>
      <w:b w:val="0"/>
      <w:smallCaps w:val="0"/>
    </w:rPr>
  </w:style>
  <w:style w:type="paragraph" w:styleId="MacroText">
    <w:name w:val="macro"/>
    <w:basedOn w:val="Normal"/>
    <w:uiPriority w:val="90"/>
    <w:qFormat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rFonts w:ascii="Courier New" w:hAnsi="Courier New"/>
      <w:sz w:val="22"/>
    </w:rPr>
  </w:style>
  <w:style w:type="paragraph" w:styleId="FootnoteText">
    <w:name w:val="footnote text"/>
    <w:basedOn w:val="Normal"/>
    <w:link w:val="FootnoteTextChar"/>
    <w:semiHidden/>
    <w:pPr>
      <w:spacing w:after="120"/>
      <w:ind w:left="357" w:hanging="357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sz w:val="16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Releasable">
    <w:name w:val="Releasable"/>
    <w:basedOn w:val="Normal"/>
    <w:pPr>
      <w:spacing w:after="0"/>
      <w:jc w:val="center"/>
    </w:pPr>
    <w:rPr>
      <w:b/>
      <w:caps/>
      <w:sz w:val="32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ferences">
    <w:name w:val="References"/>
    <w:basedOn w:val="Normal"/>
    <w:next w:val="Normal"/>
    <w:pPr>
      <w:ind w:left="5102"/>
      <w:jc w:val="left"/>
    </w:pPr>
    <w:rPr>
      <w:sz w:val="20"/>
    </w:rPr>
  </w:style>
  <w:style w:type="paragraph" w:styleId="Date">
    <w:name w:val="Date"/>
    <w:basedOn w:val="Normal"/>
    <w:next w:val="References"/>
    <w:pPr>
      <w:spacing w:after="0"/>
      <w:ind w:left="5102" w:right="-567"/>
      <w:jc w:val="left"/>
    </w:pPr>
  </w:style>
  <w:style w:type="paragraph" w:customStyle="1" w:styleId="Contact">
    <w:name w:val="Contact"/>
    <w:basedOn w:val="Normal"/>
    <w:uiPriority w:val="99"/>
    <w:pPr>
      <w:spacing w:before="480" w:after="0"/>
      <w:ind w:left="567" w:hanging="567"/>
      <w:jc w:val="left"/>
    </w:pPr>
  </w:style>
  <w:style w:type="paragraph" w:styleId="Caption">
    <w:name w:val="caption"/>
    <w:basedOn w:val="Normal"/>
    <w:next w:val="Normal"/>
    <w:pPr>
      <w:spacing w:before="160"/>
    </w:pPr>
    <w:rPr>
      <w:i/>
      <w:sz w:val="22"/>
    </w:rPr>
  </w:style>
  <w:style w:type="paragraph" w:customStyle="1" w:styleId="ZDGName">
    <w:name w:val="Z_DGName"/>
    <w:basedOn w:val="Normal"/>
    <w:uiPriority w:val="99"/>
    <w:semiHidden/>
    <w:pPr>
      <w:widowControl w:val="0"/>
      <w:spacing w:after="0"/>
      <w:ind w:right="85"/>
      <w:jc w:val="left"/>
    </w:pPr>
    <w:rPr>
      <w:sz w:val="16"/>
    </w:rPr>
  </w:style>
  <w:style w:type="paragraph" w:customStyle="1" w:styleId="ZCom">
    <w:name w:val="Z_Com"/>
    <w:basedOn w:val="Normal"/>
    <w:next w:val="Normal"/>
    <w:uiPriority w:val="99"/>
    <w:semiHidden/>
    <w:pPr>
      <w:widowControl w:val="0"/>
      <w:spacing w:before="90" w:after="0"/>
      <w:ind w:right="85"/>
    </w:pPr>
  </w:style>
  <w:style w:type="paragraph" w:customStyle="1" w:styleId="ZFlag">
    <w:name w:val="Z_Flag"/>
    <w:basedOn w:val="Normal"/>
    <w:next w:val="Normal"/>
    <w:uiPriority w:val="99"/>
    <w:semiHidden/>
    <w:pPr>
      <w:widowControl w:val="0"/>
      <w:spacing w:after="0"/>
      <w:ind w:right="85"/>
    </w:p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uiPriority w:val="90"/>
    <w:qFormat/>
    <w:pPr>
      <w:ind w:left="1202"/>
    </w:pPr>
  </w:style>
  <w:style w:type="paragraph" w:customStyle="1" w:styleId="Text3">
    <w:name w:val="Text 3"/>
    <w:basedOn w:val="Normal"/>
    <w:uiPriority w:val="90"/>
    <w:qFormat/>
    <w:pPr>
      <w:ind w:left="1202"/>
    </w:pPr>
  </w:style>
  <w:style w:type="paragraph" w:customStyle="1" w:styleId="Text4">
    <w:name w:val="Text 4"/>
    <w:basedOn w:val="Normal"/>
    <w:uiPriority w:val="90"/>
    <w:qFormat/>
    <w:pPr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2"/>
      <w:jc w:val="left"/>
    </w:pPr>
  </w:style>
  <w:style w:type="paragraph" w:customStyle="1" w:styleId="PartTitle">
    <w:name w:val="PartTitle"/>
    <w:basedOn w:val="Normal"/>
    <w:next w:val="ChapterTitle"/>
    <w:uiPriority w:val="90"/>
    <w:qFormat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0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uiPriority w:val="90"/>
    <w:qFormat/>
    <w:pPr>
      <w:keepNext/>
      <w:spacing w:after="480"/>
      <w:jc w:val="center"/>
    </w:pPr>
    <w:rPr>
      <w:b/>
      <w:smallCaps/>
      <w:sz w:val="28"/>
    </w:rPr>
  </w:style>
  <w:style w:type="paragraph" w:styleId="Signature">
    <w:name w:val="Signature"/>
    <w:basedOn w:val="Normal"/>
    <w:next w:val="Enclosures"/>
    <w:pPr>
      <w:tabs>
        <w:tab w:val="left" w:pos="5102"/>
      </w:tabs>
      <w:spacing w:before="1200" w:after="0"/>
      <w:ind w:left="5102"/>
      <w:jc w:val="center"/>
    </w:pPr>
  </w:style>
  <w:style w:type="paragraph" w:customStyle="1" w:styleId="SignatureL">
    <w:name w:val="SignatureL"/>
    <w:basedOn w:val="Normal"/>
    <w:next w:val="Enclosures"/>
    <w:pPr>
      <w:tabs>
        <w:tab w:val="left" w:pos="5102"/>
      </w:tabs>
      <w:spacing w:before="1200" w:after="0"/>
      <w:jc w:val="left"/>
    </w:pPr>
  </w:style>
  <w:style w:type="paragraph" w:customStyle="1" w:styleId="DoubSign">
    <w:name w:val="DoubSign"/>
    <w:basedOn w:val="Normal"/>
    <w:next w:val="Enclosures"/>
    <w:pPr>
      <w:tabs>
        <w:tab w:val="left" w:pos="5102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1"/>
      </w:tabs>
      <w:spacing w:before="480" w:after="0"/>
      <w:ind w:left="2382" w:hanging="1191"/>
      <w:jc w:val="left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customStyle="1" w:styleId="YReferences">
    <w:name w:val="YReferences"/>
    <w:basedOn w:val="Normal"/>
    <w:next w:val="Normal"/>
    <w:pPr>
      <w:spacing w:after="480"/>
      <w:ind w:left="3062" w:hanging="1531"/>
    </w:pPr>
  </w:style>
  <w:style w:type="paragraph" w:customStyle="1" w:styleId="FooterLine">
    <w:name w:val="Footer Line"/>
    <w:basedOn w:val="Footer"/>
    <w:next w:val="Footer"/>
    <w:uiPriority w:val="99"/>
    <w:pPr>
      <w:tabs>
        <w:tab w:val="right" w:pos="8646"/>
      </w:tabs>
      <w:spacing w:before="120" w:line="264" w:lineRule="auto"/>
      <w:ind w:right="0"/>
      <w:jc w:val="both"/>
    </w:pPr>
  </w:style>
  <w:style w:type="paragraph" w:customStyle="1" w:styleId="HistoryTable">
    <w:name w:val="HistoryTable"/>
    <w:basedOn w:val="Normal"/>
    <w:pPr>
      <w:spacing w:before="60" w:after="60"/>
      <w:jc w:val="left"/>
    </w:pPr>
    <w:rPr>
      <w:sz w:val="20"/>
    </w:rPr>
  </w:style>
  <w:style w:type="paragraph" w:customStyle="1" w:styleId="HistTableHeading">
    <w:name w:val="HistTableHeading"/>
    <w:basedOn w:val="Normal"/>
    <w:next w:val="HistoryTable"/>
    <w:pPr>
      <w:spacing w:after="120"/>
      <w:jc w:val="center"/>
    </w:pPr>
    <w:rPr>
      <w:rFonts w:ascii="Times New Roman Bold" w:hAnsi="Times New Roman Bold"/>
      <w:b/>
      <w:sz w:val="32"/>
    </w:rPr>
  </w:style>
  <w:style w:type="paragraph" w:customStyle="1" w:styleId="FigureTitle">
    <w:name w:val="Figure Title"/>
    <w:basedOn w:val="Normal"/>
    <w:next w:val="FigureBody"/>
    <w:uiPriority w:val="6"/>
    <w:pPr>
      <w:keepNext/>
      <w:spacing w:after="180"/>
    </w:pPr>
    <w:rPr>
      <w:b/>
    </w:rPr>
  </w:style>
  <w:style w:type="paragraph" w:customStyle="1" w:styleId="FigureBody">
    <w:name w:val="Figure Body"/>
    <w:basedOn w:val="Normal"/>
    <w:next w:val="FigureNote"/>
    <w:uiPriority w:val="7"/>
    <w:pPr>
      <w:keepNext/>
      <w:spacing w:after="40"/>
    </w:pPr>
  </w:style>
  <w:style w:type="paragraph" w:customStyle="1" w:styleId="FigureNote">
    <w:name w:val="Figure Note"/>
    <w:basedOn w:val="FigureSource"/>
    <w:next w:val="FigureSource"/>
    <w:uiPriority w:val="7"/>
    <w:rPr>
      <w:b/>
    </w:rPr>
  </w:style>
  <w:style w:type="paragraph" w:customStyle="1" w:styleId="FigureSource">
    <w:name w:val="Figure Source"/>
    <w:basedOn w:val="Normal"/>
    <w:next w:val="Normal"/>
    <w:uiPriority w:val="7"/>
    <w:rPr>
      <w:sz w:val="20"/>
    </w:rPr>
  </w:style>
  <w:style w:type="paragraph" w:customStyle="1" w:styleId="AnnexHeading1">
    <w:name w:val="Annex Heading 1"/>
    <w:basedOn w:val="Normal"/>
    <w:next w:val="Normal"/>
    <w:pPr>
      <w:pageBreakBefore/>
      <w:spacing w:before="240"/>
      <w:outlineLvl w:val="0"/>
    </w:pPr>
    <w:rPr>
      <w:b/>
      <w:smallCaps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0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table" w:customStyle="1" w:styleId="TableLetterhead">
    <w:name w:val="Table Letterhead"/>
    <w:basedOn w:val="TableNormal"/>
    <w:uiPriority w:val="99"/>
    <w:tblPr>
      <w:tblCellMar>
        <w:left w:w="0" w:type="dxa"/>
        <w:bottom w:w="340" w:type="dxa"/>
        <w:right w:w="0" w:type="dxa"/>
      </w:tblCellMar>
    </w:tblPr>
  </w:style>
  <w:style w:type="table" w:customStyle="1" w:styleId="TableHistory">
    <w:name w:val="Table History"/>
    <w:basedOn w:val="TableNormal"/>
    <w:uiPriority w:val="99"/>
    <w:pPr>
      <w:spacing w:before="60" w:after="60" w:line="264" w:lineRule="auto"/>
    </w:pPr>
    <w:rPr>
      <w:sz w:val="22"/>
    </w:rPr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5">
    <w:name w:val="List Number 5"/>
    <w:basedOn w:val="Normal"/>
    <w:locked/>
    <w:pPr>
      <w:numPr>
        <w:numId w:val="19"/>
      </w:numPr>
    </w:pPr>
  </w:style>
  <w:style w:type="character" w:styleId="FootnoteReference">
    <w:name w:val="footnote reference"/>
    <w:semiHidden/>
    <w:locked/>
    <w:rPr>
      <w:shd w:val="clear" w:color="auto" w:fill="auto"/>
      <w:vertAlign w:val="superscript"/>
    </w:rPr>
  </w:style>
  <w:style w:type="paragraph" w:customStyle="1" w:styleId="Pagedecouverture">
    <w:name w:val="Page de couverture"/>
    <w:basedOn w:val="Normal"/>
    <w:next w:val="Normal"/>
    <w:link w:val="PagedecouvertureChar"/>
    <w:pPr>
      <w:spacing w:after="0"/>
    </w:pPr>
    <w:rPr>
      <w:szCs w:val="24"/>
    </w:rPr>
  </w:style>
  <w:style w:type="character" w:customStyle="1" w:styleId="Corpsdutexte">
    <w:name w:val="Corps du texte_"/>
    <w:link w:val="Corpsdutexte0"/>
    <w:uiPriority w:val="99"/>
    <w:rPr>
      <w:sz w:val="23"/>
      <w:szCs w:val="23"/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after="1380" w:line="278" w:lineRule="exact"/>
      <w:ind w:hanging="560"/>
      <w:jc w:val="center"/>
    </w:pPr>
    <w:rPr>
      <w:sz w:val="23"/>
      <w:szCs w:val="23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link w:val="FooterCoverPage"/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link w:val="HeaderCoverPage"/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lock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</w:rPr>
  </w:style>
  <w:style w:type="paragraph" w:styleId="BalloonText">
    <w:name w:val="Balloon Text"/>
    <w:basedOn w:val="Normal"/>
    <w:link w:val="BalloonTextChar"/>
    <w:semiHidden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/>
    </w:pPr>
    <w:rPr>
      <w:rFonts w:eastAsiaTheme="minorHAnsi"/>
      <w:szCs w:val="22"/>
      <w:lang w:eastAsia="en-US" w:bidi="ar-SA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PagedecouvertureChar">
    <w:name w:val="Page de couverture Char"/>
    <w:basedOn w:val="DefaultParagraphFont"/>
    <w:link w:val="Pagedecouverture"/>
    <w:rPr>
      <w:szCs w:val="24"/>
    </w:rPr>
  </w:style>
  <w:style w:type="character" w:customStyle="1" w:styleId="HeaderSensitivityRightChar">
    <w:name w:val="Header Sensitivity Right Char"/>
    <w:basedOn w:val="PagedecouvertureChar"/>
    <w:link w:val="HeaderSensitivityRight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9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media/image2.emf"/><Relationship Id="rId33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image" Target="media/image5.emf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image" Target="media/image4.png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xts>
  <SecurityPersonalData>Personal data</SecurityPersonalData>
  <SecurityPharma>Pharma investigations</SecurityPharma>
  <MarkingUntilText>UNTIL</MarkingUntilText>
  <LabelPictureSeq>Picture {SEQ Picture \* ARABIC } – </LabelPictureSeq>
  <SecurityMediationServiceMatter>Mediation service</SecurityMediationServiceMatter>
  <SecurityDeadline>Deadline</SecurityDeadline>
  <SecurityEconomyAndFinance>Economy and finance</SecurityEconomyAndFinance>
  <FooterFax>Fax</FooterFax>
  <FooterOffice>Office:</FooterOffice>
  <SecurityOlafInvestigations>OLAF investigations</SecurityOlafInvestigations>
  <TechHistory>Document History</TechHistory>
  <SensitiveHandling>Handling instructions for SENSITIVE information are given at https://www.europa.eu/handling_instructions</SensitiveHandling>
  <SecurityInternal>Commission internal</SecurityInternal>
  <SecurityOlafSpecialHandling>OLAF investigations</SecurityOlafSpecialHandling>
  <SecurityPersonal>Personal</SecurityPersonal>
  <CourtProceduralDocuments>Court procedural documents</CourtProceduralDocuments>
  <OrgaRoot>EUROPEAN COMMISSION</OrgaRoot>
  <TechHistoryComment>Comment</TechHistoryComment>
  <Contact>Contact:</Contact>
  <SensitiveLabel>Sensitive</SensitiveLabel>
  <SpecialHandlingLabel>Special Handling</SpecialHandlingLabel>
  <SecurityInvestigationsDisciplinary>Investigations and disciplinary matters</SecurityInvestigationsDisciplinary>
  <SecurityCompOperations>COMP</SecurityCompOperations>
  <SecurityEuSatellite>EU satellite navigation matters</SecurityEuSatellite>
  <SecurityReleasable>RELEASABLE TO:</SecurityReleasable>
  <AddresseeTo>To:</AddresseeTo>
  <SecurityStaffMatter>Staff matter</SecurityStaffMatter>
  <SecurityOpinionLegalService>Opinion of the Legal Service</SecurityOpinionLegalService>
  <SpecialHandlingFootnote>Special handling instructions are given at https://www.europa.eu/handling_instructions</SpecialHandlingFootnote>
  <SecurityEtsSensitive>ETS</SecurityEtsSensitive>
  <SecurityEtsCritical>ETS Critical</SecurityEtsCritical>
  <SecurityCompSpecial>COMP</SecurityCompSpecial>
  <LabelSource>Source</LabelSource>
  <SecurityPharmaSpecial>Pharma investigations</SecurityPharmaSpecial>
  <TOCHeading>Table of Contents</TOCHeading>
  <TechHistoryDate>Date</TechHistoryDate>
  <AddressFooterBrussels>Commission européenne/Europese Commissie, 1049 Bruxelles/Brussel, BELGIQUE/BELGIË - Tel. +32 22991111</AddressFooterBrussels>
  <SecurityIasOperations>IAS operations</SecurityIasOperations>
  <TechHistoryCreatedBy>Document created by</TechHistoryCreatedBy>
  <FooterPhone>Tel. direct line</FooterPhone>
  <SecuritySecurityMatter>Security matter</SecuritySecurityMatter>
  <SecurityPersonalDataHandling>Shall only be communicated on a need to know basis pursuant to Regulation (EC) No 45/2001. Where e-mail is used, this must be encrypted using SECEM.</SecurityPersonalDataHandling>
  <TechHistoryVersion>Version</TechHistoryVersion>
  <TLPAmber>TLP: Amber</TLPAmber>
  <SecurityMedicalSecret>Medical secret</SecurityMedicalSecret>
  <Contacts>Contacts:</Contacts>
  <SecurityEmbargo>Embargo until</SecurityEmbargo>
  <SecurityLimited>Limited</SecurityLimited>
  <DateFormatShort>dd/MM/yyyy</DateFormatShort>
  <DateFormatLong>d MMMM yyyy</DateFormatLong>
</Texts>
</file>

<file path=customXml/item2.xml><?xml version="1.0" encoding="utf-8"?>
<Author Role="Creator">
  <Id>4981d9e8-2ad4-4473-8237-e0c74b8a40f8</Id>
  <Names>
    <Latin>
      <FirstName>Bernard</FirstName>
      <LastName>VAN GOETHEM</LastName>
    </Latin>
    <Greek>
      <FirstName/>
      <LastName/>
    </Greek>
    <Cyrillic>
      <FirstName/>
      <LastName/>
    </Cyrillic>
    <DocumentScript>
      <FirstName>Bernard</FirstName>
      <LastName>VAN GOETHEM</LastName>
      <FullName>Bernard VAN GOETHEM</FullName>
    </DocumentScript>
  </Names>
  <Initials>BVG</Initials>
  <Gender>m</Gender>
  <Email>Bernard.Van-Goethem@ec.europa.eu</Email>
  <Service>SANTE.DDG2.G</Service>
  <Function ShowInSignature="false">Director</Function>
  <WebAddress/>
  <InheritedWebAddress>WebAddress</InheritedWebAddress>
  <OrgaEntity1>
    <Id>6332c4d2-2874-4332-ae74-fc843cef9b7e</Id>
    <LogicalLevel>1</LogicalLevel>
    <Name>SANTE</Name>
    <HeadLine1>DIRECTORATE-GENERAL FOR HEALTH AND FOOD SAFETY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c42e983d-e911-413a-9143-b5b7d6fc4e6d</Id>
    <LogicalLevel>2</LogicalLevel>
    <Name>SANTE.DDG2.G</Name>
    <HeadLine1>Crisis management in food, animals and plants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c506bea8-9057-4a23-9e12-bc68eee9fb64</Id>
    <LogicalLevel>3</LogicalLevel>
    <Name>SANTE.DDG2.G</Name>
    <HeadLine1>The Director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 </PhoneNumberPrefix>
      <Location>Brussels,</Location>
      <Footer>Commission européenne/Europese Commissie, 1049 Bruxelles/Brussel, BELGIQUE/BELGIË - Tel. +32 22991111</Footer>
    </Address>
    <Address>
      <Id>1264fb81-f6bb-475e-9f9d-a937d3be6ee2</Id>
      <Name>Luxembourg</Name>
      <PhoneNumberPrefix>+352 4301</PhoneNumberPrefix>
      <Location>Luxembourg,</Location>
      <Footer>Commission européenne, 2920 Luxembourg, LUXEMBOURG - Tel. +352 43011</Footer>
    </Address>
  </Addresses>
  <JobAssignmentId/>
  <MainWorkplace IsMain="true">
    <AddressId>f03b5801-04c9-4931-aa17-c6d6c70bc579</AddressId>
    <Fax/>
    <Phone>+32 229 53143</Phone>
    <Office>B232 03/085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+32 229 53143</Phone>
      <Office>B232 03/085</Office>
    </Workplace>
  </Workplaces>
</Author>
</file>

<file path=customXml/item3.xml><?xml version="1.0" encoding="utf-8"?>
<EurolookProperties>
  <ProductCustomizationId>EC</ProductCustomizationId>
  <Created>
    <Version>10.0.38495.0</Version>
    <Date>2019-03-06T10:07:52</Date>
    <Language>EN</Language>
  </Created>
  <Edited>
    <Version>10.0.38495.0</Version>
    <Date>2019-07-17T13:45:27</Date>
  </Edited>
  <DocumentModel>
    <Id>6cbda13a-4db2-46c6-876a-ef72275827ef</Id>
    <Name>Report</Name>
  </DocumentModel>
  <DocumentDate>2019-03-06T10:07:52</DocumentDate>
  <DocumentVersion>0.1</DocumentVersion>
  <CompatibilityMode>Eurolook10</CompatibilityMode>
  <Address/>
</Eurolook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0DE6-88B6-4264-9629-4D8DFDFE87D2}">
  <ds:schemaRefs/>
</ds:datastoreItem>
</file>

<file path=customXml/itemProps2.xml><?xml version="1.0" encoding="utf-8"?>
<ds:datastoreItem xmlns:ds="http://schemas.openxmlformats.org/officeDocument/2006/customXml" ds:itemID="{EE044946-5330-43F7-8D16-AA78684F2938}">
  <ds:schemaRefs/>
</ds:datastoreItem>
</file>

<file path=customXml/itemProps3.xml><?xml version="1.0" encoding="utf-8"?>
<ds:datastoreItem xmlns:ds="http://schemas.openxmlformats.org/officeDocument/2006/customXml" ds:itemID="{D3EA5527-7367-4268-9D83-5125C98D0ED2}">
  <ds:schemaRefs/>
</ds:datastoreItem>
</file>

<file path=customXml/itemProps4.xml><?xml version="1.0" encoding="utf-8"?>
<ds:datastoreItem xmlns:ds="http://schemas.openxmlformats.org/officeDocument/2006/customXml" ds:itemID="{50650113-3BF3-49EC-99B9-10B93767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1246</Words>
  <Characters>8462</Characters>
  <Application>Microsoft Office Word</Application>
  <DocSecurity>0</DocSecurity>
  <PresentationFormat>Microsoft Word 14.0</PresentationFormat>
  <Lines>169</Lines>
  <Paragraphs>67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SANTE/11486/2018-EN CIS Rev, 2</vt:lpstr>
    </vt:vector>
  </TitlesOfParts>
  <Manager/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SANTE/11486/2018-EN CIS Rev, 2</dc:title>
  <dc:subject>report from the commission to the european parliament and to the council</dc:subject>
  <dc:creator/>
  <cp:keywords>11486</cp:keywords>
  <dc:description>Outlook 28,3,2019</dc:description>
  <cp:lastModifiedBy>WES PDFC Administrator</cp:lastModifiedBy>
  <cp:revision>22</cp:revision>
  <dcterms:created xsi:type="dcterms:W3CDTF">2019-06-27T17:43:00Z</dcterms:created>
  <dcterms:modified xsi:type="dcterms:W3CDTF">2019-10-01T09:17:00Z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10.0</vt:lpwstr>
  </property>
  <property fmtid="{D5CDD505-2E9C-101B-9397-08002B2CF9AE}" pid="3" name="ELDocType">
    <vt:lpwstr>rep.dot</vt:lpwstr>
  </property>
  <property fmtid="{D5CDD505-2E9C-101B-9397-08002B2CF9AE}" pid="4" name="Created using">
    <vt:lpwstr>LW 6.0.1, Build 20180503</vt:lpwstr>
  </property>
  <property fmtid="{D5CDD505-2E9C-101B-9397-08002B2CF9AE}" pid="5" name="Last edited using">
    <vt:lpwstr>LW 6.0.1, Build 20180503</vt:lpwstr>
  </property>
  <property fmtid="{D5CDD505-2E9C-101B-9397-08002B2CF9AE}" pid="6" name="Level of sensitivity">
    <vt:lpwstr>Standard treatment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DocStatus">
    <vt:lpwstr>Green</vt:lpwstr>
  </property>
  <property fmtid="{D5CDD505-2E9C-101B-9397-08002B2CF9AE}" pid="10" name="Formatting">
    <vt:lpwstr>4.1</vt:lpwstr>
  </property>
</Properties>
</file>