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6FB8E0D8-E7B9-4FD7-AAAD-312FE1FA1BC2" style="width:450.35pt;height:320.6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rPr>
          <w:noProof/>
        </w:rPr>
      </w:pPr>
      <w:bookmarkStart w:id="1" w:name="_GoBack"/>
      <w:bookmarkEnd w:id="1"/>
    </w:p>
    <w:p>
      <w:pPr>
        <w:pStyle w:val="TOCHeading"/>
        <w:rPr>
          <w:noProof/>
        </w:rPr>
      </w:pPr>
      <w:r>
        <w:rPr>
          <w:noProof/>
        </w:rPr>
        <w:t>Tartalomjegyzék</w:t>
      </w:r>
    </w:p>
    <w:p>
      <w:pPr>
        <w:pStyle w:val="TOC1"/>
        <w:rPr>
          <w:rFonts w:asciiTheme="minorHAnsi" w:eastAsiaTheme="minorEastAsia" w:hAnsiTheme="minorHAnsi" w:cstheme="minorBidi"/>
          <w:noProof/>
          <w:sz w:val="22"/>
          <w:szCs w:val="22"/>
          <w:lang w:val="en-IE" w:eastAsia="en-IE"/>
        </w:rPr>
      </w:pPr>
      <w:r>
        <w:rPr>
          <w:noProof/>
        </w:rPr>
        <w:fldChar w:fldCharType="begin"/>
      </w:r>
      <w:r>
        <w:rPr>
          <w:noProof/>
        </w:rPr>
        <w:instrText xml:space="preserve"> TOC \o "1-3" \h \z \u </w:instrText>
      </w:r>
      <w:r>
        <w:rPr>
          <w:noProof/>
        </w:rPr>
        <w:fldChar w:fldCharType="separate"/>
      </w:r>
      <w:hyperlink w:anchor="_Toc21506642" w:history="1">
        <w:r>
          <w:rPr>
            <w:rStyle w:val="Hyperlink"/>
            <w:noProof/>
          </w:rPr>
          <w:t>1.</w:t>
        </w:r>
        <w:r>
          <w:rPr>
            <w:rFonts w:asciiTheme="minorHAnsi" w:eastAsiaTheme="minorEastAsia" w:hAnsiTheme="minorHAnsi" w:cstheme="minorBidi"/>
            <w:noProof/>
            <w:sz w:val="22"/>
            <w:szCs w:val="22"/>
            <w:lang w:val="en-IE" w:eastAsia="en-IE"/>
          </w:rPr>
          <w:tab/>
        </w:r>
        <w:r>
          <w:rPr>
            <w:rStyle w:val="Hyperlink"/>
            <w:noProof/>
          </w:rPr>
          <w:t>Bevezetés</w:t>
        </w:r>
        <w:r>
          <w:rPr>
            <w:noProof/>
            <w:webHidden/>
          </w:rPr>
          <w:tab/>
        </w:r>
        <w:r>
          <w:rPr>
            <w:noProof/>
            <w:webHidden/>
          </w:rPr>
          <w:fldChar w:fldCharType="begin"/>
        </w:r>
        <w:r>
          <w:rPr>
            <w:noProof/>
            <w:webHidden/>
          </w:rPr>
          <w:instrText xml:space="preserve"> PAGEREF _Toc21506642 \h </w:instrText>
        </w:r>
        <w:r>
          <w:rPr>
            <w:noProof/>
            <w:webHidden/>
          </w:rPr>
        </w:r>
        <w:r>
          <w:rPr>
            <w:noProof/>
            <w:webHidden/>
          </w:rPr>
          <w:fldChar w:fldCharType="separate"/>
        </w:r>
        <w:r>
          <w:rPr>
            <w:noProof/>
            <w:webHidden/>
          </w:rPr>
          <w:t>3</w:t>
        </w:r>
        <w:r>
          <w:rPr>
            <w:noProof/>
            <w:webHidden/>
          </w:rPr>
          <w:fldChar w:fldCharType="end"/>
        </w:r>
      </w:hyperlink>
    </w:p>
    <w:p>
      <w:pPr>
        <w:pStyle w:val="TOC1"/>
        <w:rPr>
          <w:rFonts w:asciiTheme="minorHAnsi" w:eastAsiaTheme="minorEastAsia" w:hAnsiTheme="minorHAnsi" w:cstheme="minorBidi"/>
          <w:noProof/>
          <w:sz w:val="22"/>
          <w:szCs w:val="22"/>
          <w:lang w:val="en-IE" w:eastAsia="en-IE"/>
        </w:rPr>
      </w:pPr>
      <w:hyperlink w:anchor="_Toc21506643" w:history="1">
        <w:r>
          <w:rPr>
            <w:rStyle w:val="Hyperlink"/>
            <w:noProof/>
          </w:rPr>
          <w:t>2.</w:t>
        </w:r>
        <w:r>
          <w:rPr>
            <w:rFonts w:asciiTheme="minorHAnsi" w:eastAsiaTheme="minorEastAsia" w:hAnsiTheme="minorHAnsi" w:cstheme="minorBidi"/>
            <w:noProof/>
            <w:sz w:val="22"/>
            <w:szCs w:val="22"/>
            <w:lang w:val="en-IE" w:eastAsia="en-IE"/>
          </w:rPr>
          <w:tab/>
        </w:r>
        <w:r>
          <w:rPr>
            <w:rStyle w:val="Hyperlink"/>
            <w:noProof/>
          </w:rPr>
          <w:t>Az uniós költségvetés által garantált műveletek és az euróövezet uniós költségvetés által nem fedezett válságkezelési mechanizmusai</w:t>
        </w:r>
        <w:r>
          <w:rPr>
            <w:noProof/>
            <w:webHidden/>
          </w:rPr>
          <w:tab/>
        </w:r>
        <w:r>
          <w:rPr>
            <w:noProof/>
            <w:webHidden/>
          </w:rPr>
          <w:fldChar w:fldCharType="begin"/>
        </w:r>
        <w:r>
          <w:rPr>
            <w:noProof/>
            <w:webHidden/>
          </w:rPr>
          <w:instrText xml:space="preserve"> PAGEREF _Toc21506643 \h </w:instrText>
        </w:r>
        <w:r>
          <w:rPr>
            <w:noProof/>
            <w:webHidden/>
          </w:rPr>
        </w:r>
        <w:r>
          <w:rPr>
            <w:noProof/>
            <w:webHidden/>
          </w:rPr>
          <w:fldChar w:fldCharType="separate"/>
        </w:r>
        <w:r>
          <w:rPr>
            <w:noProof/>
            <w:webHidden/>
          </w:rPr>
          <w:t>3</w:t>
        </w:r>
        <w:r>
          <w:rPr>
            <w:noProof/>
            <w:webHidden/>
          </w:rPr>
          <w:fldChar w:fldCharType="end"/>
        </w:r>
      </w:hyperlink>
    </w:p>
    <w:p>
      <w:pPr>
        <w:pStyle w:val="TOC2"/>
        <w:rPr>
          <w:rFonts w:asciiTheme="minorHAnsi" w:eastAsiaTheme="minorEastAsia" w:hAnsiTheme="minorHAnsi" w:cstheme="minorBidi"/>
          <w:noProof/>
          <w:sz w:val="22"/>
          <w:szCs w:val="22"/>
          <w:lang w:val="en-IE" w:eastAsia="en-IE"/>
        </w:rPr>
      </w:pPr>
      <w:hyperlink w:anchor="_Toc21506644" w:history="1">
        <w:r>
          <w:rPr>
            <w:rStyle w:val="Hyperlink"/>
            <w:noProof/>
          </w:rPr>
          <w:t>2.1.</w:t>
        </w:r>
        <w:r>
          <w:rPr>
            <w:rFonts w:asciiTheme="minorHAnsi" w:eastAsiaTheme="minorEastAsia" w:hAnsiTheme="minorHAnsi" w:cstheme="minorBidi"/>
            <w:noProof/>
            <w:sz w:val="22"/>
            <w:szCs w:val="22"/>
            <w:lang w:val="en-IE" w:eastAsia="en-IE"/>
          </w:rPr>
          <w:tab/>
        </w:r>
        <w:r>
          <w:rPr>
            <w:rStyle w:val="Hyperlink"/>
            <w:noProof/>
          </w:rPr>
          <w:t>Az Európai Unió által makrogazdasági célkitűzésekre nyújtott hitelek</w:t>
        </w:r>
        <w:r>
          <w:rPr>
            <w:noProof/>
            <w:webHidden/>
          </w:rPr>
          <w:tab/>
        </w:r>
        <w:r>
          <w:rPr>
            <w:noProof/>
            <w:webHidden/>
          </w:rPr>
          <w:fldChar w:fldCharType="begin"/>
        </w:r>
        <w:r>
          <w:rPr>
            <w:noProof/>
            <w:webHidden/>
          </w:rPr>
          <w:instrText xml:space="preserve"> PAGEREF _Toc21506644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noProof/>
          <w:sz w:val="22"/>
          <w:szCs w:val="22"/>
          <w:lang w:val="en-IE" w:eastAsia="en-IE"/>
        </w:rPr>
      </w:pPr>
      <w:hyperlink w:anchor="_Toc21506645" w:history="1">
        <w:r>
          <w:rPr>
            <w:rStyle w:val="Hyperlink"/>
            <w:noProof/>
          </w:rPr>
          <w:t>2.2.</w:t>
        </w:r>
        <w:r>
          <w:rPr>
            <w:rFonts w:asciiTheme="minorHAnsi" w:eastAsiaTheme="minorEastAsia" w:hAnsiTheme="minorHAnsi" w:cstheme="minorBidi"/>
            <w:noProof/>
            <w:sz w:val="22"/>
            <w:szCs w:val="22"/>
            <w:lang w:val="en-IE" w:eastAsia="en-IE"/>
          </w:rPr>
          <w:tab/>
        </w:r>
        <w:r>
          <w:rPr>
            <w:rStyle w:val="Hyperlink"/>
            <w:noProof/>
          </w:rPr>
          <w:t>Mikrogazdasági célkitűzésekre nyújtott hitelek</w:t>
        </w:r>
        <w:r>
          <w:rPr>
            <w:noProof/>
            <w:webHidden/>
          </w:rPr>
          <w:tab/>
        </w:r>
        <w:r>
          <w:rPr>
            <w:noProof/>
            <w:webHidden/>
          </w:rPr>
          <w:fldChar w:fldCharType="begin"/>
        </w:r>
        <w:r>
          <w:rPr>
            <w:noProof/>
            <w:webHidden/>
          </w:rPr>
          <w:instrText xml:space="preserve"> PAGEREF _Toc21506645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noProof/>
          <w:sz w:val="22"/>
          <w:szCs w:val="22"/>
          <w:lang w:val="en-IE" w:eastAsia="en-IE"/>
        </w:rPr>
      </w:pPr>
      <w:hyperlink w:anchor="_Toc21506646" w:history="1">
        <w:r>
          <w:rPr>
            <w:rStyle w:val="Hyperlink"/>
            <w:noProof/>
          </w:rPr>
          <w:t>2.3.</w:t>
        </w:r>
        <w:r>
          <w:rPr>
            <w:rFonts w:asciiTheme="minorHAnsi" w:eastAsiaTheme="minorEastAsia" w:hAnsiTheme="minorHAnsi" w:cstheme="minorBidi"/>
            <w:noProof/>
            <w:sz w:val="22"/>
            <w:szCs w:val="22"/>
            <w:lang w:val="en-IE" w:eastAsia="en-IE"/>
          </w:rPr>
          <w:tab/>
        </w:r>
        <w:r>
          <w:rPr>
            <w:rStyle w:val="Hyperlink"/>
            <w:noProof/>
          </w:rPr>
          <w:t>Az Európai Beruházási Bank (EBB) által Unión kívüli államoknak nyújtott finanszírozás (a továbbiakban: az EBB külső finanszírozási tevékenysége) uniós garanciák mellett megvalósuló műveleteikhez (külső hitelezési megbízatás)</w:t>
        </w:r>
        <w:r>
          <w:rPr>
            <w:noProof/>
            <w:webHidden/>
          </w:rPr>
          <w:tab/>
        </w:r>
        <w:r>
          <w:rPr>
            <w:noProof/>
            <w:webHidden/>
          </w:rPr>
          <w:fldChar w:fldCharType="begin"/>
        </w:r>
        <w:r>
          <w:rPr>
            <w:noProof/>
            <w:webHidden/>
          </w:rPr>
          <w:instrText xml:space="preserve"> PAGEREF _Toc21506646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noProof/>
          <w:sz w:val="22"/>
          <w:szCs w:val="22"/>
          <w:lang w:val="en-IE" w:eastAsia="en-IE"/>
        </w:rPr>
      </w:pPr>
      <w:hyperlink w:anchor="_Toc21506647" w:history="1">
        <w:r>
          <w:rPr>
            <w:rStyle w:val="Hyperlink"/>
            <w:noProof/>
          </w:rPr>
          <w:t>2.4.</w:t>
        </w:r>
        <w:r>
          <w:rPr>
            <w:rFonts w:asciiTheme="minorHAnsi" w:eastAsiaTheme="minorEastAsia" w:hAnsiTheme="minorHAnsi" w:cstheme="minorBidi"/>
            <w:noProof/>
            <w:sz w:val="22"/>
            <w:szCs w:val="22"/>
            <w:lang w:val="en-IE" w:eastAsia="en-IE"/>
          </w:rPr>
          <w:tab/>
        </w:r>
        <w:r>
          <w:rPr>
            <w:rStyle w:val="Hyperlink"/>
            <w:noProof/>
          </w:rPr>
          <w:t>Az Európai Beruházási Bank (EBB) és az Európai Beruházási Alap (EBA) által a tagállamoknak nyújtott finanszírozás uniós garanciák mellett megvalósuló műveleteikhez – az Európai Stratégiai Beruházási Alap (ESBA)</w:t>
        </w:r>
        <w:r>
          <w:rPr>
            <w:noProof/>
            <w:webHidden/>
          </w:rPr>
          <w:tab/>
        </w:r>
        <w:r>
          <w:rPr>
            <w:noProof/>
            <w:webHidden/>
          </w:rPr>
          <w:fldChar w:fldCharType="begin"/>
        </w:r>
        <w:r>
          <w:rPr>
            <w:noProof/>
            <w:webHidden/>
          </w:rPr>
          <w:instrText xml:space="preserve"> PAGEREF _Toc21506647 \h </w:instrText>
        </w:r>
        <w:r>
          <w:rPr>
            <w:noProof/>
            <w:webHidden/>
          </w:rPr>
        </w:r>
        <w:r>
          <w:rPr>
            <w:noProof/>
            <w:webHidden/>
          </w:rPr>
          <w:fldChar w:fldCharType="separate"/>
        </w:r>
        <w:r>
          <w:rPr>
            <w:noProof/>
            <w:webHidden/>
          </w:rPr>
          <w:t>6</w:t>
        </w:r>
        <w:r>
          <w:rPr>
            <w:noProof/>
            <w:webHidden/>
          </w:rPr>
          <w:fldChar w:fldCharType="end"/>
        </w:r>
      </w:hyperlink>
    </w:p>
    <w:p>
      <w:pPr>
        <w:pStyle w:val="TOC2"/>
        <w:rPr>
          <w:rFonts w:asciiTheme="minorHAnsi" w:eastAsiaTheme="minorEastAsia" w:hAnsiTheme="minorHAnsi" w:cstheme="minorBidi"/>
          <w:noProof/>
          <w:sz w:val="22"/>
          <w:szCs w:val="22"/>
          <w:lang w:val="en-IE" w:eastAsia="en-IE"/>
        </w:rPr>
      </w:pPr>
      <w:hyperlink w:anchor="_Toc21506648" w:history="1">
        <w:r>
          <w:rPr>
            <w:rStyle w:val="Hyperlink"/>
            <w:noProof/>
          </w:rPr>
          <w:t>2.5.</w:t>
        </w:r>
        <w:r>
          <w:rPr>
            <w:rFonts w:asciiTheme="minorHAnsi" w:eastAsiaTheme="minorEastAsia" w:hAnsiTheme="minorHAnsi" w:cstheme="minorBidi"/>
            <w:noProof/>
            <w:sz w:val="22"/>
            <w:szCs w:val="22"/>
            <w:lang w:val="en-IE" w:eastAsia="en-IE"/>
          </w:rPr>
          <w:tab/>
        </w:r>
        <w:r>
          <w:rPr>
            <w:rStyle w:val="Hyperlink"/>
            <w:noProof/>
          </w:rPr>
          <w:t>Az uniós költségvetés által nem fedezett válságkezelési mechanizmusok</w:t>
        </w:r>
        <w:r>
          <w:rPr>
            <w:noProof/>
            <w:webHidden/>
          </w:rPr>
          <w:tab/>
        </w:r>
        <w:r>
          <w:rPr>
            <w:noProof/>
            <w:webHidden/>
          </w:rPr>
          <w:fldChar w:fldCharType="begin"/>
        </w:r>
        <w:r>
          <w:rPr>
            <w:noProof/>
            <w:webHidden/>
          </w:rPr>
          <w:instrText xml:space="preserve"> PAGEREF _Toc21506648 \h </w:instrText>
        </w:r>
        <w:r>
          <w:rPr>
            <w:noProof/>
            <w:webHidden/>
          </w:rPr>
        </w:r>
        <w:r>
          <w:rPr>
            <w:noProof/>
            <w:webHidden/>
          </w:rPr>
          <w:fldChar w:fldCharType="separate"/>
        </w:r>
        <w:r>
          <w:rPr>
            <w:noProof/>
            <w:webHidden/>
          </w:rPr>
          <w:t>7</w:t>
        </w:r>
        <w:r>
          <w:rPr>
            <w:noProof/>
            <w:webHidden/>
          </w:rPr>
          <w:fldChar w:fldCharType="end"/>
        </w:r>
      </w:hyperlink>
    </w:p>
    <w:p>
      <w:pPr>
        <w:pStyle w:val="TOC1"/>
        <w:rPr>
          <w:rFonts w:asciiTheme="minorHAnsi" w:eastAsiaTheme="minorEastAsia" w:hAnsiTheme="minorHAnsi" w:cstheme="minorBidi"/>
          <w:noProof/>
          <w:sz w:val="22"/>
          <w:szCs w:val="22"/>
          <w:lang w:val="en-IE" w:eastAsia="en-IE"/>
        </w:rPr>
      </w:pPr>
      <w:hyperlink w:anchor="_Toc21506649" w:history="1">
        <w:r>
          <w:rPr>
            <w:rStyle w:val="Hyperlink"/>
            <w:noProof/>
          </w:rPr>
          <w:t>3.</w:t>
        </w:r>
        <w:r>
          <w:rPr>
            <w:rFonts w:asciiTheme="minorHAnsi" w:eastAsiaTheme="minorEastAsia" w:hAnsiTheme="minorHAnsi" w:cstheme="minorBidi"/>
            <w:noProof/>
            <w:sz w:val="22"/>
            <w:szCs w:val="22"/>
            <w:lang w:val="en-IE" w:eastAsia="en-IE"/>
          </w:rPr>
          <w:tab/>
        </w:r>
        <w:r>
          <w:rPr>
            <w:rStyle w:val="Hyperlink"/>
            <w:noProof/>
          </w:rPr>
          <w:t>A garantált műveletek alakulása</w:t>
        </w:r>
        <w:r>
          <w:rPr>
            <w:noProof/>
            <w:webHidden/>
          </w:rPr>
          <w:tab/>
        </w:r>
        <w:r>
          <w:rPr>
            <w:noProof/>
            <w:webHidden/>
          </w:rPr>
          <w:fldChar w:fldCharType="begin"/>
        </w:r>
        <w:r>
          <w:rPr>
            <w:noProof/>
            <w:webHidden/>
          </w:rPr>
          <w:instrText xml:space="preserve"> PAGEREF _Toc21506649 \h </w:instrText>
        </w:r>
        <w:r>
          <w:rPr>
            <w:noProof/>
            <w:webHidden/>
          </w:rPr>
        </w:r>
        <w:r>
          <w:rPr>
            <w:noProof/>
            <w:webHidden/>
          </w:rPr>
          <w:fldChar w:fldCharType="separate"/>
        </w:r>
        <w:r>
          <w:rPr>
            <w:noProof/>
            <w:webHidden/>
          </w:rPr>
          <w:t>8</w:t>
        </w:r>
        <w:r>
          <w:rPr>
            <w:noProof/>
            <w:webHidden/>
          </w:rPr>
          <w:fldChar w:fldCharType="end"/>
        </w:r>
      </w:hyperlink>
    </w:p>
    <w:p>
      <w:pPr>
        <w:pStyle w:val="TOC2"/>
        <w:rPr>
          <w:rFonts w:asciiTheme="minorHAnsi" w:eastAsiaTheme="minorEastAsia" w:hAnsiTheme="minorHAnsi" w:cstheme="minorBidi"/>
          <w:noProof/>
          <w:sz w:val="22"/>
          <w:szCs w:val="22"/>
          <w:lang w:val="en-IE" w:eastAsia="en-IE"/>
        </w:rPr>
      </w:pPr>
      <w:hyperlink w:anchor="_Toc21506650" w:history="1">
        <w:r>
          <w:rPr>
            <w:rStyle w:val="Hyperlink"/>
            <w:noProof/>
          </w:rPr>
          <w:t>3.1.</w:t>
        </w:r>
        <w:r>
          <w:rPr>
            <w:rFonts w:asciiTheme="minorHAnsi" w:eastAsiaTheme="minorEastAsia" w:hAnsiTheme="minorHAnsi" w:cstheme="minorBidi"/>
            <w:noProof/>
            <w:sz w:val="22"/>
            <w:szCs w:val="22"/>
            <w:lang w:val="en-IE" w:eastAsia="en-IE"/>
          </w:rPr>
          <w:tab/>
        </w:r>
        <w:r>
          <w:rPr>
            <w:rStyle w:val="Hyperlink"/>
            <w:noProof/>
          </w:rPr>
          <w:t>A Bizottság által közvetlenül irányított műveletek</w:t>
        </w:r>
        <w:r>
          <w:rPr>
            <w:noProof/>
            <w:webHidden/>
          </w:rPr>
          <w:tab/>
        </w:r>
        <w:r>
          <w:rPr>
            <w:noProof/>
            <w:webHidden/>
          </w:rPr>
          <w:fldChar w:fldCharType="begin"/>
        </w:r>
        <w:r>
          <w:rPr>
            <w:noProof/>
            <w:webHidden/>
          </w:rPr>
          <w:instrText xml:space="preserve"> PAGEREF _Toc21506650 \h </w:instrText>
        </w:r>
        <w:r>
          <w:rPr>
            <w:noProof/>
            <w:webHidden/>
          </w:rPr>
        </w:r>
        <w:r>
          <w:rPr>
            <w:noProof/>
            <w:webHidden/>
          </w:rPr>
          <w:fldChar w:fldCharType="separate"/>
        </w:r>
        <w:r>
          <w:rPr>
            <w:noProof/>
            <w:webHidden/>
          </w:rPr>
          <w:t>9</w:t>
        </w:r>
        <w:r>
          <w:rPr>
            <w:noProof/>
            <w:webHidden/>
          </w:rPr>
          <w:fldChar w:fldCharType="end"/>
        </w:r>
      </w:hyperlink>
    </w:p>
    <w:p>
      <w:pPr>
        <w:pStyle w:val="TOC3"/>
        <w:rPr>
          <w:rFonts w:asciiTheme="minorHAnsi" w:eastAsiaTheme="minorEastAsia" w:hAnsiTheme="minorHAnsi" w:cstheme="minorBidi"/>
          <w:noProof/>
          <w:sz w:val="22"/>
          <w:szCs w:val="22"/>
          <w:lang w:val="en-IE" w:eastAsia="en-IE"/>
        </w:rPr>
      </w:pPr>
      <w:hyperlink w:anchor="_Toc21506651" w:history="1">
        <w:r>
          <w:rPr>
            <w:rStyle w:val="Hyperlink"/>
            <w:noProof/>
          </w:rPr>
          <w:t>3.1.1.</w:t>
        </w:r>
        <w:r>
          <w:rPr>
            <w:rFonts w:asciiTheme="minorHAnsi" w:eastAsiaTheme="minorEastAsia" w:hAnsiTheme="minorHAnsi" w:cstheme="minorBidi"/>
            <w:noProof/>
            <w:sz w:val="22"/>
            <w:szCs w:val="22"/>
            <w:lang w:val="en-IE" w:eastAsia="en-IE"/>
          </w:rPr>
          <w:tab/>
        </w:r>
        <w:r>
          <w:rPr>
            <w:rStyle w:val="Hyperlink"/>
            <w:noProof/>
          </w:rPr>
          <w:t>Európai pénzügyi stabilizációs mechanizmus (EFSM)</w:t>
        </w:r>
        <w:r>
          <w:rPr>
            <w:noProof/>
            <w:webHidden/>
          </w:rPr>
          <w:tab/>
        </w:r>
        <w:r>
          <w:rPr>
            <w:noProof/>
            <w:webHidden/>
          </w:rPr>
          <w:fldChar w:fldCharType="begin"/>
        </w:r>
        <w:r>
          <w:rPr>
            <w:noProof/>
            <w:webHidden/>
          </w:rPr>
          <w:instrText xml:space="preserve"> PAGEREF _Toc21506651 \h </w:instrText>
        </w:r>
        <w:r>
          <w:rPr>
            <w:noProof/>
            <w:webHidden/>
          </w:rPr>
        </w:r>
        <w:r>
          <w:rPr>
            <w:noProof/>
            <w:webHidden/>
          </w:rPr>
          <w:fldChar w:fldCharType="separate"/>
        </w:r>
        <w:r>
          <w:rPr>
            <w:noProof/>
            <w:webHidden/>
          </w:rPr>
          <w:t>10</w:t>
        </w:r>
        <w:r>
          <w:rPr>
            <w:noProof/>
            <w:webHidden/>
          </w:rPr>
          <w:fldChar w:fldCharType="end"/>
        </w:r>
      </w:hyperlink>
    </w:p>
    <w:p>
      <w:pPr>
        <w:pStyle w:val="TOC3"/>
        <w:rPr>
          <w:rFonts w:asciiTheme="minorHAnsi" w:eastAsiaTheme="minorEastAsia" w:hAnsiTheme="minorHAnsi" w:cstheme="minorBidi"/>
          <w:noProof/>
          <w:sz w:val="22"/>
          <w:szCs w:val="22"/>
          <w:lang w:val="en-IE" w:eastAsia="en-IE"/>
        </w:rPr>
      </w:pPr>
      <w:hyperlink w:anchor="_Toc21506652" w:history="1">
        <w:r>
          <w:rPr>
            <w:rStyle w:val="Hyperlink"/>
            <w:noProof/>
          </w:rPr>
          <w:t>3.1.2.</w:t>
        </w:r>
        <w:r>
          <w:rPr>
            <w:rFonts w:asciiTheme="minorHAnsi" w:eastAsiaTheme="minorEastAsia" w:hAnsiTheme="minorHAnsi" w:cstheme="minorBidi"/>
            <w:noProof/>
            <w:sz w:val="22"/>
            <w:szCs w:val="22"/>
            <w:lang w:val="en-IE" w:eastAsia="en-IE"/>
          </w:rPr>
          <w:tab/>
        </w:r>
        <w:r>
          <w:rPr>
            <w:rStyle w:val="Hyperlink"/>
            <w:noProof/>
          </w:rPr>
          <w:t>Fizetésimérleg-támogatási mechanizmus (BOP)</w:t>
        </w:r>
        <w:r>
          <w:rPr>
            <w:noProof/>
            <w:webHidden/>
          </w:rPr>
          <w:tab/>
        </w:r>
        <w:r>
          <w:rPr>
            <w:noProof/>
            <w:webHidden/>
          </w:rPr>
          <w:fldChar w:fldCharType="begin"/>
        </w:r>
        <w:r>
          <w:rPr>
            <w:noProof/>
            <w:webHidden/>
          </w:rPr>
          <w:instrText xml:space="preserve"> PAGEREF _Toc21506652 \h </w:instrText>
        </w:r>
        <w:r>
          <w:rPr>
            <w:noProof/>
            <w:webHidden/>
          </w:rPr>
        </w:r>
        <w:r>
          <w:rPr>
            <w:noProof/>
            <w:webHidden/>
          </w:rPr>
          <w:fldChar w:fldCharType="separate"/>
        </w:r>
        <w:r>
          <w:rPr>
            <w:noProof/>
            <w:webHidden/>
          </w:rPr>
          <w:t>11</w:t>
        </w:r>
        <w:r>
          <w:rPr>
            <w:noProof/>
            <w:webHidden/>
          </w:rPr>
          <w:fldChar w:fldCharType="end"/>
        </w:r>
      </w:hyperlink>
    </w:p>
    <w:p>
      <w:pPr>
        <w:pStyle w:val="TOC3"/>
        <w:rPr>
          <w:rFonts w:asciiTheme="minorHAnsi" w:eastAsiaTheme="minorEastAsia" w:hAnsiTheme="minorHAnsi" w:cstheme="minorBidi"/>
          <w:noProof/>
          <w:sz w:val="22"/>
          <w:szCs w:val="22"/>
          <w:lang w:val="en-IE" w:eastAsia="en-IE"/>
        </w:rPr>
      </w:pPr>
      <w:hyperlink w:anchor="_Toc21506653" w:history="1">
        <w:r>
          <w:rPr>
            <w:rStyle w:val="Hyperlink"/>
            <w:noProof/>
          </w:rPr>
          <w:t>3.1.3.</w:t>
        </w:r>
        <w:r>
          <w:rPr>
            <w:rFonts w:asciiTheme="minorHAnsi" w:eastAsiaTheme="minorEastAsia" w:hAnsiTheme="minorHAnsi" w:cstheme="minorBidi"/>
            <w:noProof/>
            <w:sz w:val="22"/>
            <w:szCs w:val="22"/>
            <w:lang w:val="en-IE" w:eastAsia="en-IE"/>
          </w:rPr>
          <w:tab/>
        </w:r>
        <w:r>
          <w:rPr>
            <w:rStyle w:val="Hyperlink"/>
            <w:noProof/>
          </w:rPr>
          <w:t>Makroszintű pénzügyi támogatás keretében nyújtott hitelek (MFA)</w:t>
        </w:r>
        <w:r>
          <w:rPr>
            <w:noProof/>
            <w:webHidden/>
          </w:rPr>
          <w:tab/>
        </w:r>
        <w:r>
          <w:rPr>
            <w:noProof/>
            <w:webHidden/>
          </w:rPr>
          <w:fldChar w:fldCharType="begin"/>
        </w:r>
        <w:r>
          <w:rPr>
            <w:noProof/>
            <w:webHidden/>
          </w:rPr>
          <w:instrText xml:space="preserve"> PAGEREF _Toc21506653 \h </w:instrText>
        </w:r>
        <w:r>
          <w:rPr>
            <w:noProof/>
            <w:webHidden/>
          </w:rPr>
        </w:r>
        <w:r>
          <w:rPr>
            <w:noProof/>
            <w:webHidden/>
          </w:rPr>
          <w:fldChar w:fldCharType="separate"/>
        </w:r>
        <w:r>
          <w:rPr>
            <w:noProof/>
            <w:webHidden/>
          </w:rPr>
          <w:t>12</w:t>
        </w:r>
        <w:r>
          <w:rPr>
            <w:noProof/>
            <w:webHidden/>
          </w:rPr>
          <w:fldChar w:fldCharType="end"/>
        </w:r>
      </w:hyperlink>
    </w:p>
    <w:p>
      <w:pPr>
        <w:pStyle w:val="TOC3"/>
        <w:rPr>
          <w:rFonts w:asciiTheme="minorHAnsi" w:eastAsiaTheme="minorEastAsia" w:hAnsiTheme="minorHAnsi" w:cstheme="minorBidi"/>
          <w:noProof/>
          <w:sz w:val="22"/>
          <w:szCs w:val="22"/>
          <w:lang w:val="en-IE" w:eastAsia="en-IE"/>
        </w:rPr>
      </w:pPr>
      <w:hyperlink w:anchor="_Toc21506654" w:history="1">
        <w:r>
          <w:rPr>
            <w:rStyle w:val="Hyperlink"/>
            <w:noProof/>
          </w:rPr>
          <w:t>3.1.4.</w:t>
        </w:r>
        <w:r>
          <w:rPr>
            <w:rFonts w:asciiTheme="minorHAnsi" w:eastAsiaTheme="minorEastAsia" w:hAnsiTheme="minorHAnsi" w:cstheme="minorBidi"/>
            <w:noProof/>
            <w:sz w:val="22"/>
            <w:szCs w:val="22"/>
            <w:lang w:val="en-IE" w:eastAsia="en-IE"/>
          </w:rPr>
          <w:tab/>
        </w:r>
        <w:r>
          <w:rPr>
            <w:rStyle w:val="Hyperlink"/>
            <w:noProof/>
          </w:rPr>
          <w:t>Euratom-hitelek</w:t>
        </w:r>
        <w:r>
          <w:rPr>
            <w:noProof/>
            <w:webHidden/>
          </w:rPr>
          <w:tab/>
        </w:r>
        <w:r>
          <w:rPr>
            <w:noProof/>
            <w:webHidden/>
          </w:rPr>
          <w:fldChar w:fldCharType="begin"/>
        </w:r>
        <w:r>
          <w:rPr>
            <w:noProof/>
            <w:webHidden/>
          </w:rPr>
          <w:instrText xml:space="preserve"> PAGEREF _Toc21506654 \h </w:instrText>
        </w:r>
        <w:r>
          <w:rPr>
            <w:noProof/>
            <w:webHidden/>
          </w:rPr>
        </w:r>
        <w:r>
          <w:rPr>
            <w:noProof/>
            <w:webHidden/>
          </w:rPr>
          <w:fldChar w:fldCharType="separate"/>
        </w:r>
        <w:r>
          <w:rPr>
            <w:noProof/>
            <w:webHidden/>
          </w:rPr>
          <w:t>13</w:t>
        </w:r>
        <w:r>
          <w:rPr>
            <w:noProof/>
            <w:webHidden/>
          </w:rPr>
          <w:fldChar w:fldCharType="end"/>
        </w:r>
      </w:hyperlink>
    </w:p>
    <w:p>
      <w:pPr>
        <w:pStyle w:val="TOC2"/>
        <w:rPr>
          <w:rFonts w:asciiTheme="minorHAnsi" w:eastAsiaTheme="minorEastAsia" w:hAnsiTheme="minorHAnsi" w:cstheme="minorBidi"/>
          <w:noProof/>
          <w:sz w:val="22"/>
          <w:szCs w:val="22"/>
          <w:lang w:val="en-IE" w:eastAsia="en-IE"/>
        </w:rPr>
      </w:pPr>
      <w:hyperlink w:anchor="_Toc21506655" w:history="1">
        <w:r>
          <w:rPr>
            <w:rStyle w:val="Hyperlink"/>
            <w:noProof/>
          </w:rPr>
          <w:t>3.2.</w:t>
        </w:r>
        <w:r>
          <w:rPr>
            <w:rFonts w:asciiTheme="minorHAnsi" w:eastAsiaTheme="minorEastAsia" w:hAnsiTheme="minorHAnsi" w:cstheme="minorBidi"/>
            <w:noProof/>
            <w:sz w:val="22"/>
            <w:szCs w:val="22"/>
            <w:lang w:val="en-IE" w:eastAsia="en-IE"/>
          </w:rPr>
          <w:tab/>
        </w:r>
        <w:r>
          <w:rPr>
            <w:rStyle w:val="Hyperlink"/>
            <w:noProof/>
          </w:rPr>
          <w:t>Az EBB külső finanszírozási műveleteinek alakulása</w:t>
        </w:r>
        <w:r>
          <w:rPr>
            <w:noProof/>
            <w:webHidden/>
          </w:rPr>
          <w:tab/>
        </w:r>
        <w:r>
          <w:rPr>
            <w:noProof/>
            <w:webHidden/>
          </w:rPr>
          <w:fldChar w:fldCharType="begin"/>
        </w:r>
        <w:r>
          <w:rPr>
            <w:noProof/>
            <w:webHidden/>
          </w:rPr>
          <w:instrText xml:space="preserve"> PAGEREF _Toc21506655 \h </w:instrText>
        </w:r>
        <w:r>
          <w:rPr>
            <w:noProof/>
            <w:webHidden/>
          </w:rPr>
        </w:r>
        <w:r>
          <w:rPr>
            <w:noProof/>
            <w:webHidden/>
          </w:rPr>
          <w:fldChar w:fldCharType="separate"/>
        </w:r>
        <w:r>
          <w:rPr>
            <w:noProof/>
            <w:webHidden/>
          </w:rPr>
          <w:t>13</w:t>
        </w:r>
        <w:r>
          <w:rPr>
            <w:noProof/>
            <w:webHidden/>
          </w:rPr>
          <w:fldChar w:fldCharType="end"/>
        </w:r>
      </w:hyperlink>
    </w:p>
    <w:p>
      <w:pPr>
        <w:pStyle w:val="TOC1"/>
        <w:rPr>
          <w:rFonts w:asciiTheme="minorHAnsi" w:eastAsiaTheme="minorEastAsia" w:hAnsiTheme="minorHAnsi" w:cstheme="minorBidi"/>
          <w:noProof/>
          <w:sz w:val="22"/>
          <w:szCs w:val="22"/>
          <w:lang w:val="en-IE" w:eastAsia="en-IE"/>
        </w:rPr>
      </w:pPr>
      <w:hyperlink w:anchor="_Toc21506656" w:history="1">
        <w:r>
          <w:rPr>
            <w:rStyle w:val="Hyperlink"/>
            <w:noProof/>
          </w:rPr>
          <w:t>4.</w:t>
        </w:r>
        <w:r>
          <w:rPr>
            <w:rFonts w:asciiTheme="minorHAnsi" w:eastAsiaTheme="minorEastAsia" w:hAnsiTheme="minorHAnsi" w:cstheme="minorBidi"/>
            <w:noProof/>
            <w:sz w:val="22"/>
            <w:szCs w:val="22"/>
            <w:lang w:val="en-IE" w:eastAsia="en-IE"/>
          </w:rPr>
          <w:tab/>
        </w:r>
        <w:r>
          <w:rPr>
            <w:rStyle w:val="Hyperlink"/>
            <w:noProof/>
          </w:rPr>
          <w:t>Az uniós költségvetés által fedezett kockázatok</w:t>
        </w:r>
        <w:r>
          <w:rPr>
            <w:noProof/>
            <w:webHidden/>
          </w:rPr>
          <w:tab/>
        </w:r>
        <w:r>
          <w:rPr>
            <w:noProof/>
            <w:webHidden/>
          </w:rPr>
          <w:fldChar w:fldCharType="begin"/>
        </w:r>
        <w:r>
          <w:rPr>
            <w:noProof/>
            <w:webHidden/>
          </w:rPr>
          <w:instrText xml:space="preserve"> PAGEREF _Toc21506656 \h </w:instrText>
        </w:r>
        <w:r>
          <w:rPr>
            <w:noProof/>
            <w:webHidden/>
          </w:rPr>
        </w:r>
        <w:r>
          <w:rPr>
            <w:noProof/>
            <w:webHidden/>
          </w:rPr>
          <w:fldChar w:fldCharType="separate"/>
        </w:r>
        <w:r>
          <w:rPr>
            <w:noProof/>
            <w:webHidden/>
          </w:rPr>
          <w:t>14</w:t>
        </w:r>
        <w:r>
          <w:rPr>
            <w:noProof/>
            <w:webHidden/>
          </w:rPr>
          <w:fldChar w:fldCharType="end"/>
        </w:r>
      </w:hyperlink>
    </w:p>
    <w:p>
      <w:pPr>
        <w:pStyle w:val="TOC2"/>
        <w:rPr>
          <w:rFonts w:asciiTheme="minorHAnsi" w:eastAsiaTheme="minorEastAsia" w:hAnsiTheme="minorHAnsi" w:cstheme="minorBidi"/>
          <w:noProof/>
          <w:sz w:val="22"/>
          <w:szCs w:val="22"/>
          <w:lang w:val="en-IE" w:eastAsia="en-IE"/>
        </w:rPr>
      </w:pPr>
      <w:hyperlink w:anchor="_Toc21506657" w:history="1">
        <w:r>
          <w:rPr>
            <w:rStyle w:val="Hyperlink"/>
            <w:noProof/>
          </w:rPr>
          <w:t>4.1.</w:t>
        </w:r>
        <w:r>
          <w:rPr>
            <w:rFonts w:asciiTheme="minorHAnsi" w:eastAsiaTheme="minorEastAsia" w:hAnsiTheme="minorHAnsi" w:cstheme="minorBidi"/>
            <w:noProof/>
            <w:sz w:val="22"/>
            <w:szCs w:val="22"/>
            <w:lang w:val="en-IE" w:eastAsia="en-IE"/>
          </w:rPr>
          <w:tab/>
        </w:r>
        <w:r>
          <w:rPr>
            <w:rStyle w:val="Hyperlink"/>
            <w:noProof/>
          </w:rPr>
          <w:t>A kockázat fogalma</w:t>
        </w:r>
        <w:r>
          <w:rPr>
            <w:noProof/>
            <w:webHidden/>
          </w:rPr>
          <w:tab/>
        </w:r>
        <w:r>
          <w:rPr>
            <w:noProof/>
            <w:webHidden/>
          </w:rPr>
          <w:fldChar w:fldCharType="begin"/>
        </w:r>
        <w:r>
          <w:rPr>
            <w:noProof/>
            <w:webHidden/>
          </w:rPr>
          <w:instrText xml:space="preserve"> PAGEREF _Toc21506657 \h </w:instrText>
        </w:r>
        <w:r>
          <w:rPr>
            <w:noProof/>
            <w:webHidden/>
          </w:rPr>
        </w:r>
        <w:r>
          <w:rPr>
            <w:noProof/>
            <w:webHidden/>
          </w:rPr>
          <w:fldChar w:fldCharType="separate"/>
        </w:r>
        <w:r>
          <w:rPr>
            <w:noProof/>
            <w:webHidden/>
          </w:rPr>
          <w:t>14</w:t>
        </w:r>
        <w:r>
          <w:rPr>
            <w:noProof/>
            <w:webHidden/>
          </w:rPr>
          <w:fldChar w:fldCharType="end"/>
        </w:r>
      </w:hyperlink>
    </w:p>
    <w:p>
      <w:pPr>
        <w:pStyle w:val="TOC2"/>
        <w:rPr>
          <w:rFonts w:asciiTheme="minorHAnsi" w:eastAsiaTheme="minorEastAsia" w:hAnsiTheme="minorHAnsi" w:cstheme="minorBidi"/>
          <w:noProof/>
          <w:sz w:val="22"/>
          <w:szCs w:val="22"/>
          <w:lang w:val="en-IE" w:eastAsia="en-IE"/>
        </w:rPr>
      </w:pPr>
      <w:hyperlink w:anchor="_Toc21506658" w:history="1">
        <w:r>
          <w:rPr>
            <w:rStyle w:val="Hyperlink"/>
            <w:noProof/>
          </w:rPr>
          <w:t>4.2.</w:t>
        </w:r>
        <w:r>
          <w:rPr>
            <w:rFonts w:asciiTheme="minorHAnsi" w:eastAsiaTheme="minorEastAsia" w:hAnsiTheme="minorHAnsi" w:cstheme="minorBidi"/>
            <w:noProof/>
            <w:sz w:val="22"/>
            <w:szCs w:val="22"/>
            <w:lang w:val="en-IE" w:eastAsia="en-IE"/>
          </w:rPr>
          <w:tab/>
        </w:r>
        <w:r>
          <w:rPr>
            <w:rStyle w:val="Hyperlink"/>
            <w:noProof/>
          </w:rPr>
          <w:t>A teljes kockázat összetétele</w:t>
        </w:r>
        <w:r>
          <w:rPr>
            <w:noProof/>
            <w:webHidden/>
          </w:rPr>
          <w:tab/>
        </w:r>
        <w:r>
          <w:rPr>
            <w:noProof/>
            <w:webHidden/>
          </w:rPr>
          <w:fldChar w:fldCharType="begin"/>
        </w:r>
        <w:r>
          <w:rPr>
            <w:noProof/>
            <w:webHidden/>
          </w:rPr>
          <w:instrText xml:space="preserve"> PAGEREF _Toc21506658 \h </w:instrText>
        </w:r>
        <w:r>
          <w:rPr>
            <w:noProof/>
            <w:webHidden/>
          </w:rPr>
        </w:r>
        <w:r>
          <w:rPr>
            <w:noProof/>
            <w:webHidden/>
          </w:rPr>
          <w:fldChar w:fldCharType="separate"/>
        </w:r>
        <w:r>
          <w:rPr>
            <w:noProof/>
            <w:webHidden/>
          </w:rPr>
          <w:t>14</w:t>
        </w:r>
        <w:r>
          <w:rPr>
            <w:noProof/>
            <w:webHidden/>
          </w:rPr>
          <w:fldChar w:fldCharType="end"/>
        </w:r>
      </w:hyperlink>
    </w:p>
    <w:p>
      <w:pPr>
        <w:pStyle w:val="TOC2"/>
        <w:rPr>
          <w:rFonts w:asciiTheme="minorHAnsi" w:eastAsiaTheme="minorEastAsia" w:hAnsiTheme="minorHAnsi" w:cstheme="minorBidi"/>
          <w:noProof/>
          <w:sz w:val="22"/>
          <w:szCs w:val="22"/>
          <w:lang w:val="en-IE" w:eastAsia="en-IE"/>
        </w:rPr>
      </w:pPr>
      <w:hyperlink w:anchor="_Toc21506659" w:history="1">
        <w:r>
          <w:rPr>
            <w:rStyle w:val="Hyperlink"/>
            <w:noProof/>
          </w:rPr>
          <w:t>4.3.</w:t>
        </w:r>
        <w:r>
          <w:rPr>
            <w:rFonts w:asciiTheme="minorHAnsi" w:eastAsiaTheme="minorEastAsia" w:hAnsiTheme="minorHAnsi" w:cstheme="minorBidi"/>
            <w:noProof/>
            <w:sz w:val="22"/>
            <w:szCs w:val="22"/>
            <w:lang w:val="en-IE" w:eastAsia="en-IE"/>
          </w:rPr>
          <w:tab/>
        </w:r>
        <w:r>
          <w:rPr>
            <w:rStyle w:val="Hyperlink"/>
            <w:noProof/>
          </w:rPr>
          <w:t>Az uniós költségvetés által fedezett éves kockázat</w:t>
        </w:r>
        <w:r>
          <w:rPr>
            <w:noProof/>
            <w:webHidden/>
          </w:rPr>
          <w:tab/>
        </w:r>
        <w:r>
          <w:rPr>
            <w:noProof/>
            <w:webHidden/>
          </w:rPr>
          <w:fldChar w:fldCharType="begin"/>
        </w:r>
        <w:r>
          <w:rPr>
            <w:noProof/>
            <w:webHidden/>
          </w:rPr>
          <w:instrText xml:space="preserve"> PAGEREF _Toc21506659 \h </w:instrText>
        </w:r>
        <w:r>
          <w:rPr>
            <w:noProof/>
            <w:webHidden/>
          </w:rPr>
        </w:r>
        <w:r>
          <w:rPr>
            <w:noProof/>
            <w:webHidden/>
          </w:rPr>
          <w:fldChar w:fldCharType="separate"/>
        </w:r>
        <w:r>
          <w:rPr>
            <w:noProof/>
            <w:webHidden/>
          </w:rPr>
          <w:t>15</w:t>
        </w:r>
        <w:r>
          <w:rPr>
            <w:noProof/>
            <w:webHidden/>
          </w:rPr>
          <w:fldChar w:fldCharType="end"/>
        </w:r>
      </w:hyperlink>
    </w:p>
    <w:p>
      <w:pPr>
        <w:pStyle w:val="TOC3"/>
        <w:rPr>
          <w:rFonts w:asciiTheme="minorHAnsi" w:eastAsiaTheme="minorEastAsia" w:hAnsiTheme="minorHAnsi" w:cstheme="minorBidi"/>
          <w:noProof/>
          <w:sz w:val="22"/>
          <w:szCs w:val="22"/>
          <w:lang w:val="en-IE" w:eastAsia="en-IE"/>
        </w:rPr>
      </w:pPr>
      <w:hyperlink w:anchor="_Toc21506660" w:history="1">
        <w:r>
          <w:rPr>
            <w:rStyle w:val="Hyperlink"/>
            <w:noProof/>
          </w:rPr>
          <w:t>4.3.1.</w:t>
        </w:r>
        <w:r>
          <w:rPr>
            <w:rFonts w:asciiTheme="minorHAnsi" w:eastAsiaTheme="minorEastAsia" w:hAnsiTheme="minorHAnsi" w:cstheme="minorBidi"/>
            <w:noProof/>
            <w:sz w:val="22"/>
            <w:szCs w:val="22"/>
            <w:lang w:val="en-IE" w:eastAsia="en-IE"/>
          </w:rPr>
          <w:tab/>
        </w:r>
        <w:r>
          <w:rPr>
            <w:rStyle w:val="Hyperlink"/>
            <w:noProof/>
          </w:rPr>
          <w:t>Tagállamokkal szembeni kitettség</w:t>
        </w:r>
        <w:r>
          <w:rPr>
            <w:noProof/>
            <w:webHidden/>
          </w:rPr>
          <w:tab/>
        </w:r>
        <w:r>
          <w:rPr>
            <w:noProof/>
            <w:webHidden/>
          </w:rPr>
          <w:fldChar w:fldCharType="begin"/>
        </w:r>
        <w:r>
          <w:rPr>
            <w:noProof/>
            <w:webHidden/>
          </w:rPr>
          <w:instrText xml:space="preserve"> PAGEREF _Toc21506660 \h </w:instrText>
        </w:r>
        <w:r>
          <w:rPr>
            <w:noProof/>
            <w:webHidden/>
          </w:rPr>
        </w:r>
        <w:r>
          <w:rPr>
            <w:noProof/>
            <w:webHidden/>
          </w:rPr>
          <w:fldChar w:fldCharType="separate"/>
        </w:r>
        <w:r>
          <w:rPr>
            <w:noProof/>
            <w:webHidden/>
          </w:rPr>
          <w:t>15</w:t>
        </w:r>
        <w:r>
          <w:rPr>
            <w:noProof/>
            <w:webHidden/>
          </w:rPr>
          <w:fldChar w:fldCharType="end"/>
        </w:r>
      </w:hyperlink>
    </w:p>
    <w:p>
      <w:pPr>
        <w:pStyle w:val="TOC3"/>
        <w:rPr>
          <w:rFonts w:asciiTheme="minorHAnsi" w:eastAsiaTheme="minorEastAsia" w:hAnsiTheme="minorHAnsi" w:cstheme="minorBidi"/>
          <w:noProof/>
          <w:sz w:val="22"/>
          <w:szCs w:val="22"/>
          <w:lang w:val="en-IE" w:eastAsia="en-IE"/>
        </w:rPr>
      </w:pPr>
      <w:hyperlink w:anchor="_Toc21506661" w:history="1">
        <w:r>
          <w:rPr>
            <w:rStyle w:val="Hyperlink"/>
            <w:noProof/>
          </w:rPr>
          <w:t>4.3.2.</w:t>
        </w:r>
        <w:r>
          <w:rPr>
            <w:rFonts w:asciiTheme="minorHAnsi" w:eastAsiaTheme="minorEastAsia" w:hAnsiTheme="minorHAnsi" w:cstheme="minorBidi"/>
            <w:noProof/>
            <w:sz w:val="22"/>
            <w:szCs w:val="22"/>
            <w:lang w:val="en-IE" w:eastAsia="en-IE"/>
          </w:rPr>
          <w:tab/>
        </w:r>
        <w:r>
          <w:rPr>
            <w:rStyle w:val="Hyperlink"/>
            <w:noProof/>
          </w:rPr>
          <w:t>Harmadik országokkal szembeni kitettség</w:t>
        </w:r>
        <w:r>
          <w:rPr>
            <w:noProof/>
            <w:webHidden/>
          </w:rPr>
          <w:tab/>
        </w:r>
        <w:r>
          <w:rPr>
            <w:noProof/>
            <w:webHidden/>
          </w:rPr>
          <w:fldChar w:fldCharType="begin"/>
        </w:r>
        <w:r>
          <w:rPr>
            <w:noProof/>
            <w:webHidden/>
          </w:rPr>
          <w:instrText xml:space="preserve"> PAGEREF _Toc21506661 \h </w:instrText>
        </w:r>
        <w:r>
          <w:rPr>
            <w:noProof/>
            <w:webHidden/>
          </w:rPr>
        </w:r>
        <w:r>
          <w:rPr>
            <w:noProof/>
            <w:webHidden/>
          </w:rPr>
          <w:fldChar w:fldCharType="separate"/>
        </w:r>
        <w:r>
          <w:rPr>
            <w:noProof/>
            <w:webHidden/>
          </w:rPr>
          <w:t>16</w:t>
        </w:r>
        <w:r>
          <w:rPr>
            <w:noProof/>
            <w:webHidden/>
          </w:rPr>
          <w:fldChar w:fldCharType="end"/>
        </w:r>
      </w:hyperlink>
    </w:p>
    <w:p>
      <w:pPr>
        <w:pStyle w:val="TOC1"/>
        <w:rPr>
          <w:rFonts w:asciiTheme="minorHAnsi" w:eastAsiaTheme="minorEastAsia" w:hAnsiTheme="minorHAnsi" w:cstheme="minorBidi"/>
          <w:noProof/>
          <w:sz w:val="22"/>
          <w:szCs w:val="22"/>
          <w:lang w:val="en-IE" w:eastAsia="en-IE"/>
        </w:rPr>
      </w:pPr>
      <w:hyperlink w:anchor="_Toc21506662" w:history="1">
        <w:r>
          <w:rPr>
            <w:rStyle w:val="Hyperlink"/>
            <w:noProof/>
          </w:rPr>
          <w:t>5.</w:t>
        </w:r>
        <w:r>
          <w:rPr>
            <w:rFonts w:asciiTheme="minorHAnsi" w:eastAsiaTheme="minorEastAsia" w:hAnsiTheme="minorHAnsi" w:cstheme="minorBidi"/>
            <w:noProof/>
            <w:sz w:val="22"/>
            <w:szCs w:val="22"/>
            <w:lang w:val="en-IE" w:eastAsia="en-IE"/>
          </w:rPr>
          <w:tab/>
        </w:r>
        <w:r>
          <w:rPr>
            <w:rStyle w:val="Hyperlink"/>
            <w:noProof/>
          </w:rPr>
          <w:t>A garanciák aktiválása és kifizetése</w:t>
        </w:r>
        <w:r>
          <w:rPr>
            <w:noProof/>
            <w:webHidden/>
          </w:rPr>
          <w:tab/>
        </w:r>
        <w:r>
          <w:rPr>
            <w:noProof/>
            <w:webHidden/>
          </w:rPr>
          <w:fldChar w:fldCharType="begin"/>
        </w:r>
        <w:r>
          <w:rPr>
            <w:noProof/>
            <w:webHidden/>
          </w:rPr>
          <w:instrText xml:space="preserve"> PAGEREF _Toc21506662 \h </w:instrText>
        </w:r>
        <w:r>
          <w:rPr>
            <w:noProof/>
            <w:webHidden/>
          </w:rPr>
        </w:r>
        <w:r>
          <w:rPr>
            <w:noProof/>
            <w:webHidden/>
          </w:rPr>
          <w:fldChar w:fldCharType="separate"/>
        </w:r>
        <w:r>
          <w:rPr>
            <w:noProof/>
            <w:webHidden/>
          </w:rPr>
          <w:t>17</w:t>
        </w:r>
        <w:r>
          <w:rPr>
            <w:noProof/>
            <w:webHidden/>
          </w:rPr>
          <w:fldChar w:fldCharType="end"/>
        </w:r>
      </w:hyperlink>
    </w:p>
    <w:p>
      <w:pPr>
        <w:pStyle w:val="TOC2"/>
        <w:rPr>
          <w:rFonts w:asciiTheme="minorHAnsi" w:eastAsiaTheme="minorEastAsia" w:hAnsiTheme="minorHAnsi" w:cstheme="minorBidi"/>
          <w:noProof/>
          <w:sz w:val="22"/>
          <w:szCs w:val="22"/>
          <w:lang w:val="en-IE" w:eastAsia="en-IE"/>
        </w:rPr>
      </w:pPr>
      <w:hyperlink w:anchor="_Toc21506663" w:history="1">
        <w:r>
          <w:rPr>
            <w:rStyle w:val="Hyperlink"/>
            <w:noProof/>
          </w:rPr>
          <w:t>5.1.</w:t>
        </w:r>
        <w:r>
          <w:rPr>
            <w:rFonts w:asciiTheme="minorHAnsi" w:eastAsiaTheme="minorEastAsia" w:hAnsiTheme="minorHAnsi" w:cstheme="minorBidi"/>
            <w:noProof/>
            <w:sz w:val="22"/>
            <w:szCs w:val="22"/>
            <w:lang w:val="en-IE" w:eastAsia="en-IE"/>
          </w:rPr>
          <w:tab/>
        </w:r>
        <w:r>
          <w:rPr>
            <w:rStyle w:val="Hyperlink"/>
            <w:noProof/>
          </w:rPr>
          <w:t>A külső fellépésekre vonatkozó garanciaalap által nem fedezett adósságszolgálat (tagállamoknak nyújtott Euratom-hitelek, EFSM és fizetésimérleg-támogatás)</w:t>
        </w:r>
        <w:r>
          <w:rPr>
            <w:noProof/>
            <w:webHidden/>
          </w:rPr>
          <w:tab/>
        </w:r>
        <w:r>
          <w:rPr>
            <w:noProof/>
            <w:webHidden/>
          </w:rPr>
          <w:fldChar w:fldCharType="begin"/>
        </w:r>
        <w:r>
          <w:rPr>
            <w:noProof/>
            <w:webHidden/>
          </w:rPr>
          <w:instrText xml:space="preserve"> PAGEREF _Toc21506663 \h </w:instrText>
        </w:r>
        <w:r>
          <w:rPr>
            <w:noProof/>
            <w:webHidden/>
          </w:rPr>
        </w:r>
        <w:r>
          <w:rPr>
            <w:noProof/>
            <w:webHidden/>
          </w:rPr>
          <w:fldChar w:fldCharType="separate"/>
        </w:r>
        <w:r>
          <w:rPr>
            <w:noProof/>
            <w:webHidden/>
          </w:rPr>
          <w:t>17</w:t>
        </w:r>
        <w:r>
          <w:rPr>
            <w:noProof/>
            <w:webHidden/>
          </w:rPr>
          <w:fldChar w:fldCharType="end"/>
        </w:r>
      </w:hyperlink>
    </w:p>
    <w:p>
      <w:pPr>
        <w:pStyle w:val="TOC3"/>
        <w:rPr>
          <w:rFonts w:asciiTheme="minorHAnsi" w:eastAsiaTheme="minorEastAsia" w:hAnsiTheme="minorHAnsi" w:cstheme="minorBidi"/>
          <w:noProof/>
          <w:sz w:val="22"/>
          <w:szCs w:val="22"/>
          <w:lang w:val="en-IE" w:eastAsia="en-IE"/>
        </w:rPr>
      </w:pPr>
      <w:hyperlink w:anchor="_Toc21506664" w:history="1">
        <w:r>
          <w:rPr>
            <w:rStyle w:val="Hyperlink"/>
            <w:noProof/>
          </w:rPr>
          <w:t>5.1.1.</w:t>
        </w:r>
        <w:r>
          <w:rPr>
            <w:rFonts w:asciiTheme="minorHAnsi" w:eastAsiaTheme="minorEastAsia" w:hAnsiTheme="minorHAnsi" w:cstheme="minorBidi"/>
            <w:noProof/>
            <w:sz w:val="22"/>
            <w:szCs w:val="22"/>
            <w:lang w:val="en-IE" w:eastAsia="en-IE"/>
          </w:rPr>
          <w:tab/>
        </w:r>
        <w:r>
          <w:rPr>
            <w:rStyle w:val="Hyperlink"/>
            <w:noProof/>
          </w:rPr>
          <w:t>Kifizetések készpénzforrásokból</w:t>
        </w:r>
        <w:r>
          <w:rPr>
            <w:noProof/>
            <w:webHidden/>
          </w:rPr>
          <w:tab/>
        </w:r>
        <w:r>
          <w:rPr>
            <w:noProof/>
            <w:webHidden/>
          </w:rPr>
          <w:fldChar w:fldCharType="begin"/>
        </w:r>
        <w:r>
          <w:rPr>
            <w:noProof/>
            <w:webHidden/>
          </w:rPr>
          <w:instrText xml:space="preserve"> PAGEREF _Toc21506664 \h </w:instrText>
        </w:r>
        <w:r>
          <w:rPr>
            <w:noProof/>
            <w:webHidden/>
          </w:rPr>
        </w:r>
        <w:r>
          <w:rPr>
            <w:noProof/>
            <w:webHidden/>
          </w:rPr>
          <w:fldChar w:fldCharType="separate"/>
        </w:r>
        <w:r>
          <w:rPr>
            <w:noProof/>
            <w:webHidden/>
          </w:rPr>
          <w:t>18</w:t>
        </w:r>
        <w:r>
          <w:rPr>
            <w:noProof/>
            <w:webHidden/>
          </w:rPr>
          <w:fldChar w:fldCharType="end"/>
        </w:r>
      </w:hyperlink>
    </w:p>
    <w:p>
      <w:pPr>
        <w:pStyle w:val="TOC3"/>
        <w:rPr>
          <w:rFonts w:asciiTheme="minorHAnsi" w:eastAsiaTheme="minorEastAsia" w:hAnsiTheme="minorHAnsi" w:cstheme="minorBidi"/>
          <w:noProof/>
          <w:sz w:val="22"/>
          <w:szCs w:val="22"/>
          <w:lang w:val="en-IE" w:eastAsia="en-IE"/>
        </w:rPr>
      </w:pPr>
      <w:hyperlink w:anchor="_Toc21506665" w:history="1">
        <w:r>
          <w:rPr>
            <w:rStyle w:val="Hyperlink"/>
            <w:noProof/>
          </w:rPr>
          <w:t>5.1.2.</w:t>
        </w:r>
        <w:r>
          <w:rPr>
            <w:rFonts w:asciiTheme="minorHAnsi" w:eastAsiaTheme="minorEastAsia" w:hAnsiTheme="minorHAnsi" w:cstheme="minorBidi"/>
            <w:noProof/>
            <w:sz w:val="22"/>
            <w:szCs w:val="22"/>
            <w:lang w:val="en-IE" w:eastAsia="en-IE"/>
          </w:rPr>
          <w:tab/>
        </w:r>
        <w:r>
          <w:rPr>
            <w:rStyle w:val="Hyperlink"/>
            <w:noProof/>
          </w:rPr>
          <w:t>Kifizetések az uniós költségvetésből</w:t>
        </w:r>
        <w:r>
          <w:rPr>
            <w:noProof/>
            <w:webHidden/>
          </w:rPr>
          <w:tab/>
        </w:r>
        <w:r>
          <w:rPr>
            <w:noProof/>
            <w:webHidden/>
          </w:rPr>
          <w:fldChar w:fldCharType="begin"/>
        </w:r>
        <w:r>
          <w:rPr>
            <w:noProof/>
            <w:webHidden/>
          </w:rPr>
          <w:instrText xml:space="preserve"> PAGEREF _Toc21506665 \h </w:instrText>
        </w:r>
        <w:r>
          <w:rPr>
            <w:noProof/>
            <w:webHidden/>
          </w:rPr>
        </w:r>
        <w:r>
          <w:rPr>
            <w:noProof/>
            <w:webHidden/>
          </w:rPr>
          <w:fldChar w:fldCharType="separate"/>
        </w:r>
        <w:r>
          <w:rPr>
            <w:noProof/>
            <w:webHidden/>
          </w:rPr>
          <w:t>18</w:t>
        </w:r>
        <w:r>
          <w:rPr>
            <w:noProof/>
            <w:webHidden/>
          </w:rPr>
          <w:fldChar w:fldCharType="end"/>
        </w:r>
      </w:hyperlink>
    </w:p>
    <w:p>
      <w:pPr>
        <w:pStyle w:val="TOC3"/>
        <w:rPr>
          <w:rFonts w:asciiTheme="minorHAnsi" w:eastAsiaTheme="minorEastAsia" w:hAnsiTheme="minorHAnsi" w:cstheme="minorBidi"/>
          <w:noProof/>
          <w:sz w:val="22"/>
          <w:szCs w:val="22"/>
          <w:lang w:val="en-IE" w:eastAsia="en-IE"/>
        </w:rPr>
      </w:pPr>
      <w:hyperlink w:anchor="_Toc21506666" w:history="1">
        <w:r>
          <w:rPr>
            <w:rStyle w:val="Hyperlink"/>
            <w:noProof/>
          </w:rPr>
          <w:t>5.2.</w:t>
        </w:r>
        <w:r>
          <w:rPr>
            <w:rFonts w:asciiTheme="minorHAnsi" w:eastAsiaTheme="minorEastAsia" w:hAnsiTheme="minorHAnsi" w:cstheme="minorBidi"/>
            <w:noProof/>
            <w:sz w:val="22"/>
            <w:szCs w:val="22"/>
            <w:lang w:val="en-IE" w:eastAsia="en-IE"/>
          </w:rPr>
          <w:tab/>
        </w:r>
        <w:r>
          <w:rPr>
            <w:rStyle w:val="Hyperlink"/>
            <w:noProof/>
          </w:rPr>
          <w:t>Lehívások a külső fellépésekre vonatkozó garanciaalapból és behajtott összegek (az EBB külső hitelezési megbízatása, makroszintű pénzügyi támogatás, valamint harmadik országoknak nyújtott Euratom-hitelek)</w:t>
        </w:r>
        <w:r>
          <w:rPr>
            <w:noProof/>
            <w:webHidden/>
          </w:rPr>
          <w:tab/>
        </w:r>
        <w:r>
          <w:rPr>
            <w:noProof/>
            <w:webHidden/>
          </w:rPr>
          <w:fldChar w:fldCharType="begin"/>
        </w:r>
        <w:r>
          <w:rPr>
            <w:noProof/>
            <w:webHidden/>
          </w:rPr>
          <w:instrText xml:space="preserve"> PAGEREF _Toc21506666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Theme="minorHAnsi" w:eastAsiaTheme="minorEastAsia" w:hAnsiTheme="minorHAnsi" w:cstheme="minorBidi"/>
          <w:noProof/>
          <w:sz w:val="22"/>
          <w:szCs w:val="22"/>
          <w:lang w:val="en-IE" w:eastAsia="en-IE"/>
        </w:rPr>
      </w:pPr>
      <w:hyperlink w:anchor="_Toc21506667" w:history="1">
        <w:r>
          <w:rPr>
            <w:rStyle w:val="Hyperlink"/>
            <w:noProof/>
          </w:rPr>
          <w:t>5.3.</w:t>
        </w:r>
        <w:r>
          <w:rPr>
            <w:rFonts w:asciiTheme="minorHAnsi" w:eastAsiaTheme="minorEastAsia" w:hAnsiTheme="minorHAnsi" w:cstheme="minorBidi"/>
            <w:noProof/>
            <w:sz w:val="22"/>
            <w:szCs w:val="22"/>
            <w:lang w:val="en-IE" w:eastAsia="en-IE"/>
          </w:rPr>
          <w:tab/>
        </w:r>
        <w:r>
          <w:rPr>
            <w:rStyle w:val="Hyperlink"/>
            <w:noProof/>
          </w:rPr>
          <w:t>Az alap eszközeinek alakulása</w:t>
        </w:r>
        <w:r>
          <w:rPr>
            <w:noProof/>
            <w:webHidden/>
          </w:rPr>
          <w:tab/>
        </w:r>
        <w:r>
          <w:rPr>
            <w:noProof/>
            <w:webHidden/>
          </w:rPr>
          <w:fldChar w:fldCharType="begin"/>
        </w:r>
        <w:r>
          <w:rPr>
            <w:noProof/>
            <w:webHidden/>
          </w:rPr>
          <w:instrText xml:space="preserve"> PAGEREF _Toc21506667 \h </w:instrText>
        </w:r>
        <w:r>
          <w:rPr>
            <w:noProof/>
            <w:webHidden/>
          </w:rPr>
        </w:r>
        <w:r>
          <w:rPr>
            <w:noProof/>
            <w:webHidden/>
          </w:rPr>
          <w:fldChar w:fldCharType="separate"/>
        </w:r>
        <w:r>
          <w:rPr>
            <w:noProof/>
            <w:webHidden/>
          </w:rPr>
          <w:t>20</w:t>
        </w:r>
        <w:r>
          <w:rPr>
            <w:noProof/>
            <w:webHidden/>
          </w:rPr>
          <w:fldChar w:fldCharType="end"/>
        </w:r>
      </w:hyperlink>
    </w:p>
    <w:p>
      <w:pPr>
        <w:pStyle w:val="TOC1"/>
        <w:rPr>
          <w:rFonts w:asciiTheme="minorHAnsi" w:eastAsiaTheme="minorEastAsia" w:hAnsiTheme="minorHAnsi" w:cstheme="minorBidi"/>
          <w:noProof/>
          <w:sz w:val="22"/>
          <w:szCs w:val="22"/>
          <w:lang w:val="en-IE" w:eastAsia="en-IE"/>
        </w:rPr>
      </w:pPr>
      <w:hyperlink w:anchor="_Toc21506668" w:history="1">
        <w:r>
          <w:rPr>
            <w:rStyle w:val="Hyperlink"/>
            <w:noProof/>
          </w:rPr>
          <w:t>6.</w:t>
        </w:r>
        <w:r>
          <w:rPr>
            <w:rFonts w:asciiTheme="minorHAnsi" w:eastAsiaTheme="minorEastAsia" w:hAnsiTheme="minorHAnsi" w:cstheme="minorBidi"/>
            <w:noProof/>
            <w:sz w:val="22"/>
            <w:szCs w:val="22"/>
            <w:lang w:val="en-IE" w:eastAsia="en-IE"/>
          </w:rPr>
          <w:tab/>
        </w:r>
        <w:r>
          <w:rPr>
            <w:rStyle w:val="Hyperlink"/>
            <w:noProof/>
          </w:rPr>
          <w:t>Európai Stratégiai Beruházási Alap (ESBA)</w:t>
        </w:r>
        <w:r>
          <w:rPr>
            <w:noProof/>
            <w:webHidden/>
          </w:rPr>
          <w:tab/>
        </w:r>
        <w:r>
          <w:rPr>
            <w:noProof/>
            <w:webHidden/>
          </w:rPr>
          <w:fldChar w:fldCharType="begin"/>
        </w:r>
        <w:r>
          <w:rPr>
            <w:noProof/>
            <w:webHidden/>
          </w:rPr>
          <w:instrText xml:space="preserve"> PAGEREF _Toc21506668 \h </w:instrText>
        </w:r>
        <w:r>
          <w:rPr>
            <w:noProof/>
            <w:webHidden/>
          </w:rPr>
        </w:r>
        <w:r>
          <w:rPr>
            <w:noProof/>
            <w:webHidden/>
          </w:rPr>
          <w:fldChar w:fldCharType="separate"/>
        </w:r>
        <w:r>
          <w:rPr>
            <w:noProof/>
            <w:webHidden/>
          </w:rPr>
          <w:t>21</w:t>
        </w:r>
        <w:r>
          <w:rPr>
            <w:noProof/>
            <w:webHidden/>
          </w:rPr>
          <w:fldChar w:fldCharType="end"/>
        </w:r>
      </w:hyperlink>
    </w:p>
    <w:p>
      <w:pPr>
        <w:pStyle w:val="TOC1"/>
        <w:rPr>
          <w:rFonts w:asciiTheme="minorHAnsi" w:eastAsiaTheme="minorEastAsia" w:hAnsiTheme="minorHAnsi" w:cstheme="minorBidi"/>
          <w:noProof/>
          <w:sz w:val="22"/>
          <w:szCs w:val="22"/>
          <w:lang w:val="en-IE" w:eastAsia="en-IE"/>
        </w:rPr>
      </w:pPr>
      <w:hyperlink w:anchor="_Toc21506669" w:history="1">
        <w:r>
          <w:rPr>
            <w:rStyle w:val="Hyperlink"/>
            <w:noProof/>
          </w:rPr>
          <w:t>7.</w:t>
        </w:r>
        <w:r>
          <w:rPr>
            <w:rFonts w:asciiTheme="minorHAnsi" w:eastAsiaTheme="minorEastAsia" w:hAnsiTheme="minorHAnsi" w:cstheme="minorBidi"/>
            <w:noProof/>
            <w:sz w:val="22"/>
            <w:szCs w:val="22"/>
            <w:lang w:val="en-IE" w:eastAsia="en-IE"/>
          </w:rPr>
          <w:tab/>
        </w:r>
        <w:r>
          <w:rPr>
            <w:rStyle w:val="Hyperlink"/>
            <w:noProof/>
          </w:rPr>
          <w:t>Európai Fenntartható Fejlődési Alap (EFFA)</w:t>
        </w:r>
        <w:r>
          <w:rPr>
            <w:noProof/>
            <w:webHidden/>
          </w:rPr>
          <w:tab/>
        </w:r>
        <w:r>
          <w:rPr>
            <w:noProof/>
            <w:webHidden/>
          </w:rPr>
          <w:fldChar w:fldCharType="begin"/>
        </w:r>
        <w:r>
          <w:rPr>
            <w:noProof/>
            <w:webHidden/>
          </w:rPr>
          <w:instrText xml:space="preserve"> PAGEREF _Toc21506669 \h </w:instrText>
        </w:r>
        <w:r>
          <w:rPr>
            <w:noProof/>
            <w:webHidden/>
          </w:rPr>
        </w:r>
        <w:r>
          <w:rPr>
            <w:noProof/>
            <w:webHidden/>
          </w:rPr>
          <w:fldChar w:fldCharType="separate"/>
        </w:r>
        <w:r>
          <w:rPr>
            <w:noProof/>
            <w:webHidden/>
          </w:rPr>
          <w:t>24</w:t>
        </w:r>
        <w:r>
          <w:rPr>
            <w:noProof/>
            <w:webHidden/>
          </w:rPr>
          <w:fldChar w:fldCharType="end"/>
        </w:r>
      </w:hyperlink>
    </w:p>
    <w:p>
      <w:pPr>
        <w:pStyle w:val="TOC2"/>
        <w:rPr>
          <w:rFonts w:asciiTheme="minorHAnsi" w:eastAsiaTheme="minorEastAsia" w:hAnsiTheme="minorHAnsi" w:cstheme="minorBidi"/>
          <w:noProof/>
          <w:sz w:val="22"/>
          <w:szCs w:val="22"/>
          <w:lang w:val="en-IE" w:eastAsia="en-IE"/>
        </w:rPr>
      </w:pPr>
      <w:hyperlink w:anchor="_Toc21506670" w:history="1">
        <w:r>
          <w:rPr>
            <w:rStyle w:val="Hyperlink"/>
            <w:noProof/>
          </w:rPr>
          <w:t>7.1.</w:t>
        </w:r>
        <w:r>
          <w:rPr>
            <w:rFonts w:asciiTheme="minorHAnsi" w:eastAsiaTheme="minorEastAsia" w:hAnsiTheme="minorHAnsi" w:cstheme="minorBidi"/>
            <w:noProof/>
            <w:sz w:val="22"/>
            <w:szCs w:val="22"/>
            <w:lang w:val="en-IE" w:eastAsia="en-IE"/>
          </w:rPr>
          <w:tab/>
        </w:r>
        <w:r>
          <w:rPr>
            <w:rStyle w:val="Hyperlink"/>
            <w:noProof/>
          </w:rPr>
          <w:t>Az EFFA-garanciáról</w:t>
        </w:r>
        <w:r>
          <w:rPr>
            <w:noProof/>
            <w:webHidden/>
          </w:rPr>
          <w:tab/>
        </w:r>
        <w:r>
          <w:rPr>
            <w:noProof/>
            <w:webHidden/>
          </w:rPr>
          <w:fldChar w:fldCharType="begin"/>
        </w:r>
        <w:r>
          <w:rPr>
            <w:noProof/>
            <w:webHidden/>
          </w:rPr>
          <w:instrText xml:space="preserve"> PAGEREF _Toc21506670 \h </w:instrText>
        </w:r>
        <w:r>
          <w:rPr>
            <w:noProof/>
            <w:webHidden/>
          </w:rPr>
        </w:r>
        <w:r>
          <w:rPr>
            <w:noProof/>
            <w:webHidden/>
          </w:rPr>
          <w:fldChar w:fldCharType="separate"/>
        </w:r>
        <w:r>
          <w:rPr>
            <w:noProof/>
            <w:webHidden/>
          </w:rPr>
          <w:t>24</w:t>
        </w:r>
        <w:r>
          <w:rPr>
            <w:noProof/>
            <w:webHidden/>
          </w:rPr>
          <w:fldChar w:fldCharType="end"/>
        </w:r>
      </w:hyperlink>
    </w:p>
    <w:p>
      <w:pPr>
        <w:pStyle w:val="TOC2"/>
        <w:rPr>
          <w:rFonts w:asciiTheme="minorHAnsi" w:eastAsiaTheme="minorEastAsia" w:hAnsiTheme="minorHAnsi" w:cstheme="minorBidi"/>
          <w:noProof/>
          <w:sz w:val="22"/>
          <w:szCs w:val="22"/>
          <w:lang w:val="en-IE" w:eastAsia="en-IE"/>
        </w:rPr>
      </w:pPr>
      <w:hyperlink w:anchor="_Toc21506671" w:history="1">
        <w:r>
          <w:rPr>
            <w:rStyle w:val="Hyperlink"/>
            <w:noProof/>
          </w:rPr>
          <w:t>7.2.</w:t>
        </w:r>
        <w:r>
          <w:rPr>
            <w:rFonts w:asciiTheme="minorHAnsi" w:eastAsiaTheme="minorEastAsia" w:hAnsiTheme="minorHAnsi" w:cstheme="minorBidi"/>
            <w:noProof/>
            <w:sz w:val="22"/>
            <w:szCs w:val="22"/>
            <w:lang w:val="en-IE" w:eastAsia="en-IE"/>
          </w:rPr>
          <w:tab/>
        </w:r>
        <w:r>
          <w:rPr>
            <w:rStyle w:val="Hyperlink"/>
            <w:noProof/>
          </w:rPr>
          <w:t>Az EFFA-garanciaalap</w:t>
        </w:r>
        <w:r>
          <w:rPr>
            <w:noProof/>
            <w:webHidden/>
          </w:rPr>
          <w:tab/>
        </w:r>
        <w:r>
          <w:rPr>
            <w:noProof/>
            <w:webHidden/>
          </w:rPr>
          <w:fldChar w:fldCharType="begin"/>
        </w:r>
        <w:r>
          <w:rPr>
            <w:noProof/>
            <w:webHidden/>
          </w:rPr>
          <w:instrText xml:space="preserve"> PAGEREF _Toc21506671 \h </w:instrText>
        </w:r>
        <w:r>
          <w:rPr>
            <w:noProof/>
            <w:webHidden/>
          </w:rPr>
        </w:r>
        <w:r>
          <w:rPr>
            <w:noProof/>
            <w:webHidden/>
          </w:rPr>
          <w:fldChar w:fldCharType="separate"/>
        </w:r>
        <w:r>
          <w:rPr>
            <w:noProof/>
            <w:webHidden/>
          </w:rPr>
          <w:t>25</w:t>
        </w:r>
        <w:r>
          <w:rPr>
            <w:noProof/>
            <w:webHidden/>
          </w:rPr>
          <w:fldChar w:fldCharType="end"/>
        </w:r>
      </w:hyperlink>
    </w:p>
    <w:p>
      <w:pPr>
        <w:rPr>
          <w:noProof/>
        </w:rPr>
      </w:pPr>
      <w:r>
        <w:rPr>
          <w:b/>
          <w:noProof/>
          <w:color w:val="00B050"/>
        </w:rPr>
        <w:fldChar w:fldCharType="end"/>
      </w:r>
    </w:p>
    <w:p>
      <w:pPr>
        <w:rPr>
          <w:noProof/>
        </w:rPr>
      </w:pPr>
    </w:p>
    <w:p>
      <w:pPr>
        <w:rPr>
          <w:noProof/>
        </w:rPr>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pgNumType w:start="1"/>
          <w:cols w:space="708"/>
          <w:docGrid w:linePitch="360"/>
        </w:sectPr>
      </w:pPr>
    </w:p>
    <w:p>
      <w:pPr>
        <w:pStyle w:val="ManualHeading1"/>
        <w:tabs>
          <w:tab w:val="clear" w:pos="850"/>
          <w:tab w:val="left" w:pos="567"/>
        </w:tabs>
        <w:ind w:left="851" w:hanging="851"/>
        <w:rPr>
          <w:noProof/>
        </w:rPr>
      </w:pPr>
      <w:bookmarkStart w:id="2" w:name="_Toc21506642"/>
      <w:r>
        <w:rPr>
          <w:noProof/>
        </w:rPr>
        <w:lastRenderedPageBreak/>
        <w:t>1.</w:t>
      </w:r>
      <w:r>
        <w:rPr>
          <w:noProof/>
        </w:rPr>
        <w:tab/>
        <w:t>Bevezetés</w:t>
      </w:r>
      <w:bookmarkEnd w:id="2"/>
    </w:p>
    <w:p>
      <w:pPr>
        <w:rPr>
          <w:noProof/>
        </w:rPr>
      </w:pPr>
      <w:r>
        <w:rPr>
          <w:noProof/>
        </w:rPr>
        <w:t>A jelentés célja, hogy nyomon kövesse a közvetlenül az Európai Unió által végrehajtott hitelezési műveletekre, illetve közvetve az Európai Beruházási Bank Unión kívüli projektjeinek finanszírozására nyújtott garanciához köthető, az uniós költségvetés által viselt hitelkockázatot.</w:t>
      </w:r>
    </w:p>
    <w:p>
      <w:pPr>
        <w:rPr>
          <w:noProof/>
        </w:rPr>
      </w:pPr>
      <w:r>
        <w:rPr>
          <w:noProof/>
        </w:rPr>
        <w:t>E jelentés benyújtására a korábbi, 2018 egy részére még alkalmazandó költségvetési rendelet</w:t>
      </w:r>
      <w:r>
        <w:rPr>
          <w:noProof/>
          <w:vertAlign w:val="superscript"/>
        </w:rPr>
        <w:footnoteReference w:id="2"/>
      </w:r>
      <w:r>
        <w:rPr>
          <w:noProof/>
        </w:rPr>
        <w:t xml:space="preserve"> 149. cikke alapján kerül sor. Ezt a 2018-ra vonatkozó, az uniós költségvetési garanciákról és a kapcsolódó kockázatokról szóló jelentést utolsó alkalommal nyújtják be, és azt az új költségvetési rendeletben előirányzott jövőbeli jelentéstételi rendszer váltja fel. </w:t>
      </w:r>
    </w:p>
    <w:p>
      <w:pPr>
        <w:rPr>
          <w:noProof/>
        </w:rPr>
      </w:pPr>
      <w:r>
        <w:rPr>
          <w:noProof/>
        </w:rPr>
        <w:t>A jelentés felépítése a következő: a 2. szakasz ismerteti az uniós költségvetés által garantált műveletek főbb részleteit, és bemutatja az uniós költségvetésre semmilyen kockázatot nem jelentő további válságkezelési mechanizmusokat is. A 3. szakasz ismerteti a garantált műveletek alakulását. A 4. szakasz kiemeli az uniós költségvetés által fedezett fő kockázatokat. Az 5. szakasz a garanciák aktiválását és a külső fellépésekre vonatkozó garanciaalap</w:t>
      </w:r>
      <w:r>
        <w:rPr>
          <w:noProof/>
          <w:vertAlign w:val="superscript"/>
        </w:rPr>
        <w:footnoteReference w:id="3"/>
      </w:r>
      <w:r>
        <w:rPr>
          <w:noProof/>
        </w:rPr>
        <w:t xml:space="preserve"> (a továbbiakban: az alap) alakulását, a 6. szakasz pedig az Európai Stratégiai Beruházási Alap</w:t>
      </w:r>
      <w:r>
        <w:rPr>
          <w:rStyle w:val="FootnoteReference"/>
          <w:noProof/>
        </w:rPr>
        <w:footnoteReference w:id="4"/>
      </w:r>
      <w:r>
        <w:rPr>
          <w:noProof/>
        </w:rPr>
        <w:t xml:space="preserve"> (ESBA) alakulását mutatja be.</w:t>
      </w:r>
    </w:p>
    <w:p>
      <w:pPr>
        <w:rPr>
          <w:noProof/>
        </w:rPr>
      </w:pPr>
      <w:r>
        <w:rPr>
          <w:noProof/>
        </w:rPr>
        <w:t>Ezt a jelentést egy részletes táblázatokat és magyarázatokat tartalmazó bizottsági szolgálati munkadokumentum egészíti ki. A dokumentum tartalmazza az alap számára legnagyobb kitettséget jelentő, uniós hiteleket és/vagy garanciákat igénybe vevő országok makrogazdasági elemzését is.</w:t>
      </w:r>
    </w:p>
    <w:p>
      <w:pPr>
        <w:pStyle w:val="ManualHeading1"/>
        <w:tabs>
          <w:tab w:val="clear" w:pos="850"/>
        </w:tabs>
        <w:ind w:left="567" w:hanging="567"/>
        <w:rPr>
          <w:noProof/>
        </w:rPr>
      </w:pPr>
      <w:bookmarkStart w:id="3" w:name="_Toc21506643"/>
      <w:r>
        <w:rPr>
          <w:noProof/>
        </w:rPr>
        <w:t>2.</w:t>
      </w:r>
      <w:r>
        <w:rPr>
          <w:noProof/>
        </w:rPr>
        <w:tab/>
        <w:t>Az uniós költségvetés által garantált műveletek és az euróövezet uniós költségvetés által nem fedezett válságkezelési mechanizmusai</w:t>
      </w:r>
      <w:bookmarkEnd w:id="3"/>
      <w:r>
        <w:rPr>
          <w:noProof/>
        </w:rPr>
        <w:t xml:space="preserve"> </w:t>
      </w:r>
    </w:p>
    <w:p>
      <w:pPr>
        <w:autoSpaceDE w:val="0"/>
        <w:rPr>
          <w:noProof/>
        </w:rPr>
      </w:pPr>
      <w:r>
        <w:rPr>
          <w:noProof/>
        </w:rPr>
        <w:t xml:space="preserve">Az uniós költségvetés által viselt kockázatok különféle hitelezési és garanciaműveletekből származnak, amelyek négy kategóriába sorolhatók: </w:t>
      </w:r>
    </w:p>
    <w:p>
      <w:pPr>
        <w:pStyle w:val="ManualHeading2"/>
        <w:ind w:left="567" w:hanging="567"/>
        <w:rPr>
          <w:b w:val="0"/>
          <w:noProof/>
        </w:rPr>
      </w:pPr>
      <w:bookmarkStart w:id="4" w:name="_Toc21506644"/>
      <w:r>
        <w:rPr>
          <w:noProof/>
        </w:rPr>
        <w:lastRenderedPageBreak/>
        <w:t>2.1.</w:t>
      </w:r>
      <w:r>
        <w:rPr>
          <w:noProof/>
        </w:rPr>
        <w:tab/>
        <w:t>Az Európai Unió által makrogazdasági célkitűzésekre nyújtott hitelek</w:t>
      </w:r>
      <w:bookmarkEnd w:id="4"/>
      <w:r>
        <w:rPr>
          <w:noProof/>
        </w:rPr>
        <w:t xml:space="preserve"> </w:t>
      </w:r>
    </w:p>
    <w:p>
      <w:pPr>
        <w:keepNext/>
        <w:keepLines/>
        <w:autoSpaceDE w:val="0"/>
        <w:rPr>
          <w:noProof/>
        </w:rPr>
      </w:pPr>
      <w:r>
        <w:rPr>
          <w:noProof/>
        </w:rPr>
        <w:t>Ezek a hitelek a következőket tartalmazzák: 1. harmadik országoknak nyújtott makroszintű pénzügyi támogatás</w:t>
      </w:r>
      <w:r>
        <w:rPr>
          <w:rStyle w:val="Funotenzeichen"/>
          <w:noProof/>
        </w:rPr>
        <w:footnoteReference w:id="5"/>
      </w:r>
      <w:r>
        <w:rPr>
          <w:noProof/>
        </w:rPr>
        <w:t xml:space="preserve"> (macro-financial assistance – MFA), 2. az euróövezeten kívüli tagállamok fizetésimérleg-nehézségeit enyhítő fizetésimérleg-hitelek</w:t>
      </w:r>
      <w:r>
        <w:rPr>
          <w:rStyle w:val="FootnoteReference"/>
          <w:noProof/>
        </w:rPr>
        <w:footnoteReference w:id="6"/>
      </w:r>
      <w:r>
        <w:rPr>
          <w:noProof/>
        </w:rPr>
        <w:t xml:space="preserve"> (balance-of-payments loans – BoP), továbbá 3. az európai pénzügyi stabilizációs mechanizmus</w:t>
      </w:r>
      <w:r>
        <w:rPr>
          <w:rStyle w:val="Funotenzeichen"/>
          <w:noProof/>
        </w:rPr>
        <w:footnoteReference w:id="7"/>
      </w:r>
      <w:r>
        <w:rPr>
          <w:noProof/>
        </w:rPr>
        <w:t xml:space="preserve"> (EFSM) keretében nyújtott hitelek, melyeket olyan tagállamok igényelhetnek, amelyek általuk nem befolyásolható kivételes körülmények okozta súlyos gazdasági-pénzügyi zavarral küzdenek vagy fennáll ennek komoly veszélye. Ezeket a hiteleket a Nemzetközi Valutaalap (IMF) által nyújtott pénzügyi támogatással együtt aktiválják.</w:t>
      </w:r>
    </w:p>
    <w:p>
      <w:pPr>
        <w:pStyle w:val="ManualHeading2"/>
        <w:ind w:left="567" w:hanging="567"/>
        <w:rPr>
          <w:b w:val="0"/>
          <w:noProof/>
        </w:rPr>
      </w:pPr>
      <w:bookmarkStart w:id="5" w:name="_Toc21506645"/>
      <w:r>
        <w:rPr>
          <w:noProof/>
        </w:rPr>
        <w:t>2.2.</w:t>
      </w:r>
      <w:r>
        <w:rPr>
          <w:noProof/>
        </w:rPr>
        <w:tab/>
        <w:t>Mikrogazdasági célkitűzésekre nyújtott hitelek</w:t>
      </w:r>
      <w:bookmarkEnd w:id="5"/>
      <w:r>
        <w:rPr>
          <w:noProof/>
        </w:rPr>
        <w:t xml:space="preserve"> </w:t>
      </w:r>
    </w:p>
    <w:p>
      <w:pPr>
        <w:autoSpaceDE w:val="0"/>
        <w:rPr>
          <w:noProof/>
        </w:rPr>
      </w:pPr>
      <w:r>
        <w:rPr>
          <w:noProof/>
        </w:rPr>
        <w:t>Ez a fejezet az Euratom-hitelekre</w:t>
      </w:r>
      <w:r>
        <w:rPr>
          <w:rStyle w:val="Funotenzeichen"/>
          <w:noProof/>
        </w:rPr>
        <w:footnoteReference w:id="8"/>
      </w:r>
      <w:r>
        <w:rPr>
          <w:noProof/>
        </w:rPr>
        <w:t xml:space="preserve"> vonatkozik. Az Euratom-hitelkeret az alábbi célokra használható fel:</w:t>
      </w:r>
    </w:p>
    <w:p>
      <w:pPr>
        <w:autoSpaceDE w:val="0"/>
        <w:ind w:left="426" w:hanging="426"/>
        <w:rPr>
          <w:noProof/>
        </w:rPr>
      </w:pPr>
      <w:r>
        <w:rPr>
          <w:i/>
          <w:noProof/>
        </w:rPr>
        <w:t>•</w:t>
      </w:r>
      <w:r>
        <w:rPr>
          <w:i/>
          <w:noProof/>
        </w:rPr>
        <w:tab/>
        <w:t>[tagállamokban]:</w:t>
      </w:r>
      <w:r>
        <w:rPr>
          <w:noProof/>
        </w:rPr>
        <w:t xml:space="preserve"> atomerőművekre és nukleáris üzemanyagciklussal kapcsolatos létesítményekre irányuló beruházások</w:t>
      </w:r>
      <w:r>
        <w:rPr>
          <w:rStyle w:val="Funotenzeichen"/>
          <w:noProof/>
        </w:rPr>
        <w:footnoteReference w:id="9"/>
      </w:r>
      <w:r>
        <w:rPr>
          <w:noProof/>
        </w:rPr>
        <w:t xml:space="preserve">, valamint </w:t>
      </w:r>
    </w:p>
    <w:p>
      <w:pPr>
        <w:autoSpaceDE w:val="0"/>
        <w:ind w:left="426" w:hanging="426"/>
        <w:rPr>
          <w:noProof/>
        </w:rPr>
      </w:pPr>
      <w:r>
        <w:rPr>
          <w:noProof/>
        </w:rPr>
        <w:t>•</w:t>
      </w:r>
      <w:r>
        <w:rPr>
          <w:noProof/>
        </w:rPr>
        <w:tab/>
      </w:r>
      <w:r>
        <w:rPr>
          <w:i/>
          <w:noProof/>
        </w:rPr>
        <w:t>[egyes nem uniós tagállamokban]:</w:t>
      </w:r>
      <w:r>
        <w:rPr>
          <w:noProof/>
        </w:rPr>
        <w:t xml:space="preserve"> meglévő vagy építés alatt álló atomerőművek biztonságának és hatékonyságának javítására, valamint leszerelési projektekre irányuló beruházások</w:t>
      </w:r>
      <w:r>
        <w:rPr>
          <w:rStyle w:val="Funotenzeichen"/>
          <w:noProof/>
        </w:rPr>
        <w:footnoteReference w:id="10"/>
      </w:r>
      <w:r>
        <w:rPr>
          <w:noProof/>
        </w:rPr>
        <w:t>.</w:t>
      </w:r>
    </w:p>
    <w:p>
      <w:pPr>
        <w:pStyle w:val="ManualHeading2"/>
        <w:ind w:left="567" w:hanging="567"/>
        <w:rPr>
          <w:noProof/>
        </w:rPr>
      </w:pPr>
      <w:bookmarkStart w:id="6" w:name="_Toc21506646"/>
      <w:r>
        <w:rPr>
          <w:noProof/>
        </w:rPr>
        <w:t>2.3.</w:t>
      </w:r>
      <w:r>
        <w:rPr>
          <w:noProof/>
        </w:rPr>
        <w:tab/>
        <w:t>Az Európai Beruházási Bank (EBB) által Unión kívüli államoknak nyújtott finanszírozás (a továbbiakban: az EBB külső finanszírozási tevékenysége) uniós garanciák mellett megvalósuló műveleteikhez (külső hitelezési megbízatás)</w:t>
      </w:r>
      <w:r>
        <w:rPr>
          <w:rStyle w:val="Funotenzeichen"/>
          <w:noProof/>
        </w:rPr>
        <w:footnoteReference w:id="11"/>
      </w:r>
      <w:bookmarkEnd w:id="6"/>
    </w:p>
    <w:p>
      <w:pPr>
        <w:autoSpaceDE w:val="0"/>
        <w:rPr>
          <w:noProof/>
        </w:rPr>
      </w:pPr>
      <w:r>
        <w:rPr>
          <w:noProof/>
        </w:rPr>
        <w:t>A külső hitelezési megbízatás keretében az Európai Unió az uniós költségvetésből biztosított garanciával lehetővé teszi az EBB számára az Európai Unió területén kívül nyújtott hitelek volumenének növelését, az EU politikai célkitűzéseinek támogatása érdekében. A külső hitelezési megbízatás támogatja az EBB tevékenységét az előcsatlakozási támogatásban részesülő országokban, a keleti és déli szomszédságban, Ázsiában, Latin-Amerikában és a Dél-Afrikában. Az aktuális külső hitelezési megbízatási időszakban (2014–2020) az uniós költségvetés maximálisan 32,3 milliárd EUR-ra vállal garanciát az EBB műveleteihez. 2018. március 14-én az Európai Parlament és a Tanács a külső hitelezési megbízatás félidős felülvizsgálatával összefüggésben elfogadta a 466/2014/EU határozat módosításáról szóló (EU) 2018/412 határozatot, amely a jelenlegi külső hitelezési megbízatás felső összeghatárát 27 milliárd EUR-ról 32,3 milliárd EUR-ra emelte. A felülvizsgálat eredményeképpen a határozat kiegészül a menekültek, a migránsok, a fogadó- és tranzitközösségek, valamint a származási országokbeli közösségek hosszú távú gazdasági rezilienciájára irányuló új célkitűzéssel a migráció kiváltó okainak kezelését célzó stratégiai válaszként.</w:t>
      </w:r>
    </w:p>
    <w:p>
      <w:pPr>
        <w:autoSpaceDE w:val="0"/>
        <w:rPr>
          <w:noProof/>
        </w:rPr>
      </w:pPr>
      <w:r>
        <w:rPr>
          <w:noProof/>
        </w:rPr>
        <w:t>Az EBB részére nyújtott uniós garancia az Unió külső politikai célkitűzéseinek támogatása érdekében az Unión kívül végrehajtott finanszírozási műveletekkel kapcsolatos politikai és országjellegű kockázatokat fedezi. Az EBB emellett saját kockázatára is finanszíroz Unión kívüli befektetési műveleteket, illetve külön megbízatás alapján egyéb tevékenységeket, például az AKCS-országokban</w:t>
      </w:r>
      <w:r>
        <w:rPr>
          <w:rStyle w:val="FootnoteReference"/>
          <w:noProof/>
        </w:rPr>
        <w:footnoteReference w:id="12"/>
      </w:r>
      <w:r>
        <w:rPr>
          <w:noProof/>
        </w:rPr>
        <w:t>.</w:t>
      </w:r>
    </w:p>
    <w:p>
      <w:pPr>
        <w:autoSpaceDE w:val="0"/>
        <w:rPr>
          <w:noProof/>
        </w:rPr>
      </w:pPr>
      <w:r>
        <w:rPr>
          <w:noProof/>
        </w:rPr>
        <w:t xml:space="preserve">Az Unió külső tevékenységének támogatása, valamint annak érdekében, hogy az EBB a hitelképességének veszélyeztetése nélkül finanszírozni tudja az Unión kívüli beruházásokat, az EBB Unión kívüli műveleteinek többsége uniós költségvetési garanciában részesül. </w:t>
      </w:r>
    </w:p>
    <w:p>
      <w:pPr>
        <w:rPr>
          <w:b/>
          <w:noProof/>
          <w:u w:val="single"/>
        </w:rPr>
      </w:pPr>
      <w:r>
        <w:rPr>
          <w:b/>
          <w:noProof/>
          <w:u w:val="single"/>
        </w:rPr>
        <w:t>A külső fellépésekre vonatkozó garanciaalap</w:t>
      </w:r>
      <w:r>
        <w:rPr>
          <w:noProof/>
          <w:vertAlign w:val="superscript"/>
        </w:rPr>
        <w:footnoteReference w:id="13"/>
      </w:r>
    </w:p>
    <w:p>
      <w:pPr>
        <w:rPr>
          <w:noProof/>
        </w:rPr>
      </w:pPr>
      <w:r>
        <w:rPr>
          <w:noProof/>
        </w:rPr>
        <w:t>Az EBB garantált külső finanszírozási tevékenységére, a harmadik országoknak nyújtott makroszintű pénzügyi támogatásra és az Euratom-hitelek keretében folyósított hitelekre 1994 óta a külső fellépésekre vonatkozó garanciaalap (a továbbiakban: az alap), míg a tagállamoknak nyújtott fizetésimérleg-hitelekre és az EFSM- és Euratom-hitelekre közvetlenül az uniós költségvetés nyújt fedezetet.</w:t>
      </w:r>
    </w:p>
    <w:p>
      <w:pPr>
        <w:rPr>
          <w:noProof/>
        </w:rPr>
      </w:pPr>
      <w:r>
        <w:rPr>
          <w:noProof/>
        </w:rPr>
        <w:t>Az alap az Unión kívüli országoknak, vagy az ezekben az országokban megvalósuló projektekhez nyújtott hitelekkel és hitelgaranciákkal összefüggő nemteljesítésekre nyújt fedezetet. Célja, hogy:</w:t>
      </w:r>
    </w:p>
    <w:p>
      <w:pPr>
        <w:pStyle w:val="ListDash"/>
        <w:numPr>
          <w:ilvl w:val="0"/>
          <w:numId w:val="36"/>
        </w:numPr>
        <w:ind w:left="851"/>
        <w:rPr>
          <w:noProof/>
        </w:rPr>
      </w:pPr>
      <w:r>
        <w:rPr>
          <w:noProof/>
        </w:rPr>
        <w:tab/>
        <w:t>likviditási tartalékot biztosítson annak érdekében, hogy elkerülhető legyen az uniós költségvetés igénybevétele minden egyes esetben, amikor egy garanciával fedezett hitel kapcsán nemteljesítésre vagy fizetési késedelemre kerül sor, valamint</w:t>
      </w:r>
    </w:p>
    <w:p>
      <w:pPr>
        <w:pStyle w:val="ListDash"/>
        <w:numPr>
          <w:ilvl w:val="0"/>
          <w:numId w:val="36"/>
        </w:numPr>
        <w:ind w:left="851"/>
        <w:rPr>
          <w:noProof/>
        </w:rPr>
      </w:pPr>
      <w:r>
        <w:rPr>
          <w:noProof/>
        </w:rPr>
        <w:tab/>
        <w:t>az Unió és az EBB által a harmadik országoknak nyújtott hitelek garanciáival kapcsolatos uniós szakpolitika fejlesztését célzó pénzügyi keret meghatározásával megteremtse a költségvetési fegyelem betartatásának eszközét</w:t>
      </w:r>
      <w:r>
        <w:rPr>
          <w:rStyle w:val="Funotenzeichen"/>
          <w:noProof/>
        </w:rPr>
        <w:footnoteReference w:id="14"/>
      </w:r>
      <w:r>
        <w:rPr>
          <w:noProof/>
        </w:rPr>
        <w:t>.</w:t>
      </w:r>
    </w:p>
    <w:p>
      <w:pPr>
        <w:rPr>
          <w:noProof/>
        </w:rPr>
      </w:pPr>
      <w:r>
        <w:rPr>
          <w:noProof/>
        </w:rPr>
        <w:t>Amennyiben valamely harmadik ország tagállammá válik, a neki nyújtott hitelekre többé nem az alap biztosít fedezetet, és a kockázatot közvetlenül kell viselnie az uniós költségvetésnek. Az alapot az uniós költségvetésből töltik fel, és az alap forrásainak el kell érniük az alap által fedezett hitelek és hitelgaranciák kinnlevő összegének egy meghatározott hányadát. Ez a százalékos arány, más néven célráta, jelenleg 9 %</w:t>
      </w:r>
      <w:r>
        <w:rPr>
          <w:rStyle w:val="FootnoteReference"/>
          <w:noProof/>
        </w:rPr>
        <w:footnoteReference w:id="15"/>
      </w:r>
      <w:r>
        <w:rPr>
          <w:noProof/>
        </w:rPr>
        <w:t xml:space="preserve">. Amennyiben az alap forrásai nem elegendőek, az uniós költségvetés biztosítja a szükséges pénzeszközöket. Az alap eszközeit az EBB kezeli. </w:t>
      </w:r>
    </w:p>
    <w:p>
      <w:pPr>
        <w:pStyle w:val="ManualHeading2"/>
        <w:ind w:left="567" w:hanging="567"/>
        <w:rPr>
          <w:b w:val="0"/>
          <w:noProof/>
        </w:rPr>
      </w:pPr>
      <w:bookmarkStart w:id="7" w:name="_Toc21506647"/>
      <w:r>
        <w:rPr>
          <w:noProof/>
        </w:rPr>
        <w:t>2.4.</w:t>
      </w:r>
      <w:r>
        <w:rPr>
          <w:noProof/>
        </w:rPr>
        <w:tab/>
        <w:t>Az Európai Beruházási Bank (EBB) és az Európai Beruházási Alap (EBA) által a tagállamoknak nyújtott finanszírozás uniós garanciák mellett megvalósuló műveleteikhez – az Európai Stratégiai Beruházási Alap (ESBA)</w:t>
      </w:r>
      <w:bookmarkEnd w:id="7"/>
    </w:p>
    <w:p>
      <w:pPr>
        <w:rPr>
          <w:noProof/>
        </w:rPr>
      </w:pPr>
      <w:r>
        <w:rPr>
          <w:noProof/>
        </w:rPr>
        <w:t>Az Európai Stratégiai Beruházási Alap (ESBA) az Európai Unió hosszú távú gazdasági növekedését és versenyképességét ösztönözni hivatott európai beruházási terv alappillére.</w:t>
      </w:r>
    </w:p>
    <w:p>
      <w:pPr>
        <w:rPr>
          <w:noProof/>
        </w:rPr>
      </w:pPr>
      <w:r>
        <w:rPr>
          <w:noProof/>
        </w:rPr>
        <w:t>Az uniós garancia</w:t>
      </w:r>
      <w:r>
        <w:rPr>
          <w:rStyle w:val="FootnoteReference"/>
          <w:noProof/>
        </w:rPr>
        <w:footnoteReference w:id="16"/>
      </w:r>
      <w:r>
        <w:rPr>
          <w:rStyle w:val="FootnoteReference"/>
          <w:noProof/>
        </w:rPr>
        <w:t xml:space="preserve">  </w:t>
      </w:r>
      <w:r>
        <w:rPr>
          <w:noProof/>
        </w:rPr>
        <w:t>az EBB által az infrastruktúra és innováció keret (IIW) fő részének terhére, valamint az EBA által a kkv-keret (SMEW), valamint az IIW kkv-k/közepes tőkeértékű vállalatok alapjaiba történő befektetésre szolgáló részkeretének terhére jóváhagyott finanszírozási és beruházási műveleteket fedezi. Az ESBA-műveletek egy részét az uniós garancia fedezi, míg egy másik részét az EBB csoport hajtja végre saját kockázatra</w:t>
      </w:r>
      <w:r>
        <w:rPr>
          <w:rStyle w:val="FootnoteReference"/>
          <w:noProof/>
        </w:rPr>
        <w:footnoteReference w:id="17"/>
      </w:r>
      <w:r>
        <w:rPr>
          <w:noProof/>
        </w:rPr>
        <w:t>.</w:t>
      </w:r>
    </w:p>
    <w:p>
      <w:pPr>
        <w:rPr>
          <w:noProof/>
        </w:rPr>
      </w:pPr>
      <w:r>
        <w:rPr>
          <w:noProof/>
        </w:rPr>
        <w:t>Az EBB és az EBA hatáskörébe tartozik az egyes műveletek kockázatának értékelése és nyomon követése, valamint az, hogy jelentésben beszámoljanak a Bizottságnak és az Európai Számvevőszéknek.</w:t>
      </w:r>
    </w:p>
    <w:p>
      <w:pPr>
        <w:rPr>
          <w:noProof/>
        </w:rPr>
      </w:pPr>
      <w:r>
        <w:rPr>
          <w:noProof/>
          <w:u w:val="single"/>
        </w:rPr>
        <w:t>Az Európai Stratégiai Beruházási Alap garanciaalapja (ESBA-garanciaalap)</w:t>
      </w:r>
      <w:r>
        <w:rPr>
          <w:rStyle w:val="FootnoteReference"/>
          <w:noProof/>
        </w:rPr>
        <w:footnoteReference w:id="18"/>
      </w:r>
    </w:p>
    <w:p>
      <w:pPr>
        <w:rPr>
          <w:noProof/>
        </w:rPr>
      </w:pPr>
      <w:r>
        <w:rPr>
          <w:noProof/>
        </w:rPr>
        <w:t xml:space="preserve">Az ESBA-rendelet 12. cikke szerint az ESBA-garanciaalap olyan likviditási puffert képez, amelyből az uniós garancia lehívása esetén az EBB számára kifizetést kell teljesíteni. Az EU és az EBB között létrejött ESBA-megállapodásnak megfelelően az ESBA-garanciaalapból történő lehívás esetén akkor teljesíthető kifizetés, ha a lehívás összege meghaladja az ESBA-számlán az EBB rendelkezésére álló pénzeszközöket. Az EBB által kezelt ESBA-számla létrehozásának célja az uniós garanciával fedezett műveletekből eredő uniós bevételek, valamint a behajtott összegek beszedése, továbbá a rendelkezésre álló egyenleg mértékéig az uniós garancia keretében eszközölt lehívások kifizetése. </w:t>
      </w:r>
    </w:p>
    <w:p>
      <w:pPr>
        <w:rPr>
          <w:noProof/>
        </w:rPr>
      </w:pPr>
      <w:r>
        <w:rPr>
          <w:noProof/>
        </w:rPr>
        <w:t>A garanciaalap forrásait egy meghatározott, az uniós garancia alapján vállalt kötelezettségek teljes összegének egy adott százalékán</w:t>
      </w:r>
      <w:r>
        <w:rPr>
          <w:rStyle w:val="FootnoteReference"/>
          <w:noProof/>
        </w:rPr>
        <w:footnoteReference w:id="19"/>
      </w:r>
      <w:r>
        <w:rPr>
          <w:noProof/>
        </w:rPr>
        <w:t xml:space="preserve"> (célösszeg), jelenleg 35 %-on kell tartani. Így a likviditási puffer célja, hogy megfelelő biztonsági tartalékként szolgáljon annak elkerülése érdekében, hogy az Unió költségvetése hirtelen garancialehívások kockázatának legyen kitéve, amelyek miatt kiadáscsökkentéseket vagy költségvetés-módosításokat kellene végrehajtani. A garanciaalap tehát hozzájárul a költségvetési keret kiszámíthatóságához.</w:t>
      </w:r>
    </w:p>
    <w:p>
      <w:pPr>
        <w:rPr>
          <w:noProof/>
        </w:rPr>
      </w:pPr>
      <w:r>
        <w:rPr>
          <w:noProof/>
        </w:rPr>
        <w:t>Az ESBA-garanciaalap feltöltése fokozatosan történik, az uniós garancia által viselt kitettség növekedésének figyelembevételével.</w:t>
      </w:r>
    </w:p>
    <w:p>
      <w:pPr>
        <w:rPr>
          <w:noProof/>
        </w:rPr>
      </w:pPr>
      <w:r>
        <w:rPr>
          <w:noProof/>
        </w:rPr>
        <w:t>Az ESBA-rendelet 12. cikke (4) bekezdésének megfelelően az ESBA-garanciaalap eszközeit közvetlenül a Bizottság kezeli, és – a megfelelő prudenciális szabályok betartásával – a hatékony és eredményes pénzgazdálkodás elvével összhangban fekteti be.</w:t>
      </w:r>
    </w:p>
    <w:p>
      <w:pPr>
        <w:rPr>
          <w:noProof/>
        </w:rPr>
      </w:pPr>
      <w:r>
        <w:rPr>
          <w:noProof/>
        </w:rPr>
        <w:t>Az EBB és az EBA hatáskörébe tartozik az uniós garanciával fedezett egyes műveletek kockázatának értékelése és nyomon követése. A Bizottság e jelentés, továbbá a jövőbeli tevékenységre vonatkozó koherens és prudens feltételezések alapján biztosítja az ESBA-garanciaalap felülvizsgálat tárgyát képező célösszegének és szintjének megfelelőségét. Az ESBA-rendelet 16. cikke (3) bekezdésének megfelelően az EBB és az EBA 2019 márciusában jelentést tett a Bizottságnak és az Európai Számvevőszéknek.</w:t>
      </w:r>
    </w:p>
    <w:p>
      <w:pPr>
        <w:rPr>
          <w:noProof/>
        </w:rPr>
      </w:pPr>
      <w:r>
        <w:rPr>
          <w:noProof/>
        </w:rPr>
        <w:t>Az ESBA-rendelet 16. cikkének (2) bekezdése szerint az EBB által az Európai Parlament és a Tanács részére benyújtandó éves jelentésnek konkrét információkat kell tartalmaznia az ESBA keretében végrehajtott finanszírozási és beruházási műveletekhez kapcsolódó összesített kockázatról, valamint a garancia lehívásáról.</w:t>
      </w:r>
    </w:p>
    <w:p>
      <w:pPr>
        <w:pStyle w:val="ManualHeading2"/>
        <w:ind w:left="567" w:hanging="567"/>
        <w:rPr>
          <w:b w:val="0"/>
          <w:noProof/>
        </w:rPr>
      </w:pPr>
      <w:bookmarkStart w:id="8" w:name="_Toc21506648"/>
      <w:r>
        <w:rPr>
          <w:noProof/>
        </w:rPr>
        <w:t>2.5.</w:t>
      </w:r>
      <w:r>
        <w:rPr>
          <w:noProof/>
        </w:rPr>
        <w:tab/>
        <w:t xml:space="preserve">Az uniós költségvetés által </w:t>
      </w:r>
      <w:r>
        <w:rPr>
          <w:noProof/>
          <w:u w:val="single"/>
        </w:rPr>
        <w:t>nem</w:t>
      </w:r>
      <w:r>
        <w:rPr>
          <w:noProof/>
        </w:rPr>
        <w:t xml:space="preserve"> fedezett válságkezelési mechanizmusok</w:t>
      </w:r>
      <w:bookmarkEnd w:id="8"/>
    </w:p>
    <w:p>
      <w:pPr>
        <w:rPr>
          <w:noProof/>
        </w:rPr>
      </w:pPr>
      <w:r>
        <w:rPr>
          <w:noProof/>
        </w:rPr>
        <w:t xml:space="preserve">A válságkezelés részeként számos egyéb mechanizmust is létrehoztak, ezek azonban </w:t>
      </w:r>
      <w:r>
        <w:rPr>
          <w:b/>
          <w:i/>
          <w:noProof/>
        </w:rPr>
        <w:t>nem</w:t>
      </w:r>
      <w:r>
        <w:rPr>
          <w:noProof/>
        </w:rPr>
        <w:t xml:space="preserve"> jelentenek kockázatot az uniós költségvetés számára, és az alábbiakban csak a teljesség kedvéért szerepelnek:</w:t>
      </w:r>
    </w:p>
    <w:p>
      <w:pPr>
        <w:pStyle w:val="NormalWeb"/>
        <w:jc w:val="both"/>
        <w:rPr>
          <w:noProof/>
        </w:rPr>
      </w:pPr>
      <w:r>
        <w:rPr>
          <w:noProof/>
        </w:rPr>
        <w:t xml:space="preserve">– </w:t>
      </w:r>
      <w:r>
        <w:rPr>
          <w:i/>
          <w:noProof/>
        </w:rPr>
        <w:t>A görög hitelkeret</w:t>
      </w:r>
      <w:r>
        <w:rPr>
          <w:rStyle w:val="FootnoteReference"/>
          <w:i/>
          <w:noProof/>
        </w:rPr>
        <w:footnoteReference w:id="20"/>
      </w:r>
      <w:r>
        <w:rPr>
          <w:noProof/>
        </w:rPr>
        <w:t>, amelyet a Bizottság által központilag kezelt, más euróövezeti tagállamok által Görögországnak nyújtott kétoldalú kölcsönök révén finanszíroznak.</w:t>
      </w:r>
    </w:p>
    <w:p>
      <w:pPr>
        <w:pStyle w:val="NormalWeb"/>
        <w:jc w:val="both"/>
        <w:rPr>
          <w:noProof/>
        </w:rPr>
      </w:pPr>
      <w:r>
        <w:rPr>
          <w:noProof/>
        </w:rPr>
        <w:t xml:space="preserve">– </w:t>
      </w:r>
      <w:r>
        <w:rPr>
          <w:i/>
          <w:noProof/>
        </w:rPr>
        <w:t>Európai Pénzügyi Stabilitási Eszköz (EFSF)</w:t>
      </w:r>
      <w:r>
        <w:rPr>
          <w:rStyle w:val="FootnoteReference"/>
          <w:i/>
          <w:noProof/>
        </w:rPr>
        <w:footnoteReference w:id="21"/>
      </w:r>
      <w:r>
        <w:rPr>
          <w:noProof/>
        </w:rPr>
        <w:t>: az EFSF-et az euróövezeti tagállamok hozták létre 2010 júniusában ideiglenes mentőmechanizmusként azzal a céllal, hogy az euróövezeti tagállamoknak a makrogazdasági kiigazítási program keretében pénzügyi segítséget nyújtsanak. Az állandó mentőmechanizmus, azaz az Európai Stabilitási Mechanizmus (ESM) létrehozásáról szóló szerződés 2012. szeptember 27-én lépett hatályba. Az EFSF folytatja a Görögországban (az IMF-fel és egyes tagállamokkal együtt), valamint Írországban és Portugáliában (az IMF-fel, egyes tagállamokkal és az EU-val/EFSM-mel együtt)</w:t>
      </w:r>
      <w:r>
        <w:rPr>
          <w:rStyle w:val="FootnoteReference"/>
          <w:noProof/>
        </w:rPr>
        <w:footnoteReference w:id="22"/>
      </w:r>
      <w:r>
        <w:rPr>
          <w:noProof/>
        </w:rPr>
        <w:t xml:space="preserve"> megkezdett programjait, de </w:t>
      </w:r>
      <w:r>
        <w:rPr>
          <w:rStyle w:val="Strong"/>
          <w:b w:val="0"/>
          <w:noProof/>
        </w:rPr>
        <w:t>2013. július 1.</w:t>
      </w:r>
      <w:r>
        <w:rPr>
          <w:noProof/>
        </w:rPr>
        <w:t xml:space="preserve"> óta már nem vesz részt új finanszírozási programokban vagy hitelkeret-megállapodásokban. </w:t>
      </w:r>
    </w:p>
    <w:p>
      <w:pPr>
        <w:pStyle w:val="NormalWeb"/>
        <w:jc w:val="both"/>
        <w:rPr>
          <w:noProof/>
        </w:rPr>
      </w:pPr>
      <w:r>
        <w:rPr>
          <w:noProof/>
        </w:rPr>
        <w:t xml:space="preserve">– </w:t>
      </w:r>
      <w:r>
        <w:rPr>
          <w:i/>
          <w:noProof/>
        </w:rPr>
        <w:t>Európai Stabilitási Mechanizmus (ESM)</w:t>
      </w:r>
      <w:r>
        <w:rPr>
          <w:rStyle w:val="FootnoteReference"/>
          <w:i/>
          <w:noProof/>
        </w:rPr>
        <w:footnoteReference w:id="23"/>
      </w:r>
      <w:r>
        <w:rPr>
          <w:noProof/>
        </w:rPr>
        <w:t>: az ESM fontos része az EU átfogó, az euróövezet pénzügyi stabilitásának megóvására irányuló stratégiájának.</w:t>
      </w:r>
      <w:r>
        <w:rPr>
          <w:rStyle w:val="Strong"/>
          <w:noProof/>
        </w:rPr>
        <w:t xml:space="preserve"> </w:t>
      </w:r>
      <w:r>
        <w:rPr>
          <w:noProof/>
        </w:rPr>
        <w:t>Pénzügyi támogatást nyújt pénzügyi nehézségekkel küzdő, vagy azok által fenyegetett euróövezeti tagállamoknak.</w:t>
      </w:r>
      <w:r>
        <w:rPr>
          <w:rStyle w:val="Strong"/>
          <w:b w:val="0"/>
          <w:noProof/>
        </w:rPr>
        <w:t xml:space="preserve"> </w:t>
      </w:r>
      <w:r>
        <w:rPr>
          <w:noProof/>
        </w:rPr>
        <w:t>Luxembourgi székhelyű, a nemzetközi közjog hatálya alá tartozó kormányközi szervezetről van szó, amely ténylegesen 500 milliárd EUR hitelezési kapacitással rendelkezik.</w:t>
      </w:r>
    </w:p>
    <w:p>
      <w:pPr>
        <w:pStyle w:val="ManualHeading1"/>
        <w:tabs>
          <w:tab w:val="clear" w:pos="850"/>
          <w:tab w:val="left" w:pos="567"/>
        </w:tabs>
        <w:ind w:left="567" w:hanging="567"/>
        <w:rPr>
          <w:noProof/>
        </w:rPr>
      </w:pPr>
      <w:bookmarkStart w:id="9" w:name="_Toc21506649"/>
      <w:r>
        <w:rPr>
          <w:noProof/>
        </w:rPr>
        <w:t>3.</w:t>
      </w:r>
      <w:r>
        <w:rPr>
          <w:noProof/>
        </w:rPr>
        <w:tab/>
        <w:t>A garantált műveletek alakulása</w:t>
      </w:r>
      <w:bookmarkEnd w:id="9"/>
      <w:r>
        <w:rPr>
          <w:noProof/>
        </w:rPr>
        <w:t xml:space="preserve"> </w:t>
      </w:r>
    </w:p>
    <w:tbl>
      <w:tblPr>
        <w:tblW w:w="8902" w:type="dxa"/>
        <w:tblInd w:w="-5" w:type="dxa"/>
        <w:tblLayout w:type="fixed"/>
        <w:tblLook w:val="0000" w:firstRow="0" w:lastRow="0" w:firstColumn="0" w:lastColumn="0" w:noHBand="0" w:noVBand="0"/>
      </w:tblPr>
      <w:tblGrid>
        <w:gridCol w:w="2770"/>
        <w:gridCol w:w="1665"/>
        <w:gridCol w:w="1891"/>
        <w:gridCol w:w="1446"/>
        <w:gridCol w:w="1130"/>
      </w:tblGrid>
      <w:tr>
        <w:trPr>
          <w:trHeight w:val="165"/>
        </w:trPr>
        <w:tc>
          <w:tcPr>
            <w:tcW w:w="8902" w:type="dxa"/>
            <w:gridSpan w:val="5"/>
            <w:tcBorders>
              <w:bottom w:val="single" w:sz="4" w:space="0" w:color="000000"/>
            </w:tcBorders>
          </w:tcPr>
          <w:p>
            <w:pPr>
              <w:keepNext/>
              <w:keepLines/>
              <w:snapToGrid w:val="0"/>
              <w:spacing w:after="0"/>
              <w:rPr>
                <w:noProof/>
              </w:rPr>
            </w:pPr>
            <w:r>
              <w:rPr>
                <w:noProof/>
              </w:rPr>
              <w:t xml:space="preserve">Ez a szakasz ismerteti az egyrészt a Bizottság által közvetlenül irányított, másrészt az EBB által irányított garantált műveletek alakulását. </w:t>
            </w:r>
            <w:r>
              <w:rPr>
                <w:noProof/>
              </w:rPr>
              <w:br w:type="page"/>
            </w:r>
          </w:p>
          <w:p>
            <w:pPr>
              <w:keepNext/>
              <w:keepLines/>
              <w:snapToGrid w:val="0"/>
              <w:spacing w:after="0"/>
              <w:rPr>
                <w:noProof/>
                <w:sz w:val="18"/>
              </w:rPr>
            </w:pPr>
            <w:r>
              <w:rPr>
                <w:noProof/>
              </w:rPr>
              <w:br w:type="page"/>
            </w:r>
            <w:r>
              <w:rPr>
                <w:noProof/>
                <w:sz w:val="18"/>
              </w:rPr>
              <w:t>1. táblázat: Uniós költségvetési fedezettel rendelkező kinnlevőségek teljes összege 2018. december 31-én (millió EUR)</w:t>
            </w:r>
          </w:p>
        </w:tc>
      </w:tr>
      <w:tr>
        <w:trPr>
          <w:trHeight w:val="165"/>
        </w:trPr>
        <w:tc>
          <w:tcPr>
            <w:tcW w:w="2770" w:type="dxa"/>
            <w:tcBorders>
              <w:top w:val="single" w:sz="4" w:space="0" w:color="000000"/>
              <w:left w:val="single" w:sz="4" w:space="0" w:color="000000"/>
              <w:bottom w:val="single" w:sz="4" w:space="0" w:color="000000"/>
            </w:tcBorders>
          </w:tcPr>
          <w:p>
            <w:pPr>
              <w:keepNext/>
              <w:keepLines/>
              <w:snapToGrid w:val="0"/>
              <w:rPr>
                <w:b/>
                <w:noProof/>
              </w:rPr>
            </w:pPr>
          </w:p>
        </w:tc>
        <w:tc>
          <w:tcPr>
            <w:tcW w:w="1665" w:type="dxa"/>
            <w:tcBorders>
              <w:top w:val="single" w:sz="4" w:space="0" w:color="000000"/>
              <w:left w:val="single" w:sz="4" w:space="0" w:color="000000"/>
              <w:bottom w:val="single" w:sz="4" w:space="0" w:color="000000"/>
            </w:tcBorders>
          </w:tcPr>
          <w:p>
            <w:pPr>
              <w:keepNext/>
              <w:keepLines/>
              <w:snapToGrid w:val="0"/>
              <w:jc w:val="center"/>
              <w:rPr>
                <w:b/>
                <w:noProof/>
              </w:rPr>
            </w:pPr>
            <w:r>
              <w:rPr>
                <w:b/>
                <w:noProof/>
              </w:rPr>
              <w:t>Tőketartozás</w:t>
            </w:r>
          </w:p>
        </w:tc>
        <w:tc>
          <w:tcPr>
            <w:tcW w:w="1891" w:type="dxa"/>
            <w:tcBorders>
              <w:top w:val="single" w:sz="4" w:space="0" w:color="000000"/>
              <w:left w:val="single" w:sz="4" w:space="0" w:color="000000"/>
              <w:bottom w:val="single" w:sz="4" w:space="0" w:color="000000"/>
            </w:tcBorders>
          </w:tcPr>
          <w:p>
            <w:pPr>
              <w:keepNext/>
              <w:keepLines/>
              <w:snapToGrid w:val="0"/>
              <w:jc w:val="center"/>
              <w:rPr>
                <w:b/>
                <w:noProof/>
              </w:rPr>
            </w:pPr>
            <w:r>
              <w:rPr>
                <w:b/>
                <w:noProof/>
              </w:rPr>
              <w:t>Felhalmozott kamat</w:t>
            </w:r>
          </w:p>
        </w:tc>
        <w:tc>
          <w:tcPr>
            <w:tcW w:w="1446" w:type="dxa"/>
            <w:tcBorders>
              <w:top w:val="single" w:sz="4" w:space="0" w:color="000000"/>
              <w:left w:val="single" w:sz="4" w:space="0" w:color="000000"/>
              <w:bottom w:val="single" w:sz="4" w:space="0" w:color="000000"/>
            </w:tcBorders>
          </w:tcPr>
          <w:p>
            <w:pPr>
              <w:keepNext/>
              <w:keepLines/>
              <w:snapToGrid w:val="0"/>
              <w:jc w:val="center"/>
              <w:rPr>
                <w:b/>
                <w:noProof/>
              </w:rPr>
            </w:pPr>
            <w:r>
              <w:rPr>
                <w:b/>
                <w:noProof/>
              </w:rPr>
              <w:t>Összesen</w:t>
            </w:r>
          </w:p>
        </w:tc>
        <w:tc>
          <w:tcPr>
            <w:tcW w:w="1130" w:type="dxa"/>
            <w:tcBorders>
              <w:top w:val="single" w:sz="4" w:space="0" w:color="000000"/>
              <w:left w:val="single" w:sz="4" w:space="0" w:color="000000"/>
              <w:bottom w:val="single" w:sz="4" w:space="0" w:color="000000"/>
              <w:right w:val="single" w:sz="4" w:space="0" w:color="000000"/>
            </w:tcBorders>
          </w:tcPr>
          <w:p>
            <w:pPr>
              <w:keepNext/>
              <w:keepLines/>
              <w:snapToGrid w:val="0"/>
              <w:jc w:val="center"/>
              <w:rPr>
                <w:b/>
                <w:noProof/>
              </w:rPr>
            </w:pPr>
            <w:r>
              <w:rPr>
                <w:b/>
                <w:noProof/>
              </w:rPr>
              <w:t>%</w:t>
            </w:r>
          </w:p>
        </w:tc>
      </w:tr>
      <w:tr>
        <w:trPr>
          <w:trHeight w:val="165"/>
        </w:trPr>
        <w:tc>
          <w:tcPr>
            <w:tcW w:w="2770" w:type="dxa"/>
            <w:tcBorders>
              <w:top w:val="single" w:sz="4" w:space="0" w:color="000000"/>
              <w:left w:val="single" w:sz="4" w:space="0" w:color="000000"/>
              <w:bottom w:val="single" w:sz="4" w:space="0" w:color="000000"/>
            </w:tcBorders>
          </w:tcPr>
          <w:p>
            <w:pPr>
              <w:keepNext/>
              <w:keepLines/>
              <w:snapToGrid w:val="0"/>
              <w:rPr>
                <w:rStyle w:val="Added"/>
                <w:noProof/>
                <w:u w:val="none"/>
              </w:rPr>
            </w:pPr>
            <w:r>
              <w:rPr>
                <w:rStyle w:val="Added"/>
                <w:noProof/>
                <w:u w:val="none"/>
              </w:rPr>
              <w:t>Tagállamok*</w:t>
            </w:r>
          </w:p>
        </w:tc>
        <w:tc>
          <w:tcPr>
            <w:tcW w:w="1665" w:type="dxa"/>
            <w:tcBorders>
              <w:top w:val="single" w:sz="4" w:space="0" w:color="000000"/>
              <w:left w:val="single" w:sz="4" w:space="0" w:color="000000"/>
              <w:bottom w:val="single" w:sz="4" w:space="0" w:color="000000"/>
            </w:tcBorders>
          </w:tcPr>
          <w:p>
            <w:pPr>
              <w:keepNext/>
              <w:keepLines/>
              <w:snapToGrid w:val="0"/>
              <w:rPr>
                <w:noProof/>
              </w:rPr>
            </w:pPr>
          </w:p>
        </w:tc>
        <w:tc>
          <w:tcPr>
            <w:tcW w:w="1891" w:type="dxa"/>
            <w:tcBorders>
              <w:top w:val="single" w:sz="4" w:space="0" w:color="000000"/>
              <w:left w:val="single" w:sz="4" w:space="0" w:color="000000"/>
              <w:bottom w:val="single" w:sz="4" w:space="0" w:color="000000"/>
            </w:tcBorders>
          </w:tcPr>
          <w:p>
            <w:pPr>
              <w:keepNext/>
              <w:keepLines/>
              <w:snapToGrid w:val="0"/>
              <w:rPr>
                <w:noProof/>
              </w:rPr>
            </w:pPr>
          </w:p>
        </w:tc>
        <w:tc>
          <w:tcPr>
            <w:tcW w:w="1446" w:type="dxa"/>
            <w:tcBorders>
              <w:top w:val="single" w:sz="4" w:space="0" w:color="000000"/>
              <w:left w:val="single" w:sz="4" w:space="0" w:color="000000"/>
              <w:bottom w:val="single" w:sz="4" w:space="0" w:color="000000"/>
            </w:tcBorders>
          </w:tcPr>
          <w:p>
            <w:pPr>
              <w:keepNext/>
              <w:keepLines/>
              <w:snapToGrid w:val="0"/>
              <w:rPr>
                <w:b/>
                <w:noProof/>
              </w:rPr>
            </w:pPr>
          </w:p>
        </w:tc>
        <w:tc>
          <w:tcPr>
            <w:tcW w:w="1130" w:type="dxa"/>
            <w:tcBorders>
              <w:top w:val="single" w:sz="4" w:space="0" w:color="000000"/>
              <w:left w:val="single" w:sz="4" w:space="0" w:color="000000"/>
              <w:bottom w:val="single" w:sz="4" w:space="0" w:color="000000"/>
              <w:right w:val="single" w:sz="4" w:space="0" w:color="000000"/>
            </w:tcBorders>
          </w:tcPr>
          <w:p>
            <w:pPr>
              <w:keepNext/>
              <w:keepLines/>
              <w:snapToGrid w:val="0"/>
              <w:rPr>
                <w:b/>
                <w:noProof/>
              </w:rPr>
            </w:pPr>
          </w:p>
        </w:tc>
      </w:tr>
      <w:tr>
        <w:trPr>
          <w:trHeight w:val="165"/>
        </w:trPr>
        <w:tc>
          <w:tcPr>
            <w:tcW w:w="2770" w:type="dxa"/>
            <w:tcBorders>
              <w:top w:val="single" w:sz="4" w:space="0" w:color="000000"/>
              <w:left w:val="single" w:sz="4" w:space="0" w:color="000000"/>
              <w:bottom w:val="single" w:sz="4" w:space="0" w:color="000000"/>
            </w:tcBorders>
          </w:tcPr>
          <w:p>
            <w:pPr>
              <w:keepNext/>
              <w:keepLines/>
              <w:snapToGrid w:val="0"/>
              <w:ind w:left="284"/>
              <w:rPr>
                <w:b/>
                <w:noProof/>
              </w:rPr>
            </w:pPr>
            <w:r>
              <w:rPr>
                <w:b/>
                <w:noProof/>
              </w:rPr>
              <w:t>Euratom</w:t>
            </w:r>
          </w:p>
        </w:tc>
        <w:tc>
          <w:tcPr>
            <w:tcW w:w="1665" w:type="dxa"/>
            <w:tcBorders>
              <w:top w:val="single" w:sz="4" w:space="0" w:color="000000"/>
              <w:left w:val="single" w:sz="4" w:space="0" w:color="000000"/>
              <w:bottom w:val="single" w:sz="4" w:space="0" w:color="000000"/>
            </w:tcBorders>
          </w:tcPr>
          <w:p>
            <w:pPr>
              <w:keepNext/>
              <w:keepLines/>
              <w:snapToGrid w:val="0"/>
              <w:jc w:val="right"/>
              <w:rPr>
                <w:noProof/>
              </w:rPr>
            </w:pPr>
            <w:r>
              <w:rPr>
                <w:noProof/>
              </w:rPr>
              <w:t xml:space="preserve"> 152,9 </w:t>
            </w:r>
          </w:p>
        </w:tc>
        <w:tc>
          <w:tcPr>
            <w:tcW w:w="1891" w:type="dxa"/>
            <w:tcBorders>
              <w:top w:val="single" w:sz="4" w:space="0" w:color="000000"/>
              <w:left w:val="single" w:sz="4" w:space="0" w:color="000000"/>
              <w:bottom w:val="single" w:sz="4" w:space="0" w:color="000000"/>
            </w:tcBorders>
          </w:tcPr>
          <w:p>
            <w:pPr>
              <w:keepNext/>
              <w:keepLines/>
              <w:snapToGrid w:val="0"/>
              <w:jc w:val="right"/>
              <w:rPr>
                <w:noProof/>
              </w:rPr>
            </w:pPr>
            <w:r>
              <w:rPr>
                <w:noProof/>
              </w:rPr>
              <w:t xml:space="preserve"> 0,5 </w:t>
            </w:r>
          </w:p>
        </w:tc>
        <w:tc>
          <w:tcPr>
            <w:tcW w:w="1446" w:type="dxa"/>
            <w:tcBorders>
              <w:top w:val="single" w:sz="4" w:space="0" w:color="000000"/>
              <w:left w:val="single" w:sz="4" w:space="0" w:color="000000"/>
              <w:bottom w:val="single" w:sz="4" w:space="0" w:color="000000"/>
            </w:tcBorders>
          </w:tcPr>
          <w:p>
            <w:pPr>
              <w:keepNext/>
              <w:keepLines/>
              <w:snapToGrid w:val="0"/>
              <w:jc w:val="right"/>
              <w:rPr>
                <w:noProof/>
              </w:rPr>
            </w:pPr>
            <w:r>
              <w:rPr>
                <w:noProof/>
              </w:rPr>
              <w:t xml:space="preserve"> 153,4 </w:t>
            </w:r>
          </w:p>
        </w:tc>
        <w:tc>
          <w:tcPr>
            <w:tcW w:w="1130" w:type="dxa"/>
            <w:tcBorders>
              <w:top w:val="single" w:sz="4" w:space="0" w:color="000000"/>
              <w:left w:val="single" w:sz="4" w:space="0" w:color="000000"/>
              <w:bottom w:val="single" w:sz="4" w:space="0" w:color="000000"/>
              <w:right w:val="single" w:sz="4" w:space="0" w:color="000000"/>
            </w:tcBorders>
          </w:tcPr>
          <w:p>
            <w:pPr>
              <w:keepNext/>
              <w:keepLines/>
              <w:snapToGrid w:val="0"/>
              <w:jc w:val="right"/>
              <w:rPr>
                <w:noProof/>
              </w:rPr>
            </w:pPr>
            <w:r>
              <w:rPr>
                <w:noProof/>
              </w:rPr>
              <w:t>0,2 %</w:t>
            </w:r>
          </w:p>
        </w:tc>
      </w:tr>
      <w:tr>
        <w:trPr>
          <w:trHeight w:val="165"/>
        </w:trPr>
        <w:tc>
          <w:tcPr>
            <w:tcW w:w="2770" w:type="dxa"/>
            <w:tcBorders>
              <w:top w:val="single" w:sz="4" w:space="0" w:color="000000"/>
              <w:left w:val="single" w:sz="4" w:space="0" w:color="000000"/>
              <w:bottom w:val="single" w:sz="4" w:space="0" w:color="000000"/>
            </w:tcBorders>
          </w:tcPr>
          <w:p>
            <w:pPr>
              <w:keepNext/>
              <w:keepLines/>
              <w:snapToGrid w:val="0"/>
              <w:ind w:left="284"/>
              <w:rPr>
                <w:b/>
                <w:noProof/>
              </w:rPr>
            </w:pPr>
            <w:r>
              <w:rPr>
                <w:b/>
                <w:noProof/>
              </w:rPr>
              <w:t>Fizetésimérleg-támogatás</w:t>
            </w:r>
          </w:p>
        </w:tc>
        <w:tc>
          <w:tcPr>
            <w:tcW w:w="1665" w:type="dxa"/>
            <w:tcBorders>
              <w:top w:val="single" w:sz="4" w:space="0" w:color="000000"/>
              <w:left w:val="single" w:sz="4" w:space="0" w:color="000000"/>
              <w:bottom w:val="single" w:sz="4" w:space="0" w:color="000000"/>
            </w:tcBorders>
          </w:tcPr>
          <w:p>
            <w:pPr>
              <w:keepNext/>
              <w:keepLines/>
              <w:snapToGrid w:val="0"/>
              <w:jc w:val="right"/>
              <w:rPr>
                <w:noProof/>
              </w:rPr>
            </w:pPr>
            <w:r>
              <w:rPr>
                <w:noProof/>
              </w:rPr>
              <w:t xml:space="preserve"> 1 700,0 </w:t>
            </w:r>
          </w:p>
        </w:tc>
        <w:tc>
          <w:tcPr>
            <w:tcW w:w="1891" w:type="dxa"/>
            <w:tcBorders>
              <w:top w:val="single" w:sz="4" w:space="0" w:color="000000"/>
              <w:left w:val="single" w:sz="4" w:space="0" w:color="000000"/>
              <w:bottom w:val="single" w:sz="4" w:space="0" w:color="000000"/>
            </w:tcBorders>
          </w:tcPr>
          <w:p>
            <w:pPr>
              <w:keepNext/>
              <w:keepLines/>
              <w:snapToGrid w:val="0"/>
              <w:jc w:val="right"/>
              <w:rPr>
                <w:noProof/>
              </w:rPr>
            </w:pPr>
            <w:r>
              <w:rPr>
                <w:noProof/>
              </w:rPr>
              <w:t xml:space="preserve"> 33,9 </w:t>
            </w:r>
          </w:p>
        </w:tc>
        <w:tc>
          <w:tcPr>
            <w:tcW w:w="1446" w:type="dxa"/>
            <w:tcBorders>
              <w:top w:val="single" w:sz="4" w:space="0" w:color="000000"/>
              <w:left w:val="single" w:sz="4" w:space="0" w:color="000000"/>
              <w:bottom w:val="single" w:sz="4" w:space="0" w:color="000000"/>
            </w:tcBorders>
          </w:tcPr>
          <w:p>
            <w:pPr>
              <w:keepNext/>
              <w:keepLines/>
              <w:snapToGrid w:val="0"/>
              <w:jc w:val="right"/>
              <w:rPr>
                <w:noProof/>
              </w:rPr>
            </w:pPr>
            <w:r>
              <w:rPr>
                <w:noProof/>
              </w:rPr>
              <w:t xml:space="preserve"> 1 733,9 </w:t>
            </w:r>
          </w:p>
        </w:tc>
        <w:tc>
          <w:tcPr>
            <w:tcW w:w="1130" w:type="dxa"/>
            <w:tcBorders>
              <w:top w:val="single" w:sz="4" w:space="0" w:color="000000"/>
              <w:left w:val="single" w:sz="4" w:space="0" w:color="000000"/>
              <w:bottom w:val="single" w:sz="4" w:space="0" w:color="000000"/>
              <w:right w:val="single" w:sz="4" w:space="0" w:color="000000"/>
            </w:tcBorders>
          </w:tcPr>
          <w:p>
            <w:pPr>
              <w:keepNext/>
              <w:keepLines/>
              <w:snapToGrid w:val="0"/>
              <w:jc w:val="right"/>
              <w:rPr>
                <w:noProof/>
              </w:rPr>
            </w:pPr>
            <w:r>
              <w:rPr>
                <w:noProof/>
              </w:rPr>
              <w:t>2,1 %</w:t>
            </w:r>
          </w:p>
        </w:tc>
      </w:tr>
      <w:tr>
        <w:trPr>
          <w:trHeight w:val="165"/>
        </w:trPr>
        <w:tc>
          <w:tcPr>
            <w:tcW w:w="2770" w:type="dxa"/>
            <w:tcBorders>
              <w:top w:val="single" w:sz="4" w:space="0" w:color="000000"/>
              <w:left w:val="single" w:sz="4" w:space="0" w:color="000000"/>
              <w:bottom w:val="single" w:sz="4" w:space="0" w:color="000000"/>
            </w:tcBorders>
          </w:tcPr>
          <w:p>
            <w:pPr>
              <w:keepNext/>
              <w:keepLines/>
              <w:snapToGrid w:val="0"/>
              <w:ind w:left="284"/>
              <w:rPr>
                <w:b/>
                <w:noProof/>
              </w:rPr>
            </w:pPr>
            <w:r>
              <w:rPr>
                <w:b/>
                <w:noProof/>
              </w:rPr>
              <w:t>EBB</w:t>
            </w:r>
          </w:p>
        </w:tc>
        <w:tc>
          <w:tcPr>
            <w:tcW w:w="1665" w:type="dxa"/>
            <w:tcBorders>
              <w:top w:val="single" w:sz="4" w:space="0" w:color="000000"/>
              <w:left w:val="single" w:sz="4" w:space="0" w:color="000000"/>
              <w:bottom w:val="single" w:sz="4" w:space="0" w:color="000000"/>
            </w:tcBorders>
          </w:tcPr>
          <w:p>
            <w:pPr>
              <w:keepNext/>
              <w:keepLines/>
              <w:snapToGrid w:val="0"/>
              <w:jc w:val="right"/>
              <w:rPr>
                <w:noProof/>
              </w:rPr>
            </w:pPr>
            <w:r>
              <w:rPr>
                <w:noProof/>
              </w:rPr>
              <w:t xml:space="preserve"> 1 141,0 </w:t>
            </w:r>
          </w:p>
        </w:tc>
        <w:tc>
          <w:tcPr>
            <w:tcW w:w="1891" w:type="dxa"/>
            <w:tcBorders>
              <w:top w:val="single" w:sz="4" w:space="0" w:color="000000"/>
              <w:left w:val="single" w:sz="4" w:space="0" w:color="000000"/>
              <w:bottom w:val="single" w:sz="4" w:space="0" w:color="000000"/>
            </w:tcBorders>
          </w:tcPr>
          <w:p>
            <w:pPr>
              <w:keepNext/>
              <w:keepLines/>
              <w:snapToGrid w:val="0"/>
              <w:jc w:val="right"/>
              <w:rPr>
                <w:noProof/>
              </w:rPr>
            </w:pPr>
            <w:r>
              <w:rPr>
                <w:noProof/>
              </w:rPr>
              <w:t xml:space="preserve"> 9,0 </w:t>
            </w:r>
          </w:p>
        </w:tc>
        <w:tc>
          <w:tcPr>
            <w:tcW w:w="1446" w:type="dxa"/>
            <w:tcBorders>
              <w:top w:val="single" w:sz="4" w:space="0" w:color="000000"/>
              <w:left w:val="single" w:sz="4" w:space="0" w:color="000000"/>
              <w:bottom w:val="single" w:sz="4" w:space="0" w:color="000000"/>
            </w:tcBorders>
          </w:tcPr>
          <w:p>
            <w:pPr>
              <w:keepNext/>
              <w:keepLines/>
              <w:snapToGrid w:val="0"/>
              <w:jc w:val="right"/>
              <w:rPr>
                <w:noProof/>
              </w:rPr>
            </w:pPr>
            <w:r>
              <w:rPr>
                <w:noProof/>
              </w:rPr>
              <w:t xml:space="preserve"> 1 150,0 </w:t>
            </w:r>
          </w:p>
        </w:tc>
        <w:tc>
          <w:tcPr>
            <w:tcW w:w="1130" w:type="dxa"/>
            <w:tcBorders>
              <w:top w:val="single" w:sz="4" w:space="0" w:color="000000"/>
              <w:left w:val="single" w:sz="4" w:space="0" w:color="000000"/>
              <w:bottom w:val="single" w:sz="4" w:space="0" w:color="000000"/>
              <w:right w:val="single" w:sz="4" w:space="0" w:color="000000"/>
            </w:tcBorders>
          </w:tcPr>
          <w:p>
            <w:pPr>
              <w:keepNext/>
              <w:keepLines/>
              <w:snapToGrid w:val="0"/>
              <w:jc w:val="right"/>
              <w:rPr>
                <w:noProof/>
              </w:rPr>
            </w:pPr>
            <w:r>
              <w:rPr>
                <w:noProof/>
              </w:rPr>
              <w:t>1,4 %</w:t>
            </w:r>
          </w:p>
        </w:tc>
      </w:tr>
      <w:tr>
        <w:trPr>
          <w:trHeight w:val="165"/>
        </w:trPr>
        <w:tc>
          <w:tcPr>
            <w:tcW w:w="2770" w:type="dxa"/>
            <w:tcBorders>
              <w:top w:val="single" w:sz="4" w:space="0" w:color="000000"/>
              <w:left w:val="single" w:sz="4" w:space="0" w:color="000000"/>
              <w:bottom w:val="single" w:sz="4" w:space="0" w:color="000000"/>
            </w:tcBorders>
          </w:tcPr>
          <w:p>
            <w:pPr>
              <w:keepNext/>
              <w:keepLines/>
              <w:snapToGrid w:val="0"/>
              <w:ind w:left="284"/>
              <w:rPr>
                <w:rStyle w:val="Added"/>
                <w:noProof/>
              </w:rPr>
            </w:pPr>
            <w:r>
              <w:rPr>
                <w:b/>
                <w:noProof/>
              </w:rPr>
              <w:t>Európai pénzügyi stabilizációs mechanizmus</w:t>
            </w:r>
          </w:p>
        </w:tc>
        <w:tc>
          <w:tcPr>
            <w:tcW w:w="1665" w:type="dxa"/>
            <w:tcBorders>
              <w:top w:val="single" w:sz="4" w:space="0" w:color="000000"/>
              <w:left w:val="single" w:sz="4" w:space="0" w:color="000000"/>
              <w:bottom w:val="single" w:sz="4" w:space="0" w:color="000000"/>
            </w:tcBorders>
          </w:tcPr>
          <w:p>
            <w:pPr>
              <w:keepNext/>
              <w:keepLines/>
              <w:snapToGrid w:val="0"/>
              <w:jc w:val="right"/>
              <w:rPr>
                <w:noProof/>
              </w:rPr>
            </w:pPr>
            <w:r>
              <w:rPr>
                <w:noProof/>
              </w:rPr>
              <w:t xml:space="preserve"> 46 800,0 </w:t>
            </w:r>
          </w:p>
        </w:tc>
        <w:tc>
          <w:tcPr>
            <w:tcW w:w="1891" w:type="dxa"/>
            <w:tcBorders>
              <w:top w:val="single" w:sz="4" w:space="0" w:color="000000"/>
              <w:left w:val="single" w:sz="4" w:space="0" w:color="000000"/>
              <w:bottom w:val="single" w:sz="4" w:space="0" w:color="000000"/>
            </w:tcBorders>
          </w:tcPr>
          <w:p>
            <w:pPr>
              <w:keepNext/>
              <w:keepLines/>
              <w:snapToGrid w:val="0"/>
              <w:jc w:val="right"/>
              <w:rPr>
                <w:noProof/>
              </w:rPr>
            </w:pPr>
            <w:r>
              <w:rPr>
                <w:noProof/>
              </w:rPr>
              <w:t xml:space="preserve"> 600,0 </w:t>
            </w:r>
          </w:p>
        </w:tc>
        <w:tc>
          <w:tcPr>
            <w:tcW w:w="1446" w:type="dxa"/>
            <w:tcBorders>
              <w:top w:val="single" w:sz="4" w:space="0" w:color="000000"/>
              <w:left w:val="single" w:sz="4" w:space="0" w:color="000000"/>
              <w:bottom w:val="single" w:sz="4" w:space="0" w:color="000000"/>
            </w:tcBorders>
          </w:tcPr>
          <w:p>
            <w:pPr>
              <w:keepNext/>
              <w:keepLines/>
              <w:snapToGrid w:val="0"/>
              <w:jc w:val="right"/>
              <w:rPr>
                <w:noProof/>
              </w:rPr>
            </w:pPr>
            <w:r>
              <w:rPr>
                <w:noProof/>
              </w:rPr>
              <w:t xml:space="preserve"> 47 400,0 </w:t>
            </w:r>
          </w:p>
        </w:tc>
        <w:tc>
          <w:tcPr>
            <w:tcW w:w="1130" w:type="dxa"/>
            <w:tcBorders>
              <w:top w:val="single" w:sz="4" w:space="0" w:color="000000"/>
              <w:left w:val="single" w:sz="4" w:space="0" w:color="000000"/>
              <w:bottom w:val="single" w:sz="4" w:space="0" w:color="000000"/>
              <w:right w:val="single" w:sz="4" w:space="0" w:color="000000"/>
            </w:tcBorders>
          </w:tcPr>
          <w:p>
            <w:pPr>
              <w:keepNext/>
              <w:keepLines/>
              <w:snapToGrid w:val="0"/>
              <w:jc w:val="right"/>
              <w:rPr>
                <w:noProof/>
              </w:rPr>
            </w:pPr>
            <w:r>
              <w:rPr>
                <w:noProof/>
              </w:rPr>
              <w:t>57,5 %</w:t>
            </w:r>
          </w:p>
        </w:tc>
      </w:tr>
      <w:tr>
        <w:trPr>
          <w:trHeight w:val="165"/>
        </w:trPr>
        <w:tc>
          <w:tcPr>
            <w:tcW w:w="2770" w:type="dxa"/>
            <w:tcBorders>
              <w:top w:val="single" w:sz="4" w:space="0" w:color="000000"/>
              <w:left w:val="single" w:sz="4" w:space="0" w:color="000000"/>
              <w:bottom w:val="single" w:sz="4" w:space="0" w:color="000000"/>
            </w:tcBorders>
          </w:tcPr>
          <w:p>
            <w:pPr>
              <w:keepNext/>
              <w:keepLines/>
              <w:snapToGrid w:val="0"/>
              <w:jc w:val="left"/>
              <w:rPr>
                <w:rStyle w:val="Added"/>
                <w:noProof/>
                <w:u w:val="none"/>
              </w:rPr>
            </w:pPr>
            <w:r>
              <w:rPr>
                <w:rStyle w:val="Added"/>
                <w:noProof/>
                <w:u w:val="none"/>
              </w:rPr>
              <w:t>Tagállamok részösszesen</w:t>
            </w:r>
            <w:r>
              <w:rPr>
                <w:b/>
                <w:noProof/>
              </w:rPr>
              <w:t>**</w:t>
            </w:r>
          </w:p>
        </w:tc>
        <w:tc>
          <w:tcPr>
            <w:tcW w:w="1665" w:type="dxa"/>
            <w:tcBorders>
              <w:top w:val="single" w:sz="4" w:space="0" w:color="000000"/>
              <w:left w:val="single" w:sz="4" w:space="0" w:color="000000"/>
              <w:bottom w:val="single" w:sz="4" w:space="0" w:color="000000"/>
            </w:tcBorders>
          </w:tcPr>
          <w:p>
            <w:pPr>
              <w:keepNext/>
              <w:keepLines/>
              <w:snapToGrid w:val="0"/>
              <w:jc w:val="right"/>
              <w:rPr>
                <w:noProof/>
              </w:rPr>
            </w:pPr>
            <w:r>
              <w:rPr>
                <w:noProof/>
              </w:rPr>
              <w:t xml:space="preserve"> 49 793,9 </w:t>
            </w:r>
          </w:p>
        </w:tc>
        <w:tc>
          <w:tcPr>
            <w:tcW w:w="1891" w:type="dxa"/>
            <w:tcBorders>
              <w:top w:val="single" w:sz="4" w:space="0" w:color="000000"/>
              <w:left w:val="single" w:sz="4" w:space="0" w:color="000000"/>
              <w:bottom w:val="single" w:sz="4" w:space="0" w:color="000000"/>
            </w:tcBorders>
          </w:tcPr>
          <w:p>
            <w:pPr>
              <w:keepNext/>
              <w:keepLines/>
              <w:snapToGrid w:val="0"/>
              <w:jc w:val="right"/>
              <w:rPr>
                <w:noProof/>
              </w:rPr>
            </w:pPr>
            <w:r>
              <w:rPr>
                <w:noProof/>
              </w:rPr>
              <w:t xml:space="preserve"> 643,3 </w:t>
            </w:r>
          </w:p>
        </w:tc>
        <w:tc>
          <w:tcPr>
            <w:tcW w:w="1446" w:type="dxa"/>
            <w:tcBorders>
              <w:top w:val="single" w:sz="4" w:space="0" w:color="000000"/>
              <w:left w:val="single" w:sz="4" w:space="0" w:color="000000"/>
              <w:bottom w:val="single" w:sz="4" w:space="0" w:color="000000"/>
            </w:tcBorders>
          </w:tcPr>
          <w:p>
            <w:pPr>
              <w:keepNext/>
              <w:keepLines/>
              <w:snapToGrid w:val="0"/>
              <w:jc w:val="right"/>
              <w:rPr>
                <w:noProof/>
              </w:rPr>
            </w:pPr>
            <w:r>
              <w:rPr>
                <w:noProof/>
              </w:rPr>
              <w:t xml:space="preserve"> 50 437,2 </w:t>
            </w:r>
          </w:p>
        </w:tc>
        <w:tc>
          <w:tcPr>
            <w:tcW w:w="1130" w:type="dxa"/>
            <w:tcBorders>
              <w:top w:val="single" w:sz="4" w:space="0" w:color="000000"/>
              <w:left w:val="single" w:sz="4" w:space="0" w:color="000000"/>
              <w:bottom w:val="single" w:sz="4" w:space="0" w:color="000000"/>
              <w:right w:val="single" w:sz="4" w:space="0" w:color="000000"/>
            </w:tcBorders>
          </w:tcPr>
          <w:p>
            <w:pPr>
              <w:keepNext/>
              <w:keepLines/>
              <w:snapToGrid w:val="0"/>
              <w:jc w:val="right"/>
              <w:rPr>
                <w:noProof/>
              </w:rPr>
            </w:pPr>
            <w:r>
              <w:rPr>
                <w:noProof/>
              </w:rPr>
              <w:t>61,2 %</w:t>
            </w:r>
          </w:p>
        </w:tc>
      </w:tr>
      <w:tr>
        <w:trPr>
          <w:trHeight w:val="165"/>
        </w:trPr>
        <w:tc>
          <w:tcPr>
            <w:tcW w:w="2770" w:type="dxa"/>
            <w:tcBorders>
              <w:top w:val="single" w:sz="4" w:space="0" w:color="000000"/>
              <w:left w:val="single" w:sz="4" w:space="0" w:color="000000"/>
              <w:bottom w:val="single" w:sz="4" w:space="0" w:color="000000"/>
            </w:tcBorders>
          </w:tcPr>
          <w:p>
            <w:pPr>
              <w:keepNext/>
              <w:keepLines/>
              <w:snapToGrid w:val="0"/>
              <w:rPr>
                <w:noProof/>
                <w:sz w:val="20"/>
              </w:rPr>
            </w:pPr>
            <w:r>
              <w:rPr>
                <w:rStyle w:val="Added"/>
                <w:noProof/>
                <w:u w:val="none"/>
              </w:rPr>
              <w:t>Harmadik országok</w:t>
            </w:r>
            <w:r>
              <w:rPr>
                <w:noProof/>
                <w:sz w:val="20"/>
              </w:rPr>
              <w:t>***</w:t>
            </w:r>
          </w:p>
        </w:tc>
        <w:tc>
          <w:tcPr>
            <w:tcW w:w="1665" w:type="dxa"/>
            <w:tcBorders>
              <w:top w:val="single" w:sz="4" w:space="0" w:color="000000"/>
              <w:left w:val="single" w:sz="4" w:space="0" w:color="000000"/>
              <w:bottom w:val="single" w:sz="4" w:space="0" w:color="000000"/>
            </w:tcBorders>
          </w:tcPr>
          <w:p>
            <w:pPr>
              <w:keepNext/>
              <w:keepLines/>
              <w:snapToGrid w:val="0"/>
              <w:jc w:val="right"/>
              <w:rPr>
                <w:noProof/>
              </w:rPr>
            </w:pPr>
          </w:p>
        </w:tc>
        <w:tc>
          <w:tcPr>
            <w:tcW w:w="1891" w:type="dxa"/>
            <w:tcBorders>
              <w:top w:val="single" w:sz="4" w:space="0" w:color="000000"/>
              <w:left w:val="single" w:sz="4" w:space="0" w:color="000000"/>
              <w:bottom w:val="single" w:sz="4" w:space="0" w:color="000000"/>
            </w:tcBorders>
          </w:tcPr>
          <w:p>
            <w:pPr>
              <w:keepNext/>
              <w:keepLines/>
              <w:snapToGrid w:val="0"/>
              <w:jc w:val="right"/>
              <w:rPr>
                <w:noProof/>
              </w:rPr>
            </w:pPr>
          </w:p>
        </w:tc>
        <w:tc>
          <w:tcPr>
            <w:tcW w:w="1446" w:type="dxa"/>
            <w:tcBorders>
              <w:top w:val="single" w:sz="4" w:space="0" w:color="000000"/>
              <w:left w:val="single" w:sz="4" w:space="0" w:color="000000"/>
              <w:bottom w:val="single" w:sz="4" w:space="0" w:color="000000"/>
            </w:tcBorders>
          </w:tcPr>
          <w:p>
            <w:pPr>
              <w:keepNext/>
              <w:keepLines/>
              <w:snapToGrid w:val="0"/>
              <w:jc w:val="right"/>
              <w:rPr>
                <w:noProof/>
              </w:rPr>
            </w:pPr>
          </w:p>
        </w:tc>
        <w:tc>
          <w:tcPr>
            <w:tcW w:w="1130" w:type="dxa"/>
            <w:tcBorders>
              <w:top w:val="single" w:sz="4" w:space="0" w:color="000000"/>
              <w:left w:val="single" w:sz="4" w:space="0" w:color="000000"/>
              <w:bottom w:val="single" w:sz="4" w:space="0" w:color="000000"/>
              <w:right w:val="single" w:sz="4" w:space="0" w:color="000000"/>
            </w:tcBorders>
          </w:tcPr>
          <w:p>
            <w:pPr>
              <w:keepNext/>
              <w:keepLines/>
              <w:snapToGrid w:val="0"/>
              <w:jc w:val="right"/>
              <w:rPr>
                <w:noProof/>
              </w:rPr>
            </w:pPr>
          </w:p>
        </w:tc>
      </w:tr>
      <w:tr>
        <w:trPr>
          <w:trHeight w:val="165"/>
        </w:trPr>
        <w:tc>
          <w:tcPr>
            <w:tcW w:w="2770" w:type="dxa"/>
            <w:tcBorders>
              <w:top w:val="single" w:sz="4" w:space="0" w:color="000000"/>
              <w:left w:val="single" w:sz="4" w:space="0" w:color="000000"/>
              <w:bottom w:val="single" w:sz="4" w:space="0" w:color="000000"/>
            </w:tcBorders>
          </w:tcPr>
          <w:p>
            <w:pPr>
              <w:keepNext/>
              <w:keepLines/>
              <w:snapToGrid w:val="0"/>
              <w:ind w:left="284"/>
              <w:rPr>
                <w:b/>
                <w:noProof/>
              </w:rPr>
            </w:pPr>
            <w:r>
              <w:rPr>
                <w:b/>
                <w:noProof/>
              </w:rPr>
              <w:t>Makroszintű pénzügyi támogatás</w:t>
            </w:r>
          </w:p>
        </w:tc>
        <w:tc>
          <w:tcPr>
            <w:tcW w:w="1665" w:type="dxa"/>
            <w:tcBorders>
              <w:top w:val="single" w:sz="4" w:space="0" w:color="000000"/>
              <w:left w:val="single" w:sz="4" w:space="0" w:color="000000"/>
              <w:bottom w:val="single" w:sz="4" w:space="0" w:color="000000"/>
            </w:tcBorders>
          </w:tcPr>
          <w:p>
            <w:pPr>
              <w:keepNext/>
              <w:keepLines/>
              <w:snapToGrid w:val="0"/>
              <w:jc w:val="right"/>
              <w:rPr>
                <w:noProof/>
              </w:rPr>
            </w:pPr>
            <w:r>
              <w:rPr>
                <w:noProof/>
              </w:rPr>
              <w:t xml:space="preserve"> 4 360,7 </w:t>
            </w:r>
          </w:p>
        </w:tc>
        <w:tc>
          <w:tcPr>
            <w:tcW w:w="1891" w:type="dxa"/>
            <w:tcBorders>
              <w:top w:val="single" w:sz="4" w:space="0" w:color="000000"/>
              <w:left w:val="single" w:sz="4" w:space="0" w:color="000000"/>
              <w:bottom w:val="single" w:sz="4" w:space="0" w:color="000000"/>
            </w:tcBorders>
          </w:tcPr>
          <w:p>
            <w:pPr>
              <w:keepNext/>
              <w:keepLines/>
              <w:snapToGrid w:val="0"/>
              <w:jc w:val="right"/>
              <w:rPr>
                <w:noProof/>
              </w:rPr>
            </w:pPr>
            <w:r>
              <w:rPr>
                <w:noProof/>
              </w:rPr>
              <w:t xml:space="preserve"> 26,8 </w:t>
            </w:r>
          </w:p>
        </w:tc>
        <w:tc>
          <w:tcPr>
            <w:tcW w:w="1446" w:type="dxa"/>
            <w:tcBorders>
              <w:top w:val="single" w:sz="4" w:space="0" w:color="000000"/>
              <w:left w:val="single" w:sz="4" w:space="0" w:color="000000"/>
              <w:bottom w:val="single" w:sz="4" w:space="0" w:color="000000"/>
            </w:tcBorders>
          </w:tcPr>
          <w:p>
            <w:pPr>
              <w:keepNext/>
              <w:keepLines/>
              <w:snapToGrid w:val="0"/>
              <w:jc w:val="right"/>
              <w:rPr>
                <w:noProof/>
              </w:rPr>
            </w:pPr>
            <w:r>
              <w:rPr>
                <w:noProof/>
              </w:rPr>
              <w:t xml:space="preserve"> 4 387,6 </w:t>
            </w:r>
          </w:p>
        </w:tc>
        <w:tc>
          <w:tcPr>
            <w:tcW w:w="1130" w:type="dxa"/>
            <w:tcBorders>
              <w:top w:val="single" w:sz="4" w:space="0" w:color="000000"/>
              <w:left w:val="single" w:sz="4" w:space="0" w:color="000000"/>
              <w:bottom w:val="single" w:sz="4" w:space="0" w:color="000000"/>
              <w:right w:val="single" w:sz="4" w:space="0" w:color="000000"/>
            </w:tcBorders>
          </w:tcPr>
          <w:p>
            <w:pPr>
              <w:keepNext/>
              <w:keepLines/>
              <w:snapToGrid w:val="0"/>
              <w:jc w:val="right"/>
              <w:rPr>
                <w:noProof/>
              </w:rPr>
            </w:pPr>
            <w:r>
              <w:rPr>
                <w:noProof/>
              </w:rPr>
              <w:t>5,3 %</w:t>
            </w:r>
          </w:p>
        </w:tc>
      </w:tr>
      <w:tr>
        <w:trPr>
          <w:trHeight w:val="165"/>
        </w:trPr>
        <w:tc>
          <w:tcPr>
            <w:tcW w:w="2770" w:type="dxa"/>
            <w:tcBorders>
              <w:top w:val="single" w:sz="4" w:space="0" w:color="000000"/>
              <w:left w:val="single" w:sz="4" w:space="0" w:color="000000"/>
              <w:bottom w:val="single" w:sz="4" w:space="0" w:color="000000"/>
            </w:tcBorders>
          </w:tcPr>
          <w:p>
            <w:pPr>
              <w:keepNext/>
              <w:keepLines/>
              <w:snapToGrid w:val="0"/>
              <w:ind w:left="284"/>
              <w:rPr>
                <w:b/>
                <w:noProof/>
              </w:rPr>
            </w:pPr>
            <w:r>
              <w:rPr>
                <w:b/>
                <w:noProof/>
              </w:rPr>
              <w:t>Euratom</w:t>
            </w:r>
          </w:p>
        </w:tc>
        <w:tc>
          <w:tcPr>
            <w:tcW w:w="1665" w:type="dxa"/>
            <w:tcBorders>
              <w:top w:val="single" w:sz="4" w:space="0" w:color="000000"/>
              <w:left w:val="single" w:sz="4" w:space="0" w:color="000000"/>
              <w:bottom w:val="single" w:sz="4" w:space="0" w:color="000000"/>
            </w:tcBorders>
          </w:tcPr>
          <w:p>
            <w:pPr>
              <w:keepNext/>
              <w:keepLines/>
              <w:snapToGrid w:val="0"/>
              <w:jc w:val="right"/>
              <w:rPr>
                <w:noProof/>
              </w:rPr>
            </w:pPr>
            <w:r>
              <w:rPr>
                <w:noProof/>
              </w:rPr>
              <w:t xml:space="preserve"> 100,0 </w:t>
            </w:r>
          </w:p>
        </w:tc>
        <w:tc>
          <w:tcPr>
            <w:tcW w:w="1891" w:type="dxa"/>
            <w:tcBorders>
              <w:top w:val="single" w:sz="4" w:space="0" w:color="000000"/>
              <w:left w:val="single" w:sz="4" w:space="0" w:color="000000"/>
              <w:bottom w:val="single" w:sz="4" w:space="0" w:color="000000"/>
            </w:tcBorders>
          </w:tcPr>
          <w:p>
            <w:pPr>
              <w:keepNext/>
              <w:keepLines/>
              <w:snapToGrid w:val="0"/>
              <w:jc w:val="right"/>
              <w:rPr>
                <w:noProof/>
              </w:rPr>
            </w:pPr>
            <w:r>
              <w:rPr>
                <w:noProof/>
              </w:rPr>
              <w:t xml:space="preserve"> 0,5 </w:t>
            </w:r>
          </w:p>
        </w:tc>
        <w:tc>
          <w:tcPr>
            <w:tcW w:w="1446" w:type="dxa"/>
            <w:tcBorders>
              <w:top w:val="single" w:sz="4" w:space="0" w:color="000000"/>
              <w:left w:val="single" w:sz="4" w:space="0" w:color="000000"/>
              <w:bottom w:val="single" w:sz="4" w:space="0" w:color="000000"/>
            </w:tcBorders>
          </w:tcPr>
          <w:p>
            <w:pPr>
              <w:keepNext/>
              <w:keepLines/>
              <w:snapToGrid w:val="0"/>
              <w:jc w:val="right"/>
              <w:rPr>
                <w:noProof/>
              </w:rPr>
            </w:pPr>
            <w:r>
              <w:rPr>
                <w:noProof/>
              </w:rPr>
              <w:t xml:space="preserve"> 100,5 </w:t>
            </w:r>
          </w:p>
        </w:tc>
        <w:tc>
          <w:tcPr>
            <w:tcW w:w="1130" w:type="dxa"/>
            <w:tcBorders>
              <w:top w:val="single" w:sz="4" w:space="0" w:color="000000"/>
              <w:left w:val="single" w:sz="4" w:space="0" w:color="000000"/>
              <w:bottom w:val="single" w:sz="4" w:space="0" w:color="000000"/>
              <w:right w:val="single" w:sz="4" w:space="0" w:color="000000"/>
            </w:tcBorders>
          </w:tcPr>
          <w:p>
            <w:pPr>
              <w:keepNext/>
              <w:keepLines/>
              <w:snapToGrid w:val="0"/>
              <w:jc w:val="right"/>
              <w:rPr>
                <w:noProof/>
              </w:rPr>
            </w:pPr>
            <w:r>
              <w:rPr>
                <w:noProof/>
              </w:rPr>
              <w:t>0,1 %</w:t>
            </w:r>
          </w:p>
        </w:tc>
      </w:tr>
      <w:tr>
        <w:trPr>
          <w:trHeight w:val="165"/>
        </w:trPr>
        <w:tc>
          <w:tcPr>
            <w:tcW w:w="2770" w:type="dxa"/>
            <w:tcBorders>
              <w:top w:val="single" w:sz="4" w:space="0" w:color="000000"/>
              <w:left w:val="single" w:sz="4" w:space="0" w:color="000000"/>
              <w:bottom w:val="single" w:sz="4" w:space="0" w:color="000000"/>
            </w:tcBorders>
          </w:tcPr>
          <w:p>
            <w:pPr>
              <w:keepNext/>
              <w:keepLines/>
              <w:snapToGrid w:val="0"/>
              <w:ind w:left="284"/>
              <w:rPr>
                <w:b/>
                <w:noProof/>
              </w:rPr>
            </w:pPr>
            <w:r>
              <w:rPr>
                <w:b/>
                <w:noProof/>
              </w:rPr>
              <w:t>EBB****</w:t>
            </w:r>
          </w:p>
        </w:tc>
        <w:tc>
          <w:tcPr>
            <w:tcW w:w="1665" w:type="dxa"/>
            <w:tcBorders>
              <w:top w:val="single" w:sz="4" w:space="0" w:color="000000"/>
              <w:left w:val="single" w:sz="4" w:space="0" w:color="000000"/>
              <w:bottom w:val="single" w:sz="4" w:space="0" w:color="000000"/>
            </w:tcBorders>
          </w:tcPr>
          <w:p>
            <w:pPr>
              <w:keepNext/>
              <w:keepLines/>
              <w:snapToGrid w:val="0"/>
              <w:jc w:val="right"/>
              <w:rPr>
                <w:noProof/>
              </w:rPr>
            </w:pPr>
            <w:r>
              <w:rPr>
                <w:noProof/>
              </w:rPr>
              <w:t xml:space="preserve"> 27 395,2 </w:t>
            </w:r>
          </w:p>
        </w:tc>
        <w:tc>
          <w:tcPr>
            <w:tcW w:w="1891" w:type="dxa"/>
            <w:tcBorders>
              <w:top w:val="single" w:sz="4" w:space="0" w:color="000000"/>
              <w:left w:val="single" w:sz="4" w:space="0" w:color="000000"/>
              <w:bottom w:val="single" w:sz="4" w:space="0" w:color="000000"/>
            </w:tcBorders>
          </w:tcPr>
          <w:p>
            <w:pPr>
              <w:keepNext/>
              <w:keepLines/>
              <w:snapToGrid w:val="0"/>
              <w:jc w:val="right"/>
              <w:rPr>
                <w:noProof/>
              </w:rPr>
            </w:pPr>
            <w:r>
              <w:rPr>
                <w:noProof/>
              </w:rPr>
              <w:t xml:space="preserve"> 147,6 </w:t>
            </w:r>
          </w:p>
        </w:tc>
        <w:tc>
          <w:tcPr>
            <w:tcW w:w="1446" w:type="dxa"/>
            <w:tcBorders>
              <w:top w:val="single" w:sz="4" w:space="0" w:color="000000"/>
              <w:left w:val="single" w:sz="4" w:space="0" w:color="000000"/>
              <w:bottom w:val="single" w:sz="4" w:space="0" w:color="000000"/>
            </w:tcBorders>
          </w:tcPr>
          <w:p>
            <w:pPr>
              <w:keepNext/>
              <w:keepLines/>
              <w:snapToGrid w:val="0"/>
              <w:jc w:val="right"/>
              <w:rPr>
                <w:noProof/>
              </w:rPr>
            </w:pPr>
            <w:r>
              <w:rPr>
                <w:noProof/>
              </w:rPr>
              <w:t xml:space="preserve"> 27 542,8 </w:t>
            </w:r>
          </w:p>
        </w:tc>
        <w:tc>
          <w:tcPr>
            <w:tcW w:w="1130" w:type="dxa"/>
            <w:tcBorders>
              <w:top w:val="single" w:sz="4" w:space="0" w:color="000000"/>
              <w:left w:val="single" w:sz="4" w:space="0" w:color="000000"/>
              <w:bottom w:val="single" w:sz="4" w:space="0" w:color="000000"/>
              <w:right w:val="single" w:sz="4" w:space="0" w:color="000000"/>
            </w:tcBorders>
          </w:tcPr>
          <w:p>
            <w:pPr>
              <w:keepNext/>
              <w:keepLines/>
              <w:snapToGrid w:val="0"/>
              <w:jc w:val="right"/>
              <w:rPr>
                <w:noProof/>
              </w:rPr>
            </w:pPr>
            <w:r>
              <w:rPr>
                <w:noProof/>
              </w:rPr>
              <w:t>33,4 %</w:t>
            </w:r>
          </w:p>
        </w:tc>
      </w:tr>
      <w:tr>
        <w:trPr>
          <w:trHeight w:val="165"/>
        </w:trPr>
        <w:tc>
          <w:tcPr>
            <w:tcW w:w="2770" w:type="dxa"/>
            <w:tcBorders>
              <w:top w:val="single" w:sz="4" w:space="0" w:color="000000"/>
              <w:left w:val="single" w:sz="4" w:space="0" w:color="000000"/>
              <w:bottom w:val="single" w:sz="4" w:space="0" w:color="000000"/>
            </w:tcBorders>
          </w:tcPr>
          <w:p>
            <w:pPr>
              <w:keepNext/>
              <w:keepLines/>
              <w:snapToGrid w:val="0"/>
              <w:rPr>
                <w:b/>
                <w:noProof/>
              </w:rPr>
            </w:pPr>
            <w:r>
              <w:rPr>
                <w:b/>
                <w:noProof/>
              </w:rPr>
              <w:t>Harmadik országok részösszesen</w:t>
            </w:r>
          </w:p>
        </w:tc>
        <w:tc>
          <w:tcPr>
            <w:tcW w:w="1665" w:type="dxa"/>
            <w:tcBorders>
              <w:top w:val="single" w:sz="4" w:space="0" w:color="000000"/>
              <w:left w:val="single" w:sz="4" w:space="0" w:color="000000"/>
              <w:bottom w:val="single" w:sz="4" w:space="0" w:color="000000"/>
            </w:tcBorders>
          </w:tcPr>
          <w:p>
            <w:pPr>
              <w:keepNext/>
              <w:keepLines/>
              <w:snapToGrid w:val="0"/>
              <w:jc w:val="right"/>
              <w:rPr>
                <w:noProof/>
              </w:rPr>
            </w:pPr>
            <w:r>
              <w:rPr>
                <w:noProof/>
              </w:rPr>
              <w:t xml:space="preserve"> 31 855,9 </w:t>
            </w:r>
          </w:p>
        </w:tc>
        <w:tc>
          <w:tcPr>
            <w:tcW w:w="1891" w:type="dxa"/>
            <w:tcBorders>
              <w:top w:val="single" w:sz="4" w:space="0" w:color="000000"/>
              <w:left w:val="single" w:sz="4" w:space="0" w:color="000000"/>
              <w:bottom w:val="single" w:sz="4" w:space="0" w:color="000000"/>
            </w:tcBorders>
          </w:tcPr>
          <w:p>
            <w:pPr>
              <w:keepNext/>
              <w:keepLines/>
              <w:snapToGrid w:val="0"/>
              <w:jc w:val="right"/>
              <w:rPr>
                <w:noProof/>
              </w:rPr>
            </w:pPr>
            <w:r>
              <w:rPr>
                <w:noProof/>
              </w:rPr>
              <w:t xml:space="preserve"> 174,9 </w:t>
            </w:r>
          </w:p>
        </w:tc>
        <w:tc>
          <w:tcPr>
            <w:tcW w:w="1446" w:type="dxa"/>
            <w:tcBorders>
              <w:top w:val="single" w:sz="4" w:space="0" w:color="000000"/>
              <w:left w:val="single" w:sz="4" w:space="0" w:color="000000"/>
              <w:bottom w:val="single" w:sz="4" w:space="0" w:color="000000"/>
            </w:tcBorders>
          </w:tcPr>
          <w:p>
            <w:pPr>
              <w:keepNext/>
              <w:keepLines/>
              <w:snapToGrid w:val="0"/>
              <w:jc w:val="right"/>
              <w:rPr>
                <w:noProof/>
              </w:rPr>
            </w:pPr>
            <w:r>
              <w:rPr>
                <w:noProof/>
              </w:rPr>
              <w:t xml:space="preserve"> 32 030,9 </w:t>
            </w:r>
          </w:p>
        </w:tc>
        <w:tc>
          <w:tcPr>
            <w:tcW w:w="1130" w:type="dxa"/>
            <w:tcBorders>
              <w:top w:val="single" w:sz="4" w:space="0" w:color="000000"/>
              <w:left w:val="single" w:sz="4" w:space="0" w:color="000000"/>
              <w:bottom w:val="single" w:sz="4" w:space="0" w:color="000000"/>
              <w:right w:val="single" w:sz="4" w:space="0" w:color="000000"/>
            </w:tcBorders>
          </w:tcPr>
          <w:p>
            <w:pPr>
              <w:keepNext/>
              <w:keepLines/>
              <w:snapToGrid w:val="0"/>
              <w:jc w:val="right"/>
              <w:rPr>
                <w:noProof/>
              </w:rPr>
            </w:pPr>
            <w:r>
              <w:rPr>
                <w:noProof/>
              </w:rPr>
              <w:t>38,8 %</w:t>
            </w:r>
          </w:p>
        </w:tc>
      </w:tr>
      <w:tr>
        <w:trPr>
          <w:trHeight w:val="165"/>
        </w:trPr>
        <w:tc>
          <w:tcPr>
            <w:tcW w:w="2770" w:type="dxa"/>
            <w:tcBorders>
              <w:top w:val="single" w:sz="4" w:space="0" w:color="000000"/>
              <w:left w:val="single" w:sz="4" w:space="0" w:color="000000"/>
              <w:bottom w:val="single" w:sz="4" w:space="0" w:color="000000"/>
            </w:tcBorders>
          </w:tcPr>
          <w:p>
            <w:pPr>
              <w:keepNext/>
              <w:keepLines/>
              <w:snapToGrid w:val="0"/>
              <w:rPr>
                <w:b/>
                <w:noProof/>
              </w:rPr>
            </w:pPr>
            <w:r>
              <w:rPr>
                <w:b/>
                <w:noProof/>
              </w:rPr>
              <w:t>Összesen</w:t>
            </w:r>
          </w:p>
        </w:tc>
        <w:tc>
          <w:tcPr>
            <w:tcW w:w="1665" w:type="dxa"/>
            <w:tcBorders>
              <w:top w:val="single" w:sz="4" w:space="0" w:color="000000"/>
              <w:left w:val="single" w:sz="4" w:space="0" w:color="000000"/>
              <w:bottom w:val="single" w:sz="4" w:space="0" w:color="000000"/>
            </w:tcBorders>
          </w:tcPr>
          <w:p>
            <w:pPr>
              <w:keepNext/>
              <w:keepLines/>
              <w:snapToGrid w:val="0"/>
              <w:jc w:val="right"/>
              <w:rPr>
                <w:b/>
                <w:noProof/>
              </w:rPr>
            </w:pPr>
            <w:r>
              <w:rPr>
                <w:noProof/>
              </w:rPr>
              <w:t xml:space="preserve"> 81 649,9 </w:t>
            </w:r>
          </w:p>
        </w:tc>
        <w:tc>
          <w:tcPr>
            <w:tcW w:w="1891" w:type="dxa"/>
            <w:tcBorders>
              <w:top w:val="single" w:sz="4" w:space="0" w:color="000000"/>
              <w:left w:val="single" w:sz="4" w:space="0" w:color="000000"/>
              <w:bottom w:val="single" w:sz="4" w:space="0" w:color="000000"/>
            </w:tcBorders>
          </w:tcPr>
          <w:p>
            <w:pPr>
              <w:keepNext/>
              <w:keepLines/>
              <w:snapToGrid w:val="0"/>
              <w:jc w:val="right"/>
              <w:rPr>
                <w:b/>
                <w:noProof/>
              </w:rPr>
            </w:pPr>
            <w:r>
              <w:rPr>
                <w:noProof/>
              </w:rPr>
              <w:t xml:space="preserve"> 818,2 </w:t>
            </w:r>
          </w:p>
        </w:tc>
        <w:tc>
          <w:tcPr>
            <w:tcW w:w="1446" w:type="dxa"/>
            <w:tcBorders>
              <w:top w:val="single" w:sz="4" w:space="0" w:color="000000"/>
              <w:left w:val="single" w:sz="4" w:space="0" w:color="000000"/>
              <w:bottom w:val="single" w:sz="4" w:space="0" w:color="000000"/>
            </w:tcBorders>
          </w:tcPr>
          <w:p>
            <w:pPr>
              <w:keepNext/>
              <w:keepLines/>
              <w:snapToGrid w:val="0"/>
              <w:jc w:val="right"/>
              <w:rPr>
                <w:b/>
                <w:noProof/>
              </w:rPr>
            </w:pPr>
            <w:r>
              <w:rPr>
                <w:noProof/>
              </w:rPr>
              <w:t xml:space="preserve"> 82 468,1 </w:t>
            </w:r>
          </w:p>
        </w:tc>
        <w:tc>
          <w:tcPr>
            <w:tcW w:w="1130" w:type="dxa"/>
            <w:tcBorders>
              <w:top w:val="single" w:sz="4" w:space="0" w:color="000000"/>
              <w:left w:val="single" w:sz="4" w:space="0" w:color="000000"/>
              <w:bottom w:val="single" w:sz="4" w:space="0" w:color="000000"/>
              <w:right w:val="single" w:sz="4" w:space="0" w:color="000000"/>
            </w:tcBorders>
          </w:tcPr>
          <w:p>
            <w:pPr>
              <w:keepNext/>
              <w:keepLines/>
              <w:snapToGrid w:val="0"/>
              <w:jc w:val="right"/>
              <w:rPr>
                <w:b/>
                <w:noProof/>
              </w:rPr>
            </w:pPr>
            <w:r>
              <w:rPr>
                <w:noProof/>
              </w:rPr>
              <w:t>100 %</w:t>
            </w:r>
          </w:p>
        </w:tc>
      </w:tr>
      <w:tr>
        <w:trPr>
          <w:trHeight w:val="284"/>
        </w:trPr>
        <w:tc>
          <w:tcPr>
            <w:tcW w:w="8902" w:type="dxa"/>
            <w:gridSpan w:val="5"/>
            <w:tcBorders>
              <w:top w:val="single" w:sz="4" w:space="0" w:color="000000"/>
              <w:left w:val="single" w:sz="4" w:space="0" w:color="000000"/>
              <w:bottom w:val="single" w:sz="4" w:space="0" w:color="000000"/>
              <w:right w:val="single" w:sz="4" w:space="0" w:color="000000"/>
            </w:tcBorders>
          </w:tcPr>
          <w:p>
            <w:pPr>
              <w:tabs>
                <w:tab w:val="left" w:pos="431"/>
              </w:tabs>
              <w:snapToGrid w:val="0"/>
              <w:spacing w:after="0"/>
              <w:ind w:left="431" w:hanging="426"/>
              <w:rPr>
                <w:noProof/>
                <w:sz w:val="20"/>
              </w:rPr>
            </w:pPr>
            <w:r>
              <w:rPr>
                <w:noProof/>
                <w:sz w:val="20"/>
              </w:rPr>
              <w:t>*</w:t>
            </w:r>
            <w:r>
              <w:rPr>
                <w:noProof/>
                <w:sz w:val="20"/>
              </w:rPr>
              <w:tab/>
              <w:t>Az uniós költségvetés által közvetlenül fedezett kockázat. Ide tartoznak az Euratom és az EBB által a tagállamoknak uniós csatlakozásukat megelőzően nyújtott hitelek is.</w:t>
            </w:r>
          </w:p>
          <w:p>
            <w:pPr>
              <w:tabs>
                <w:tab w:val="left" w:pos="431"/>
              </w:tabs>
              <w:snapToGrid w:val="0"/>
              <w:spacing w:after="0"/>
              <w:ind w:left="431" w:hanging="426"/>
              <w:rPr>
                <w:noProof/>
                <w:sz w:val="20"/>
              </w:rPr>
            </w:pPr>
            <w:r>
              <w:rPr>
                <w:noProof/>
                <w:sz w:val="20"/>
              </w:rPr>
              <w:t>**</w:t>
            </w:r>
            <w:r>
              <w:rPr>
                <w:noProof/>
                <w:sz w:val="20"/>
              </w:rPr>
              <w:tab/>
              <w:t>Ezek az adatok nem tartalmazzák az ESBA-műveleteket, amelyek keretében a jelentés napjáig 15,8 milliárd EUR-t folyósítottak.</w:t>
            </w:r>
          </w:p>
          <w:p>
            <w:pPr>
              <w:tabs>
                <w:tab w:val="left" w:pos="431"/>
              </w:tabs>
              <w:spacing w:after="0"/>
              <w:ind w:left="431" w:hanging="426"/>
              <w:rPr>
                <w:noProof/>
                <w:sz w:val="20"/>
              </w:rPr>
            </w:pPr>
            <w:r>
              <w:rPr>
                <w:noProof/>
                <w:sz w:val="20"/>
              </w:rPr>
              <w:t>***</w:t>
            </w:r>
            <w:r>
              <w:rPr>
                <w:noProof/>
                <w:sz w:val="20"/>
              </w:rPr>
              <w:tab/>
              <w:t>Az alap által fedezett kockázat az egyes külső hitelezési megbízatások keretében az EBB-nek nyújtott garanciák korlátai miatt legfeljebb 18 milliárd EUR (lásd a kapcsolódó bizottsági szolgálati munkadokumentum 2.1.3. szakaszát az EBB-nek nyújtott garanciákról).</w:t>
            </w:r>
          </w:p>
          <w:p>
            <w:pPr>
              <w:tabs>
                <w:tab w:val="left" w:pos="431"/>
              </w:tabs>
              <w:spacing w:after="0"/>
              <w:ind w:left="431" w:hanging="426"/>
              <w:rPr>
                <w:noProof/>
                <w:sz w:val="20"/>
              </w:rPr>
            </w:pPr>
            <w:r>
              <w:rPr>
                <w:noProof/>
                <w:sz w:val="20"/>
              </w:rPr>
              <w:t>****</w:t>
            </w:r>
            <w:r>
              <w:rPr>
                <w:noProof/>
                <w:sz w:val="20"/>
              </w:rPr>
              <w:tab/>
              <w:t xml:space="preserve">Magában foglalja az EBB-hitelek szíriai és tunéziai (Enfidha) nemteljesítését követően az EU-ra átruházott hiteleket. (összeg: 502,02 millió EUR, beleértve a tőketartozást, a felhalmozódott kamatot és a büntetőkamatokat). E hitelek összegét az Európai Unió 2015., 2016., 2017. és 2018. évi pénzügyi kimutatásaiban teljes mértékben leírták értékvesztésként. </w:t>
            </w:r>
          </w:p>
        </w:tc>
      </w:tr>
    </w:tbl>
    <w:p>
      <w:pPr>
        <w:rPr>
          <w:noProof/>
        </w:rPr>
      </w:pPr>
      <w:r>
        <w:rPr>
          <w:noProof/>
        </w:rPr>
        <w:t>A bizottsági szolgálati munkadokumentum A1., A2a., A2b. és A3. táblázata további részletekkel szolgál ezekről a kinnlevő összegekről, különösen a hitelek felső határáról, a folyósított összegekről és a garanciarátákról.</w:t>
      </w:r>
    </w:p>
    <w:p>
      <w:pPr>
        <w:pStyle w:val="ManualHeading2"/>
        <w:tabs>
          <w:tab w:val="clear" w:pos="850"/>
        </w:tabs>
        <w:ind w:left="567" w:hanging="567"/>
        <w:rPr>
          <w:noProof/>
        </w:rPr>
      </w:pPr>
      <w:bookmarkStart w:id="10" w:name="_Toc21506650"/>
      <w:r>
        <w:rPr>
          <w:noProof/>
        </w:rPr>
        <w:t>3.1.</w:t>
      </w:r>
      <w:r>
        <w:rPr>
          <w:noProof/>
        </w:rPr>
        <w:tab/>
        <w:t>A Bizottság által közvetlenül irányított műveletek</w:t>
      </w:r>
      <w:bookmarkEnd w:id="10"/>
      <w:r>
        <w:rPr>
          <w:noProof/>
        </w:rPr>
        <w:t xml:space="preserve"> </w:t>
      </w:r>
    </w:p>
    <w:p>
      <w:pPr>
        <w:rPr>
          <w:noProof/>
        </w:rPr>
      </w:pPr>
      <w:r>
        <w:rPr>
          <w:noProof/>
        </w:rPr>
        <w:t>A Bizottság az adott célkitűzéstől függően különböző tanácsi, illetve tanácsi és európai parlamenti jogi aktusok alapján nyújt a harmadik országoknak és a tagállamoknak pénzügyi támogatásokat, amelyekre tőkepiaci finanszírozású, az uniós költségvetés garanciája által biztosított kétoldalú kölcsönök formájában kerül sor. A harmadik országoknak nyújtott pénzügyi támogatás és az uniós külpolitikához kapcsolódó fő célkitűzések közötti összhangról a Bizottság és – az Európai Külügyi Szolgálat (a továbbiakban: EKSZ) segítségével – az Unió külügyi és biztonságpolitikai főképviselője gondoskodik.</w:t>
      </w:r>
    </w:p>
    <w:p>
      <w:pPr>
        <w:spacing w:after="240"/>
        <w:rPr>
          <w:noProof/>
        </w:rPr>
      </w:pPr>
      <w:r>
        <w:rPr>
          <w:noProof/>
        </w:rPr>
        <w:t>A Tanács által jóváhagyott hitelezési tevékenységekhez szükséges finanszírozási forrásokat ezért a Bizottság jogosult mind az Európai Unió, mind az Euratom nevében a tőkepiacon beszerezni. A forrásbevonás és a hitelezés fedezeti (back-to-back) műveletként történik, ami biztosítja, hogy az uniós költségvetést ne terhelje kamat- és devizaárfolyam-kockázat. A bevont források a kihelyezett kölcsönökhöz igazodnak.</w:t>
      </w:r>
    </w:p>
    <w:p>
      <w:pPr>
        <w:keepNext/>
        <w:spacing w:after="0"/>
        <w:rPr>
          <w:noProof/>
          <w:sz w:val="20"/>
          <w:szCs w:val="20"/>
        </w:rPr>
      </w:pPr>
      <w:r>
        <w:rPr>
          <w:noProof/>
          <w:sz w:val="20"/>
          <w:szCs w:val="20"/>
        </w:rPr>
        <w:t>1b. táblázat: Uniós műveletek 2018-ban (millió EUR)</w:t>
      </w:r>
    </w:p>
    <w:p>
      <w:pPr>
        <w:keepNext/>
        <w:spacing w:after="0"/>
        <w:rPr>
          <w:noProof/>
          <w:sz w:val="20"/>
          <w:szCs w:val="20"/>
        </w:rPr>
      </w:pPr>
      <w:r>
        <w:rPr>
          <w:noProof/>
          <w:lang w:val="en-GB" w:eastAsia="en-GB"/>
        </w:rPr>
        <w:drawing>
          <wp:inline distT="0" distB="0" distL="0" distR="0">
            <wp:extent cx="5761355" cy="18669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1355" cy="1866971"/>
                    </a:xfrm>
                    <a:prstGeom prst="rect">
                      <a:avLst/>
                    </a:prstGeom>
                    <a:noFill/>
                    <a:ln>
                      <a:noFill/>
                    </a:ln>
                  </pic:spPr>
                </pic:pic>
              </a:graphicData>
            </a:graphic>
          </wp:inline>
        </w:drawing>
      </w:r>
    </w:p>
    <w:p>
      <w:pPr>
        <w:spacing w:before="0" w:after="240"/>
        <w:ind w:left="-567"/>
        <w:rPr>
          <w:noProof/>
          <w:sz w:val="20"/>
          <w:szCs w:val="20"/>
        </w:rPr>
      </w:pPr>
    </w:p>
    <w:p>
      <w:pPr>
        <w:rPr>
          <w:noProof/>
          <w:sz w:val="20"/>
          <w:szCs w:val="20"/>
          <w:lang w:eastAsia="en-IE"/>
        </w:rPr>
      </w:pPr>
      <w:r>
        <w:rPr>
          <w:noProof/>
        </w:rPr>
        <w:br w:type="page"/>
      </w:r>
      <w:r>
        <w:rPr>
          <w:noProof/>
          <w:sz w:val="20"/>
          <w:szCs w:val="20"/>
        </w:rPr>
        <w:t>2. táblázat: 2019-re és 2020-re tervezett (az uniós költségvetés által garantált) új forrásbevonási és hitelezési műveletek (millió EUR)</w:t>
      </w:r>
    </w:p>
    <w:p>
      <w:pPr>
        <w:rPr>
          <w:noProof/>
        </w:rPr>
      </w:pPr>
      <w:r>
        <w:rPr>
          <w:noProof/>
        </w:rPr>
        <w:t xml:space="preserve"> </w:t>
      </w:r>
      <w:r>
        <w:rPr>
          <w:noProof/>
          <w:lang w:val="en-GB" w:eastAsia="en-GB"/>
        </w:rPr>
        <w:drawing>
          <wp:inline distT="0" distB="0" distL="0" distR="0">
            <wp:extent cx="5641975" cy="40805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41975" cy="4080510"/>
                    </a:xfrm>
                    <a:prstGeom prst="rect">
                      <a:avLst/>
                    </a:prstGeom>
                    <a:noFill/>
                    <a:ln>
                      <a:noFill/>
                    </a:ln>
                  </pic:spPr>
                </pic:pic>
              </a:graphicData>
            </a:graphic>
          </wp:inline>
        </w:drawing>
      </w:r>
    </w:p>
    <w:p>
      <w:pPr>
        <w:pStyle w:val="ManualHeading3"/>
        <w:ind w:left="851" w:hanging="851"/>
        <w:rPr>
          <w:noProof/>
        </w:rPr>
      </w:pPr>
      <w:bookmarkStart w:id="11" w:name="_Toc21506651"/>
      <w:r>
        <w:rPr>
          <w:noProof/>
        </w:rPr>
        <w:t>3.1.1.</w:t>
      </w:r>
      <w:r>
        <w:rPr>
          <w:noProof/>
        </w:rPr>
        <w:tab/>
        <w:t>Európai pénzügyi stabilizációs mechanizmus (EFSM)</w:t>
      </w:r>
      <w:bookmarkEnd w:id="11"/>
    </w:p>
    <w:p>
      <w:pPr>
        <w:rPr>
          <w:noProof/>
        </w:rPr>
      </w:pPr>
      <w:r>
        <w:rPr>
          <w:noProof/>
        </w:rPr>
        <w:t>Az ECOFIN Tanács a 2010. május 9–10-i következtetéseiben a mechanizmus finanszírozási volumenét 60 milliárd EUR-ban rögzítette</w:t>
      </w:r>
      <w:r>
        <w:rPr>
          <w:rStyle w:val="Funotenzeichen"/>
          <w:noProof/>
        </w:rPr>
        <w:footnoteReference w:id="24"/>
      </w:r>
      <w:r>
        <w:rPr>
          <w:noProof/>
        </w:rPr>
        <w:t>. Az euróövezeti tagállamok emellett készen álltak arra, hogy szükség esetén kiegészítsék e forrásokat. A 407/2010/EU tanácsi rendelet</w:t>
      </w:r>
      <w:r>
        <w:rPr>
          <w:rStyle w:val="FootnoteReference"/>
          <w:noProof/>
        </w:rPr>
        <w:footnoteReference w:id="25"/>
      </w:r>
      <w:r>
        <w:rPr>
          <w:noProof/>
        </w:rPr>
        <w:t xml:space="preserve"> 2. cikkének (2) bekezdése a tagállamoknak adható hitelek és hitelkeretek felső összeghatárát a saját források felső határán belül kifizetési előirányzatokra rendelkezésre álló mozgástérre korlátozza.</w:t>
      </w:r>
    </w:p>
    <w:p>
      <w:pPr>
        <w:rPr>
          <w:noProof/>
        </w:rPr>
      </w:pPr>
      <w:r>
        <w:rPr>
          <w:noProof/>
        </w:rPr>
        <w:t>Az Írországnak</w:t>
      </w:r>
      <w:r>
        <w:rPr>
          <w:rStyle w:val="FootnoteReference"/>
          <w:noProof/>
        </w:rPr>
        <w:footnoteReference w:id="26"/>
      </w:r>
      <w:r>
        <w:rPr>
          <w:noProof/>
        </w:rPr>
        <w:t xml:space="preserve"> (legfeljebb 22,5 milliárd EUR összegig) és Portugáliának</w:t>
      </w:r>
      <w:r>
        <w:rPr>
          <w:rStyle w:val="FootnoteReference"/>
          <w:noProof/>
        </w:rPr>
        <w:footnoteReference w:id="27"/>
      </w:r>
      <w:r>
        <w:rPr>
          <w:noProof/>
        </w:rPr>
        <w:t xml:space="preserve"> (legfeljebb 26 milliárd EUR összegig) nyújtandó uniós pénzügyi támogatásról szóló tanácsi határozatok alapján Írország részére 22,5 milliárd EUR-t, Portugália részére pedig 24,3 milliárd EUR-t folyósítottak (a fennmaradó 1,7 milliárd EUR kifizetését a portugál kormány nem kérte). Ennek megfelelően az EFSM keretén belül szükség esetén még 13,2 milliárd EUR fennmaradó összeg használható fel további támogatásokra.</w:t>
      </w:r>
    </w:p>
    <w:p>
      <w:pPr>
        <w:rPr>
          <w:noProof/>
        </w:rPr>
      </w:pPr>
      <w:r>
        <w:rPr>
          <w:noProof/>
        </w:rPr>
        <w:t>2013 áprilisában az eurócsoport/ECOFIN úgy határozott, hogy 12,5 évről 19,5 évre hosszabbítja meg az EFSM-hitelek maximális súlyozott átlagos lejáratát, ami lehetővé teszi a kedvezményezett országoknak, hogy kérelmezzék a hitelek futamidejének akár 2026-ig történő meghosszabbítását (részletenként).</w:t>
      </w:r>
    </w:p>
    <w:p>
      <w:pPr>
        <w:spacing w:after="240"/>
        <w:rPr>
          <w:noProof/>
          <w:u w:val="single"/>
        </w:rPr>
      </w:pPr>
      <w:r>
        <w:rPr>
          <w:noProof/>
          <w:u w:val="single"/>
        </w:rPr>
        <w:t>Fejlemények 2018 során</w:t>
      </w:r>
    </w:p>
    <w:p>
      <w:pPr>
        <w:spacing w:after="0"/>
        <w:rPr>
          <w:noProof/>
          <w:u w:val="single"/>
        </w:rPr>
      </w:pPr>
      <w:r>
        <w:rPr>
          <w:noProof/>
          <w:u w:val="single"/>
        </w:rPr>
        <w:t>Írország</w:t>
      </w:r>
    </w:p>
    <w:p>
      <w:pPr>
        <w:rPr>
          <w:noProof/>
        </w:rPr>
      </w:pPr>
      <w:r>
        <w:rPr>
          <w:noProof/>
        </w:rPr>
        <w:t xml:space="preserve">Írország 2017. november 27-én kérte a számára 2011 márciusában folyósított 3,4 milliárd EUR összegű és 2018. április 4-én esedékes EFSM-hitel futamidejének meghosszabbítását. A hitelt 2018 első negyedévében két tranzakcióban refinanszírozták, amelyek lejárata 2025. április (2,4 milliárd EUR) és 2033. április (1 milliárd EUR). </w:t>
      </w:r>
    </w:p>
    <w:p>
      <w:pPr>
        <w:rPr>
          <w:noProof/>
        </w:rPr>
      </w:pPr>
      <w:r>
        <w:rPr>
          <w:noProof/>
        </w:rPr>
        <w:t>Ezen túlmenően Írország 2018 második negyedévében kérte a számára 2011 októberében folyósított és 2018. október 4-én esedékes 500 millió EUR összegű EFSM-hitel futamidejének újbóli meghosszabbítását. A hitelt 2018 júniusában refinanszírozták a meglévő kötvény 2033. áprilisi lejárattal való meghosszabbításával (500 millió EUR).</w:t>
      </w:r>
    </w:p>
    <w:p>
      <w:pPr>
        <w:rPr>
          <w:noProof/>
        </w:rPr>
      </w:pPr>
      <w:r>
        <w:rPr>
          <w:noProof/>
        </w:rPr>
        <w:t>Azt követően, hogy 2018 első negyedévében hét évvel (2,4 milliárd EUR), majd 2018 második negyedévében 15 évvel (1,5 milliárd EUR) meghosszabbították a lejáratot, az Írországnak nyújtott EFSM-hitelek súlyozott átlagos lejárata most 17,1 év.</w:t>
      </w:r>
    </w:p>
    <w:p>
      <w:pPr>
        <w:spacing w:after="0"/>
        <w:rPr>
          <w:noProof/>
          <w:u w:val="single"/>
        </w:rPr>
      </w:pPr>
      <w:r>
        <w:rPr>
          <w:noProof/>
          <w:u w:val="single"/>
        </w:rPr>
        <w:t>Portugália</w:t>
      </w:r>
    </w:p>
    <w:p>
      <w:pPr>
        <w:spacing w:after="0"/>
        <w:rPr>
          <w:noProof/>
        </w:rPr>
      </w:pPr>
      <w:r>
        <w:rPr>
          <w:noProof/>
        </w:rPr>
        <w:t>Portugália 2018 második negyedévében kérte a számára 2011 októberében folyósított és 2018. október 4-én esedékes 600 millió EUR összegű EFSM-hitel újbóli meghosszabbítását. A hitelt 2018 júniusában refinanszírozták a meglévő kötvény 2033. áprilisi lejárattal való meghosszabbításával (600 millió EUR).</w:t>
      </w:r>
    </w:p>
    <w:p>
      <w:pPr>
        <w:rPr>
          <w:noProof/>
        </w:rPr>
      </w:pPr>
      <w:r>
        <w:rPr>
          <w:noProof/>
        </w:rPr>
        <w:t>Azt követően, hogy 2018 második negyedévében 15 évvel (600 millió EUR) meghosszabbították a lejáratot, a Portugáliának nyújtott EFSM-hitelek súlyozott átlagos lejárata most 15,3 év.</w:t>
      </w:r>
    </w:p>
    <w:p>
      <w:pPr>
        <w:pStyle w:val="ManualHeading3"/>
        <w:rPr>
          <w:noProof/>
        </w:rPr>
      </w:pPr>
      <w:bookmarkStart w:id="12" w:name="_Toc21506652"/>
      <w:r>
        <w:rPr>
          <w:noProof/>
        </w:rPr>
        <w:t>3.1.2.</w:t>
      </w:r>
      <w:r>
        <w:rPr>
          <w:noProof/>
        </w:rPr>
        <w:tab/>
        <w:t>Fizetésimérleg-támogatási mechanizmus (BOP)</w:t>
      </w:r>
      <w:bookmarkEnd w:id="12"/>
    </w:p>
    <w:p>
      <w:pPr>
        <w:rPr>
          <w:noProof/>
        </w:rPr>
      </w:pPr>
      <w:r>
        <w:rPr>
          <w:noProof/>
        </w:rPr>
        <w:t xml:space="preserve">A fizetésimérleg-támogatási mechanizmus keretében nyújtott európai uniós középtávú pénzügyi támogatást 2008 végén Magyarország, majd ezt követően Lettország és Románia javára újból aktiválták, hogy összesen 14,6 milliárd EUR összegű kötelezettségvállalással segítsék a piaci bizalom helyreállítását ezekben az országokban, és ebből az összegből 13,4 milliárd EUR-t folyósítottak. </w:t>
      </w:r>
    </w:p>
    <w:p>
      <w:pPr>
        <w:spacing w:after="240"/>
        <w:rPr>
          <w:noProof/>
          <w:u w:val="single"/>
        </w:rPr>
      </w:pPr>
      <w:r>
        <w:rPr>
          <w:noProof/>
          <w:u w:val="single"/>
        </w:rPr>
        <w:t>Fejlemények 2018 során</w:t>
      </w:r>
    </w:p>
    <w:p>
      <w:pPr>
        <w:autoSpaceDE w:val="0"/>
        <w:autoSpaceDN w:val="0"/>
        <w:adjustRightInd w:val="0"/>
        <w:spacing w:before="0" w:after="240"/>
        <w:rPr>
          <w:noProof/>
        </w:rPr>
      </w:pPr>
      <w:r>
        <w:rPr>
          <w:noProof/>
        </w:rPr>
        <w:t>Románia két hitelrészletet fizetett vissza: 2018 áprilisában 1,2 milliárd EUR-t, 2018 októberében pedig 150 millió EUR-t. A fizetésimérleg-támogatási mechanizmus keretében nyújtott hitelek kinnlevő összege így 2018-ban 3,05 milliárd EUR-ról 1,7 milliárd EUR-ra csökkent.</w:t>
      </w:r>
    </w:p>
    <w:p>
      <w:pPr>
        <w:spacing w:before="0" w:after="240"/>
        <w:rPr>
          <w:noProof/>
        </w:rPr>
      </w:pPr>
      <w:r>
        <w:rPr>
          <w:noProof/>
        </w:rPr>
        <w:t xml:space="preserve">2018. december 31-én a fizetésimérleg-támogatási mechanizmus 50 milliárd EUR összegű teljes keretéből 48,3 milliárd EUR kapacitás állt rendelkezésre, amelyből szükség esetén további segítség nyújtható. </w:t>
      </w:r>
    </w:p>
    <w:p>
      <w:pPr>
        <w:pStyle w:val="ManualHeading3"/>
        <w:spacing w:after="240"/>
        <w:ind w:left="851" w:hanging="851"/>
        <w:rPr>
          <w:noProof/>
        </w:rPr>
      </w:pPr>
      <w:bookmarkStart w:id="13" w:name="_Toc21506653"/>
      <w:r>
        <w:rPr>
          <w:noProof/>
        </w:rPr>
        <w:t>3.1.3.</w:t>
      </w:r>
      <w:r>
        <w:rPr>
          <w:noProof/>
        </w:rPr>
        <w:tab/>
        <w:t>Makroszintű pénzügyi támogatás keretében nyújtott hitelek (MFA)</w:t>
      </w:r>
      <w:bookmarkEnd w:id="13"/>
    </w:p>
    <w:p>
      <w:pPr>
        <w:autoSpaceDE w:val="0"/>
        <w:autoSpaceDN w:val="0"/>
        <w:adjustRightInd w:val="0"/>
        <w:spacing w:before="0" w:after="240"/>
        <w:rPr>
          <w:noProof/>
        </w:rPr>
      </w:pPr>
      <w:r>
        <w:rPr>
          <w:noProof/>
        </w:rPr>
        <w:t>Általános szabályként a makroszintű pénzügyi támogatásokra vonatkozó határozatokat az Európai Parlament és a Tanács fogadja el (az EUMSZ 212. cikke értelmében). A Bizottság javaslata alapján azonban a Tanács is elfogadhatja a határozatot, amennyiben egy harmadik országban fennálló helyzet sürgős pénzügyi támogatást tesz szükségessé (az EUMSZ 213. cikke). Ezt az eljárást használták az Ukrajnának szóló második makroszintű pénzügyi támogatási csomag esetében 2014-ben.</w:t>
      </w:r>
    </w:p>
    <w:p>
      <w:pPr>
        <w:spacing w:before="0" w:after="240"/>
        <w:rPr>
          <w:noProof/>
          <w:u w:val="single"/>
        </w:rPr>
      </w:pPr>
      <w:r>
        <w:rPr>
          <w:noProof/>
          <w:u w:val="single"/>
        </w:rPr>
        <w:t>Fejlemények 2018 során</w:t>
      </w:r>
    </w:p>
    <w:p>
      <w:pPr>
        <w:rPr>
          <w:rFonts w:eastAsia="Calibri" w:cstheme="minorBidi"/>
          <w:b/>
          <w:noProof/>
          <w:szCs w:val="22"/>
          <w:u w:val="single"/>
        </w:rPr>
      </w:pPr>
      <w:r>
        <w:rPr>
          <w:b/>
          <w:noProof/>
          <w:szCs w:val="22"/>
          <w:u w:val="single"/>
        </w:rPr>
        <w:t>Grúzia</w:t>
      </w:r>
    </w:p>
    <w:p>
      <w:pPr>
        <w:rPr>
          <w:noProof/>
        </w:rPr>
      </w:pPr>
      <w:r>
        <w:rPr>
          <w:noProof/>
        </w:rPr>
        <w:t>2018. április 18-án az Európai Parlament és a Tanács úgy határozott, hogy legfeljebb 45 millió EUR összegű további makroszintű pénzügyi támogatást nyújt Grúziának (MFA II), amely egy 10 millió EUR összegű vissza nem térítendő támogatásból és egy 35 millió EUR összegű kölcsönből áll</w:t>
      </w:r>
      <w:r>
        <w:rPr>
          <w:rStyle w:val="FootnoteReference"/>
          <w:noProof/>
        </w:rPr>
        <w:footnoteReference w:id="28"/>
      </w:r>
      <w:r>
        <w:rPr>
          <w:noProof/>
        </w:rPr>
        <w:t>.</w:t>
      </w:r>
    </w:p>
    <w:p>
      <w:pPr>
        <w:rPr>
          <w:noProof/>
        </w:rPr>
      </w:pPr>
      <w:r>
        <w:rPr>
          <w:noProof/>
        </w:rPr>
        <w:t>Grúzia második programjának (MFA II) 15 millió EUR összegű első részletét (a határozatban előirányzott 35 millió EUR-ból)</w:t>
      </w:r>
    </w:p>
    <w:p>
      <w:pPr>
        <w:rPr>
          <w:noProof/>
        </w:rPr>
      </w:pPr>
      <w:r>
        <w:rPr>
          <w:noProof/>
        </w:rPr>
        <w:t xml:space="preserve">2018 decemberében folyósították. </w:t>
      </w:r>
    </w:p>
    <w:p>
      <w:pPr>
        <w:rPr>
          <w:rFonts w:eastAsia="Calibri" w:cstheme="minorBidi"/>
          <w:b/>
          <w:noProof/>
          <w:szCs w:val="22"/>
          <w:u w:val="single"/>
        </w:rPr>
      </w:pPr>
      <w:r>
        <w:rPr>
          <w:b/>
          <w:noProof/>
          <w:szCs w:val="22"/>
          <w:u w:val="single"/>
        </w:rPr>
        <w:t>Ukrajna</w:t>
      </w:r>
    </w:p>
    <w:p>
      <w:pPr>
        <w:rPr>
          <w:rFonts w:eastAsia="Calibri" w:cstheme="minorBidi"/>
          <w:noProof/>
          <w:szCs w:val="22"/>
        </w:rPr>
      </w:pPr>
      <w:r>
        <w:rPr>
          <w:noProof/>
        </w:rPr>
        <w:t>2018. július 4-én az Európai Parlament és a Tanács úgy határozott, hogy legfeljebb 1 milliárd EUR összegű további makroszintű pénzügyi támogatást nyújt Ukrajnának (MFA IV), amely két, egyenként 500 millió EUR összegű részletből áll Ukrajna gazdasági stabilizációja és érdemi reformterve végrehajtásának támogatására</w:t>
      </w:r>
      <w:r>
        <w:rPr>
          <w:rStyle w:val="FootnoteReference"/>
          <w:noProof/>
        </w:rPr>
        <w:footnoteReference w:id="29"/>
      </w:r>
      <w:r>
        <w:rPr>
          <w:noProof/>
        </w:rPr>
        <w:t>.</w:t>
      </w:r>
    </w:p>
    <w:p>
      <w:pPr>
        <w:autoSpaceDE w:val="0"/>
        <w:autoSpaceDN w:val="0"/>
        <w:adjustRightInd w:val="0"/>
        <w:rPr>
          <w:rFonts w:eastAsia="Calibri" w:cstheme="minorBidi"/>
          <w:noProof/>
          <w:szCs w:val="22"/>
        </w:rPr>
      </w:pPr>
      <w:r>
        <w:rPr>
          <w:noProof/>
        </w:rPr>
        <w:t xml:space="preserve">Ukrajna negyedik programjának (MFA IV) 500 millió EUR összegű első részletét 2018 decemberében folyósították. </w:t>
      </w:r>
    </w:p>
    <w:p>
      <w:pPr>
        <w:rPr>
          <w:rFonts w:eastAsia="Calibri" w:cstheme="minorBidi"/>
          <w:b/>
          <w:noProof/>
          <w:szCs w:val="22"/>
          <w:u w:val="single"/>
        </w:rPr>
      </w:pPr>
      <w:r>
        <w:rPr>
          <w:b/>
          <w:noProof/>
          <w:szCs w:val="22"/>
          <w:u w:val="single"/>
        </w:rPr>
        <w:t>Moldovai Köztársaság</w:t>
      </w:r>
    </w:p>
    <w:p>
      <w:pPr>
        <w:autoSpaceDE w:val="0"/>
        <w:autoSpaceDN w:val="0"/>
        <w:adjustRightInd w:val="0"/>
        <w:rPr>
          <w:noProof/>
        </w:rPr>
      </w:pPr>
      <w:r>
        <w:rPr>
          <w:noProof/>
        </w:rPr>
        <w:t>Az Európai Parlament és a Tanács 2017. szeptember 13-án úgy határozott, hogy 100 millió EUR összegű további makroszintű pénzügyi támogatást nyújt a Moldovai Köztársaságnak (legfeljebb 60 millió EUR-t hitel formájában, legfeljebb 40 millió EUR-t pedig vissza nem térítendő támogatás formájában)</w:t>
      </w:r>
      <w:r>
        <w:rPr>
          <w:rStyle w:val="FootnoteReference"/>
          <w:noProof/>
        </w:rPr>
        <w:footnoteReference w:id="30"/>
      </w:r>
      <w:r>
        <w:rPr>
          <w:noProof/>
        </w:rPr>
        <w:t>.</w:t>
      </w:r>
    </w:p>
    <w:p>
      <w:pPr>
        <w:autoSpaceDE w:val="0"/>
        <w:autoSpaceDN w:val="0"/>
        <w:adjustRightInd w:val="0"/>
        <w:spacing w:before="0" w:after="240"/>
        <w:rPr>
          <w:noProof/>
        </w:rPr>
      </w:pPr>
      <w:r>
        <w:rPr>
          <w:noProof/>
        </w:rPr>
        <w:t>Ezt a műveletet a politikai előfeltételek be nem tartása miatt felfüggesztették.</w:t>
      </w:r>
    </w:p>
    <w:p>
      <w:pPr>
        <w:autoSpaceDE w:val="0"/>
        <w:autoSpaceDN w:val="0"/>
        <w:adjustRightInd w:val="0"/>
        <w:spacing w:before="0"/>
        <w:rPr>
          <w:noProof/>
        </w:rPr>
      </w:pPr>
      <w:r>
        <w:rPr>
          <w:noProof/>
          <w:u w:val="single"/>
        </w:rPr>
        <w:t xml:space="preserve">Kiegészítő információk </w:t>
      </w:r>
    </w:p>
    <w:p>
      <w:pPr>
        <w:autoSpaceDE w:val="0"/>
        <w:autoSpaceDN w:val="0"/>
        <w:adjustRightInd w:val="0"/>
        <w:rPr>
          <w:rFonts w:cs="Arial"/>
          <w:noProof/>
        </w:rPr>
      </w:pPr>
      <w:r>
        <w:rPr>
          <w:noProof/>
        </w:rPr>
        <w:t xml:space="preserve">A kedvezményezett országok 55,73 millió EUR-t fizettek vissza: Albánia 1,8 millió EUR-t, Bosznia-Hercegovina 4 millió EUR-t, Észak-Macedónia 5,6 millió EUR-t, Montenegró 1,10 millió EUR-t és Szerbia 43,23 millió EUR-t. </w:t>
      </w:r>
    </w:p>
    <w:p>
      <w:pPr>
        <w:autoSpaceDE w:val="0"/>
        <w:autoSpaceDN w:val="0"/>
        <w:adjustRightInd w:val="0"/>
        <w:rPr>
          <w:noProof/>
        </w:rPr>
      </w:pPr>
      <w:r>
        <w:rPr>
          <w:noProof/>
        </w:rPr>
        <w:t>A makroszintű pénzügyi támogatás keretében nyújtott hitelek kinnlevő összegei 2017. december 31. és 2018. december 31. között 3,9 milliárd EUR-ról 4,4 milliárd EUR-ra nőttek. A makroszintű pénzügyi támogatás teljes kitettségének 76 %-át az Ukrajnának nyújtott hitelek teszik ki.</w:t>
      </w:r>
    </w:p>
    <w:p>
      <w:pPr>
        <w:pStyle w:val="ManualHeading3"/>
        <w:rPr>
          <w:noProof/>
        </w:rPr>
      </w:pPr>
      <w:bookmarkStart w:id="14" w:name="_Toc21506654"/>
      <w:r>
        <w:rPr>
          <w:noProof/>
        </w:rPr>
        <w:t>3.1.4.</w:t>
      </w:r>
      <w:r>
        <w:rPr>
          <w:noProof/>
        </w:rPr>
        <w:tab/>
        <w:t>Euratom-hitelek</w:t>
      </w:r>
      <w:bookmarkEnd w:id="14"/>
    </w:p>
    <w:p>
      <w:pPr>
        <w:autoSpaceDE w:val="0"/>
        <w:autoSpaceDN w:val="0"/>
        <w:adjustRightInd w:val="0"/>
        <w:rPr>
          <w:noProof/>
        </w:rPr>
      </w:pPr>
      <w:r>
        <w:rPr>
          <w:noProof/>
        </w:rPr>
        <w:t>A tagállamoknak, illetve egyes, támogatásra jogosult harmadik országoknak (jelenleg az Oroszországi Föderáció, Örményország, Ukrajna) nyújtható Euratom-hitelek felső határa 4 milliárd EUR, amelynek mintegy 92 %-át már folyósították. A határozatban előirányzott 4 milliárd EUR összegű keretből 326 millió EUR maradt.</w:t>
      </w:r>
    </w:p>
    <w:p>
      <w:pPr>
        <w:autoSpaceDE w:val="0"/>
        <w:autoSpaceDN w:val="0"/>
        <w:adjustRightInd w:val="0"/>
        <w:rPr>
          <w:noProof/>
          <w:u w:val="single"/>
        </w:rPr>
      </w:pPr>
      <w:r>
        <w:rPr>
          <w:noProof/>
          <w:u w:val="single"/>
        </w:rPr>
        <w:t>Ukrajna</w:t>
      </w:r>
    </w:p>
    <w:p>
      <w:pPr>
        <w:autoSpaceDE w:val="0"/>
        <w:autoSpaceDN w:val="0"/>
        <w:adjustRightInd w:val="0"/>
        <w:rPr>
          <w:noProof/>
        </w:rPr>
      </w:pPr>
      <w:r>
        <w:rPr>
          <w:noProof/>
        </w:rPr>
        <w:t>A 2013.6.24-i COM határozattal</w:t>
      </w:r>
      <w:r>
        <w:rPr>
          <w:rStyle w:val="FootnoteReference"/>
          <w:noProof/>
        </w:rPr>
        <w:footnoteReference w:id="31"/>
      </w:r>
      <w:r>
        <w:rPr>
          <w:noProof/>
        </w:rPr>
        <w:t xml:space="preserve"> 300 millió EUR összegű hitelt nyújtottak Ukrajnának a meglévő nukleáris létesítmények biztonságának korszerűsítéséhez. A hitelnyújtás az EBRD-vel szoros együttműködésben történik, amely egyidejűleg további 300 millió EUR összegű hitelt biztosít. </w:t>
      </w:r>
    </w:p>
    <w:p>
      <w:pPr>
        <w:autoSpaceDE w:val="0"/>
        <w:autoSpaceDN w:val="0"/>
        <w:adjustRightInd w:val="0"/>
        <w:rPr>
          <w:rFonts w:cs="Arial"/>
          <w:noProof/>
        </w:rPr>
      </w:pPr>
      <w:r>
        <w:rPr>
          <w:noProof/>
        </w:rPr>
        <w:t>E hitelekhez állami garanciavállalás is kapcsolódik, amely az év végén fennálló kintlevőségek 100 %-át fedezi. Az első, 50 millió EUR összegű Euratom-részletet 2017 májusában, a második, szintén 50 millió EUR összegű Euratom-részletet pedig 2018 júniusában folyósították.</w:t>
      </w:r>
    </w:p>
    <w:p>
      <w:pPr>
        <w:autoSpaceDE w:val="0"/>
        <w:autoSpaceDN w:val="0"/>
        <w:adjustRightInd w:val="0"/>
        <w:rPr>
          <w:rFonts w:cs="Arial"/>
          <w:noProof/>
          <w:u w:val="single"/>
        </w:rPr>
      </w:pPr>
      <w:r>
        <w:rPr>
          <w:noProof/>
          <w:u w:val="single"/>
        </w:rPr>
        <w:t>Bulgária és Románia</w:t>
      </w:r>
    </w:p>
    <w:p>
      <w:pPr>
        <w:autoSpaceDE w:val="0"/>
        <w:autoSpaceDN w:val="0"/>
        <w:adjustRightInd w:val="0"/>
        <w:rPr>
          <w:noProof/>
        </w:rPr>
      </w:pPr>
      <w:r>
        <w:rPr>
          <w:noProof/>
        </w:rPr>
        <w:t>Bulgária 212,5 millió EUR összegű hitelt kapott többdevizás hitelkeret formájában a kozloduji atomerőmű (5. és 6. blokk) korszerűsítésére. Az Európai Atomenergia-közösség és az AEZ „Kozloduy” EAD közötti hitelszerződést 2000. május 29-én írták alá. 2018. december 31-én a kinnlévő összeg 33,8 millió EUR volt.</w:t>
      </w:r>
    </w:p>
    <w:p>
      <w:pPr>
        <w:autoSpaceDE w:val="0"/>
        <w:autoSpaceDN w:val="0"/>
        <w:adjustRightInd w:val="0"/>
        <w:rPr>
          <w:noProof/>
        </w:rPr>
      </w:pPr>
      <w:r>
        <w:rPr>
          <w:noProof/>
        </w:rPr>
        <w:t>Románia 223,5 millió EUR összegű hitelt kapott többdevizás hitelkeret formájában a cernavodai atomerőmű 2. blokkjának befejezésére. Az Európai Atomenergia-közösség és a Societatea Nationala Nuclearelectrica S.A. közötti hitelszerződést 2004. június 11-én írták alá. 2018. december 31-én a kinnlévő összeg 119,1 millió EUR volt.</w:t>
      </w:r>
    </w:p>
    <w:p>
      <w:pPr>
        <w:autoSpaceDE w:val="0"/>
        <w:autoSpaceDN w:val="0"/>
        <w:adjustRightInd w:val="0"/>
        <w:rPr>
          <w:rFonts w:cs="Arial"/>
          <w:noProof/>
        </w:rPr>
      </w:pPr>
      <w:r>
        <w:rPr>
          <w:noProof/>
        </w:rPr>
        <w:t>2007. január 1-jén Bulgária és Románia uniós tagállammá vált, így azóta e műveletek fennálló kockázatát közvetlenül az uniós költségvetés, és nem a külső fellépésekre vonatkozó garanciaalap fedezi.</w:t>
      </w:r>
    </w:p>
    <w:p>
      <w:pPr>
        <w:pStyle w:val="ManualHeading2"/>
        <w:tabs>
          <w:tab w:val="clear" w:pos="850"/>
        </w:tabs>
        <w:ind w:left="567" w:hanging="567"/>
        <w:rPr>
          <w:noProof/>
        </w:rPr>
      </w:pPr>
      <w:bookmarkStart w:id="15" w:name="_Toc21506655"/>
      <w:r>
        <w:rPr>
          <w:noProof/>
        </w:rPr>
        <w:t>3.2.</w:t>
      </w:r>
      <w:r>
        <w:rPr>
          <w:noProof/>
        </w:rPr>
        <w:tab/>
        <w:t>Az EBB külső finanszírozási műveleteinek alakulása</w:t>
      </w:r>
      <w:bookmarkEnd w:id="15"/>
    </w:p>
    <w:p>
      <w:pPr>
        <w:spacing w:after="240"/>
        <w:rPr>
          <w:noProof/>
          <w:u w:val="single"/>
        </w:rPr>
      </w:pPr>
      <w:r>
        <w:rPr>
          <w:noProof/>
          <w:u w:val="single"/>
        </w:rPr>
        <w:t>Fejlemények 2018 során</w:t>
      </w:r>
    </w:p>
    <w:p>
      <w:pPr>
        <w:spacing w:before="0" w:after="240"/>
        <w:rPr>
          <w:noProof/>
        </w:rPr>
      </w:pPr>
      <w:r>
        <w:rPr>
          <w:noProof/>
        </w:rPr>
        <w:t>Az EBB 2014–2020-as időszakra szóló külső hitelezési megbízatása keretében 2018. december 31-ig összesen 17,64 milliárd EUR összegre kötöttek szerződést, amelyből az említett időpontig csak 5,77 milliárd EUR-t folyósítottak, a fennmaradó tőke 5,41 milliárd EUR (lásd a bizottsági szolgálati munkadokumentum A3. táblázatát). Az EBB-megbízatások által érintett országokkal kapcsolatos további információkat lásd a bizottsági szolgálati munkadokumentum A1., A3. és A4. táblázatában.</w:t>
      </w:r>
    </w:p>
    <w:p>
      <w:pPr>
        <w:spacing w:before="0" w:after="240"/>
        <w:rPr>
          <w:noProof/>
        </w:rPr>
      </w:pPr>
      <w:r>
        <w:rPr>
          <w:noProof/>
        </w:rPr>
        <w:t>Az EBB előző külső hitelezési megbízatásaira vonatkozóan lásd a bizottsági szolgálati munkadokumentum A3. táblázatát.</w:t>
      </w:r>
    </w:p>
    <w:p>
      <w:pPr>
        <w:spacing w:before="0" w:after="240"/>
        <w:rPr>
          <w:noProof/>
        </w:rPr>
      </w:pPr>
      <w:r>
        <w:rPr>
          <w:noProof/>
        </w:rPr>
        <w:t>A szíriai kormány 2018-ban sem teljesítette hiteltörlesztési és kamatfizetési kötelezettségeit. Az említett nemteljesítésekhez kapcsolódóan az EBB lehívta a garanciaalap által biztosított fedezetet (lásd az 5.2. szakaszt).</w:t>
      </w:r>
    </w:p>
    <w:p>
      <w:pPr>
        <w:spacing w:before="0"/>
        <w:rPr>
          <w:noProof/>
        </w:rPr>
      </w:pPr>
      <w:r>
        <w:rPr>
          <w:noProof/>
        </w:rPr>
        <w:t>A 2018. december 31-én kinnlevő összegek az ebben a szakaszban említett különböző eszközökre vonatkozóan az 1. táblázatban találhatóak.</w:t>
      </w:r>
    </w:p>
    <w:p>
      <w:pPr>
        <w:pStyle w:val="ManualHeading1"/>
        <w:tabs>
          <w:tab w:val="clear" w:pos="850"/>
        </w:tabs>
        <w:ind w:left="567" w:hanging="567"/>
        <w:rPr>
          <w:noProof/>
        </w:rPr>
      </w:pPr>
      <w:bookmarkStart w:id="16" w:name="_Toc21506656"/>
      <w:r>
        <w:rPr>
          <w:noProof/>
        </w:rPr>
        <w:t>4.</w:t>
      </w:r>
      <w:r>
        <w:rPr>
          <w:noProof/>
        </w:rPr>
        <w:tab/>
        <w:t>Az uniós költségvetés által fedezett kockázatok</w:t>
      </w:r>
      <w:bookmarkEnd w:id="16"/>
    </w:p>
    <w:p>
      <w:pPr>
        <w:pStyle w:val="ManualHeading2"/>
        <w:tabs>
          <w:tab w:val="clear" w:pos="850"/>
        </w:tabs>
        <w:ind w:left="567" w:hanging="567"/>
        <w:rPr>
          <w:noProof/>
        </w:rPr>
      </w:pPr>
      <w:bookmarkStart w:id="17" w:name="_Toc21506657"/>
      <w:r>
        <w:rPr>
          <w:noProof/>
        </w:rPr>
        <w:t>4.1.</w:t>
      </w:r>
      <w:r>
        <w:rPr>
          <w:noProof/>
        </w:rPr>
        <w:tab/>
        <w:t>A kockázat fogalma</w:t>
      </w:r>
      <w:bookmarkEnd w:id="17"/>
    </w:p>
    <w:p>
      <w:pPr>
        <w:rPr>
          <w:noProof/>
        </w:rPr>
      </w:pPr>
      <w:r>
        <w:rPr>
          <w:noProof/>
        </w:rPr>
        <w:t>Az uniós költségvetés által viselt kockázat a garantált műveletek tekintetében kinnlevő tőke és kamat összegéből ered.</w:t>
      </w:r>
    </w:p>
    <w:p>
      <w:pPr>
        <w:rPr>
          <w:noProof/>
        </w:rPr>
      </w:pPr>
      <w:r>
        <w:rPr>
          <w:noProof/>
        </w:rPr>
        <w:t>E jelentés alkalmazásában az uniós költségvetés által (közvetlenül vagy az alapon keresztül közvetve) viselt kockázat értékelésére két módszer használatos:</w:t>
      </w:r>
    </w:p>
    <w:p>
      <w:pPr>
        <w:pStyle w:val="ListDash"/>
        <w:rPr>
          <w:noProof/>
        </w:rPr>
      </w:pPr>
      <w:r>
        <w:rPr>
          <w:noProof/>
        </w:rPr>
        <w:t>„Teljes fedezett kockázat”: az érintett műveletek tekintetében egy adott napon kinnlevő teljes tőke összege, beleértve a felhalmozott kamatot is</w:t>
      </w:r>
      <w:r>
        <w:rPr>
          <w:rStyle w:val="FootnoteReference"/>
          <w:noProof/>
        </w:rPr>
        <w:footnoteReference w:id="32"/>
      </w:r>
      <w:r>
        <w:rPr>
          <w:noProof/>
        </w:rPr>
        <w:t xml:space="preserve">. </w:t>
      </w:r>
    </w:p>
    <w:p>
      <w:pPr>
        <w:pStyle w:val="ListDash"/>
        <w:ind w:left="284" w:hanging="284"/>
        <w:rPr>
          <w:noProof/>
        </w:rPr>
      </w:pPr>
      <w:r>
        <w:rPr>
          <w:noProof/>
        </w:rPr>
        <w:t>„Az uniós költségvetés által viselt éves kockázat” (költségvetési szemléletű mutató): az esedékes éves törlesztőrészletek azon maximális összege, amelyet az Európai Uniónak egy adott pénzügyi évben ki kellene fizetnie, ha valamennyi garanciával fedezett hitel visszafizetése elmaradna</w:t>
      </w:r>
      <w:r>
        <w:rPr>
          <w:rStyle w:val="Funotenzeichen"/>
          <w:noProof/>
        </w:rPr>
        <w:footnoteReference w:id="33"/>
      </w:r>
      <w:r>
        <w:rPr>
          <w:noProof/>
        </w:rPr>
        <w:t>.</w:t>
      </w:r>
    </w:p>
    <w:p>
      <w:pPr>
        <w:pStyle w:val="ManualHeading2"/>
        <w:tabs>
          <w:tab w:val="clear" w:pos="850"/>
        </w:tabs>
        <w:ind w:left="567" w:hanging="567"/>
        <w:rPr>
          <w:noProof/>
        </w:rPr>
      </w:pPr>
      <w:bookmarkStart w:id="18" w:name="_Toc21506658"/>
      <w:r>
        <w:rPr>
          <w:noProof/>
        </w:rPr>
        <w:t>4.2.</w:t>
      </w:r>
      <w:r>
        <w:rPr>
          <w:noProof/>
        </w:rPr>
        <w:tab/>
        <w:t>A teljes kockázat összetétele</w:t>
      </w:r>
      <w:bookmarkEnd w:id="18"/>
    </w:p>
    <w:p>
      <w:pPr>
        <w:rPr>
          <w:noProof/>
        </w:rPr>
      </w:pPr>
      <w:r>
        <w:rPr>
          <w:noProof/>
        </w:rPr>
        <w:t>A fedezett teljes kinnlevő összegek jelentette maximális kockázat 2010-ig többnyire a harmadik országoknak nyújtott műveletekhez kapcsolódott. 2011 óta a pénzügyi válság súlyosan érintette a tagállamok államháztartását, ami a tagállamok állami finanszírozási igényeinek kielégítése érdekében egyre élénkebb uniós hitelezési tevékenységhez vezetett.</w:t>
      </w:r>
    </w:p>
    <w:p>
      <w:pPr>
        <w:rPr>
          <w:noProof/>
        </w:rPr>
      </w:pPr>
      <w:r>
        <w:rPr>
          <w:noProof/>
        </w:rPr>
        <w:t>Ennek eredményeképpen a kockázati összetevők az alábbiak szerint módosultak: 2018. december 31-én a teljes kinnlevő összeg</w:t>
      </w:r>
      <w:r>
        <w:rPr>
          <w:rStyle w:val="FootnoteReference"/>
          <w:noProof/>
        </w:rPr>
        <w:footnoteReference w:id="34"/>
      </w:r>
      <w:r>
        <w:rPr>
          <w:noProof/>
        </w:rPr>
        <w:t xml:space="preserve"> 61,2 %-a az uniós költségvetés által közvetlenül fedezett, a tagállamoknak nyújtott hitelekkel kapcsolatos forrásbevonási műveletekhez köthető (2010.12.31-én ez az arány 45 % volt).</w:t>
      </w:r>
    </w:p>
    <w:p>
      <w:pPr>
        <w:pStyle w:val="ManualHeading2"/>
        <w:tabs>
          <w:tab w:val="clear" w:pos="850"/>
        </w:tabs>
        <w:ind w:left="567" w:hanging="567"/>
        <w:rPr>
          <w:noProof/>
        </w:rPr>
      </w:pPr>
      <w:bookmarkStart w:id="19" w:name="_Toc21506659"/>
      <w:r>
        <w:rPr>
          <w:noProof/>
        </w:rPr>
        <w:t>4.3.</w:t>
      </w:r>
      <w:r>
        <w:rPr>
          <w:noProof/>
        </w:rPr>
        <w:tab/>
        <w:t>Az uniós költségvetés által fedezett éves kockázat</w:t>
      </w:r>
      <w:bookmarkEnd w:id="19"/>
    </w:p>
    <w:p>
      <w:pPr>
        <w:rPr>
          <w:noProof/>
        </w:rPr>
      </w:pPr>
      <w:r>
        <w:rPr>
          <w:noProof/>
        </w:rPr>
        <w:t xml:space="preserve">Tekintettel a 2018. december 31-én kinnlevő hitelekre (lásd az 1. táblázatot), az a maximális összeg, amelyet az Európai Uniónak 2019 folyamán ki kellene fizetnie (közvetlenül, illetve az alapon keresztül) – </w:t>
      </w:r>
      <w:r>
        <w:rPr>
          <w:i/>
          <w:noProof/>
        </w:rPr>
        <w:t>feltételezve</w:t>
      </w:r>
      <w:r>
        <w:rPr>
          <w:noProof/>
        </w:rPr>
        <w:t xml:space="preserve">, hogy </w:t>
      </w:r>
      <w:r>
        <w:rPr>
          <w:i/>
          <w:noProof/>
        </w:rPr>
        <w:t>valamennyi</w:t>
      </w:r>
      <w:r>
        <w:rPr>
          <w:noProof/>
        </w:rPr>
        <w:t xml:space="preserve"> garanciával fedezett hitel visszafizetése elmaradna – 6 337 millió EUR lenne. Ez az összeg a garantált hitelek tőke- és kamatkifizetéseinek 2019-ben esedékes összegeire vonatkozik, feltételezve, hogy a nemteljesítő hitelek esedékességét nem hozzák előre (részletek a bizottsági szolgálati munkadokumentum A4. táblázatában olvashatók). </w:t>
      </w:r>
    </w:p>
    <w:p>
      <w:pPr>
        <w:pStyle w:val="ManualHeading3"/>
        <w:rPr>
          <w:noProof/>
        </w:rPr>
      </w:pPr>
      <w:bookmarkStart w:id="20" w:name="_Toc21506660"/>
      <w:r>
        <w:rPr>
          <w:noProof/>
        </w:rPr>
        <w:t>4.3.1.</w:t>
      </w:r>
      <w:r>
        <w:rPr>
          <w:noProof/>
        </w:rPr>
        <w:tab/>
        <w:t>Tagállamokkal szembeni kitettség</w:t>
      </w:r>
      <w:bookmarkEnd w:id="20"/>
    </w:p>
    <w:p>
      <w:pPr>
        <w:rPr>
          <w:noProof/>
        </w:rPr>
      </w:pPr>
      <w:r>
        <w:rPr>
          <w:noProof/>
        </w:rPr>
        <w:t>2019-ben az EU a tagállamokkal folytatott műveletekkel kapcsolatban 2 953,1 millió EUR maximális éves kockázatot visel (ez a teljes éves kockázat 46,6 %-a). Ez a kockázat a következőkre vonatkozik:</w:t>
      </w:r>
    </w:p>
    <w:p>
      <w:pPr>
        <w:rPr>
          <w:noProof/>
        </w:rPr>
      </w:pPr>
      <w:r>
        <w:rPr>
          <w:noProof/>
        </w:rPr>
        <w:t>a) a tagállamok uniós csatlakozása előtt nyújtott EBB-hitelek és/vagy Euratom-hitelek;</w:t>
      </w:r>
    </w:p>
    <w:p>
      <w:pPr>
        <w:rPr>
          <w:noProof/>
        </w:rPr>
      </w:pPr>
      <w:r>
        <w:rPr>
          <w:noProof/>
        </w:rPr>
        <w:t xml:space="preserve">b) a fizetésimérleg-támogatási mechanizmus keretében nyújtott hitelek; valamint </w:t>
      </w:r>
    </w:p>
    <w:p>
      <w:pPr>
        <w:rPr>
          <w:noProof/>
        </w:rPr>
      </w:pPr>
      <w:r>
        <w:rPr>
          <w:noProof/>
        </w:rPr>
        <w:t xml:space="preserve">c) az EFSM keretében nyújtott hitelek. </w:t>
      </w:r>
    </w:p>
    <w:p>
      <w:pPr>
        <w:rPr>
          <w:noProof/>
          <w:sz w:val="18"/>
        </w:rPr>
      </w:pPr>
      <w:r>
        <w:rPr>
          <w:noProof/>
        </w:rPr>
        <w:br w:type="page"/>
      </w:r>
      <w:r>
        <w:rPr>
          <w:noProof/>
          <w:sz w:val="18"/>
        </w:rPr>
        <w:t>2. táblázat: A tagállamok rangsora az uniós költségvetés által 2019-ben viselt éves kockázatban való részesedés alapján (millió EUR)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910"/>
        <w:gridCol w:w="1038"/>
        <w:gridCol w:w="1853"/>
        <w:gridCol w:w="1682"/>
        <w:gridCol w:w="1561"/>
      </w:tblGrid>
      <w:tr>
        <w:tc>
          <w:tcPr>
            <w:tcW w:w="1032" w:type="dxa"/>
            <w:shd w:val="clear" w:color="auto" w:fill="auto"/>
          </w:tcPr>
          <w:p>
            <w:pPr>
              <w:jc w:val="center"/>
              <w:rPr>
                <w:b/>
                <w:noProof/>
                <w:sz w:val="20"/>
                <w:szCs w:val="20"/>
              </w:rPr>
            </w:pPr>
            <w:r>
              <w:rPr>
                <w:b/>
                <w:noProof/>
                <w:sz w:val="20"/>
                <w:szCs w:val="20"/>
              </w:rPr>
              <w:t>Rangsor</w:t>
            </w:r>
          </w:p>
        </w:tc>
        <w:tc>
          <w:tcPr>
            <w:tcW w:w="1926" w:type="dxa"/>
            <w:shd w:val="clear" w:color="auto" w:fill="auto"/>
          </w:tcPr>
          <w:p>
            <w:pPr>
              <w:jc w:val="center"/>
              <w:rPr>
                <w:b/>
                <w:noProof/>
                <w:sz w:val="20"/>
                <w:szCs w:val="20"/>
              </w:rPr>
            </w:pPr>
            <w:r>
              <w:rPr>
                <w:b/>
                <w:noProof/>
                <w:sz w:val="20"/>
                <w:szCs w:val="20"/>
              </w:rPr>
              <w:t>Ország</w:t>
            </w:r>
          </w:p>
        </w:tc>
        <w:tc>
          <w:tcPr>
            <w:tcW w:w="1050" w:type="dxa"/>
            <w:shd w:val="clear" w:color="auto" w:fill="auto"/>
          </w:tcPr>
          <w:p>
            <w:pPr>
              <w:jc w:val="center"/>
              <w:rPr>
                <w:b/>
                <w:noProof/>
                <w:sz w:val="20"/>
                <w:szCs w:val="20"/>
              </w:rPr>
            </w:pPr>
            <w:r>
              <w:rPr>
                <w:b/>
                <w:noProof/>
                <w:sz w:val="20"/>
                <w:szCs w:val="20"/>
              </w:rPr>
              <w:t>Hitelek</w:t>
            </w:r>
          </w:p>
        </w:tc>
        <w:tc>
          <w:tcPr>
            <w:tcW w:w="1896" w:type="dxa"/>
            <w:shd w:val="clear" w:color="auto" w:fill="auto"/>
          </w:tcPr>
          <w:p>
            <w:pPr>
              <w:jc w:val="center"/>
              <w:rPr>
                <w:b/>
                <w:noProof/>
                <w:sz w:val="20"/>
                <w:szCs w:val="20"/>
              </w:rPr>
            </w:pPr>
            <w:r>
              <w:rPr>
                <w:b/>
                <w:noProof/>
                <w:sz w:val="20"/>
                <w:szCs w:val="20"/>
              </w:rPr>
              <w:t>Maximális éves kockázat</w:t>
            </w:r>
          </w:p>
        </w:tc>
        <w:tc>
          <w:tcPr>
            <w:tcW w:w="1696" w:type="dxa"/>
            <w:shd w:val="clear" w:color="auto" w:fill="auto"/>
          </w:tcPr>
          <w:p>
            <w:pPr>
              <w:jc w:val="center"/>
              <w:rPr>
                <w:b/>
                <w:noProof/>
                <w:sz w:val="20"/>
                <w:szCs w:val="20"/>
              </w:rPr>
            </w:pPr>
            <w:r>
              <w:rPr>
                <w:b/>
                <w:noProof/>
                <w:sz w:val="20"/>
                <w:szCs w:val="20"/>
              </w:rPr>
              <w:t>Az ország súlya a tagállamokkal kapcsolatos éves kockázaton belül</w:t>
            </w:r>
          </w:p>
        </w:tc>
        <w:tc>
          <w:tcPr>
            <w:tcW w:w="1580" w:type="dxa"/>
            <w:shd w:val="clear" w:color="auto" w:fill="auto"/>
          </w:tcPr>
          <w:p>
            <w:pPr>
              <w:jc w:val="center"/>
              <w:rPr>
                <w:b/>
                <w:noProof/>
                <w:sz w:val="20"/>
                <w:szCs w:val="20"/>
              </w:rPr>
            </w:pPr>
            <w:r>
              <w:rPr>
                <w:b/>
                <w:noProof/>
                <w:sz w:val="20"/>
                <w:szCs w:val="20"/>
              </w:rPr>
              <w:t>Az ország súlya az összes 2019-es éves kockázaton belül (tagállamok és nem tagállamok)</w:t>
            </w:r>
          </w:p>
        </w:tc>
      </w:tr>
      <w:tr>
        <w:tc>
          <w:tcPr>
            <w:tcW w:w="1032" w:type="dxa"/>
            <w:shd w:val="clear" w:color="auto" w:fill="auto"/>
          </w:tcPr>
          <w:p>
            <w:pPr>
              <w:jc w:val="center"/>
              <w:rPr>
                <w:b/>
                <w:noProof/>
              </w:rPr>
            </w:pPr>
            <w:r>
              <w:rPr>
                <w:b/>
                <w:noProof/>
              </w:rPr>
              <w:t>1.</w:t>
            </w:r>
          </w:p>
        </w:tc>
        <w:tc>
          <w:tcPr>
            <w:tcW w:w="1926" w:type="dxa"/>
            <w:shd w:val="clear" w:color="auto" w:fill="auto"/>
          </w:tcPr>
          <w:p>
            <w:pPr>
              <w:rPr>
                <w:noProof/>
              </w:rPr>
            </w:pPr>
            <w:r>
              <w:rPr>
                <w:noProof/>
              </w:rPr>
              <w:t>Románia</w:t>
            </w:r>
          </w:p>
        </w:tc>
        <w:tc>
          <w:tcPr>
            <w:tcW w:w="1050" w:type="dxa"/>
            <w:shd w:val="clear" w:color="auto" w:fill="auto"/>
          </w:tcPr>
          <w:p>
            <w:pPr>
              <w:jc w:val="center"/>
              <w:rPr>
                <w:noProof/>
              </w:rPr>
            </w:pPr>
            <w:r>
              <w:rPr>
                <w:noProof/>
              </w:rPr>
              <w:t>a)+b)</w:t>
            </w:r>
          </w:p>
        </w:tc>
        <w:tc>
          <w:tcPr>
            <w:tcW w:w="1896" w:type="dxa"/>
            <w:shd w:val="clear" w:color="auto" w:fill="auto"/>
          </w:tcPr>
          <w:p>
            <w:pPr>
              <w:jc w:val="right"/>
              <w:rPr>
                <w:noProof/>
              </w:rPr>
            </w:pPr>
            <w:r>
              <w:rPr>
                <w:noProof/>
              </w:rPr>
              <w:t>1 188,58</w:t>
            </w:r>
          </w:p>
        </w:tc>
        <w:tc>
          <w:tcPr>
            <w:tcW w:w="1696" w:type="dxa"/>
            <w:shd w:val="clear" w:color="auto" w:fill="auto"/>
          </w:tcPr>
          <w:p>
            <w:pPr>
              <w:jc w:val="right"/>
              <w:rPr>
                <w:noProof/>
              </w:rPr>
            </w:pPr>
            <w:r>
              <w:rPr>
                <w:noProof/>
              </w:rPr>
              <w:t>40,2 %</w:t>
            </w:r>
          </w:p>
        </w:tc>
        <w:tc>
          <w:tcPr>
            <w:tcW w:w="1580" w:type="dxa"/>
            <w:shd w:val="clear" w:color="auto" w:fill="auto"/>
          </w:tcPr>
          <w:p>
            <w:pPr>
              <w:jc w:val="right"/>
              <w:rPr>
                <w:noProof/>
              </w:rPr>
            </w:pPr>
            <w:r>
              <w:rPr>
                <w:noProof/>
              </w:rPr>
              <w:t>18,8 %</w:t>
            </w:r>
          </w:p>
        </w:tc>
      </w:tr>
      <w:tr>
        <w:tc>
          <w:tcPr>
            <w:tcW w:w="1032" w:type="dxa"/>
            <w:shd w:val="clear" w:color="auto" w:fill="auto"/>
          </w:tcPr>
          <w:p>
            <w:pPr>
              <w:jc w:val="center"/>
              <w:rPr>
                <w:b/>
                <w:noProof/>
              </w:rPr>
            </w:pPr>
            <w:r>
              <w:rPr>
                <w:b/>
                <w:noProof/>
              </w:rPr>
              <w:t>2.</w:t>
            </w:r>
          </w:p>
        </w:tc>
        <w:tc>
          <w:tcPr>
            <w:tcW w:w="1926" w:type="dxa"/>
            <w:shd w:val="clear" w:color="auto" w:fill="auto"/>
          </w:tcPr>
          <w:p>
            <w:pPr>
              <w:rPr>
                <w:noProof/>
              </w:rPr>
            </w:pPr>
            <w:r>
              <w:rPr>
                <w:noProof/>
              </w:rPr>
              <w:t>Portugália</w:t>
            </w:r>
          </w:p>
        </w:tc>
        <w:tc>
          <w:tcPr>
            <w:tcW w:w="1050" w:type="dxa"/>
            <w:shd w:val="clear" w:color="auto" w:fill="auto"/>
          </w:tcPr>
          <w:p>
            <w:pPr>
              <w:jc w:val="center"/>
              <w:rPr>
                <w:noProof/>
              </w:rPr>
            </w:pPr>
            <w:r>
              <w:rPr>
                <w:noProof/>
              </w:rPr>
              <w:t>c)</w:t>
            </w:r>
          </w:p>
        </w:tc>
        <w:tc>
          <w:tcPr>
            <w:tcW w:w="1896" w:type="dxa"/>
            <w:shd w:val="clear" w:color="auto" w:fill="auto"/>
          </w:tcPr>
          <w:p>
            <w:pPr>
              <w:jc w:val="right"/>
              <w:rPr>
                <w:noProof/>
              </w:rPr>
            </w:pPr>
            <w:r>
              <w:rPr>
                <w:noProof/>
              </w:rPr>
              <w:t>584,84</w:t>
            </w:r>
          </w:p>
        </w:tc>
        <w:tc>
          <w:tcPr>
            <w:tcW w:w="1696" w:type="dxa"/>
            <w:shd w:val="clear" w:color="auto" w:fill="auto"/>
          </w:tcPr>
          <w:p>
            <w:pPr>
              <w:jc w:val="right"/>
              <w:rPr>
                <w:noProof/>
              </w:rPr>
            </w:pPr>
            <w:r>
              <w:rPr>
                <w:noProof/>
              </w:rPr>
              <w:t>19,8 %</w:t>
            </w:r>
          </w:p>
        </w:tc>
        <w:tc>
          <w:tcPr>
            <w:tcW w:w="1580" w:type="dxa"/>
            <w:shd w:val="clear" w:color="auto" w:fill="auto"/>
          </w:tcPr>
          <w:p>
            <w:pPr>
              <w:jc w:val="right"/>
              <w:rPr>
                <w:noProof/>
              </w:rPr>
            </w:pPr>
            <w:r>
              <w:rPr>
                <w:noProof/>
              </w:rPr>
              <w:t>9,2 %</w:t>
            </w:r>
          </w:p>
        </w:tc>
      </w:tr>
      <w:tr>
        <w:tc>
          <w:tcPr>
            <w:tcW w:w="1032" w:type="dxa"/>
            <w:shd w:val="clear" w:color="auto" w:fill="auto"/>
          </w:tcPr>
          <w:p>
            <w:pPr>
              <w:jc w:val="center"/>
              <w:rPr>
                <w:b/>
                <w:noProof/>
              </w:rPr>
            </w:pPr>
            <w:r>
              <w:rPr>
                <w:b/>
                <w:noProof/>
              </w:rPr>
              <w:t>3.</w:t>
            </w:r>
          </w:p>
        </w:tc>
        <w:tc>
          <w:tcPr>
            <w:tcW w:w="1926" w:type="dxa"/>
            <w:shd w:val="clear" w:color="auto" w:fill="auto"/>
          </w:tcPr>
          <w:p>
            <w:pPr>
              <w:rPr>
                <w:noProof/>
              </w:rPr>
            </w:pPr>
            <w:r>
              <w:rPr>
                <w:noProof/>
              </w:rPr>
              <w:t>Lettország</w:t>
            </w:r>
          </w:p>
        </w:tc>
        <w:tc>
          <w:tcPr>
            <w:tcW w:w="1050" w:type="dxa"/>
            <w:shd w:val="clear" w:color="auto" w:fill="auto"/>
          </w:tcPr>
          <w:p>
            <w:pPr>
              <w:jc w:val="center"/>
              <w:rPr>
                <w:noProof/>
              </w:rPr>
            </w:pPr>
            <w:r>
              <w:rPr>
                <w:noProof/>
              </w:rPr>
              <w:t>a)+b)</w:t>
            </w:r>
          </w:p>
        </w:tc>
        <w:tc>
          <w:tcPr>
            <w:tcW w:w="1896" w:type="dxa"/>
            <w:shd w:val="clear" w:color="auto" w:fill="auto"/>
          </w:tcPr>
          <w:p>
            <w:pPr>
              <w:jc w:val="right"/>
              <w:rPr>
                <w:noProof/>
              </w:rPr>
            </w:pPr>
            <w:r>
              <w:rPr>
                <w:noProof/>
              </w:rPr>
              <w:t>524,04</w:t>
            </w:r>
          </w:p>
        </w:tc>
        <w:tc>
          <w:tcPr>
            <w:tcW w:w="1696" w:type="dxa"/>
            <w:shd w:val="clear" w:color="auto" w:fill="auto"/>
          </w:tcPr>
          <w:p>
            <w:pPr>
              <w:jc w:val="right"/>
              <w:rPr>
                <w:noProof/>
              </w:rPr>
            </w:pPr>
            <w:r>
              <w:rPr>
                <w:noProof/>
              </w:rPr>
              <w:t>17,7 %</w:t>
            </w:r>
          </w:p>
        </w:tc>
        <w:tc>
          <w:tcPr>
            <w:tcW w:w="1580" w:type="dxa"/>
            <w:shd w:val="clear" w:color="auto" w:fill="auto"/>
          </w:tcPr>
          <w:p>
            <w:pPr>
              <w:jc w:val="right"/>
              <w:rPr>
                <w:noProof/>
              </w:rPr>
            </w:pPr>
            <w:r>
              <w:rPr>
                <w:noProof/>
              </w:rPr>
              <w:t>8,3 %</w:t>
            </w:r>
          </w:p>
        </w:tc>
      </w:tr>
      <w:tr>
        <w:tc>
          <w:tcPr>
            <w:tcW w:w="1032" w:type="dxa"/>
            <w:shd w:val="clear" w:color="auto" w:fill="auto"/>
          </w:tcPr>
          <w:p>
            <w:pPr>
              <w:jc w:val="center"/>
              <w:rPr>
                <w:b/>
                <w:noProof/>
              </w:rPr>
            </w:pPr>
            <w:r>
              <w:rPr>
                <w:b/>
                <w:noProof/>
              </w:rPr>
              <w:t>4.</w:t>
            </w:r>
          </w:p>
        </w:tc>
        <w:tc>
          <w:tcPr>
            <w:tcW w:w="1926" w:type="dxa"/>
            <w:shd w:val="clear" w:color="auto" w:fill="auto"/>
          </w:tcPr>
          <w:p>
            <w:pPr>
              <w:rPr>
                <w:noProof/>
              </w:rPr>
            </w:pPr>
            <w:r>
              <w:rPr>
                <w:noProof/>
              </w:rPr>
              <w:t>Írország</w:t>
            </w:r>
          </w:p>
        </w:tc>
        <w:tc>
          <w:tcPr>
            <w:tcW w:w="1050" w:type="dxa"/>
            <w:shd w:val="clear" w:color="auto" w:fill="auto"/>
          </w:tcPr>
          <w:p>
            <w:pPr>
              <w:jc w:val="center"/>
              <w:rPr>
                <w:noProof/>
              </w:rPr>
            </w:pPr>
            <w:r>
              <w:rPr>
                <w:noProof/>
              </w:rPr>
              <w:t>c)</w:t>
            </w:r>
          </w:p>
        </w:tc>
        <w:tc>
          <w:tcPr>
            <w:tcW w:w="1896" w:type="dxa"/>
            <w:shd w:val="clear" w:color="auto" w:fill="auto"/>
          </w:tcPr>
          <w:p>
            <w:pPr>
              <w:jc w:val="right"/>
              <w:rPr>
                <w:noProof/>
              </w:rPr>
            </w:pPr>
            <w:r>
              <w:rPr>
                <w:noProof/>
              </w:rPr>
              <w:t>518,98</w:t>
            </w:r>
          </w:p>
        </w:tc>
        <w:tc>
          <w:tcPr>
            <w:tcW w:w="1696" w:type="dxa"/>
            <w:shd w:val="clear" w:color="auto" w:fill="auto"/>
          </w:tcPr>
          <w:p>
            <w:pPr>
              <w:jc w:val="right"/>
              <w:rPr>
                <w:noProof/>
              </w:rPr>
            </w:pPr>
            <w:r>
              <w:rPr>
                <w:noProof/>
              </w:rPr>
              <w:t>17,6 %</w:t>
            </w:r>
          </w:p>
        </w:tc>
        <w:tc>
          <w:tcPr>
            <w:tcW w:w="1580" w:type="dxa"/>
            <w:shd w:val="clear" w:color="auto" w:fill="auto"/>
          </w:tcPr>
          <w:p>
            <w:pPr>
              <w:jc w:val="right"/>
              <w:rPr>
                <w:noProof/>
              </w:rPr>
            </w:pPr>
            <w:r>
              <w:rPr>
                <w:noProof/>
              </w:rPr>
              <w:t>8,2 %</w:t>
            </w:r>
          </w:p>
        </w:tc>
      </w:tr>
      <w:tr>
        <w:tc>
          <w:tcPr>
            <w:tcW w:w="1032" w:type="dxa"/>
            <w:shd w:val="clear" w:color="auto" w:fill="auto"/>
          </w:tcPr>
          <w:p>
            <w:pPr>
              <w:jc w:val="center"/>
              <w:rPr>
                <w:b/>
                <w:noProof/>
              </w:rPr>
            </w:pPr>
            <w:r>
              <w:rPr>
                <w:b/>
                <w:noProof/>
              </w:rPr>
              <w:t>5.</w:t>
            </w:r>
          </w:p>
        </w:tc>
        <w:tc>
          <w:tcPr>
            <w:tcW w:w="1926" w:type="dxa"/>
            <w:shd w:val="clear" w:color="auto" w:fill="auto"/>
          </w:tcPr>
          <w:p>
            <w:pPr>
              <w:rPr>
                <w:noProof/>
              </w:rPr>
            </w:pPr>
            <w:r>
              <w:rPr>
                <w:noProof/>
              </w:rPr>
              <w:t>Bulgária</w:t>
            </w:r>
          </w:p>
        </w:tc>
        <w:tc>
          <w:tcPr>
            <w:tcW w:w="1050" w:type="dxa"/>
            <w:shd w:val="clear" w:color="auto" w:fill="auto"/>
          </w:tcPr>
          <w:p>
            <w:pPr>
              <w:jc w:val="center"/>
              <w:rPr>
                <w:noProof/>
              </w:rPr>
            </w:pPr>
            <w:r>
              <w:rPr>
                <w:noProof/>
              </w:rPr>
              <w:t>a)</w:t>
            </w:r>
          </w:p>
        </w:tc>
        <w:tc>
          <w:tcPr>
            <w:tcW w:w="1896" w:type="dxa"/>
            <w:shd w:val="clear" w:color="auto" w:fill="auto"/>
          </w:tcPr>
          <w:p>
            <w:pPr>
              <w:jc w:val="right"/>
              <w:rPr>
                <w:noProof/>
              </w:rPr>
            </w:pPr>
            <w:r>
              <w:rPr>
                <w:noProof/>
              </w:rPr>
              <w:t>54,85</w:t>
            </w:r>
          </w:p>
        </w:tc>
        <w:tc>
          <w:tcPr>
            <w:tcW w:w="1696" w:type="dxa"/>
            <w:shd w:val="clear" w:color="auto" w:fill="auto"/>
          </w:tcPr>
          <w:p>
            <w:pPr>
              <w:jc w:val="right"/>
              <w:rPr>
                <w:noProof/>
              </w:rPr>
            </w:pPr>
            <w:r>
              <w:rPr>
                <w:noProof/>
              </w:rPr>
              <w:t>1,9 %</w:t>
            </w:r>
          </w:p>
        </w:tc>
        <w:tc>
          <w:tcPr>
            <w:tcW w:w="1580" w:type="dxa"/>
            <w:shd w:val="clear" w:color="auto" w:fill="auto"/>
          </w:tcPr>
          <w:p>
            <w:pPr>
              <w:jc w:val="right"/>
              <w:rPr>
                <w:noProof/>
              </w:rPr>
            </w:pPr>
            <w:r>
              <w:rPr>
                <w:noProof/>
              </w:rPr>
              <w:t>0,9 %</w:t>
            </w:r>
          </w:p>
        </w:tc>
      </w:tr>
      <w:tr>
        <w:tc>
          <w:tcPr>
            <w:tcW w:w="1032" w:type="dxa"/>
            <w:shd w:val="clear" w:color="auto" w:fill="auto"/>
          </w:tcPr>
          <w:p>
            <w:pPr>
              <w:jc w:val="center"/>
              <w:rPr>
                <w:b/>
                <w:noProof/>
              </w:rPr>
            </w:pPr>
            <w:r>
              <w:rPr>
                <w:b/>
                <w:noProof/>
              </w:rPr>
              <w:t>6.</w:t>
            </w:r>
          </w:p>
        </w:tc>
        <w:tc>
          <w:tcPr>
            <w:tcW w:w="1926" w:type="dxa"/>
            <w:shd w:val="clear" w:color="auto" w:fill="auto"/>
          </w:tcPr>
          <w:p>
            <w:pPr>
              <w:rPr>
                <w:noProof/>
              </w:rPr>
            </w:pPr>
            <w:r>
              <w:rPr>
                <w:noProof/>
              </w:rPr>
              <w:t>Horvátország</w:t>
            </w:r>
          </w:p>
        </w:tc>
        <w:tc>
          <w:tcPr>
            <w:tcW w:w="1050" w:type="dxa"/>
            <w:shd w:val="clear" w:color="auto" w:fill="auto"/>
          </w:tcPr>
          <w:p>
            <w:pPr>
              <w:jc w:val="center"/>
              <w:rPr>
                <w:noProof/>
              </w:rPr>
            </w:pPr>
            <w:r>
              <w:rPr>
                <w:noProof/>
              </w:rPr>
              <w:t>a)</w:t>
            </w:r>
          </w:p>
        </w:tc>
        <w:tc>
          <w:tcPr>
            <w:tcW w:w="1896" w:type="dxa"/>
            <w:shd w:val="clear" w:color="auto" w:fill="auto"/>
          </w:tcPr>
          <w:p>
            <w:pPr>
              <w:jc w:val="right"/>
              <w:rPr>
                <w:noProof/>
              </w:rPr>
            </w:pPr>
            <w:r>
              <w:rPr>
                <w:noProof/>
              </w:rPr>
              <w:t>34,11</w:t>
            </w:r>
          </w:p>
        </w:tc>
        <w:tc>
          <w:tcPr>
            <w:tcW w:w="1696" w:type="dxa"/>
            <w:shd w:val="clear" w:color="auto" w:fill="auto"/>
          </w:tcPr>
          <w:p>
            <w:pPr>
              <w:jc w:val="right"/>
              <w:rPr>
                <w:noProof/>
              </w:rPr>
            </w:pPr>
            <w:r>
              <w:rPr>
                <w:noProof/>
              </w:rPr>
              <w:t>1,2 %</w:t>
            </w:r>
          </w:p>
        </w:tc>
        <w:tc>
          <w:tcPr>
            <w:tcW w:w="1580" w:type="dxa"/>
            <w:shd w:val="clear" w:color="auto" w:fill="auto"/>
          </w:tcPr>
          <w:p>
            <w:pPr>
              <w:jc w:val="right"/>
              <w:rPr>
                <w:noProof/>
              </w:rPr>
            </w:pPr>
            <w:r>
              <w:rPr>
                <w:noProof/>
              </w:rPr>
              <w:t>0,5 %</w:t>
            </w:r>
          </w:p>
        </w:tc>
      </w:tr>
      <w:tr>
        <w:tc>
          <w:tcPr>
            <w:tcW w:w="1032" w:type="dxa"/>
            <w:shd w:val="clear" w:color="auto" w:fill="auto"/>
          </w:tcPr>
          <w:p>
            <w:pPr>
              <w:jc w:val="center"/>
              <w:rPr>
                <w:b/>
                <w:noProof/>
              </w:rPr>
            </w:pPr>
            <w:r>
              <w:rPr>
                <w:b/>
                <w:noProof/>
              </w:rPr>
              <w:t>7.</w:t>
            </w:r>
          </w:p>
        </w:tc>
        <w:tc>
          <w:tcPr>
            <w:tcW w:w="1926" w:type="dxa"/>
            <w:shd w:val="clear" w:color="auto" w:fill="auto"/>
          </w:tcPr>
          <w:p>
            <w:pPr>
              <w:rPr>
                <w:noProof/>
              </w:rPr>
            </w:pPr>
            <w:r>
              <w:rPr>
                <w:noProof/>
              </w:rPr>
              <w:t>Lengyelország</w:t>
            </w:r>
          </w:p>
        </w:tc>
        <w:tc>
          <w:tcPr>
            <w:tcW w:w="1050" w:type="dxa"/>
            <w:shd w:val="clear" w:color="auto" w:fill="auto"/>
          </w:tcPr>
          <w:p>
            <w:pPr>
              <w:jc w:val="center"/>
              <w:rPr>
                <w:noProof/>
              </w:rPr>
            </w:pPr>
            <w:r>
              <w:rPr>
                <w:noProof/>
              </w:rPr>
              <w:t>a)</w:t>
            </w:r>
          </w:p>
        </w:tc>
        <w:tc>
          <w:tcPr>
            <w:tcW w:w="1896" w:type="dxa"/>
            <w:shd w:val="clear" w:color="auto" w:fill="auto"/>
          </w:tcPr>
          <w:p>
            <w:pPr>
              <w:jc w:val="right"/>
              <w:rPr>
                <w:noProof/>
              </w:rPr>
            </w:pPr>
            <w:r>
              <w:rPr>
                <w:noProof/>
              </w:rPr>
              <w:t>18,90</w:t>
            </w:r>
          </w:p>
        </w:tc>
        <w:tc>
          <w:tcPr>
            <w:tcW w:w="1696" w:type="dxa"/>
            <w:shd w:val="clear" w:color="auto" w:fill="auto"/>
          </w:tcPr>
          <w:p>
            <w:pPr>
              <w:jc w:val="right"/>
              <w:rPr>
                <w:noProof/>
              </w:rPr>
            </w:pPr>
            <w:r>
              <w:rPr>
                <w:noProof/>
              </w:rPr>
              <w:t>0,6 %</w:t>
            </w:r>
          </w:p>
        </w:tc>
        <w:tc>
          <w:tcPr>
            <w:tcW w:w="1580" w:type="dxa"/>
            <w:shd w:val="clear" w:color="auto" w:fill="auto"/>
          </w:tcPr>
          <w:p>
            <w:pPr>
              <w:jc w:val="right"/>
              <w:rPr>
                <w:noProof/>
              </w:rPr>
            </w:pPr>
            <w:r>
              <w:rPr>
                <w:noProof/>
              </w:rPr>
              <w:t>0,3 %</w:t>
            </w:r>
          </w:p>
        </w:tc>
      </w:tr>
      <w:tr>
        <w:tc>
          <w:tcPr>
            <w:tcW w:w="1032" w:type="dxa"/>
            <w:shd w:val="clear" w:color="auto" w:fill="auto"/>
          </w:tcPr>
          <w:p>
            <w:pPr>
              <w:jc w:val="center"/>
              <w:rPr>
                <w:b/>
                <w:noProof/>
              </w:rPr>
            </w:pPr>
            <w:r>
              <w:rPr>
                <w:b/>
                <w:noProof/>
              </w:rPr>
              <w:t>8.</w:t>
            </w:r>
          </w:p>
        </w:tc>
        <w:tc>
          <w:tcPr>
            <w:tcW w:w="1926" w:type="dxa"/>
            <w:shd w:val="clear" w:color="auto" w:fill="auto"/>
          </w:tcPr>
          <w:p>
            <w:pPr>
              <w:rPr>
                <w:noProof/>
              </w:rPr>
            </w:pPr>
            <w:r>
              <w:rPr>
                <w:noProof/>
              </w:rPr>
              <w:t>Szlovákia</w:t>
            </w:r>
          </w:p>
        </w:tc>
        <w:tc>
          <w:tcPr>
            <w:tcW w:w="1050" w:type="dxa"/>
            <w:shd w:val="clear" w:color="auto" w:fill="auto"/>
          </w:tcPr>
          <w:p>
            <w:pPr>
              <w:jc w:val="center"/>
              <w:rPr>
                <w:noProof/>
              </w:rPr>
            </w:pPr>
            <w:r>
              <w:rPr>
                <w:noProof/>
              </w:rPr>
              <w:t>a)</w:t>
            </w:r>
          </w:p>
        </w:tc>
        <w:tc>
          <w:tcPr>
            <w:tcW w:w="1896" w:type="dxa"/>
            <w:shd w:val="clear" w:color="auto" w:fill="auto"/>
          </w:tcPr>
          <w:p>
            <w:pPr>
              <w:jc w:val="right"/>
              <w:rPr>
                <w:noProof/>
              </w:rPr>
            </w:pPr>
            <w:r>
              <w:rPr>
                <w:noProof/>
              </w:rPr>
              <w:t>13,40</w:t>
            </w:r>
          </w:p>
        </w:tc>
        <w:tc>
          <w:tcPr>
            <w:tcW w:w="1696" w:type="dxa"/>
            <w:shd w:val="clear" w:color="auto" w:fill="auto"/>
          </w:tcPr>
          <w:p>
            <w:pPr>
              <w:jc w:val="right"/>
              <w:rPr>
                <w:noProof/>
              </w:rPr>
            </w:pPr>
            <w:r>
              <w:rPr>
                <w:noProof/>
              </w:rPr>
              <w:t>0,5 %</w:t>
            </w:r>
          </w:p>
        </w:tc>
        <w:tc>
          <w:tcPr>
            <w:tcW w:w="1580" w:type="dxa"/>
            <w:shd w:val="clear" w:color="auto" w:fill="auto"/>
          </w:tcPr>
          <w:p>
            <w:pPr>
              <w:jc w:val="right"/>
              <w:rPr>
                <w:noProof/>
              </w:rPr>
            </w:pPr>
            <w:r>
              <w:rPr>
                <w:noProof/>
              </w:rPr>
              <w:t>0,2 %</w:t>
            </w:r>
          </w:p>
        </w:tc>
      </w:tr>
      <w:tr>
        <w:tc>
          <w:tcPr>
            <w:tcW w:w="1032" w:type="dxa"/>
            <w:shd w:val="clear" w:color="auto" w:fill="auto"/>
          </w:tcPr>
          <w:p>
            <w:pPr>
              <w:jc w:val="center"/>
              <w:rPr>
                <w:b/>
                <w:noProof/>
              </w:rPr>
            </w:pPr>
            <w:r>
              <w:rPr>
                <w:b/>
                <w:noProof/>
              </w:rPr>
              <w:t>9.</w:t>
            </w:r>
          </w:p>
        </w:tc>
        <w:tc>
          <w:tcPr>
            <w:tcW w:w="1926" w:type="dxa"/>
            <w:shd w:val="clear" w:color="auto" w:fill="auto"/>
          </w:tcPr>
          <w:p>
            <w:pPr>
              <w:rPr>
                <w:noProof/>
              </w:rPr>
            </w:pPr>
            <w:r>
              <w:rPr>
                <w:noProof/>
              </w:rPr>
              <w:t>Cseh Köztársaság</w:t>
            </w:r>
          </w:p>
        </w:tc>
        <w:tc>
          <w:tcPr>
            <w:tcW w:w="1050" w:type="dxa"/>
            <w:shd w:val="clear" w:color="auto" w:fill="auto"/>
          </w:tcPr>
          <w:p>
            <w:pPr>
              <w:jc w:val="center"/>
              <w:rPr>
                <w:noProof/>
              </w:rPr>
            </w:pPr>
            <w:r>
              <w:rPr>
                <w:noProof/>
              </w:rPr>
              <w:t>a)</w:t>
            </w:r>
          </w:p>
        </w:tc>
        <w:tc>
          <w:tcPr>
            <w:tcW w:w="1896" w:type="dxa"/>
            <w:shd w:val="clear" w:color="auto" w:fill="auto"/>
          </w:tcPr>
          <w:p>
            <w:pPr>
              <w:jc w:val="right"/>
              <w:rPr>
                <w:noProof/>
              </w:rPr>
            </w:pPr>
            <w:r>
              <w:rPr>
                <w:noProof/>
              </w:rPr>
              <w:t>12,62</w:t>
            </w:r>
          </w:p>
        </w:tc>
        <w:tc>
          <w:tcPr>
            <w:tcW w:w="1696" w:type="dxa"/>
            <w:shd w:val="clear" w:color="auto" w:fill="auto"/>
          </w:tcPr>
          <w:p>
            <w:pPr>
              <w:jc w:val="right"/>
              <w:rPr>
                <w:noProof/>
              </w:rPr>
            </w:pPr>
            <w:r>
              <w:rPr>
                <w:noProof/>
              </w:rPr>
              <w:t>0,4 %</w:t>
            </w:r>
          </w:p>
        </w:tc>
        <w:tc>
          <w:tcPr>
            <w:tcW w:w="1580" w:type="dxa"/>
            <w:shd w:val="clear" w:color="auto" w:fill="auto"/>
          </w:tcPr>
          <w:p>
            <w:pPr>
              <w:jc w:val="right"/>
              <w:rPr>
                <w:noProof/>
              </w:rPr>
            </w:pPr>
            <w:r>
              <w:rPr>
                <w:noProof/>
              </w:rPr>
              <w:t>0,2 %</w:t>
            </w:r>
          </w:p>
        </w:tc>
      </w:tr>
      <w:tr>
        <w:tc>
          <w:tcPr>
            <w:tcW w:w="1032" w:type="dxa"/>
            <w:shd w:val="clear" w:color="auto" w:fill="auto"/>
          </w:tcPr>
          <w:p>
            <w:pPr>
              <w:jc w:val="center"/>
              <w:rPr>
                <w:b/>
                <w:noProof/>
              </w:rPr>
            </w:pPr>
            <w:r>
              <w:rPr>
                <w:b/>
                <w:noProof/>
              </w:rPr>
              <w:t>10.</w:t>
            </w:r>
          </w:p>
        </w:tc>
        <w:tc>
          <w:tcPr>
            <w:tcW w:w="1926" w:type="dxa"/>
            <w:shd w:val="clear" w:color="auto" w:fill="auto"/>
          </w:tcPr>
          <w:p>
            <w:pPr>
              <w:rPr>
                <w:noProof/>
              </w:rPr>
            </w:pPr>
            <w:r>
              <w:rPr>
                <w:noProof/>
              </w:rPr>
              <w:t>Litvánia</w:t>
            </w:r>
          </w:p>
        </w:tc>
        <w:tc>
          <w:tcPr>
            <w:tcW w:w="1050" w:type="dxa"/>
            <w:shd w:val="clear" w:color="auto" w:fill="auto"/>
          </w:tcPr>
          <w:p>
            <w:pPr>
              <w:jc w:val="center"/>
              <w:rPr>
                <w:noProof/>
              </w:rPr>
            </w:pPr>
            <w:r>
              <w:rPr>
                <w:noProof/>
              </w:rPr>
              <w:t>a)</w:t>
            </w:r>
          </w:p>
        </w:tc>
        <w:tc>
          <w:tcPr>
            <w:tcW w:w="1896" w:type="dxa"/>
            <w:shd w:val="clear" w:color="auto" w:fill="auto"/>
          </w:tcPr>
          <w:p>
            <w:pPr>
              <w:jc w:val="right"/>
              <w:rPr>
                <w:noProof/>
              </w:rPr>
            </w:pPr>
            <w:r>
              <w:rPr>
                <w:noProof/>
              </w:rPr>
              <w:t>2,74</w:t>
            </w:r>
          </w:p>
        </w:tc>
        <w:tc>
          <w:tcPr>
            <w:tcW w:w="1696" w:type="dxa"/>
            <w:shd w:val="clear" w:color="auto" w:fill="auto"/>
          </w:tcPr>
          <w:p>
            <w:pPr>
              <w:jc w:val="right"/>
              <w:rPr>
                <w:noProof/>
              </w:rPr>
            </w:pPr>
            <w:r>
              <w:rPr>
                <w:noProof/>
              </w:rPr>
              <w:t>0,1 %</w:t>
            </w:r>
          </w:p>
        </w:tc>
        <w:tc>
          <w:tcPr>
            <w:tcW w:w="1580" w:type="dxa"/>
            <w:shd w:val="clear" w:color="auto" w:fill="auto"/>
          </w:tcPr>
          <w:p>
            <w:pPr>
              <w:jc w:val="right"/>
              <w:rPr>
                <w:noProof/>
              </w:rPr>
            </w:pPr>
            <w:r>
              <w:rPr>
                <w:noProof/>
              </w:rPr>
              <w:t>0,0 %</w:t>
            </w:r>
          </w:p>
        </w:tc>
      </w:tr>
      <w:tr>
        <w:tc>
          <w:tcPr>
            <w:tcW w:w="1032" w:type="dxa"/>
            <w:shd w:val="clear" w:color="auto" w:fill="auto"/>
          </w:tcPr>
          <w:p>
            <w:pPr>
              <w:rPr>
                <w:b/>
                <w:noProof/>
              </w:rPr>
            </w:pPr>
            <w:r>
              <w:rPr>
                <w:b/>
                <w:noProof/>
              </w:rPr>
              <w:t>Összesen</w:t>
            </w:r>
          </w:p>
        </w:tc>
        <w:tc>
          <w:tcPr>
            <w:tcW w:w="1926" w:type="dxa"/>
            <w:shd w:val="clear" w:color="auto" w:fill="auto"/>
          </w:tcPr>
          <w:p>
            <w:pPr>
              <w:rPr>
                <w:noProof/>
              </w:rPr>
            </w:pPr>
          </w:p>
        </w:tc>
        <w:tc>
          <w:tcPr>
            <w:tcW w:w="1050" w:type="dxa"/>
            <w:shd w:val="clear" w:color="auto" w:fill="auto"/>
          </w:tcPr>
          <w:p>
            <w:pPr>
              <w:jc w:val="right"/>
              <w:rPr>
                <w:noProof/>
              </w:rPr>
            </w:pPr>
          </w:p>
        </w:tc>
        <w:tc>
          <w:tcPr>
            <w:tcW w:w="1896" w:type="dxa"/>
            <w:shd w:val="clear" w:color="auto" w:fill="auto"/>
          </w:tcPr>
          <w:p>
            <w:pPr>
              <w:jc w:val="right"/>
              <w:rPr>
                <w:noProof/>
              </w:rPr>
            </w:pPr>
            <w:r>
              <w:rPr>
                <w:noProof/>
              </w:rPr>
              <w:t>2 953,1</w:t>
            </w:r>
          </w:p>
        </w:tc>
        <w:tc>
          <w:tcPr>
            <w:tcW w:w="1696" w:type="dxa"/>
            <w:shd w:val="clear" w:color="auto" w:fill="auto"/>
          </w:tcPr>
          <w:p>
            <w:pPr>
              <w:jc w:val="right"/>
              <w:rPr>
                <w:noProof/>
              </w:rPr>
            </w:pPr>
            <w:r>
              <w:rPr>
                <w:noProof/>
              </w:rPr>
              <w:t>100,0 %</w:t>
            </w:r>
          </w:p>
        </w:tc>
        <w:tc>
          <w:tcPr>
            <w:tcW w:w="1580" w:type="dxa"/>
            <w:shd w:val="clear" w:color="auto" w:fill="auto"/>
          </w:tcPr>
          <w:p>
            <w:pPr>
              <w:jc w:val="right"/>
              <w:rPr>
                <w:noProof/>
              </w:rPr>
            </w:pPr>
            <w:r>
              <w:rPr>
                <w:noProof/>
              </w:rPr>
              <w:t>46,6 %</w:t>
            </w:r>
          </w:p>
        </w:tc>
      </w:tr>
    </w:tbl>
    <w:p>
      <w:pPr>
        <w:pStyle w:val="ManualHeading3"/>
        <w:spacing w:before="360"/>
        <w:ind w:left="0" w:firstLine="0"/>
        <w:rPr>
          <w:noProof/>
        </w:rPr>
      </w:pPr>
      <w:bookmarkStart w:id="21" w:name="_Toc21506661"/>
      <w:r>
        <w:rPr>
          <w:noProof/>
        </w:rPr>
        <w:t>4.3.2.</w:t>
      </w:r>
      <w:r>
        <w:rPr>
          <w:noProof/>
        </w:rPr>
        <w:tab/>
        <w:t>Harmadik országokkal szembeni kitettség</w:t>
      </w:r>
      <w:bookmarkEnd w:id="21"/>
    </w:p>
    <w:p>
      <w:pPr>
        <w:rPr>
          <w:noProof/>
        </w:rPr>
      </w:pPr>
      <w:r>
        <w:rPr>
          <w:noProof/>
        </w:rPr>
        <w:t>2019-ben az alap a harmadik országokkal szembeni kitettséggel kapcsolatban 3 383,8 millió EUR maximális éves kockázatot visel (ez a teljes éves kockázat 53,4 %-a). A harmadik országokkal kapcsolatos kockázatok az EBB hitelezési műveleteihez, a makroszintű pénzügyi támogatás keretében nyújtott hitelekhez és az Euratom-hitelekhez kapcsolódnak (részletek a bizottsági szolgálati munkadokumentum A2b. táblázatában olvashatóak). Az alap harmadik országoknak nyújtott, legfeljebb 2042-ig terjedő futamidejű garantált hitelekre nyújt fedezetet.</w:t>
      </w:r>
    </w:p>
    <w:p>
      <w:pPr>
        <w:rPr>
          <w:noProof/>
        </w:rPr>
      </w:pPr>
      <w:r>
        <w:rPr>
          <w:noProof/>
        </w:rPr>
        <w:t xml:space="preserve">A 2019-ben esedékes visszafizetéseik alapján a tíz legmagasabban rangsorolt ország (46 nem uniós tagállam közül) az alábbi táblázatban található. 2019-ben az alap által viselt, harmadik országokhoz kapcsolódó éves kockázatból 2 864,50 millió EUR (84,7 %) ezeket az országokat érinti. Gazdasági helyzetük vizsgálatával és értékelésével a bizottsági szolgálati munkadokumentum 3. szakasza foglalkozik. A hitelminősítő intézetek által meghatározott hitelképesség szintén fel van tüntetve az egyes országokra vonatkozó összefoglaló táblázatokban. </w:t>
      </w:r>
    </w:p>
    <w:p>
      <w:pPr>
        <w:keepNext/>
        <w:spacing w:after="0"/>
        <w:rPr>
          <w:noProof/>
          <w:sz w:val="20"/>
          <w:szCs w:val="20"/>
        </w:rPr>
      </w:pPr>
      <w:r>
        <w:rPr>
          <w:noProof/>
          <w:sz w:val="18"/>
        </w:rPr>
        <w:t xml:space="preserve">3. táblázat: </w:t>
      </w:r>
      <w:r>
        <w:rPr>
          <w:noProof/>
          <w:sz w:val="20"/>
          <w:szCs w:val="20"/>
        </w:rPr>
        <w:t xml:space="preserve">A </w:t>
      </w:r>
      <w:r>
        <w:rPr>
          <w:b/>
          <w:noProof/>
          <w:sz w:val="20"/>
          <w:szCs w:val="20"/>
        </w:rPr>
        <w:t>10</w:t>
      </w:r>
      <w:r>
        <w:rPr>
          <w:noProof/>
          <w:sz w:val="20"/>
          <w:szCs w:val="20"/>
        </w:rPr>
        <w:t xml:space="preserve"> legnagyobb kockázati kitettséget jelentő </w:t>
      </w:r>
      <w:r>
        <w:rPr>
          <w:b/>
          <w:noProof/>
          <w:sz w:val="20"/>
          <w:szCs w:val="20"/>
        </w:rPr>
        <w:t>harmadik ország</w:t>
      </w:r>
      <w:r>
        <w:rPr>
          <w:noProof/>
          <w:sz w:val="20"/>
          <w:szCs w:val="20"/>
        </w:rPr>
        <w:t xml:space="preserve"> rangsora az uniós költségvetés által 2019-ben viselt éves kockázat alapján (millió EUR) </w:t>
      </w:r>
    </w:p>
    <w:tbl>
      <w:tblPr>
        <w:tblW w:w="8760" w:type="dxa"/>
        <w:tblInd w:w="-5" w:type="dxa"/>
        <w:tblLayout w:type="fixed"/>
        <w:tblLook w:val="0000" w:firstRow="0" w:lastRow="0" w:firstColumn="0" w:lastColumn="0" w:noHBand="0" w:noVBand="0"/>
      </w:tblPr>
      <w:tblGrid>
        <w:gridCol w:w="1814"/>
        <w:gridCol w:w="1701"/>
        <w:gridCol w:w="1560"/>
        <w:gridCol w:w="1842"/>
        <w:gridCol w:w="1843"/>
      </w:tblGrid>
      <w:tr>
        <w:trPr>
          <w:trHeight w:val="405"/>
        </w:trPr>
        <w:tc>
          <w:tcPr>
            <w:tcW w:w="1814" w:type="dxa"/>
            <w:tcBorders>
              <w:top w:val="single" w:sz="4" w:space="0" w:color="000000"/>
              <w:left w:val="single" w:sz="4" w:space="0" w:color="000000"/>
            </w:tcBorders>
          </w:tcPr>
          <w:p>
            <w:pPr>
              <w:keepNext/>
              <w:jc w:val="center"/>
              <w:rPr>
                <w:b/>
                <w:noProof/>
              </w:rPr>
            </w:pPr>
            <w:r>
              <w:rPr>
                <w:b/>
                <w:noProof/>
              </w:rPr>
              <w:t>Rangsor</w:t>
            </w:r>
          </w:p>
        </w:tc>
        <w:tc>
          <w:tcPr>
            <w:tcW w:w="1701" w:type="dxa"/>
            <w:tcBorders>
              <w:top w:val="single" w:sz="4" w:space="0" w:color="000000"/>
              <w:left w:val="single" w:sz="4" w:space="0" w:color="000000"/>
            </w:tcBorders>
          </w:tcPr>
          <w:p>
            <w:pPr>
              <w:keepNext/>
              <w:jc w:val="center"/>
              <w:rPr>
                <w:b/>
                <w:noProof/>
              </w:rPr>
            </w:pPr>
            <w:r>
              <w:rPr>
                <w:b/>
                <w:noProof/>
              </w:rPr>
              <w:t>Ország</w:t>
            </w:r>
          </w:p>
        </w:tc>
        <w:tc>
          <w:tcPr>
            <w:tcW w:w="1560" w:type="dxa"/>
            <w:tcBorders>
              <w:top w:val="single" w:sz="4" w:space="0" w:color="000000"/>
              <w:left w:val="single" w:sz="4" w:space="0" w:color="000000"/>
            </w:tcBorders>
          </w:tcPr>
          <w:p>
            <w:pPr>
              <w:keepNext/>
              <w:jc w:val="center"/>
              <w:rPr>
                <w:b/>
                <w:noProof/>
              </w:rPr>
            </w:pPr>
            <w:r>
              <w:rPr>
                <w:b/>
                <w:noProof/>
              </w:rPr>
              <w:t>Maximális éves kockázat</w:t>
            </w:r>
          </w:p>
        </w:tc>
        <w:tc>
          <w:tcPr>
            <w:tcW w:w="1842" w:type="dxa"/>
            <w:tcBorders>
              <w:top w:val="single" w:sz="4" w:space="0" w:color="000000"/>
              <w:left w:val="single" w:sz="4" w:space="0" w:color="000000"/>
            </w:tcBorders>
          </w:tcPr>
          <w:p>
            <w:pPr>
              <w:keepNext/>
              <w:jc w:val="center"/>
              <w:rPr>
                <w:b/>
                <w:noProof/>
              </w:rPr>
            </w:pPr>
            <w:r>
              <w:rPr>
                <w:b/>
                <w:noProof/>
              </w:rPr>
              <w:t>Az ország súlya a harmadik országokkal kapcsolatos éves kockázaton belül</w:t>
            </w:r>
          </w:p>
        </w:tc>
        <w:tc>
          <w:tcPr>
            <w:tcW w:w="1843" w:type="dxa"/>
            <w:tcBorders>
              <w:top w:val="single" w:sz="4" w:space="0" w:color="000000"/>
              <w:left w:val="single" w:sz="4" w:space="0" w:color="000000"/>
              <w:right w:val="single" w:sz="4" w:space="0" w:color="000000"/>
            </w:tcBorders>
          </w:tcPr>
          <w:p>
            <w:pPr>
              <w:keepNext/>
              <w:jc w:val="center"/>
              <w:rPr>
                <w:b/>
                <w:noProof/>
              </w:rPr>
            </w:pPr>
            <w:r>
              <w:rPr>
                <w:b/>
                <w:noProof/>
              </w:rPr>
              <w:t>Az ország súlya az összes 2019-es éves kockázaton belül (tagállamok és nem tagállamok)</w:t>
            </w:r>
          </w:p>
        </w:tc>
      </w:tr>
      <w:tr>
        <w:tc>
          <w:tcPr>
            <w:tcW w:w="1814" w:type="dxa"/>
            <w:tcBorders>
              <w:top w:val="single" w:sz="4" w:space="0" w:color="000000"/>
              <w:left w:val="single" w:sz="4" w:space="0" w:color="000000"/>
              <w:bottom w:val="single" w:sz="4" w:space="0" w:color="000000"/>
            </w:tcBorders>
            <w:vAlign w:val="center"/>
          </w:tcPr>
          <w:p>
            <w:pPr>
              <w:keepNext/>
              <w:snapToGrid w:val="0"/>
              <w:jc w:val="center"/>
              <w:rPr>
                <w:b/>
                <w:noProof/>
              </w:rPr>
            </w:pPr>
            <w:r>
              <w:rPr>
                <w:b/>
                <w:noProof/>
              </w:rPr>
              <w:t>1.</w:t>
            </w:r>
          </w:p>
        </w:tc>
        <w:tc>
          <w:tcPr>
            <w:tcW w:w="1701" w:type="dxa"/>
            <w:tcBorders>
              <w:top w:val="single" w:sz="4" w:space="0" w:color="000000"/>
              <w:left w:val="single" w:sz="4" w:space="0" w:color="000000"/>
              <w:bottom w:val="single" w:sz="4" w:space="0" w:color="000000"/>
            </w:tcBorders>
          </w:tcPr>
          <w:p>
            <w:pPr>
              <w:keepNext/>
              <w:snapToGrid w:val="0"/>
              <w:rPr>
                <w:noProof/>
              </w:rPr>
            </w:pPr>
            <w:r>
              <w:rPr>
                <w:noProof/>
              </w:rPr>
              <w:t>Törökország</w:t>
            </w:r>
          </w:p>
        </w:tc>
        <w:tc>
          <w:tcPr>
            <w:tcW w:w="1560" w:type="dxa"/>
            <w:tcBorders>
              <w:top w:val="single" w:sz="4" w:space="0" w:color="000000"/>
              <w:left w:val="single" w:sz="4" w:space="0" w:color="000000"/>
              <w:bottom w:val="single" w:sz="4" w:space="0" w:color="000000"/>
            </w:tcBorders>
          </w:tcPr>
          <w:p>
            <w:pPr>
              <w:keepNext/>
              <w:snapToGrid w:val="0"/>
              <w:jc w:val="right"/>
              <w:rPr>
                <w:noProof/>
              </w:rPr>
            </w:pPr>
            <w:r>
              <w:rPr>
                <w:noProof/>
              </w:rPr>
              <w:t>977,50</w:t>
            </w:r>
          </w:p>
        </w:tc>
        <w:tc>
          <w:tcPr>
            <w:tcW w:w="1842" w:type="dxa"/>
            <w:tcBorders>
              <w:top w:val="single" w:sz="4" w:space="0" w:color="000000"/>
              <w:left w:val="single" w:sz="4" w:space="0" w:color="000000"/>
              <w:bottom w:val="single" w:sz="4" w:space="0" w:color="000000"/>
            </w:tcBorders>
          </w:tcPr>
          <w:p>
            <w:pPr>
              <w:keepNext/>
              <w:snapToGrid w:val="0"/>
              <w:jc w:val="right"/>
              <w:rPr>
                <w:noProof/>
              </w:rPr>
            </w:pPr>
            <w:r>
              <w:rPr>
                <w:noProof/>
              </w:rPr>
              <w:t>28,9 %</w:t>
            </w:r>
          </w:p>
        </w:tc>
        <w:tc>
          <w:tcPr>
            <w:tcW w:w="1843" w:type="dxa"/>
            <w:tcBorders>
              <w:top w:val="single" w:sz="4" w:space="0" w:color="000000"/>
              <w:left w:val="single" w:sz="4" w:space="0" w:color="000000"/>
              <w:bottom w:val="single" w:sz="4" w:space="0" w:color="000000"/>
              <w:right w:val="single" w:sz="4" w:space="0" w:color="000000"/>
            </w:tcBorders>
          </w:tcPr>
          <w:p>
            <w:pPr>
              <w:keepNext/>
              <w:snapToGrid w:val="0"/>
              <w:jc w:val="right"/>
              <w:rPr>
                <w:noProof/>
              </w:rPr>
            </w:pPr>
            <w:r>
              <w:rPr>
                <w:noProof/>
              </w:rPr>
              <w:t>15,4 %</w:t>
            </w:r>
          </w:p>
        </w:tc>
      </w:tr>
      <w:tr>
        <w:tc>
          <w:tcPr>
            <w:tcW w:w="1814" w:type="dxa"/>
            <w:tcBorders>
              <w:top w:val="single" w:sz="4" w:space="0" w:color="000000"/>
              <w:left w:val="single" w:sz="4" w:space="0" w:color="000000"/>
              <w:bottom w:val="single" w:sz="4" w:space="0" w:color="000000"/>
            </w:tcBorders>
            <w:vAlign w:val="center"/>
          </w:tcPr>
          <w:p>
            <w:pPr>
              <w:keepNext/>
              <w:snapToGrid w:val="0"/>
              <w:jc w:val="center"/>
              <w:rPr>
                <w:b/>
                <w:noProof/>
              </w:rPr>
            </w:pPr>
            <w:r>
              <w:rPr>
                <w:b/>
                <w:noProof/>
              </w:rPr>
              <w:t>2.</w:t>
            </w:r>
          </w:p>
        </w:tc>
        <w:tc>
          <w:tcPr>
            <w:tcW w:w="1701" w:type="dxa"/>
            <w:tcBorders>
              <w:top w:val="single" w:sz="4" w:space="0" w:color="000000"/>
              <w:left w:val="single" w:sz="4" w:space="0" w:color="000000"/>
              <w:bottom w:val="single" w:sz="4" w:space="0" w:color="000000"/>
            </w:tcBorders>
          </w:tcPr>
          <w:p>
            <w:pPr>
              <w:keepNext/>
              <w:snapToGrid w:val="0"/>
              <w:rPr>
                <w:noProof/>
              </w:rPr>
            </w:pPr>
            <w:r>
              <w:rPr>
                <w:noProof/>
              </w:rPr>
              <w:t>Egyiptom</w:t>
            </w:r>
          </w:p>
        </w:tc>
        <w:tc>
          <w:tcPr>
            <w:tcW w:w="1560" w:type="dxa"/>
            <w:tcBorders>
              <w:top w:val="single" w:sz="4" w:space="0" w:color="000000"/>
              <w:left w:val="single" w:sz="4" w:space="0" w:color="000000"/>
              <w:bottom w:val="single" w:sz="4" w:space="0" w:color="000000"/>
            </w:tcBorders>
          </w:tcPr>
          <w:p>
            <w:pPr>
              <w:keepNext/>
              <w:snapToGrid w:val="0"/>
              <w:jc w:val="right"/>
              <w:rPr>
                <w:noProof/>
              </w:rPr>
            </w:pPr>
            <w:r>
              <w:rPr>
                <w:noProof/>
              </w:rPr>
              <w:t>739,28</w:t>
            </w:r>
          </w:p>
        </w:tc>
        <w:tc>
          <w:tcPr>
            <w:tcW w:w="1842" w:type="dxa"/>
            <w:tcBorders>
              <w:top w:val="single" w:sz="4" w:space="0" w:color="000000"/>
              <w:left w:val="single" w:sz="4" w:space="0" w:color="000000"/>
              <w:bottom w:val="single" w:sz="4" w:space="0" w:color="000000"/>
            </w:tcBorders>
          </w:tcPr>
          <w:p>
            <w:pPr>
              <w:keepNext/>
              <w:jc w:val="right"/>
              <w:rPr>
                <w:noProof/>
              </w:rPr>
            </w:pPr>
            <w:r>
              <w:rPr>
                <w:noProof/>
              </w:rPr>
              <w:t>21,8 %</w:t>
            </w:r>
          </w:p>
        </w:tc>
        <w:tc>
          <w:tcPr>
            <w:tcW w:w="1843" w:type="dxa"/>
            <w:tcBorders>
              <w:top w:val="single" w:sz="4" w:space="0" w:color="000000"/>
              <w:left w:val="single" w:sz="4" w:space="0" w:color="000000"/>
              <w:bottom w:val="single" w:sz="4" w:space="0" w:color="000000"/>
              <w:right w:val="single" w:sz="4" w:space="0" w:color="000000"/>
            </w:tcBorders>
          </w:tcPr>
          <w:p>
            <w:pPr>
              <w:keepNext/>
              <w:snapToGrid w:val="0"/>
              <w:jc w:val="right"/>
              <w:rPr>
                <w:noProof/>
              </w:rPr>
            </w:pPr>
            <w:r>
              <w:rPr>
                <w:noProof/>
              </w:rPr>
              <w:t>11,7 %</w:t>
            </w:r>
          </w:p>
        </w:tc>
      </w:tr>
      <w:tr>
        <w:tc>
          <w:tcPr>
            <w:tcW w:w="1814" w:type="dxa"/>
            <w:tcBorders>
              <w:top w:val="single" w:sz="4" w:space="0" w:color="000000"/>
              <w:left w:val="single" w:sz="4" w:space="0" w:color="000000"/>
              <w:bottom w:val="single" w:sz="4" w:space="0" w:color="000000"/>
            </w:tcBorders>
            <w:vAlign w:val="center"/>
          </w:tcPr>
          <w:p>
            <w:pPr>
              <w:keepNext/>
              <w:snapToGrid w:val="0"/>
              <w:jc w:val="center"/>
              <w:rPr>
                <w:b/>
                <w:noProof/>
              </w:rPr>
            </w:pPr>
            <w:r>
              <w:rPr>
                <w:b/>
                <w:noProof/>
              </w:rPr>
              <w:t>3.</w:t>
            </w:r>
          </w:p>
        </w:tc>
        <w:tc>
          <w:tcPr>
            <w:tcW w:w="1701" w:type="dxa"/>
            <w:tcBorders>
              <w:top w:val="single" w:sz="4" w:space="0" w:color="000000"/>
              <w:left w:val="single" w:sz="4" w:space="0" w:color="000000"/>
              <w:bottom w:val="single" w:sz="4" w:space="0" w:color="000000"/>
            </w:tcBorders>
          </w:tcPr>
          <w:p>
            <w:pPr>
              <w:keepNext/>
              <w:snapToGrid w:val="0"/>
              <w:rPr>
                <w:noProof/>
              </w:rPr>
            </w:pPr>
            <w:r>
              <w:rPr>
                <w:noProof/>
              </w:rPr>
              <w:t>Tunézia</w:t>
            </w:r>
          </w:p>
        </w:tc>
        <w:tc>
          <w:tcPr>
            <w:tcW w:w="1560" w:type="dxa"/>
            <w:tcBorders>
              <w:top w:val="single" w:sz="4" w:space="0" w:color="000000"/>
              <w:left w:val="single" w:sz="4" w:space="0" w:color="000000"/>
              <w:bottom w:val="single" w:sz="4" w:space="0" w:color="000000"/>
            </w:tcBorders>
          </w:tcPr>
          <w:p>
            <w:pPr>
              <w:keepNext/>
              <w:snapToGrid w:val="0"/>
              <w:jc w:val="right"/>
              <w:rPr>
                <w:noProof/>
              </w:rPr>
            </w:pPr>
            <w:r>
              <w:rPr>
                <w:noProof/>
              </w:rPr>
              <w:t>279,98</w:t>
            </w:r>
          </w:p>
        </w:tc>
        <w:tc>
          <w:tcPr>
            <w:tcW w:w="1842" w:type="dxa"/>
            <w:tcBorders>
              <w:top w:val="single" w:sz="4" w:space="0" w:color="000000"/>
              <w:left w:val="single" w:sz="4" w:space="0" w:color="000000"/>
              <w:bottom w:val="single" w:sz="4" w:space="0" w:color="000000"/>
            </w:tcBorders>
          </w:tcPr>
          <w:p>
            <w:pPr>
              <w:keepNext/>
              <w:snapToGrid w:val="0"/>
              <w:jc w:val="right"/>
              <w:rPr>
                <w:noProof/>
              </w:rPr>
            </w:pPr>
            <w:r>
              <w:rPr>
                <w:noProof/>
              </w:rPr>
              <w:t>8,3 %</w:t>
            </w:r>
          </w:p>
        </w:tc>
        <w:tc>
          <w:tcPr>
            <w:tcW w:w="1843" w:type="dxa"/>
            <w:tcBorders>
              <w:top w:val="single" w:sz="4" w:space="0" w:color="000000"/>
              <w:left w:val="single" w:sz="4" w:space="0" w:color="000000"/>
              <w:bottom w:val="single" w:sz="4" w:space="0" w:color="000000"/>
              <w:right w:val="single" w:sz="4" w:space="0" w:color="000000"/>
            </w:tcBorders>
          </w:tcPr>
          <w:p>
            <w:pPr>
              <w:keepNext/>
              <w:snapToGrid w:val="0"/>
              <w:jc w:val="right"/>
              <w:rPr>
                <w:noProof/>
              </w:rPr>
            </w:pPr>
            <w:r>
              <w:rPr>
                <w:noProof/>
              </w:rPr>
              <w:t>4,4 %</w:t>
            </w:r>
          </w:p>
        </w:tc>
      </w:tr>
      <w:tr>
        <w:tc>
          <w:tcPr>
            <w:tcW w:w="1814" w:type="dxa"/>
            <w:tcBorders>
              <w:top w:val="single" w:sz="4" w:space="0" w:color="000000"/>
              <w:left w:val="single" w:sz="4" w:space="0" w:color="000000"/>
              <w:bottom w:val="single" w:sz="4" w:space="0" w:color="000000"/>
            </w:tcBorders>
            <w:vAlign w:val="center"/>
          </w:tcPr>
          <w:p>
            <w:pPr>
              <w:keepNext/>
              <w:snapToGrid w:val="0"/>
              <w:jc w:val="center"/>
              <w:rPr>
                <w:b/>
                <w:noProof/>
              </w:rPr>
            </w:pPr>
            <w:r>
              <w:rPr>
                <w:b/>
                <w:noProof/>
              </w:rPr>
              <w:t>4.</w:t>
            </w:r>
          </w:p>
        </w:tc>
        <w:tc>
          <w:tcPr>
            <w:tcW w:w="1701" w:type="dxa"/>
            <w:tcBorders>
              <w:top w:val="single" w:sz="4" w:space="0" w:color="000000"/>
              <w:left w:val="single" w:sz="4" w:space="0" w:color="000000"/>
              <w:bottom w:val="single" w:sz="4" w:space="0" w:color="000000"/>
            </w:tcBorders>
          </w:tcPr>
          <w:p>
            <w:pPr>
              <w:keepNext/>
              <w:snapToGrid w:val="0"/>
              <w:rPr>
                <w:noProof/>
              </w:rPr>
            </w:pPr>
            <w:r>
              <w:rPr>
                <w:noProof/>
              </w:rPr>
              <w:t>Marokkó</w:t>
            </w:r>
          </w:p>
        </w:tc>
        <w:tc>
          <w:tcPr>
            <w:tcW w:w="1560" w:type="dxa"/>
            <w:tcBorders>
              <w:top w:val="single" w:sz="4" w:space="0" w:color="000000"/>
              <w:left w:val="single" w:sz="4" w:space="0" w:color="000000"/>
              <w:bottom w:val="single" w:sz="4" w:space="0" w:color="000000"/>
            </w:tcBorders>
          </w:tcPr>
          <w:p>
            <w:pPr>
              <w:keepNext/>
              <w:snapToGrid w:val="0"/>
              <w:jc w:val="right"/>
              <w:rPr>
                <w:noProof/>
              </w:rPr>
            </w:pPr>
            <w:r>
              <w:rPr>
                <w:noProof/>
              </w:rPr>
              <w:t>260,06</w:t>
            </w:r>
          </w:p>
        </w:tc>
        <w:tc>
          <w:tcPr>
            <w:tcW w:w="1842" w:type="dxa"/>
            <w:tcBorders>
              <w:top w:val="single" w:sz="4" w:space="0" w:color="000000"/>
              <w:left w:val="single" w:sz="4" w:space="0" w:color="000000"/>
              <w:bottom w:val="single" w:sz="4" w:space="0" w:color="000000"/>
            </w:tcBorders>
          </w:tcPr>
          <w:p>
            <w:pPr>
              <w:keepNext/>
              <w:snapToGrid w:val="0"/>
              <w:jc w:val="right"/>
              <w:rPr>
                <w:noProof/>
              </w:rPr>
            </w:pPr>
            <w:r>
              <w:rPr>
                <w:noProof/>
              </w:rPr>
              <w:t>7,7 %</w:t>
            </w:r>
          </w:p>
        </w:tc>
        <w:tc>
          <w:tcPr>
            <w:tcW w:w="1843" w:type="dxa"/>
            <w:tcBorders>
              <w:top w:val="single" w:sz="4" w:space="0" w:color="000000"/>
              <w:left w:val="single" w:sz="4" w:space="0" w:color="000000"/>
              <w:bottom w:val="single" w:sz="4" w:space="0" w:color="000000"/>
              <w:right w:val="single" w:sz="4" w:space="0" w:color="000000"/>
            </w:tcBorders>
          </w:tcPr>
          <w:p>
            <w:pPr>
              <w:keepNext/>
              <w:snapToGrid w:val="0"/>
              <w:jc w:val="right"/>
              <w:rPr>
                <w:noProof/>
              </w:rPr>
            </w:pPr>
            <w:r>
              <w:rPr>
                <w:noProof/>
              </w:rPr>
              <w:t>4,1 %</w:t>
            </w:r>
          </w:p>
        </w:tc>
      </w:tr>
      <w:tr>
        <w:tc>
          <w:tcPr>
            <w:tcW w:w="1814" w:type="dxa"/>
            <w:tcBorders>
              <w:top w:val="single" w:sz="4" w:space="0" w:color="000000"/>
              <w:left w:val="single" w:sz="4" w:space="0" w:color="000000"/>
              <w:bottom w:val="single" w:sz="4" w:space="0" w:color="000000"/>
            </w:tcBorders>
            <w:vAlign w:val="center"/>
          </w:tcPr>
          <w:p>
            <w:pPr>
              <w:keepNext/>
              <w:snapToGrid w:val="0"/>
              <w:jc w:val="center"/>
              <w:rPr>
                <w:b/>
                <w:noProof/>
              </w:rPr>
            </w:pPr>
            <w:r>
              <w:rPr>
                <w:b/>
                <w:noProof/>
              </w:rPr>
              <w:t>5.</w:t>
            </w:r>
          </w:p>
        </w:tc>
        <w:tc>
          <w:tcPr>
            <w:tcW w:w="1701" w:type="dxa"/>
            <w:tcBorders>
              <w:top w:val="single" w:sz="4" w:space="0" w:color="000000"/>
              <w:left w:val="single" w:sz="4" w:space="0" w:color="000000"/>
              <w:bottom w:val="single" w:sz="4" w:space="0" w:color="000000"/>
            </w:tcBorders>
          </w:tcPr>
          <w:p>
            <w:pPr>
              <w:keepNext/>
              <w:snapToGrid w:val="0"/>
              <w:rPr>
                <w:noProof/>
              </w:rPr>
            </w:pPr>
            <w:r>
              <w:rPr>
                <w:noProof/>
              </w:rPr>
              <w:t>Szerbia</w:t>
            </w:r>
          </w:p>
        </w:tc>
        <w:tc>
          <w:tcPr>
            <w:tcW w:w="1560" w:type="dxa"/>
            <w:tcBorders>
              <w:top w:val="single" w:sz="4" w:space="0" w:color="000000"/>
              <w:left w:val="single" w:sz="4" w:space="0" w:color="000000"/>
              <w:bottom w:val="single" w:sz="4" w:space="0" w:color="000000"/>
            </w:tcBorders>
          </w:tcPr>
          <w:p>
            <w:pPr>
              <w:keepNext/>
              <w:snapToGrid w:val="0"/>
              <w:jc w:val="right"/>
              <w:rPr>
                <w:noProof/>
              </w:rPr>
            </w:pPr>
            <w:r>
              <w:rPr>
                <w:noProof/>
              </w:rPr>
              <w:t>187,00</w:t>
            </w:r>
          </w:p>
        </w:tc>
        <w:tc>
          <w:tcPr>
            <w:tcW w:w="1842" w:type="dxa"/>
            <w:tcBorders>
              <w:top w:val="single" w:sz="4" w:space="0" w:color="000000"/>
              <w:left w:val="single" w:sz="4" w:space="0" w:color="000000"/>
              <w:bottom w:val="single" w:sz="4" w:space="0" w:color="000000"/>
            </w:tcBorders>
          </w:tcPr>
          <w:p>
            <w:pPr>
              <w:keepNext/>
              <w:snapToGrid w:val="0"/>
              <w:jc w:val="right"/>
              <w:rPr>
                <w:noProof/>
              </w:rPr>
            </w:pPr>
            <w:r>
              <w:rPr>
                <w:noProof/>
              </w:rPr>
              <w:t>5,5 %</w:t>
            </w:r>
          </w:p>
        </w:tc>
        <w:tc>
          <w:tcPr>
            <w:tcW w:w="1843" w:type="dxa"/>
            <w:tcBorders>
              <w:top w:val="single" w:sz="4" w:space="0" w:color="000000"/>
              <w:left w:val="single" w:sz="4" w:space="0" w:color="000000"/>
              <w:bottom w:val="single" w:sz="4" w:space="0" w:color="000000"/>
              <w:right w:val="single" w:sz="4" w:space="0" w:color="000000"/>
            </w:tcBorders>
          </w:tcPr>
          <w:p>
            <w:pPr>
              <w:keepNext/>
              <w:snapToGrid w:val="0"/>
              <w:jc w:val="right"/>
              <w:rPr>
                <w:noProof/>
              </w:rPr>
            </w:pPr>
            <w:r>
              <w:rPr>
                <w:noProof/>
              </w:rPr>
              <w:t>3,0 %</w:t>
            </w:r>
          </w:p>
        </w:tc>
      </w:tr>
      <w:tr>
        <w:tc>
          <w:tcPr>
            <w:tcW w:w="1814" w:type="dxa"/>
            <w:tcBorders>
              <w:top w:val="single" w:sz="4" w:space="0" w:color="000000"/>
              <w:left w:val="single" w:sz="4" w:space="0" w:color="000000"/>
              <w:bottom w:val="single" w:sz="4" w:space="0" w:color="000000"/>
            </w:tcBorders>
            <w:vAlign w:val="center"/>
          </w:tcPr>
          <w:p>
            <w:pPr>
              <w:keepNext/>
              <w:snapToGrid w:val="0"/>
              <w:jc w:val="center"/>
              <w:rPr>
                <w:b/>
                <w:noProof/>
              </w:rPr>
            </w:pPr>
            <w:r>
              <w:rPr>
                <w:b/>
                <w:noProof/>
              </w:rPr>
              <w:t>6.</w:t>
            </w:r>
          </w:p>
        </w:tc>
        <w:tc>
          <w:tcPr>
            <w:tcW w:w="1701" w:type="dxa"/>
            <w:tcBorders>
              <w:top w:val="single" w:sz="4" w:space="0" w:color="000000"/>
              <w:left w:val="single" w:sz="4" w:space="0" w:color="000000"/>
              <w:bottom w:val="single" w:sz="4" w:space="0" w:color="000000"/>
            </w:tcBorders>
          </w:tcPr>
          <w:p>
            <w:pPr>
              <w:keepNext/>
              <w:snapToGrid w:val="0"/>
              <w:rPr>
                <w:noProof/>
              </w:rPr>
            </w:pPr>
            <w:r>
              <w:rPr>
                <w:noProof/>
              </w:rPr>
              <w:t>Ukrajna</w:t>
            </w:r>
          </w:p>
        </w:tc>
        <w:tc>
          <w:tcPr>
            <w:tcW w:w="1560" w:type="dxa"/>
            <w:tcBorders>
              <w:top w:val="single" w:sz="4" w:space="0" w:color="000000"/>
              <w:left w:val="single" w:sz="4" w:space="0" w:color="000000"/>
              <w:bottom w:val="single" w:sz="4" w:space="0" w:color="000000"/>
            </w:tcBorders>
          </w:tcPr>
          <w:p>
            <w:pPr>
              <w:keepNext/>
              <w:snapToGrid w:val="0"/>
              <w:jc w:val="right"/>
              <w:rPr>
                <w:noProof/>
              </w:rPr>
            </w:pPr>
            <w:r>
              <w:rPr>
                <w:noProof/>
              </w:rPr>
              <w:t>161,05</w:t>
            </w:r>
          </w:p>
        </w:tc>
        <w:tc>
          <w:tcPr>
            <w:tcW w:w="1842" w:type="dxa"/>
            <w:tcBorders>
              <w:top w:val="single" w:sz="4" w:space="0" w:color="000000"/>
              <w:left w:val="single" w:sz="4" w:space="0" w:color="000000"/>
              <w:bottom w:val="single" w:sz="4" w:space="0" w:color="000000"/>
            </w:tcBorders>
          </w:tcPr>
          <w:p>
            <w:pPr>
              <w:keepNext/>
              <w:snapToGrid w:val="0"/>
              <w:jc w:val="right"/>
              <w:rPr>
                <w:noProof/>
              </w:rPr>
            </w:pPr>
            <w:r>
              <w:rPr>
                <w:noProof/>
              </w:rPr>
              <w:t>4,8 %</w:t>
            </w:r>
          </w:p>
        </w:tc>
        <w:tc>
          <w:tcPr>
            <w:tcW w:w="1843" w:type="dxa"/>
            <w:tcBorders>
              <w:top w:val="single" w:sz="4" w:space="0" w:color="000000"/>
              <w:left w:val="single" w:sz="4" w:space="0" w:color="000000"/>
              <w:bottom w:val="single" w:sz="4" w:space="0" w:color="000000"/>
              <w:right w:val="single" w:sz="4" w:space="0" w:color="000000"/>
            </w:tcBorders>
          </w:tcPr>
          <w:p>
            <w:pPr>
              <w:keepNext/>
              <w:snapToGrid w:val="0"/>
              <w:jc w:val="right"/>
              <w:rPr>
                <w:noProof/>
              </w:rPr>
            </w:pPr>
            <w:r>
              <w:rPr>
                <w:noProof/>
              </w:rPr>
              <w:t>2,5 %</w:t>
            </w:r>
          </w:p>
        </w:tc>
      </w:tr>
      <w:tr>
        <w:tc>
          <w:tcPr>
            <w:tcW w:w="1814" w:type="dxa"/>
            <w:tcBorders>
              <w:top w:val="single" w:sz="4" w:space="0" w:color="000000"/>
              <w:left w:val="single" w:sz="4" w:space="0" w:color="000000"/>
              <w:bottom w:val="single" w:sz="4" w:space="0" w:color="000000"/>
            </w:tcBorders>
            <w:vAlign w:val="center"/>
          </w:tcPr>
          <w:p>
            <w:pPr>
              <w:keepNext/>
              <w:snapToGrid w:val="0"/>
              <w:jc w:val="center"/>
              <w:rPr>
                <w:b/>
                <w:noProof/>
              </w:rPr>
            </w:pPr>
            <w:r>
              <w:rPr>
                <w:b/>
                <w:noProof/>
              </w:rPr>
              <w:t>7.</w:t>
            </w:r>
          </w:p>
        </w:tc>
        <w:tc>
          <w:tcPr>
            <w:tcW w:w="1701" w:type="dxa"/>
            <w:tcBorders>
              <w:top w:val="single" w:sz="4" w:space="0" w:color="000000"/>
              <w:left w:val="single" w:sz="4" w:space="0" w:color="000000"/>
              <w:bottom w:val="single" w:sz="4" w:space="0" w:color="000000"/>
            </w:tcBorders>
          </w:tcPr>
          <w:p>
            <w:pPr>
              <w:keepNext/>
              <w:snapToGrid w:val="0"/>
              <w:rPr>
                <w:noProof/>
              </w:rPr>
            </w:pPr>
            <w:r>
              <w:rPr>
                <w:noProof/>
              </w:rPr>
              <w:t>Bosznia-Hercegovina</w:t>
            </w:r>
          </w:p>
        </w:tc>
        <w:tc>
          <w:tcPr>
            <w:tcW w:w="1560" w:type="dxa"/>
            <w:tcBorders>
              <w:top w:val="single" w:sz="4" w:space="0" w:color="000000"/>
              <w:left w:val="single" w:sz="4" w:space="0" w:color="000000"/>
              <w:bottom w:val="single" w:sz="4" w:space="0" w:color="000000"/>
            </w:tcBorders>
          </w:tcPr>
          <w:p>
            <w:pPr>
              <w:keepNext/>
              <w:snapToGrid w:val="0"/>
              <w:jc w:val="right"/>
              <w:rPr>
                <w:noProof/>
              </w:rPr>
            </w:pPr>
            <w:r>
              <w:rPr>
                <w:noProof/>
              </w:rPr>
              <w:t>73,41</w:t>
            </w:r>
          </w:p>
        </w:tc>
        <w:tc>
          <w:tcPr>
            <w:tcW w:w="1842" w:type="dxa"/>
            <w:tcBorders>
              <w:top w:val="single" w:sz="4" w:space="0" w:color="000000"/>
              <w:left w:val="single" w:sz="4" w:space="0" w:color="000000"/>
              <w:bottom w:val="single" w:sz="4" w:space="0" w:color="000000"/>
            </w:tcBorders>
          </w:tcPr>
          <w:p>
            <w:pPr>
              <w:keepNext/>
              <w:snapToGrid w:val="0"/>
              <w:jc w:val="right"/>
              <w:rPr>
                <w:noProof/>
              </w:rPr>
            </w:pPr>
            <w:r>
              <w:rPr>
                <w:noProof/>
              </w:rPr>
              <w:t>2,2 %</w:t>
            </w:r>
          </w:p>
        </w:tc>
        <w:tc>
          <w:tcPr>
            <w:tcW w:w="1843" w:type="dxa"/>
            <w:tcBorders>
              <w:top w:val="single" w:sz="4" w:space="0" w:color="000000"/>
              <w:left w:val="single" w:sz="4" w:space="0" w:color="000000"/>
              <w:bottom w:val="single" w:sz="4" w:space="0" w:color="000000"/>
              <w:right w:val="single" w:sz="4" w:space="0" w:color="000000"/>
            </w:tcBorders>
          </w:tcPr>
          <w:p>
            <w:pPr>
              <w:keepNext/>
              <w:snapToGrid w:val="0"/>
              <w:jc w:val="right"/>
              <w:rPr>
                <w:noProof/>
              </w:rPr>
            </w:pPr>
            <w:r>
              <w:rPr>
                <w:noProof/>
              </w:rPr>
              <w:t>1,2 %</w:t>
            </w:r>
          </w:p>
        </w:tc>
      </w:tr>
      <w:tr>
        <w:tc>
          <w:tcPr>
            <w:tcW w:w="1814" w:type="dxa"/>
            <w:tcBorders>
              <w:top w:val="single" w:sz="4" w:space="0" w:color="000000"/>
              <w:left w:val="single" w:sz="4" w:space="0" w:color="000000"/>
              <w:bottom w:val="single" w:sz="4" w:space="0" w:color="000000"/>
            </w:tcBorders>
            <w:vAlign w:val="center"/>
          </w:tcPr>
          <w:p>
            <w:pPr>
              <w:keepNext/>
              <w:snapToGrid w:val="0"/>
              <w:jc w:val="center"/>
              <w:rPr>
                <w:b/>
                <w:noProof/>
              </w:rPr>
            </w:pPr>
            <w:r>
              <w:rPr>
                <w:b/>
                <w:noProof/>
              </w:rPr>
              <w:t>8.</w:t>
            </w:r>
          </w:p>
        </w:tc>
        <w:tc>
          <w:tcPr>
            <w:tcW w:w="1701" w:type="dxa"/>
            <w:tcBorders>
              <w:top w:val="single" w:sz="4" w:space="0" w:color="000000"/>
              <w:left w:val="single" w:sz="4" w:space="0" w:color="000000"/>
              <w:bottom w:val="single" w:sz="4" w:space="0" w:color="000000"/>
            </w:tcBorders>
          </w:tcPr>
          <w:p>
            <w:pPr>
              <w:keepNext/>
              <w:snapToGrid w:val="0"/>
              <w:rPr>
                <w:noProof/>
              </w:rPr>
            </w:pPr>
            <w:r>
              <w:rPr>
                <w:noProof/>
              </w:rPr>
              <w:t>Libanon</w:t>
            </w:r>
          </w:p>
        </w:tc>
        <w:tc>
          <w:tcPr>
            <w:tcW w:w="1560" w:type="dxa"/>
            <w:tcBorders>
              <w:top w:val="single" w:sz="4" w:space="0" w:color="000000"/>
              <w:left w:val="single" w:sz="4" w:space="0" w:color="000000"/>
              <w:bottom w:val="single" w:sz="4" w:space="0" w:color="000000"/>
            </w:tcBorders>
          </w:tcPr>
          <w:p>
            <w:pPr>
              <w:keepNext/>
              <w:snapToGrid w:val="0"/>
              <w:jc w:val="right"/>
              <w:rPr>
                <w:noProof/>
              </w:rPr>
            </w:pPr>
            <w:r>
              <w:rPr>
                <w:noProof/>
              </w:rPr>
              <w:t>64,53</w:t>
            </w:r>
          </w:p>
        </w:tc>
        <w:tc>
          <w:tcPr>
            <w:tcW w:w="1842" w:type="dxa"/>
            <w:tcBorders>
              <w:top w:val="single" w:sz="4" w:space="0" w:color="000000"/>
              <w:left w:val="single" w:sz="4" w:space="0" w:color="000000"/>
              <w:bottom w:val="single" w:sz="4" w:space="0" w:color="000000"/>
            </w:tcBorders>
          </w:tcPr>
          <w:p>
            <w:pPr>
              <w:keepNext/>
              <w:snapToGrid w:val="0"/>
              <w:jc w:val="right"/>
              <w:rPr>
                <w:noProof/>
              </w:rPr>
            </w:pPr>
            <w:r>
              <w:rPr>
                <w:noProof/>
              </w:rPr>
              <w:t>1,9 %</w:t>
            </w:r>
          </w:p>
        </w:tc>
        <w:tc>
          <w:tcPr>
            <w:tcW w:w="1843" w:type="dxa"/>
            <w:tcBorders>
              <w:top w:val="single" w:sz="4" w:space="0" w:color="000000"/>
              <w:left w:val="single" w:sz="4" w:space="0" w:color="000000"/>
              <w:bottom w:val="single" w:sz="4" w:space="0" w:color="000000"/>
              <w:right w:val="single" w:sz="4" w:space="0" w:color="000000"/>
            </w:tcBorders>
          </w:tcPr>
          <w:p>
            <w:pPr>
              <w:keepNext/>
              <w:snapToGrid w:val="0"/>
              <w:jc w:val="right"/>
              <w:rPr>
                <w:noProof/>
              </w:rPr>
            </w:pPr>
            <w:r>
              <w:rPr>
                <w:noProof/>
              </w:rPr>
              <w:t>1,0 %</w:t>
            </w:r>
          </w:p>
        </w:tc>
      </w:tr>
      <w:tr>
        <w:tc>
          <w:tcPr>
            <w:tcW w:w="1814" w:type="dxa"/>
            <w:tcBorders>
              <w:top w:val="single" w:sz="4" w:space="0" w:color="000000"/>
              <w:left w:val="single" w:sz="4" w:space="0" w:color="000000"/>
              <w:bottom w:val="single" w:sz="4" w:space="0" w:color="000000"/>
            </w:tcBorders>
            <w:vAlign w:val="center"/>
          </w:tcPr>
          <w:p>
            <w:pPr>
              <w:keepNext/>
              <w:snapToGrid w:val="0"/>
              <w:jc w:val="center"/>
              <w:rPr>
                <w:b/>
                <w:noProof/>
              </w:rPr>
            </w:pPr>
            <w:r>
              <w:rPr>
                <w:b/>
                <w:noProof/>
              </w:rPr>
              <w:t>9.</w:t>
            </w:r>
          </w:p>
        </w:tc>
        <w:tc>
          <w:tcPr>
            <w:tcW w:w="1701" w:type="dxa"/>
            <w:tcBorders>
              <w:top w:val="single" w:sz="4" w:space="0" w:color="000000"/>
              <w:left w:val="single" w:sz="4" w:space="0" w:color="000000"/>
              <w:bottom w:val="single" w:sz="4" w:space="0" w:color="000000"/>
            </w:tcBorders>
          </w:tcPr>
          <w:p>
            <w:pPr>
              <w:keepNext/>
              <w:snapToGrid w:val="0"/>
              <w:rPr>
                <w:noProof/>
              </w:rPr>
            </w:pPr>
            <w:r>
              <w:rPr>
                <w:noProof/>
              </w:rPr>
              <w:t>Dél-Afrika</w:t>
            </w:r>
          </w:p>
        </w:tc>
        <w:tc>
          <w:tcPr>
            <w:tcW w:w="1560" w:type="dxa"/>
            <w:tcBorders>
              <w:top w:val="single" w:sz="4" w:space="0" w:color="000000"/>
              <w:left w:val="single" w:sz="4" w:space="0" w:color="000000"/>
              <w:bottom w:val="single" w:sz="4" w:space="0" w:color="000000"/>
            </w:tcBorders>
          </w:tcPr>
          <w:p>
            <w:pPr>
              <w:keepNext/>
              <w:snapToGrid w:val="0"/>
              <w:jc w:val="right"/>
              <w:rPr>
                <w:noProof/>
              </w:rPr>
            </w:pPr>
            <w:r>
              <w:rPr>
                <w:noProof/>
              </w:rPr>
              <w:t>62,76</w:t>
            </w:r>
          </w:p>
        </w:tc>
        <w:tc>
          <w:tcPr>
            <w:tcW w:w="1842" w:type="dxa"/>
            <w:tcBorders>
              <w:top w:val="single" w:sz="4" w:space="0" w:color="000000"/>
              <w:left w:val="single" w:sz="4" w:space="0" w:color="000000"/>
              <w:bottom w:val="single" w:sz="4" w:space="0" w:color="000000"/>
            </w:tcBorders>
          </w:tcPr>
          <w:p>
            <w:pPr>
              <w:keepNext/>
              <w:snapToGrid w:val="0"/>
              <w:jc w:val="right"/>
              <w:rPr>
                <w:noProof/>
              </w:rPr>
            </w:pPr>
            <w:r>
              <w:rPr>
                <w:noProof/>
              </w:rPr>
              <w:t>1,9 %</w:t>
            </w:r>
          </w:p>
        </w:tc>
        <w:tc>
          <w:tcPr>
            <w:tcW w:w="1843" w:type="dxa"/>
            <w:tcBorders>
              <w:top w:val="single" w:sz="4" w:space="0" w:color="000000"/>
              <w:left w:val="single" w:sz="4" w:space="0" w:color="000000"/>
              <w:bottom w:val="single" w:sz="4" w:space="0" w:color="000000"/>
              <w:right w:val="single" w:sz="4" w:space="0" w:color="000000"/>
            </w:tcBorders>
          </w:tcPr>
          <w:p>
            <w:pPr>
              <w:keepNext/>
              <w:snapToGrid w:val="0"/>
              <w:jc w:val="right"/>
              <w:rPr>
                <w:noProof/>
              </w:rPr>
            </w:pPr>
            <w:r>
              <w:rPr>
                <w:noProof/>
              </w:rPr>
              <w:t>1,0 %</w:t>
            </w:r>
          </w:p>
        </w:tc>
      </w:tr>
      <w:tr>
        <w:tc>
          <w:tcPr>
            <w:tcW w:w="1814" w:type="dxa"/>
            <w:tcBorders>
              <w:top w:val="single" w:sz="4" w:space="0" w:color="000000"/>
              <w:left w:val="single" w:sz="4" w:space="0" w:color="000000"/>
              <w:bottom w:val="single" w:sz="4" w:space="0" w:color="000000"/>
            </w:tcBorders>
            <w:vAlign w:val="center"/>
          </w:tcPr>
          <w:p>
            <w:pPr>
              <w:keepNext/>
              <w:snapToGrid w:val="0"/>
              <w:jc w:val="center"/>
              <w:rPr>
                <w:b/>
                <w:noProof/>
              </w:rPr>
            </w:pPr>
            <w:r>
              <w:rPr>
                <w:b/>
                <w:noProof/>
              </w:rPr>
              <w:t>10.</w:t>
            </w:r>
          </w:p>
        </w:tc>
        <w:tc>
          <w:tcPr>
            <w:tcW w:w="1701" w:type="dxa"/>
            <w:tcBorders>
              <w:top w:val="single" w:sz="4" w:space="0" w:color="000000"/>
              <w:left w:val="single" w:sz="4" w:space="0" w:color="000000"/>
              <w:bottom w:val="single" w:sz="4" w:space="0" w:color="000000"/>
            </w:tcBorders>
          </w:tcPr>
          <w:p>
            <w:pPr>
              <w:keepNext/>
              <w:snapToGrid w:val="0"/>
              <w:jc w:val="left"/>
              <w:rPr>
                <w:noProof/>
              </w:rPr>
            </w:pPr>
            <w:r>
              <w:rPr>
                <w:noProof/>
              </w:rPr>
              <w:t>Panama</w:t>
            </w:r>
          </w:p>
        </w:tc>
        <w:tc>
          <w:tcPr>
            <w:tcW w:w="1560" w:type="dxa"/>
            <w:tcBorders>
              <w:top w:val="single" w:sz="4" w:space="0" w:color="000000"/>
              <w:left w:val="single" w:sz="4" w:space="0" w:color="000000"/>
              <w:bottom w:val="single" w:sz="4" w:space="0" w:color="000000"/>
            </w:tcBorders>
          </w:tcPr>
          <w:p>
            <w:pPr>
              <w:keepNext/>
              <w:snapToGrid w:val="0"/>
              <w:jc w:val="right"/>
              <w:rPr>
                <w:noProof/>
              </w:rPr>
            </w:pPr>
            <w:r>
              <w:rPr>
                <w:noProof/>
              </w:rPr>
              <w:t>58,94</w:t>
            </w:r>
          </w:p>
        </w:tc>
        <w:tc>
          <w:tcPr>
            <w:tcW w:w="1842" w:type="dxa"/>
            <w:tcBorders>
              <w:top w:val="single" w:sz="4" w:space="0" w:color="000000"/>
              <w:left w:val="single" w:sz="4" w:space="0" w:color="000000"/>
              <w:bottom w:val="single" w:sz="4" w:space="0" w:color="000000"/>
            </w:tcBorders>
          </w:tcPr>
          <w:p>
            <w:pPr>
              <w:keepNext/>
              <w:snapToGrid w:val="0"/>
              <w:jc w:val="right"/>
              <w:rPr>
                <w:noProof/>
              </w:rPr>
            </w:pPr>
            <w:r>
              <w:rPr>
                <w:noProof/>
              </w:rPr>
              <w:t>1,7 %</w:t>
            </w:r>
          </w:p>
        </w:tc>
        <w:tc>
          <w:tcPr>
            <w:tcW w:w="1843" w:type="dxa"/>
            <w:tcBorders>
              <w:top w:val="single" w:sz="4" w:space="0" w:color="000000"/>
              <w:left w:val="single" w:sz="4" w:space="0" w:color="000000"/>
              <w:bottom w:val="single" w:sz="4" w:space="0" w:color="000000"/>
              <w:right w:val="single" w:sz="4" w:space="0" w:color="000000"/>
            </w:tcBorders>
          </w:tcPr>
          <w:p>
            <w:pPr>
              <w:keepNext/>
              <w:snapToGrid w:val="0"/>
              <w:jc w:val="right"/>
              <w:rPr>
                <w:noProof/>
              </w:rPr>
            </w:pPr>
            <w:r>
              <w:rPr>
                <w:noProof/>
              </w:rPr>
              <w:t>0,9 %</w:t>
            </w:r>
          </w:p>
        </w:tc>
      </w:tr>
      <w:tr>
        <w:tc>
          <w:tcPr>
            <w:tcW w:w="1814" w:type="dxa"/>
            <w:tcBorders>
              <w:top w:val="single" w:sz="4" w:space="0" w:color="000000"/>
              <w:left w:val="single" w:sz="4" w:space="0" w:color="000000"/>
              <w:bottom w:val="single" w:sz="4" w:space="0" w:color="000000"/>
            </w:tcBorders>
          </w:tcPr>
          <w:p>
            <w:pPr>
              <w:keepNext/>
              <w:snapToGrid w:val="0"/>
              <w:rPr>
                <w:b/>
                <w:noProof/>
              </w:rPr>
            </w:pPr>
            <w:r>
              <w:rPr>
                <w:b/>
                <w:noProof/>
              </w:rPr>
              <w:t>Összesen (első 10 ország)</w:t>
            </w:r>
          </w:p>
        </w:tc>
        <w:tc>
          <w:tcPr>
            <w:tcW w:w="1701" w:type="dxa"/>
            <w:tcBorders>
              <w:top w:val="single" w:sz="4" w:space="0" w:color="000000"/>
              <w:left w:val="single" w:sz="4" w:space="0" w:color="000000"/>
              <w:bottom w:val="single" w:sz="4" w:space="0" w:color="000000"/>
            </w:tcBorders>
          </w:tcPr>
          <w:p>
            <w:pPr>
              <w:keepNext/>
              <w:snapToGrid w:val="0"/>
              <w:rPr>
                <w:noProof/>
              </w:rPr>
            </w:pPr>
          </w:p>
        </w:tc>
        <w:tc>
          <w:tcPr>
            <w:tcW w:w="1560" w:type="dxa"/>
            <w:tcBorders>
              <w:top w:val="single" w:sz="4" w:space="0" w:color="000000"/>
              <w:left w:val="single" w:sz="4" w:space="0" w:color="000000"/>
              <w:bottom w:val="single" w:sz="4" w:space="0" w:color="000000"/>
            </w:tcBorders>
          </w:tcPr>
          <w:p>
            <w:pPr>
              <w:keepNext/>
              <w:snapToGrid w:val="0"/>
              <w:jc w:val="right"/>
              <w:rPr>
                <w:noProof/>
              </w:rPr>
            </w:pPr>
            <w:r>
              <w:rPr>
                <w:noProof/>
              </w:rPr>
              <w:t>2 864,50</w:t>
            </w:r>
          </w:p>
        </w:tc>
        <w:tc>
          <w:tcPr>
            <w:tcW w:w="1842" w:type="dxa"/>
            <w:tcBorders>
              <w:top w:val="single" w:sz="4" w:space="0" w:color="000000"/>
              <w:left w:val="single" w:sz="4" w:space="0" w:color="000000"/>
              <w:bottom w:val="single" w:sz="4" w:space="0" w:color="000000"/>
            </w:tcBorders>
          </w:tcPr>
          <w:p>
            <w:pPr>
              <w:keepNext/>
              <w:snapToGrid w:val="0"/>
              <w:jc w:val="right"/>
              <w:rPr>
                <w:noProof/>
              </w:rPr>
            </w:pPr>
            <w:r>
              <w:rPr>
                <w:noProof/>
              </w:rPr>
              <w:t>84,7 %</w:t>
            </w:r>
          </w:p>
        </w:tc>
        <w:tc>
          <w:tcPr>
            <w:tcW w:w="1843" w:type="dxa"/>
            <w:tcBorders>
              <w:top w:val="single" w:sz="4" w:space="0" w:color="000000"/>
              <w:left w:val="single" w:sz="4" w:space="0" w:color="000000"/>
              <w:bottom w:val="single" w:sz="4" w:space="0" w:color="000000"/>
              <w:right w:val="single" w:sz="4" w:space="0" w:color="000000"/>
            </w:tcBorders>
          </w:tcPr>
          <w:p>
            <w:pPr>
              <w:keepNext/>
              <w:snapToGrid w:val="0"/>
              <w:jc w:val="right"/>
              <w:rPr>
                <w:noProof/>
              </w:rPr>
            </w:pPr>
            <w:r>
              <w:rPr>
                <w:noProof/>
              </w:rPr>
              <w:t>45,2 %</w:t>
            </w:r>
          </w:p>
        </w:tc>
      </w:tr>
    </w:tbl>
    <w:p>
      <w:pPr>
        <w:pStyle w:val="ManualHeading1"/>
        <w:ind w:left="567" w:hanging="567"/>
        <w:rPr>
          <w:noProof/>
        </w:rPr>
      </w:pPr>
      <w:bookmarkStart w:id="22" w:name="_Toc21506662"/>
      <w:r>
        <w:rPr>
          <w:noProof/>
        </w:rPr>
        <w:t>5.</w:t>
      </w:r>
      <w:r>
        <w:rPr>
          <w:noProof/>
        </w:rPr>
        <w:tab/>
        <w:t>A garanciák aktiválása és kifizetése</w:t>
      </w:r>
      <w:bookmarkEnd w:id="22"/>
    </w:p>
    <w:p>
      <w:pPr>
        <w:pStyle w:val="ManualHeading2"/>
        <w:tabs>
          <w:tab w:val="clear" w:pos="850"/>
        </w:tabs>
        <w:ind w:left="567" w:hanging="566"/>
        <w:rPr>
          <w:noProof/>
        </w:rPr>
      </w:pPr>
      <w:bookmarkStart w:id="23" w:name="_Toc21506663"/>
      <w:r>
        <w:rPr>
          <w:noProof/>
        </w:rPr>
        <w:t>5.1.</w:t>
      </w:r>
      <w:r>
        <w:rPr>
          <w:noProof/>
        </w:rPr>
        <w:tab/>
        <w:t>A külső fellépésekre vonatkozó garanciaalap által nem fedezett adósságszolgálat (tagállamoknak nyújtott Euratom-hitelek, EFSM és fizetésimérleg-támogatás)</w:t>
      </w:r>
      <w:bookmarkEnd w:id="23"/>
    </w:p>
    <w:p>
      <w:pPr>
        <w:rPr>
          <w:noProof/>
        </w:rPr>
      </w:pPr>
      <w:r>
        <w:rPr>
          <w:noProof/>
        </w:rPr>
        <w:t xml:space="preserve">Az EUMSZ 323. cikke kimondja, hogy az Unió harmadik felekkel szembeni jogi kötelezettségeinek teljesítéséhez szükséges pénzügyi eszközök rendelkezésre állnak. Ennek megfelelően az uniós jogi keret és a hatályos eljárások biztosítják, hogy a tagállamok kötelezően az uniós költségvetés rendelkezésére bocsássák az ahhoz szükséges pénzügyi eszközöket, hogy az Unió minden esetben teljesíthesse jogi kötelezettségeit. </w:t>
      </w:r>
    </w:p>
    <w:p>
      <w:pPr>
        <w:rPr>
          <w:noProof/>
        </w:rPr>
      </w:pPr>
      <w:r>
        <w:rPr>
          <w:noProof/>
        </w:rPr>
        <w:t>Az EU ezért több szintű, nagyon szilárd biztonsági mechanizmusokkal rendelkezik annak biztosítására, hogy a saját kölcsönadóinak mindig időben és teljes egészében visszafizesse a kölcsönöket. A fő biztonsági mechanizmusok mindegyike önmagában elegendő lenne a visszafizetések biztosításához.</w:t>
      </w:r>
    </w:p>
    <w:p>
      <w:pPr>
        <w:pStyle w:val="ManualHeading3"/>
        <w:rPr>
          <w:noProof/>
        </w:rPr>
      </w:pPr>
      <w:bookmarkStart w:id="24" w:name="_Toc21506664"/>
      <w:r>
        <w:rPr>
          <w:noProof/>
        </w:rPr>
        <w:t>5.1.1.</w:t>
      </w:r>
      <w:r>
        <w:rPr>
          <w:noProof/>
        </w:rPr>
        <w:tab/>
        <w:t>Kifizetések készpénzforrásokból</w:t>
      </w:r>
      <w:bookmarkEnd w:id="24"/>
    </w:p>
    <w:p>
      <w:pPr>
        <w:rPr>
          <w:noProof/>
        </w:rPr>
      </w:pPr>
      <w:r>
        <w:rPr>
          <w:noProof/>
        </w:rPr>
        <w:t>Amennyiben az adós nem törleszti időben a hitelét az EU felé, az uniós költségvetésből ideiglenesen fedezhető az adósságszolgálat az esedékességi időpontokban. A Bizottság igénybe veszi készpénzállományát, hogy elkerülje a saját forrásbevonási műveleteivel összefüggő késedelmeket és az abból eredő költségeket</w:t>
      </w:r>
      <w:r>
        <w:rPr>
          <w:rStyle w:val="Funotenzeichen"/>
          <w:noProof/>
        </w:rPr>
        <w:footnoteReference w:id="35"/>
      </w:r>
      <w:r>
        <w:rPr>
          <w:noProof/>
        </w:rPr>
        <w:t xml:space="preserve">. </w:t>
      </w:r>
    </w:p>
    <w:p>
      <w:pPr>
        <w:rPr>
          <w:noProof/>
        </w:rPr>
      </w:pPr>
      <w:r>
        <w:rPr>
          <w:noProof/>
        </w:rPr>
        <w:t>Tekintettel arra, hogy a kiadások többségére az adott év első negyedévében kerül sor, a hiteltörlesztést a következő hónapokra és a hónapok elejére ütemezik, amikor a készpénzállomány a legnagyobb.</w:t>
      </w:r>
    </w:p>
    <w:p>
      <w:pPr>
        <w:pStyle w:val="ManualHeading3"/>
        <w:rPr>
          <w:noProof/>
        </w:rPr>
      </w:pPr>
      <w:bookmarkStart w:id="25" w:name="_Toc21506665"/>
      <w:r>
        <w:rPr>
          <w:noProof/>
        </w:rPr>
        <w:t>5.1.2.</w:t>
      </w:r>
      <w:r>
        <w:rPr>
          <w:noProof/>
        </w:rPr>
        <w:tab/>
        <w:t>Kifizetések az uniós költségvetésből</w:t>
      </w:r>
      <w:bookmarkEnd w:id="25"/>
      <w:r>
        <w:rPr>
          <w:noProof/>
        </w:rPr>
        <w:t xml:space="preserve"> </w:t>
      </w:r>
    </w:p>
    <w:p>
      <w:pPr>
        <w:rPr>
          <w:noProof/>
        </w:rPr>
      </w:pPr>
      <w:r>
        <w:rPr>
          <w:noProof/>
        </w:rPr>
        <w:t>Egy tagállam fizetési késedelme esetén</w:t>
      </w:r>
      <w:r>
        <w:rPr>
          <w:rStyle w:val="Funotenzeichen"/>
          <w:noProof/>
        </w:rPr>
        <w:footnoteReference w:id="36"/>
      </w:r>
      <w:r>
        <w:rPr>
          <w:noProof/>
        </w:rPr>
        <w:t xml:space="preserve"> és amennyiben az Unió saját forrásai nem elegendőek, a Bizottság igénybe veheti az uniós költségvetésből rendelkezésre álló forrásokat, és az adósságtörlesztést egyéb, nem kötelezettségből származó kiadások elé sorolhatja. Amennyiben ez nem bizonyul elegendőnek, akkor a tagállamok a 609/2014/EU, Euratom tanácsi rendelet 14. cikkének (4) bekezdése szerint az uniós jogszabályok alapján – az adósságtörlesztéshez és a költségvetés egyensúlyának megteremtéséhez – további hozzájárulásra kötelezhetők az Unió bruttó nemzeti jövedelmének 1,20 %-áig. Szükség esetén az uniós jogszabályok lehetővé teszik a tagállamok számára, hogy hozzájárulásukat az uniós költségvetésben való részesedésüktől függetlenül tegyék meg.</w:t>
      </w:r>
    </w:p>
    <w:p>
      <w:pPr>
        <w:rPr>
          <w:noProof/>
        </w:rPr>
      </w:pPr>
      <w:r>
        <w:rPr>
          <w:noProof/>
        </w:rPr>
        <w:t>Mivel 2018-ban nem fordult elő tagállami fizetési késedelem, erre a célra nem igényeltek előirányzatokat.</w:t>
      </w:r>
    </w:p>
    <w:p>
      <w:pPr>
        <w:pStyle w:val="ManualHeading3"/>
        <w:tabs>
          <w:tab w:val="clear" w:pos="850"/>
        </w:tabs>
        <w:ind w:left="567" w:hanging="567"/>
        <w:rPr>
          <w:b/>
          <w:i w:val="0"/>
          <w:noProof/>
        </w:rPr>
      </w:pPr>
      <w:bookmarkStart w:id="26" w:name="_Toc21506666"/>
      <w:r>
        <w:rPr>
          <w:b/>
          <w:i w:val="0"/>
          <w:noProof/>
        </w:rPr>
        <w:t>5.2.</w:t>
      </w:r>
      <w:r>
        <w:rPr>
          <w:b/>
          <w:i w:val="0"/>
          <w:noProof/>
        </w:rPr>
        <w:tab/>
        <w:t>Lehívások a külső fellépésekre vonatkozó garanciaalapból és behajtott összegek (az EBB külső hitelezési megbízatása, makroszintű pénzügyi támogatás, valamint harmadik országoknak nyújtott Euratom-hitelek)</w:t>
      </w:r>
      <w:bookmarkEnd w:id="26"/>
    </w:p>
    <w:p>
      <w:pPr>
        <w:rPr>
          <w:noProof/>
        </w:rPr>
      </w:pPr>
      <w:r>
        <w:rPr>
          <w:noProof/>
        </w:rPr>
        <w:t>Amennyiben az Európai Unió által harmadik országoknak nyújtott vagy garantált hitel kedvezményezettje fizetési késedelembe esik, az esedékes összeg kifizetésére a garanciaalapból kerül sor az erre vonatkozó kérelem benyújtásától számított három hónapon belül.</w:t>
      </w:r>
    </w:p>
    <w:p>
      <w:pPr>
        <w:rPr>
          <w:noProof/>
        </w:rPr>
      </w:pPr>
      <w:r>
        <w:rPr>
          <w:noProof/>
        </w:rPr>
        <w:t>A külső hitelezési megbízatáshoz kapcsolódó hitelek esetében az EBB által kért összegeket a bizottsági szolgálatok általi engedélyezést követően hívják le a garanciaalap számlájáról. Az uniós garancia keretében az Unió által teljesített kifizetés esetén az EBB jogai és jogorvoslati lehetőségei átszállnak az EU-ra</w:t>
      </w:r>
      <w:r>
        <w:rPr>
          <w:rStyle w:val="Funotenzeichen"/>
          <w:noProof/>
        </w:rPr>
        <w:footnoteReference w:id="37"/>
      </w:r>
      <w:r>
        <w:rPr>
          <w:noProof/>
        </w:rPr>
        <w:t>. Az Euratom-hitelek és a makroszintű pénzügyi támogatás keretében nyújtott hitelek esetében, amennyiben a fizetési késedelem eléri az esedékesség időpontját követő három hónapot, a Bizottság a nemteljesítés</w:t>
      </w:r>
      <w:r>
        <w:rPr>
          <w:rStyle w:val="FootnoteReference"/>
          <w:noProof/>
        </w:rPr>
        <w:footnoteReference w:id="38"/>
      </w:r>
      <w:r>
        <w:rPr>
          <w:noProof/>
        </w:rPr>
        <w:t xml:space="preserve"> fedezésére és saját kincstárának feltöltésére lehívást teljesít az alapból.</w:t>
      </w:r>
    </w:p>
    <w:p>
      <w:pPr>
        <w:rPr>
          <w:noProof/>
        </w:rPr>
      </w:pPr>
    </w:p>
    <w:p>
      <w:pPr>
        <w:rPr>
          <w:i/>
          <w:noProof/>
          <w:u w:val="single"/>
        </w:rPr>
      </w:pPr>
      <w:r>
        <w:rPr>
          <w:noProof/>
        </w:rPr>
        <w:t>A külső hitelezési megbízatással összefüggésben az átruházott összegek tekintetében az EBB vállalja a behajtási eljárások lefolytatását az EU nevében</w:t>
      </w:r>
      <w:r>
        <w:rPr>
          <w:rStyle w:val="Funotenzeichen"/>
          <w:noProof/>
        </w:rPr>
        <w:footnoteReference w:id="39"/>
      </w:r>
      <w:r>
        <w:rPr>
          <w:noProof/>
        </w:rPr>
        <w:t>.</w:t>
      </w:r>
    </w:p>
    <w:p>
      <w:pPr>
        <w:spacing w:before="100" w:beforeAutospacing="1"/>
        <w:rPr>
          <w:i/>
          <w:noProof/>
          <w:u w:val="single"/>
        </w:rPr>
      </w:pPr>
      <w:r>
        <w:rPr>
          <w:i/>
          <w:noProof/>
          <w:u w:val="single"/>
        </w:rPr>
        <w:t>Szíriai projektekhez nyújtott EBB-hitelek</w:t>
      </w:r>
    </w:p>
    <w:p>
      <w:pPr>
        <w:spacing w:before="0"/>
        <w:rPr>
          <w:noProof/>
          <w:szCs w:val="20"/>
        </w:rPr>
      </w:pPr>
      <w:r>
        <w:rPr>
          <w:noProof/>
        </w:rPr>
        <w:t>2011 decemberétől kezdődően a szíriai kormány nem teljesítette egyes kamatfizetéseit és hiteltörlesztéseit az EBB felé. Mivel a hivatalos fizetési felszólítások nem vezettek eredményre, az EBB 2012 májusában kérte a garanciaalapból történő kifizetést. A szíriai nemteljesítésekhez köthető lehívások alakulását a 4a. táblázat ismerteti.</w:t>
      </w:r>
    </w:p>
    <w:p>
      <w:pPr>
        <w:spacing w:before="0" w:after="0"/>
        <w:rPr>
          <w:noProof/>
          <w:sz w:val="18"/>
        </w:rPr>
      </w:pPr>
      <w:r>
        <w:rPr>
          <w:noProof/>
          <w:sz w:val="18"/>
        </w:rPr>
        <w:t>4a. táblázat: A szíriai nemteljesítő hitelekkel kapcsolatosan a garanciaalapot terhelő lehívások (millió EUR)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430"/>
        <w:gridCol w:w="1756"/>
        <w:gridCol w:w="1671"/>
        <w:gridCol w:w="1366"/>
        <w:gridCol w:w="1481"/>
      </w:tblGrid>
      <w:tr>
        <w:trPr>
          <w:trHeight w:val="1231"/>
        </w:trPr>
        <w:tc>
          <w:tcPr>
            <w:tcW w:w="1416" w:type="dxa"/>
            <w:shd w:val="clear" w:color="auto" w:fill="auto"/>
          </w:tcPr>
          <w:p>
            <w:pPr>
              <w:spacing w:after="240"/>
              <w:jc w:val="center"/>
              <w:rPr>
                <w:noProof/>
                <w:sz w:val="22"/>
              </w:rPr>
            </w:pPr>
            <w:r>
              <w:rPr>
                <w:noProof/>
              </w:rPr>
              <w:t>Év (Lehívás a garanciaalap számlájáról)</w:t>
            </w:r>
          </w:p>
        </w:tc>
        <w:tc>
          <w:tcPr>
            <w:tcW w:w="1430" w:type="dxa"/>
            <w:shd w:val="clear" w:color="auto" w:fill="auto"/>
          </w:tcPr>
          <w:p>
            <w:pPr>
              <w:spacing w:after="240"/>
              <w:jc w:val="center"/>
              <w:rPr>
                <w:noProof/>
                <w:sz w:val="22"/>
              </w:rPr>
            </w:pPr>
            <w:r>
              <w:rPr>
                <w:noProof/>
                <w:sz w:val="22"/>
              </w:rPr>
              <w:t>Kifizetett lehívások száma</w:t>
            </w:r>
          </w:p>
        </w:tc>
        <w:tc>
          <w:tcPr>
            <w:tcW w:w="1426" w:type="dxa"/>
            <w:shd w:val="clear" w:color="auto" w:fill="auto"/>
          </w:tcPr>
          <w:p>
            <w:pPr>
              <w:spacing w:after="240"/>
              <w:jc w:val="center"/>
              <w:rPr>
                <w:noProof/>
                <w:sz w:val="22"/>
              </w:rPr>
            </w:pPr>
            <w:r>
              <w:rPr>
                <w:noProof/>
                <w:sz w:val="22"/>
              </w:rPr>
              <w:t>Az esedékes törlesztőrészletek összege</w:t>
            </w:r>
          </w:p>
        </w:tc>
        <w:tc>
          <w:tcPr>
            <w:tcW w:w="1431" w:type="dxa"/>
            <w:shd w:val="clear" w:color="auto" w:fill="auto"/>
          </w:tcPr>
          <w:p>
            <w:pPr>
              <w:spacing w:after="240"/>
              <w:jc w:val="center"/>
              <w:rPr>
                <w:noProof/>
                <w:sz w:val="22"/>
              </w:rPr>
            </w:pPr>
            <w:r>
              <w:rPr>
                <w:noProof/>
                <w:sz w:val="22"/>
              </w:rPr>
              <w:t>Büntetőkamatok és felhalmozott kamatok</w:t>
            </w:r>
            <w:r>
              <w:rPr>
                <w:rStyle w:val="FootnoteReference"/>
                <w:noProof/>
                <w:sz w:val="22"/>
              </w:rPr>
              <w:footnoteReference w:id="40"/>
            </w:r>
          </w:p>
        </w:tc>
        <w:tc>
          <w:tcPr>
            <w:tcW w:w="1366" w:type="dxa"/>
            <w:shd w:val="clear" w:color="auto" w:fill="auto"/>
          </w:tcPr>
          <w:p>
            <w:pPr>
              <w:spacing w:after="240"/>
              <w:jc w:val="center"/>
              <w:rPr>
                <w:noProof/>
                <w:sz w:val="22"/>
              </w:rPr>
            </w:pPr>
            <w:r>
              <w:rPr>
                <w:noProof/>
                <w:sz w:val="22"/>
              </w:rPr>
              <w:t>Behajtott összeg</w:t>
            </w:r>
          </w:p>
        </w:tc>
        <w:tc>
          <w:tcPr>
            <w:tcW w:w="1481" w:type="dxa"/>
            <w:shd w:val="clear" w:color="auto" w:fill="auto"/>
          </w:tcPr>
          <w:p>
            <w:pPr>
              <w:spacing w:after="240"/>
              <w:jc w:val="center"/>
              <w:rPr>
                <w:noProof/>
                <w:sz w:val="22"/>
              </w:rPr>
            </w:pPr>
            <w:r>
              <w:rPr>
                <w:noProof/>
                <w:sz w:val="22"/>
              </w:rPr>
              <w:t>Összesen</w:t>
            </w:r>
          </w:p>
        </w:tc>
      </w:tr>
      <w:tr>
        <w:tc>
          <w:tcPr>
            <w:tcW w:w="1416" w:type="dxa"/>
            <w:shd w:val="clear" w:color="auto" w:fill="auto"/>
          </w:tcPr>
          <w:p>
            <w:pPr>
              <w:jc w:val="center"/>
              <w:rPr>
                <w:noProof/>
              </w:rPr>
            </w:pPr>
            <w:r>
              <w:rPr>
                <w:noProof/>
              </w:rPr>
              <w:t>2012</w:t>
            </w:r>
          </w:p>
        </w:tc>
        <w:tc>
          <w:tcPr>
            <w:tcW w:w="1430" w:type="dxa"/>
            <w:shd w:val="clear" w:color="auto" w:fill="auto"/>
          </w:tcPr>
          <w:p>
            <w:pPr>
              <w:jc w:val="right"/>
              <w:rPr>
                <w:noProof/>
              </w:rPr>
            </w:pPr>
            <w:r>
              <w:rPr>
                <w:noProof/>
              </w:rPr>
              <w:t>2</w:t>
            </w:r>
          </w:p>
        </w:tc>
        <w:tc>
          <w:tcPr>
            <w:tcW w:w="1426" w:type="dxa"/>
            <w:shd w:val="clear" w:color="auto" w:fill="auto"/>
            <w:vAlign w:val="bottom"/>
          </w:tcPr>
          <w:p>
            <w:pPr>
              <w:jc w:val="right"/>
              <w:rPr>
                <w:noProof/>
              </w:rPr>
            </w:pPr>
            <w:r>
              <w:rPr>
                <w:noProof/>
              </w:rPr>
              <w:t>24,0</w:t>
            </w:r>
          </w:p>
        </w:tc>
        <w:tc>
          <w:tcPr>
            <w:tcW w:w="1431" w:type="dxa"/>
            <w:shd w:val="clear" w:color="auto" w:fill="auto"/>
            <w:vAlign w:val="bottom"/>
          </w:tcPr>
          <w:p>
            <w:pPr>
              <w:jc w:val="right"/>
              <w:rPr>
                <w:noProof/>
              </w:rPr>
            </w:pPr>
            <w:r>
              <w:rPr>
                <w:noProof/>
              </w:rPr>
              <w:t>0,0</w:t>
            </w:r>
          </w:p>
        </w:tc>
        <w:tc>
          <w:tcPr>
            <w:tcW w:w="1366" w:type="dxa"/>
            <w:shd w:val="clear" w:color="auto" w:fill="auto"/>
            <w:vAlign w:val="bottom"/>
          </w:tcPr>
          <w:p>
            <w:pPr>
              <w:jc w:val="right"/>
              <w:rPr>
                <w:noProof/>
              </w:rPr>
            </w:pPr>
            <w:r>
              <w:rPr>
                <w:noProof/>
              </w:rPr>
              <w:t>2,1</w:t>
            </w:r>
          </w:p>
        </w:tc>
        <w:tc>
          <w:tcPr>
            <w:tcW w:w="1481" w:type="dxa"/>
            <w:shd w:val="clear" w:color="auto" w:fill="auto"/>
            <w:vAlign w:val="bottom"/>
          </w:tcPr>
          <w:p>
            <w:pPr>
              <w:jc w:val="right"/>
              <w:rPr>
                <w:noProof/>
              </w:rPr>
            </w:pPr>
            <w:r>
              <w:rPr>
                <w:noProof/>
              </w:rPr>
              <w:t>21,8</w:t>
            </w:r>
          </w:p>
        </w:tc>
      </w:tr>
      <w:tr>
        <w:tc>
          <w:tcPr>
            <w:tcW w:w="1416" w:type="dxa"/>
            <w:shd w:val="clear" w:color="auto" w:fill="auto"/>
          </w:tcPr>
          <w:p>
            <w:pPr>
              <w:jc w:val="center"/>
              <w:rPr>
                <w:noProof/>
              </w:rPr>
            </w:pPr>
            <w:r>
              <w:rPr>
                <w:noProof/>
              </w:rPr>
              <w:t>2013</w:t>
            </w:r>
          </w:p>
        </w:tc>
        <w:tc>
          <w:tcPr>
            <w:tcW w:w="1430" w:type="dxa"/>
            <w:shd w:val="clear" w:color="auto" w:fill="auto"/>
          </w:tcPr>
          <w:p>
            <w:pPr>
              <w:jc w:val="right"/>
              <w:rPr>
                <w:noProof/>
              </w:rPr>
            </w:pPr>
            <w:r>
              <w:rPr>
                <w:noProof/>
              </w:rPr>
              <w:t>8</w:t>
            </w:r>
          </w:p>
        </w:tc>
        <w:tc>
          <w:tcPr>
            <w:tcW w:w="1426" w:type="dxa"/>
            <w:shd w:val="clear" w:color="auto" w:fill="auto"/>
            <w:vAlign w:val="bottom"/>
          </w:tcPr>
          <w:p>
            <w:pPr>
              <w:jc w:val="right"/>
              <w:rPr>
                <w:noProof/>
              </w:rPr>
            </w:pPr>
            <w:r>
              <w:rPr>
                <w:noProof/>
              </w:rPr>
              <w:t>59,3</w:t>
            </w:r>
          </w:p>
        </w:tc>
        <w:tc>
          <w:tcPr>
            <w:tcW w:w="1431" w:type="dxa"/>
            <w:shd w:val="clear" w:color="auto" w:fill="auto"/>
            <w:vAlign w:val="bottom"/>
          </w:tcPr>
          <w:p>
            <w:pPr>
              <w:jc w:val="right"/>
              <w:rPr>
                <w:noProof/>
              </w:rPr>
            </w:pPr>
            <w:r>
              <w:rPr>
                <w:noProof/>
              </w:rPr>
              <w:t>1,4</w:t>
            </w:r>
          </w:p>
        </w:tc>
        <w:tc>
          <w:tcPr>
            <w:tcW w:w="1366" w:type="dxa"/>
            <w:shd w:val="clear" w:color="auto" w:fill="auto"/>
            <w:vAlign w:val="bottom"/>
          </w:tcPr>
          <w:p>
            <w:pPr>
              <w:jc w:val="right"/>
              <w:rPr>
                <w:noProof/>
              </w:rPr>
            </w:pPr>
            <w:r>
              <w:rPr>
                <w:noProof/>
              </w:rPr>
              <w:t>0,0</w:t>
            </w:r>
          </w:p>
        </w:tc>
        <w:tc>
          <w:tcPr>
            <w:tcW w:w="1481" w:type="dxa"/>
            <w:shd w:val="clear" w:color="auto" w:fill="auto"/>
            <w:vAlign w:val="bottom"/>
          </w:tcPr>
          <w:p>
            <w:pPr>
              <w:jc w:val="right"/>
              <w:rPr>
                <w:noProof/>
              </w:rPr>
            </w:pPr>
            <w:r>
              <w:rPr>
                <w:noProof/>
              </w:rPr>
              <w:t>60,7</w:t>
            </w:r>
          </w:p>
        </w:tc>
      </w:tr>
      <w:tr>
        <w:tc>
          <w:tcPr>
            <w:tcW w:w="1416" w:type="dxa"/>
            <w:shd w:val="clear" w:color="auto" w:fill="auto"/>
          </w:tcPr>
          <w:p>
            <w:pPr>
              <w:jc w:val="center"/>
              <w:rPr>
                <w:noProof/>
              </w:rPr>
            </w:pPr>
            <w:r>
              <w:rPr>
                <w:noProof/>
              </w:rPr>
              <w:t>2014</w:t>
            </w:r>
          </w:p>
        </w:tc>
        <w:tc>
          <w:tcPr>
            <w:tcW w:w="1430" w:type="dxa"/>
            <w:shd w:val="clear" w:color="auto" w:fill="auto"/>
          </w:tcPr>
          <w:p>
            <w:pPr>
              <w:jc w:val="right"/>
              <w:rPr>
                <w:noProof/>
              </w:rPr>
            </w:pPr>
            <w:r>
              <w:rPr>
                <w:noProof/>
              </w:rPr>
              <w:t>8</w:t>
            </w:r>
          </w:p>
        </w:tc>
        <w:tc>
          <w:tcPr>
            <w:tcW w:w="1426" w:type="dxa"/>
            <w:shd w:val="clear" w:color="auto" w:fill="auto"/>
            <w:vAlign w:val="bottom"/>
          </w:tcPr>
          <w:p>
            <w:pPr>
              <w:jc w:val="right"/>
              <w:rPr>
                <w:noProof/>
              </w:rPr>
            </w:pPr>
            <w:r>
              <w:rPr>
                <w:noProof/>
              </w:rPr>
              <w:t>58,7</w:t>
            </w:r>
          </w:p>
        </w:tc>
        <w:tc>
          <w:tcPr>
            <w:tcW w:w="1431" w:type="dxa"/>
            <w:shd w:val="clear" w:color="auto" w:fill="auto"/>
            <w:vAlign w:val="bottom"/>
          </w:tcPr>
          <w:p>
            <w:pPr>
              <w:jc w:val="right"/>
              <w:rPr>
                <w:noProof/>
              </w:rPr>
            </w:pPr>
            <w:r>
              <w:rPr>
                <w:noProof/>
              </w:rPr>
              <w:t>1,5</w:t>
            </w:r>
          </w:p>
        </w:tc>
        <w:tc>
          <w:tcPr>
            <w:tcW w:w="1366" w:type="dxa"/>
            <w:shd w:val="clear" w:color="auto" w:fill="auto"/>
            <w:vAlign w:val="bottom"/>
          </w:tcPr>
          <w:p>
            <w:pPr>
              <w:jc w:val="right"/>
              <w:rPr>
                <w:noProof/>
              </w:rPr>
            </w:pPr>
            <w:r>
              <w:rPr>
                <w:noProof/>
              </w:rPr>
              <w:t>0,0</w:t>
            </w:r>
          </w:p>
        </w:tc>
        <w:tc>
          <w:tcPr>
            <w:tcW w:w="1481" w:type="dxa"/>
            <w:shd w:val="clear" w:color="auto" w:fill="auto"/>
            <w:vAlign w:val="bottom"/>
          </w:tcPr>
          <w:p>
            <w:pPr>
              <w:jc w:val="right"/>
              <w:rPr>
                <w:noProof/>
              </w:rPr>
            </w:pPr>
            <w:r>
              <w:rPr>
                <w:noProof/>
              </w:rPr>
              <w:t>60,2</w:t>
            </w:r>
          </w:p>
        </w:tc>
      </w:tr>
      <w:tr>
        <w:tc>
          <w:tcPr>
            <w:tcW w:w="1416" w:type="dxa"/>
            <w:shd w:val="clear" w:color="auto" w:fill="auto"/>
          </w:tcPr>
          <w:p>
            <w:pPr>
              <w:jc w:val="center"/>
              <w:rPr>
                <w:noProof/>
              </w:rPr>
            </w:pPr>
            <w:r>
              <w:rPr>
                <w:noProof/>
              </w:rPr>
              <w:t>2015</w:t>
            </w:r>
          </w:p>
        </w:tc>
        <w:tc>
          <w:tcPr>
            <w:tcW w:w="1430" w:type="dxa"/>
            <w:shd w:val="clear" w:color="auto" w:fill="auto"/>
          </w:tcPr>
          <w:p>
            <w:pPr>
              <w:jc w:val="right"/>
              <w:rPr>
                <w:noProof/>
              </w:rPr>
            </w:pPr>
            <w:r>
              <w:rPr>
                <w:noProof/>
              </w:rPr>
              <w:t>8</w:t>
            </w:r>
          </w:p>
        </w:tc>
        <w:tc>
          <w:tcPr>
            <w:tcW w:w="1426" w:type="dxa"/>
            <w:shd w:val="clear" w:color="auto" w:fill="auto"/>
            <w:vAlign w:val="bottom"/>
          </w:tcPr>
          <w:p>
            <w:pPr>
              <w:jc w:val="right"/>
              <w:rPr>
                <w:noProof/>
              </w:rPr>
            </w:pPr>
            <w:r>
              <w:rPr>
                <w:noProof/>
              </w:rPr>
              <w:t>58,7</w:t>
            </w:r>
          </w:p>
        </w:tc>
        <w:tc>
          <w:tcPr>
            <w:tcW w:w="1431" w:type="dxa"/>
            <w:shd w:val="clear" w:color="auto" w:fill="auto"/>
            <w:vAlign w:val="bottom"/>
          </w:tcPr>
          <w:p>
            <w:pPr>
              <w:jc w:val="right"/>
              <w:rPr>
                <w:noProof/>
              </w:rPr>
            </w:pPr>
            <w:r>
              <w:rPr>
                <w:noProof/>
              </w:rPr>
              <w:t>1,5</w:t>
            </w:r>
          </w:p>
        </w:tc>
        <w:tc>
          <w:tcPr>
            <w:tcW w:w="1366" w:type="dxa"/>
            <w:shd w:val="clear" w:color="auto" w:fill="auto"/>
            <w:vAlign w:val="bottom"/>
          </w:tcPr>
          <w:p>
            <w:pPr>
              <w:jc w:val="right"/>
              <w:rPr>
                <w:noProof/>
              </w:rPr>
            </w:pPr>
            <w:r>
              <w:rPr>
                <w:noProof/>
              </w:rPr>
              <w:t>0,0</w:t>
            </w:r>
          </w:p>
        </w:tc>
        <w:tc>
          <w:tcPr>
            <w:tcW w:w="1481" w:type="dxa"/>
            <w:shd w:val="clear" w:color="auto" w:fill="auto"/>
            <w:vAlign w:val="bottom"/>
          </w:tcPr>
          <w:p>
            <w:pPr>
              <w:jc w:val="right"/>
              <w:rPr>
                <w:noProof/>
              </w:rPr>
            </w:pPr>
            <w:r>
              <w:rPr>
                <w:noProof/>
              </w:rPr>
              <w:t>60,2</w:t>
            </w:r>
          </w:p>
        </w:tc>
      </w:tr>
      <w:tr>
        <w:tc>
          <w:tcPr>
            <w:tcW w:w="1416" w:type="dxa"/>
            <w:shd w:val="clear" w:color="auto" w:fill="auto"/>
          </w:tcPr>
          <w:p>
            <w:pPr>
              <w:jc w:val="center"/>
              <w:rPr>
                <w:noProof/>
              </w:rPr>
            </w:pPr>
            <w:r>
              <w:rPr>
                <w:noProof/>
              </w:rPr>
              <w:t>2016</w:t>
            </w:r>
          </w:p>
        </w:tc>
        <w:tc>
          <w:tcPr>
            <w:tcW w:w="1430" w:type="dxa"/>
            <w:shd w:val="clear" w:color="auto" w:fill="auto"/>
            <w:vAlign w:val="center"/>
          </w:tcPr>
          <w:p>
            <w:pPr>
              <w:jc w:val="right"/>
              <w:rPr>
                <w:noProof/>
              </w:rPr>
            </w:pPr>
            <w:r>
              <w:rPr>
                <w:noProof/>
              </w:rPr>
              <w:t>12</w:t>
            </w:r>
          </w:p>
        </w:tc>
        <w:tc>
          <w:tcPr>
            <w:tcW w:w="1426" w:type="dxa"/>
            <w:shd w:val="clear" w:color="auto" w:fill="auto"/>
            <w:vAlign w:val="bottom"/>
          </w:tcPr>
          <w:p>
            <w:pPr>
              <w:jc w:val="right"/>
              <w:rPr>
                <w:noProof/>
              </w:rPr>
            </w:pPr>
            <w:r>
              <w:rPr>
                <w:noProof/>
              </w:rPr>
              <w:t>103,8</w:t>
            </w:r>
          </w:p>
        </w:tc>
        <w:tc>
          <w:tcPr>
            <w:tcW w:w="1431" w:type="dxa"/>
            <w:shd w:val="clear" w:color="auto" w:fill="auto"/>
            <w:vAlign w:val="bottom"/>
          </w:tcPr>
          <w:p>
            <w:pPr>
              <w:jc w:val="right"/>
              <w:rPr>
                <w:noProof/>
              </w:rPr>
            </w:pPr>
            <w:r>
              <w:rPr>
                <w:noProof/>
              </w:rPr>
              <w:t>2,4</w:t>
            </w:r>
          </w:p>
        </w:tc>
        <w:tc>
          <w:tcPr>
            <w:tcW w:w="1366" w:type="dxa"/>
            <w:shd w:val="clear" w:color="auto" w:fill="auto"/>
            <w:vAlign w:val="bottom"/>
          </w:tcPr>
          <w:p>
            <w:pPr>
              <w:jc w:val="right"/>
              <w:rPr>
                <w:noProof/>
              </w:rPr>
            </w:pPr>
            <w:r>
              <w:rPr>
                <w:noProof/>
              </w:rPr>
              <w:t>0,0</w:t>
            </w:r>
          </w:p>
        </w:tc>
        <w:tc>
          <w:tcPr>
            <w:tcW w:w="1481" w:type="dxa"/>
            <w:shd w:val="clear" w:color="auto" w:fill="auto"/>
            <w:vAlign w:val="bottom"/>
          </w:tcPr>
          <w:p>
            <w:pPr>
              <w:jc w:val="right"/>
              <w:rPr>
                <w:noProof/>
              </w:rPr>
            </w:pPr>
            <w:r>
              <w:rPr>
                <w:noProof/>
              </w:rPr>
              <w:t>106,2</w:t>
            </w:r>
          </w:p>
        </w:tc>
      </w:tr>
      <w:tr>
        <w:tc>
          <w:tcPr>
            <w:tcW w:w="1416" w:type="dxa"/>
            <w:shd w:val="clear" w:color="auto" w:fill="auto"/>
          </w:tcPr>
          <w:p>
            <w:pPr>
              <w:jc w:val="center"/>
              <w:rPr>
                <w:noProof/>
              </w:rPr>
            </w:pPr>
            <w:r>
              <w:rPr>
                <w:noProof/>
              </w:rPr>
              <w:t>2017</w:t>
            </w:r>
          </w:p>
        </w:tc>
        <w:tc>
          <w:tcPr>
            <w:tcW w:w="1430" w:type="dxa"/>
            <w:shd w:val="clear" w:color="auto" w:fill="auto"/>
            <w:vAlign w:val="center"/>
          </w:tcPr>
          <w:p>
            <w:pPr>
              <w:jc w:val="right"/>
              <w:rPr>
                <w:noProof/>
              </w:rPr>
            </w:pPr>
            <w:r>
              <w:rPr>
                <w:noProof/>
              </w:rPr>
              <w:t>13</w:t>
            </w:r>
          </w:p>
        </w:tc>
        <w:tc>
          <w:tcPr>
            <w:tcW w:w="1426" w:type="dxa"/>
            <w:shd w:val="clear" w:color="auto" w:fill="auto"/>
            <w:vAlign w:val="bottom"/>
          </w:tcPr>
          <w:p>
            <w:pPr>
              <w:jc w:val="right"/>
              <w:rPr>
                <w:noProof/>
              </w:rPr>
            </w:pPr>
            <w:r>
              <w:rPr>
                <w:noProof/>
              </w:rPr>
              <w:t>56,1</w:t>
            </w:r>
          </w:p>
        </w:tc>
        <w:tc>
          <w:tcPr>
            <w:tcW w:w="1431" w:type="dxa"/>
            <w:shd w:val="clear" w:color="auto" w:fill="auto"/>
            <w:vAlign w:val="bottom"/>
          </w:tcPr>
          <w:p>
            <w:pPr>
              <w:jc w:val="right"/>
              <w:rPr>
                <w:noProof/>
              </w:rPr>
            </w:pPr>
            <w:r>
              <w:rPr>
                <w:noProof/>
              </w:rPr>
              <w:t>0,2</w:t>
            </w:r>
          </w:p>
        </w:tc>
        <w:tc>
          <w:tcPr>
            <w:tcW w:w="1366" w:type="dxa"/>
            <w:shd w:val="clear" w:color="auto" w:fill="auto"/>
            <w:vAlign w:val="bottom"/>
          </w:tcPr>
          <w:p>
            <w:pPr>
              <w:jc w:val="right"/>
              <w:rPr>
                <w:noProof/>
              </w:rPr>
            </w:pPr>
            <w:r>
              <w:rPr>
                <w:noProof/>
              </w:rPr>
              <w:t>0,0</w:t>
            </w:r>
          </w:p>
        </w:tc>
        <w:tc>
          <w:tcPr>
            <w:tcW w:w="1481" w:type="dxa"/>
            <w:shd w:val="clear" w:color="auto" w:fill="auto"/>
            <w:vAlign w:val="bottom"/>
          </w:tcPr>
          <w:p>
            <w:pPr>
              <w:jc w:val="right"/>
              <w:rPr>
                <w:noProof/>
              </w:rPr>
            </w:pPr>
            <w:r>
              <w:rPr>
                <w:noProof/>
              </w:rPr>
              <w:t>56,3</w:t>
            </w:r>
          </w:p>
        </w:tc>
      </w:tr>
      <w:tr>
        <w:tc>
          <w:tcPr>
            <w:tcW w:w="1416" w:type="dxa"/>
            <w:shd w:val="clear" w:color="auto" w:fill="auto"/>
          </w:tcPr>
          <w:p>
            <w:pPr>
              <w:jc w:val="center"/>
              <w:rPr>
                <w:noProof/>
              </w:rPr>
            </w:pPr>
            <w:r>
              <w:rPr>
                <w:noProof/>
              </w:rPr>
              <w:t>2018</w:t>
            </w:r>
          </w:p>
        </w:tc>
        <w:tc>
          <w:tcPr>
            <w:tcW w:w="1430" w:type="dxa"/>
            <w:shd w:val="clear" w:color="auto" w:fill="auto"/>
          </w:tcPr>
          <w:p>
            <w:pPr>
              <w:jc w:val="right"/>
              <w:rPr>
                <w:noProof/>
              </w:rPr>
            </w:pPr>
            <w:r>
              <w:rPr>
                <w:noProof/>
              </w:rPr>
              <w:t>12</w:t>
            </w:r>
          </w:p>
        </w:tc>
        <w:tc>
          <w:tcPr>
            <w:tcW w:w="1426" w:type="dxa"/>
            <w:shd w:val="clear" w:color="auto" w:fill="auto"/>
          </w:tcPr>
          <w:p>
            <w:pPr>
              <w:jc w:val="right"/>
              <w:rPr>
                <w:noProof/>
              </w:rPr>
            </w:pPr>
            <w:r>
              <w:rPr>
                <w:noProof/>
              </w:rPr>
              <w:t>55,7</w:t>
            </w:r>
          </w:p>
        </w:tc>
        <w:tc>
          <w:tcPr>
            <w:tcW w:w="1431" w:type="dxa"/>
            <w:shd w:val="clear" w:color="auto" w:fill="auto"/>
          </w:tcPr>
          <w:p>
            <w:pPr>
              <w:jc w:val="right"/>
              <w:rPr>
                <w:noProof/>
              </w:rPr>
            </w:pPr>
            <w:r>
              <w:rPr>
                <w:noProof/>
              </w:rPr>
              <w:t>0,1</w:t>
            </w:r>
          </w:p>
        </w:tc>
        <w:tc>
          <w:tcPr>
            <w:tcW w:w="1366" w:type="dxa"/>
            <w:shd w:val="clear" w:color="auto" w:fill="auto"/>
          </w:tcPr>
          <w:p>
            <w:pPr>
              <w:jc w:val="right"/>
              <w:rPr>
                <w:noProof/>
              </w:rPr>
            </w:pPr>
            <w:r>
              <w:rPr>
                <w:noProof/>
              </w:rPr>
              <w:t>0,0</w:t>
            </w:r>
          </w:p>
        </w:tc>
        <w:tc>
          <w:tcPr>
            <w:tcW w:w="1481" w:type="dxa"/>
            <w:shd w:val="clear" w:color="auto" w:fill="auto"/>
          </w:tcPr>
          <w:p>
            <w:pPr>
              <w:jc w:val="right"/>
              <w:rPr>
                <w:noProof/>
              </w:rPr>
            </w:pPr>
            <w:r>
              <w:rPr>
                <w:noProof/>
              </w:rPr>
              <w:t>55,7</w:t>
            </w:r>
          </w:p>
        </w:tc>
      </w:tr>
      <w:tr>
        <w:tc>
          <w:tcPr>
            <w:tcW w:w="1416" w:type="dxa"/>
            <w:shd w:val="clear" w:color="auto" w:fill="auto"/>
          </w:tcPr>
          <w:p>
            <w:pPr>
              <w:jc w:val="center"/>
              <w:rPr>
                <w:noProof/>
              </w:rPr>
            </w:pPr>
            <w:r>
              <w:rPr>
                <w:noProof/>
              </w:rPr>
              <w:t>Összesen</w:t>
            </w:r>
          </w:p>
        </w:tc>
        <w:tc>
          <w:tcPr>
            <w:tcW w:w="1430" w:type="dxa"/>
            <w:shd w:val="clear" w:color="auto" w:fill="auto"/>
          </w:tcPr>
          <w:p>
            <w:pPr>
              <w:jc w:val="right"/>
              <w:rPr>
                <w:noProof/>
              </w:rPr>
            </w:pPr>
            <w:r>
              <w:rPr>
                <w:noProof/>
              </w:rPr>
              <w:t>63</w:t>
            </w:r>
          </w:p>
        </w:tc>
        <w:tc>
          <w:tcPr>
            <w:tcW w:w="1426" w:type="dxa"/>
            <w:shd w:val="clear" w:color="auto" w:fill="auto"/>
          </w:tcPr>
          <w:p>
            <w:pPr>
              <w:jc w:val="right"/>
              <w:rPr>
                <w:noProof/>
              </w:rPr>
            </w:pPr>
            <w:r>
              <w:rPr>
                <w:noProof/>
              </w:rPr>
              <w:t>416,17</w:t>
            </w:r>
          </w:p>
        </w:tc>
        <w:tc>
          <w:tcPr>
            <w:tcW w:w="1431" w:type="dxa"/>
            <w:shd w:val="clear" w:color="auto" w:fill="auto"/>
          </w:tcPr>
          <w:p>
            <w:pPr>
              <w:jc w:val="right"/>
              <w:rPr>
                <w:noProof/>
              </w:rPr>
            </w:pPr>
            <w:r>
              <w:rPr>
                <w:noProof/>
              </w:rPr>
              <w:t>7,03</w:t>
            </w:r>
          </w:p>
        </w:tc>
        <w:tc>
          <w:tcPr>
            <w:tcW w:w="1366" w:type="dxa"/>
            <w:shd w:val="clear" w:color="auto" w:fill="auto"/>
          </w:tcPr>
          <w:p>
            <w:pPr>
              <w:jc w:val="right"/>
              <w:rPr>
                <w:noProof/>
              </w:rPr>
            </w:pPr>
            <w:r>
              <w:rPr>
                <w:noProof/>
              </w:rPr>
              <w:t>2,1</w:t>
            </w:r>
          </w:p>
        </w:tc>
        <w:tc>
          <w:tcPr>
            <w:tcW w:w="1481" w:type="dxa"/>
            <w:shd w:val="clear" w:color="auto" w:fill="auto"/>
          </w:tcPr>
          <w:p>
            <w:pPr>
              <w:jc w:val="right"/>
              <w:rPr>
                <w:noProof/>
              </w:rPr>
            </w:pPr>
            <w:r>
              <w:rPr>
                <w:noProof/>
              </w:rPr>
              <w:t>421,1</w:t>
            </w:r>
          </w:p>
        </w:tc>
      </w:tr>
    </w:tbl>
    <w:p>
      <w:pPr>
        <w:spacing w:before="240" w:after="240"/>
        <w:rPr>
          <w:noProof/>
        </w:rPr>
      </w:pPr>
      <w:r>
        <w:rPr>
          <w:noProof/>
        </w:rPr>
        <w:t>2018. december 31-én a garantált hitelekhez kapcsolódó összes kinnlevő tőkekötelezettség Szíria esetében 555 millió EUR-s tőkét</w:t>
      </w:r>
      <w:r>
        <w:rPr>
          <w:rStyle w:val="FootnoteReference"/>
          <w:noProof/>
        </w:rPr>
        <w:footnoteReference w:id="41"/>
      </w:r>
      <w:r>
        <w:rPr>
          <w:noProof/>
        </w:rPr>
        <w:t xml:space="preserve"> tett ki, a hitelek végső lejárata 2030.</w:t>
      </w:r>
    </w:p>
    <w:p>
      <w:pPr>
        <w:spacing w:before="100" w:beforeAutospacing="1"/>
        <w:rPr>
          <w:i/>
          <w:noProof/>
          <w:u w:val="single"/>
        </w:rPr>
      </w:pPr>
      <w:r>
        <w:rPr>
          <w:i/>
          <w:noProof/>
          <w:u w:val="single"/>
        </w:rPr>
        <w:t>TAV Tunisie S.A. (enfidhai repülőtér)</w:t>
      </w:r>
    </w:p>
    <w:p>
      <w:pPr>
        <w:spacing w:before="100" w:beforeAutospacing="1"/>
        <w:rPr>
          <w:noProof/>
          <w:szCs w:val="20"/>
        </w:rPr>
      </w:pPr>
      <w:r>
        <w:rPr>
          <w:noProof/>
        </w:rPr>
        <w:t>Az EBB 2016-ban külső hitelezési megbízatása keretében lehívta az uniós garanciát a TAV Tunisie S.A. (enfidhai repülőtér) számára nyújtott hitellel összefüggésben.</w:t>
      </w:r>
    </w:p>
    <w:p>
      <w:pPr>
        <w:spacing w:before="0" w:after="240"/>
        <w:rPr>
          <w:noProof/>
        </w:rPr>
      </w:pPr>
      <w:r>
        <w:rPr>
          <w:noProof/>
        </w:rPr>
        <w:t>2018. január 15-én az enfidhai repülőtértől behajtott 0,14 millió EUR összeg került jóváírásra a külső fellépésekre vonatkozó garanciaalapnál. Az összeget az alap 2017. december 31-i mérlegében eszközként (követelésként) már megjelenítették.</w:t>
      </w:r>
    </w:p>
    <w:p>
      <w:pPr>
        <w:spacing w:before="0"/>
        <w:jc w:val="left"/>
        <w:rPr>
          <w:noProof/>
          <w:szCs w:val="20"/>
        </w:rPr>
      </w:pPr>
      <w:r>
        <w:rPr>
          <w:noProof/>
        </w:rPr>
        <w:t>A TAV Tunisie S.A. (enfidhai repülőtér) nemteljesítő hiteléhez kapcsolódó, az alapból kért lehívásokat a 4b. táblázat mutatja be.</w:t>
      </w:r>
    </w:p>
    <w:p>
      <w:pPr>
        <w:keepNext/>
        <w:spacing w:after="0"/>
        <w:rPr>
          <w:noProof/>
          <w:sz w:val="18"/>
        </w:rPr>
      </w:pPr>
      <w:r>
        <w:rPr>
          <w:noProof/>
          <w:sz w:val="18"/>
        </w:rPr>
        <w:t>4b. táblázat: A TAV Tunisie S.A. (enfidhai repülőtér) nemteljesítő hiteléhez kapcsolódó lehívások a garanciaalapból (millió EUR)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430"/>
        <w:gridCol w:w="1756"/>
        <w:gridCol w:w="1671"/>
        <w:gridCol w:w="1418"/>
        <w:gridCol w:w="1417"/>
      </w:tblGrid>
      <w:tr>
        <w:trPr>
          <w:trHeight w:val="1231"/>
        </w:trPr>
        <w:tc>
          <w:tcPr>
            <w:tcW w:w="1416" w:type="dxa"/>
            <w:shd w:val="clear" w:color="auto" w:fill="auto"/>
          </w:tcPr>
          <w:p>
            <w:pPr>
              <w:keepNext/>
              <w:spacing w:after="240"/>
              <w:jc w:val="center"/>
              <w:rPr>
                <w:noProof/>
                <w:sz w:val="22"/>
              </w:rPr>
            </w:pPr>
            <w:r>
              <w:rPr>
                <w:noProof/>
                <w:sz w:val="22"/>
              </w:rPr>
              <w:t>A lehívás éve</w:t>
            </w:r>
            <w:r>
              <w:rPr>
                <w:noProof/>
                <w:sz w:val="20"/>
              </w:rPr>
              <w:t xml:space="preserve"> </w:t>
            </w:r>
          </w:p>
        </w:tc>
        <w:tc>
          <w:tcPr>
            <w:tcW w:w="1430" w:type="dxa"/>
            <w:shd w:val="clear" w:color="auto" w:fill="auto"/>
          </w:tcPr>
          <w:p>
            <w:pPr>
              <w:keepNext/>
              <w:spacing w:after="240"/>
              <w:jc w:val="center"/>
              <w:rPr>
                <w:noProof/>
                <w:sz w:val="22"/>
              </w:rPr>
            </w:pPr>
            <w:r>
              <w:rPr>
                <w:noProof/>
                <w:sz w:val="22"/>
              </w:rPr>
              <w:t>Kifizetett lehívások száma</w:t>
            </w:r>
          </w:p>
        </w:tc>
        <w:tc>
          <w:tcPr>
            <w:tcW w:w="1407" w:type="dxa"/>
            <w:shd w:val="clear" w:color="auto" w:fill="auto"/>
          </w:tcPr>
          <w:p>
            <w:pPr>
              <w:keepNext/>
              <w:spacing w:after="240"/>
              <w:jc w:val="center"/>
              <w:rPr>
                <w:noProof/>
                <w:sz w:val="22"/>
              </w:rPr>
            </w:pPr>
            <w:r>
              <w:rPr>
                <w:noProof/>
                <w:sz w:val="22"/>
              </w:rPr>
              <w:t>Az esedékes törlesztőrészletek összege</w:t>
            </w:r>
          </w:p>
        </w:tc>
        <w:tc>
          <w:tcPr>
            <w:tcW w:w="1417" w:type="dxa"/>
            <w:shd w:val="clear" w:color="auto" w:fill="auto"/>
          </w:tcPr>
          <w:p>
            <w:pPr>
              <w:keepNext/>
              <w:spacing w:after="240"/>
              <w:jc w:val="center"/>
              <w:rPr>
                <w:noProof/>
                <w:sz w:val="22"/>
              </w:rPr>
            </w:pPr>
            <w:r>
              <w:rPr>
                <w:noProof/>
                <w:sz w:val="22"/>
              </w:rPr>
              <w:t>Büntetőkamatok és felhalmozott kamatok</w:t>
            </w:r>
            <w:r>
              <w:rPr>
                <w:noProof/>
                <w:sz w:val="22"/>
                <w:vertAlign w:val="superscript"/>
              </w:rPr>
              <w:t>32</w:t>
            </w:r>
            <w:r>
              <w:rPr>
                <w:noProof/>
                <w:sz w:val="22"/>
              </w:rPr>
              <w:t xml:space="preserve"> </w:t>
            </w:r>
          </w:p>
        </w:tc>
        <w:tc>
          <w:tcPr>
            <w:tcW w:w="1418" w:type="dxa"/>
            <w:shd w:val="clear" w:color="auto" w:fill="auto"/>
          </w:tcPr>
          <w:p>
            <w:pPr>
              <w:keepNext/>
              <w:spacing w:after="240"/>
              <w:jc w:val="center"/>
              <w:rPr>
                <w:noProof/>
                <w:sz w:val="22"/>
              </w:rPr>
            </w:pPr>
            <w:r>
              <w:rPr>
                <w:noProof/>
                <w:sz w:val="22"/>
              </w:rPr>
              <w:t>Behajtott összeg</w:t>
            </w:r>
          </w:p>
        </w:tc>
        <w:tc>
          <w:tcPr>
            <w:tcW w:w="1417" w:type="dxa"/>
            <w:shd w:val="clear" w:color="auto" w:fill="auto"/>
          </w:tcPr>
          <w:p>
            <w:pPr>
              <w:keepNext/>
              <w:spacing w:after="240"/>
              <w:jc w:val="center"/>
              <w:rPr>
                <w:noProof/>
                <w:sz w:val="22"/>
              </w:rPr>
            </w:pPr>
            <w:r>
              <w:rPr>
                <w:noProof/>
                <w:sz w:val="22"/>
              </w:rPr>
              <w:t>Összesen</w:t>
            </w:r>
          </w:p>
        </w:tc>
      </w:tr>
      <w:tr>
        <w:tc>
          <w:tcPr>
            <w:tcW w:w="1416" w:type="dxa"/>
            <w:shd w:val="clear" w:color="auto" w:fill="auto"/>
            <w:vAlign w:val="center"/>
          </w:tcPr>
          <w:p>
            <w:pPr>
              <w:keepNext/>
              <w:spacing w:after="240"/>
              <w:jc w:val="center"/>
              <w:rPr>
                <w:noProof/>
                <w:sz w:val="22"/>
              </w:rPr>
            </w:pPr>
            <w:r>
              <w:rPr>
                <w:noProof/>
                <w:sz w:val="22"/>
                <w:szCs w:val="22"/>
              </w:rPr>
              <w:t>2016</w:t>
            </w:r>
          </w:p>
        </w:tc>
        <w:tc>
          <w:tcPr>
            <w:tcW w:w="1430" w:type="dxa"/>
            <w:shd w:val="clear" w:color="auto" w:fill="auto"/>
            <w:vAlign w:val="center"/>
          </w:tcPr>
          <w:p>
            <w:pPr>
              <w:keepNext/>
              <w:spacing w:after="240"/>
              <w:jc w:val="right"/>
              <w:rPr>
                <w:noProof/>
                <w:sz w:val="22"/>
              </w:rPr>
            </w:pPr>
            <w:r>
              <w:rPr>
                <w:noProof/>
                <w:sz w:val="22"/>
                <w:szCs w:val="22"/>
              </w:rPr>
              <w:t>1</w:t>
            </w:r>
          </w:p>
        </w:tc>
        <w:tc>
          <w:tcPr>
            <w:tcW w:w="1407" w:type="dxa"/>
            <w:shd w:val="clear" w:color="auto" w:fill="auto"/>
            <w:vAlign w:val="center"/>
          </w:tcPr>
          <w:p>
            <w:pPr>
              <w:keepNext/>
              <w:spacing w:after="240"/>
              <w:jc w:val="right"/>
              <w:rPr>
                <w:noProof/>
                <w:sz w:val="22"/>
              </w:rPr>
            </w:pPr>
            <w:r>
              <w:rPr>
                <w:noProof/>
                <w:sz w:val="22"/>
                <w:szCs w:val="22"/>
              </w:rPr>
              <w:t>4,63</w:t>
            </w:r>
          </w:p>
        </w:tc>
        <w:tc>
          <w:tcPr>
            <w:tcW w:w="1417" w:type="dxa"/>
            <w:shd w:val="clear" w:color="auto" w:fill="auto"/>
            <w:vAlign w:val="center"/>
          </w:tcPr>
          <w:p>
            <w:pPr>
              <w:keepNext/>
              <w:spacing w:after="240"/>
              <w:jc w:val="right"/>
              <w:rPr>
                <w:noProof/>
                <w:sz w:val="22"/>
              </w:rPr>
            </w:pPr>
            <w:r>
              <w:rPr>
                <w:noProof/>
                <w:sz w:val="22"/>
                <w:szCs w:val="22"/>
              </w:rPr>
              <w:t>0,03</w:t>
            </w:r>
          </w:p>
        </w:tc>
        <w:tc>
          <w:tcPr>
            <w:tcW w:w="1418" w:type="dxa"/>
            <w:shd w:val="clear" w:color="auto" w:fill="auto"/>
            <w:vAlign w:val="center"/>
          </w:tcPr>
          <w:p>
            <w:pPr>
              <w:keepNext/>
              <w:spacing w:after="240"/>
              <w:jc w:val="right"/>
              <w:rPr>
                <w:noProof/>
                <w:sz w:val="22"/>
              </w:rPr>
            </w:pPr>
            <w:r>
              <w:rPr>
                <w:noProof/>
                <w:sz w:val="22"/>
                <w:szCs w:val="22"/>
              </w:rPr>
              <w:t>0,00</w:t>
            </w:r>
          </w:p>
        </w:tc>
        <w:tc>
          <w:tcPr>
            <w:tcW w:w="1417" w:type="dxa"/>
            <w:shd w:val="clear" w:color="auto" w:fill="auto"/>
            <w:vAlign w:val="center"/>
          </w:tcPr>
          <w:p>
            <w:pPr>
              <w:keepNext/>
              <w:spacing w:after="240"/>
              <w:jc w:val="right"/>
              <w:rPr>
                <w:noProof/>
                <w:sz w:val="22"/>
              </w:rPr>
            </w:pPr>
            <w:r>
              <w:rPr>
                <w:noProof/>
                <w:sz w:val="22"/>
                <w:szCs w:val="22"/>
              </w:rPr>
              <w:t>4,65</w:t>
            </w:r>
          </w:p>
        </w:tc>
      </w:tr>
      <w:tr>
        <w:tc>
          <w:tcPr>
            <w:tcW w:w="1416" w:type="dxa"/>
            <w:shd w:val="clear" w:color="auto" w:fill="auto"/>
          </w:tcPr>
          <w:p>
            <w:pPr>
              <w:keepNext/>
              <w:spacing w:after="240"/>
              <w:jc w:val="center"/>
              <w:rPr>
                <w:noProof/>
                <w:sz w:val="22"/>
                <w:szCs w:val="22"/>
              </w:rPr>
            </w:pPr>
            <w:r>
              <w:rPr>
                <w:noProof/>
                <w:sz w:val="22"/>
                <w:szCs w:val="22"/>
              </w:rPr>
              <w:t>2017</w:t>
            </w:r>
          </w:p>
        </w:tc>
        <w:tc>
          <w:tcPr>
            <w:tcW w:w="1430" w:type="dxa"/>
            <w:shd w:val="clear" w:color="auto" w:fill="auto"/>
            <w:vAlign w:val="center"/>
          </w:tcPr>
          <w:p>
            <w:pPr>
              <w:keepNext/>
              <w:spacing w:after="240"/>
              <w:jc w:val="right"/>
              <w:rPr>
                <w:noProof/>
                <w:sz w:val="22"/>
                <w:szCs w:val="22"/>
              </w:rPr>
            </w:pPr>
            <w:r>
              <w:rPr>
                <w:noProof/>
                <w:sz w:val="22"/>
                <w:szCs w:val="22"/>
              </w:rPr>
              <w:t>3</w:t>
            </w:r>
          </w:p>
        </w:tc>
        <w:tc>
          <w:tcPr>
            <w:tcW w:w="1407" w:type="dxa"/>
            <w:shd w:val="clear" w:color="auto" w:fill="auto"/>
          </w:tcPr>
          <w:p>
            <w:pPr>
              <w:keepNext/>
              <w:spacing w:after="240"/>
              <w:jc w:val="right"/>
              <w:rPr>
                <w:noProof/>
                <w:sz w:val="22"/>
                <w:szCs w:val="22"/>
              </w:rPr>
            </w:pPr>
            <w:r>
              <w:rPr>
                <w:noProof/>
                <w:sz w:val="22"/>
                <w:szCs w:val="22"/>
              </w:rPr>
              <w:t xml:space="preserve"> 30,16 </w:t>
            </w:r>
          </w:p>
        </w:tc>
        <w:tc>
          <w:tcPr>
            <w:tcW w:w="1417" w:type="dxa"/>
            <w:shd w:val="clear" w:color="auto" w:fill="auto"/>
          </w:tcPr>
          <w:p>
            <w:pPr>
              <w:keepNext/>
              <w:spacing w:after="240"/>
              <w:jc w:val="right"/>
              <w:rPr>
                <w:noProof/>
                <w:sz w:val="22"/>
                <w:szCs w:val="22"/>
              </w:rPr>
            </w:pPr>
            <w:r>
              <w:rPr>
                <w:noProof/>
                <w:sz w:val="22"/>
                <w:szCs w:val="22"/>
              </w:rPr>
              <w:t xml:space="preserve"> 0,01 </w:t>
            </w:r>
          </w:p>
        </w:tc>
        <w:tc>
          <w:tcPr>
            <w:tcW w:w="1418" w:type="dxa"/>
            <w:shd w:val="clear" w:color="auto" w:fill="auto"/>
          </w:tcPr>
          <w:p>
            <w:pPr>
              <w:keepNext/>
              <w:spacing w:after="240"/>
              <w:jc w:val="right"/>
              <w:rPr>
                <w:noProof/>
                <w:sz w:val="22"/>
                <w:szCs w:val="22"/>
              </w:rPr>
            </w:pPr>
            <w:r>
              <w:rPr>
                <w:noProof/>
                <w:sz w:val="22"/>
                <w:szCs w:val="22"/>
              </w:rPr>
              <w:t>0,00</w:t>
            </w:r>
          </w:p>
        </w:tc>
        <w:tc>
          <w:tcPr>
            <w:tcW w:w="1417" w:type="dxa"/>
            <w:shd w:val="clear" w:color="auto" w:fill="auto"/>
          </w:tcPr>
          <w:p>
            <w:pPr>
              <w:keepNext/>
              <w:spacing w:after="240"/>
              <w:jc w:val="right"/>
              <w:rPr>
                <w:noProof/>
                <w:sz w:val="22"/>
                <w:szCs w:val="22"/>
              </w:rPr>
            </w:pPr>
            <w:r>
              <w:rPr>
                <w:noProof/>
                <w:sz w:val="22"/>
                <w:szCs w:val="22"/>
              </w:rPr>
              <w:t xml:space="preserve"> 30,17 </w:t>
            </w:r>
          </w:p>
        </w:tc>
      </w:tr>
      <w:tr>
        <w:tc>
          <w:tcPr>
            <w:tcW w:w="1416" w:type="dxa"/>
            <w:shd w:val="clear" w:color="auto" w:fill="auto"/>
          </w:tcPr>
          <w:p>
            <w:pPr>
              <w:keepNext/>
              <w:spacing w:after="240"/>
              <w:jc w:val="center"/>
              <w:rPr>
                <w:noProof/>
                <w:sz w:val="22"/>
                <w:szCs w:val="22"/>
              </w:rPr>
            </w:pPr>
            <w:r>
              <w:rPr>
                <w:noProof/>
                <w:sz w:val="22"/>
                <w:szCs w:val="22"/>
              </w:rPr>
              <w:t>2018</w:t>
            </w:r>
          </w:p>
        </w:tc>
        <w:tc>
          <w:tcPr>
            <w:tcW w:w="1430" w:type="dxa"/>
            <w:shd w:val="clear" w:color="auto" w:fill="auto"/>
            <w:vAlign w:val="center"/>
          </w:tcPr>
          <w:p>
            <w:pPr>
              <w:keepNext/>
              <w:spacing w:after="240"/>
              <w:jc w:val="right"/>
              <w:rPr>
                <w:noProof/>
                <w:sz w:val="22"/>
                <w:szCs w:val="22"/>
              </w:rPr>
            </w:pPr>
            <w:r>
              <w:rPr>
                <w:noProof/>
                <w:sz w:val="22"/>
                <w:szCs w:val="22"/>
              </w:rPr>
              <w:t>0</w:t>
            </w:r>
          </w:p>
        </w:tc>
        <w:tc>
          <w:tcPr>
            <w:tcW w:w="1407" w:type="dxa"/>
            <w:shd w:val="clear" w:color="auto" w:fill="auto"/>
            <w:vAlign w:val="center"/>
          </w:tcPr>
          <w:p>
            <w:pPr>
              <w:keepNext/>
              <w:spacing w:after="240"/>
              <w:jc w:val="right"/>
              <w:rPr>
                <w:noProof/>
                <w:sz w:val="22"/>
                <w:szCs w:val="22"/>
              </w:rPr>
            </w:pPr>
            <w:r>
              <w:rPr>
                <w:noProof/>
                <w:sz w:val="22"/>
                <w:szCs w:val="22"/>
              </w:rPr>
              <w:t>0,0</w:t>
            </w:r>
          </w:p>
        </w:tc>
        <w:tc>
          <w:tcPr>
            <w:tcW w:w="1417" w:type="dxa"/>
            <w:shd w:val="clear" w:color="auto" w:fill="auto"/>
            <w:vAlign w:val="center"/>
          </w:tcPr>
          <w:p>
            <w:pPr>
              <w:keepNext/>
              <w:spacing w:after="240"/>
              <w:jc w:val="right"/>
              <w:rPr>
                <w:noProof/>
                <w:sz w:val="22"/>
                <w:szCs w:val="22"/>
              </w:rPr>
            </w:pPr>
            <w:r>
              <w:rPr>
                <w:noProof/>
                <w:sz w:val="22"/>
                <w:szCs w:val="22"/>
              </w:rPr>
              <w:t>0,0</w:t>
            </w:r>
          </w:p>
        </w:tc>
        <w:tc>
          <w:tcPr>
            <w:tcW w:w="1418" w:type="dxa"/>
            <w:shd w:val="clear" w:color="auto" w:fill="auto"/>
            <w:vAlign w:val="center"/>
          </w:tcPr>
          <w:p>
            <w:pPr>
              <w:keepNext/>
              <w:spacing w:after="240"/>
              <w:jc w:val="right"/>
              <w:rPr>
                <w:noProof/>
                <w:sz w:val="22"/>
                <w:szCs w:val="22"/>
              </w:rPr>
            </w:pPr>
            <w:r>
              <w:rPr>
                <w:noProof/>
                <w:sz w:val="22"/>
                <w:szCs w:val="22"/>
              </w:rPr>
              <w:t>0,14</w:t>
            </w:r>
          </w:p>
        </w:tc>
        <w:tc>
          <w:tcPr>
            <w:tcW w:w="1417" w:type="dxa"/>
            <w:shd w:val="clear" w:color="auto" w:fill="auto"/>
            <w:vAlign w:val="center"/>
          </w:tcPr>
          <w:p>
            <w:pPr>
              <w:keepNext/>
              <w:spacing w:after="240"/>
              <w:jc w:val="right"/>
              <w:rPr>
                <w:noProof/>
                <w:sz w:val="22"/>
                <w:szCs w:val="22"/>
              </w:rPr>
            </w:pPr>
            <w:r>
              <w:rPr>
                <w:noProof/>
                <w:sz w:val="22"/>
                <w:szCs w:val="22"/>
              </w:rPr>
              <w:t>–0,14</w:t>
            </w:r>
          </w:p>
        </w:tc>
      </w:tr>
      <w:tr>
        <w:tc>
          <w:tcPr>
            <w:tcW w:w="1416" w:type="dxa"/>
            <w:shd w:val="clear" w:color="auto" w:fill="auto"/>
          </w:tcPr>
          <w:p>
            <w:pPr>
              <w:keepNext/>
              <w:spacing w:after="240"/>
              <w:jc w:val="center"/>
              <w:rPr>
                <w:noProof/>
                <w:sz w:val="22"/>
                <w:szCs w:val="22"/>
              </w:rPr>
            </w:pPr>
            <w:r>
              <w:rPr>
                <w:noProof/>
                <w:sz w:val="22"/>
                <w:szCs w:val="22"/>
              </w:rPr>
              <w:t>Összesen</w:t>
            </w:r>
          </w:p>
        </w:tc>
        <w:tc>
          <w:tcPr>
            <w:tcW w:w="1430" w:type="dxa"/>
            <w:shd w:val="clear" w:color="auto" w:fill="auto"/>
            <w:vAlign w:val="center"/>
          </w:tcPr>
          <w:p>
            <w:pPr>
              <w:keepNext/>
              <w:spacing w:after="240"/>
              <w:jc w:val="right"/>
              <w:rPr>
                <w:noProof/>
                <w:sz w:val="22"/>
                <w:szCs w:val="22"/>
              </w:rPr>
            </w:pPr>
            <w:r>
              <w:rPr>
                <w:noProof/>
                <w:sz w:val="22"/>
                <w:szCs w:val="22"/>
              </w:rPr>
              <w:t>4</w:t>
            </w:r>
          </w:p>
        </w:tc>
        <w:tc>
          <w:tcPr>
            <w:tcW w:w="1407" w:type="dxa"/>
            <w:shd w:val="clear" w:color="auto" w:fill="auto"/>
          </w:tcPr>
          <w:p>
            <w:pPr>
              <w:keepNext/>
              <w:spacing w:after="240"/>
              <w:jc w:val="right"/>
              <w:rPr>
                <w:noProof/>
                <w:sz w:val="22"/>
                <w:szCs w:val="22"/>
              </w:rPr>
            </w:pPr>
            <w:r>
              <w:rPr>
                <w:noProof/>
                <w:sz w:val="22"/>
                <w:szCs w:val="22"/>
              </w:rPr>
              <w:t xml:space="preserve"> 34,78 </w:t>
            </w:r>
          </w:p>
        </w:tc>
        <w:tc>
          <w:tcPr>
            <w:tcW w:w="1417" w:type="dxa"/>
            <w:shd w:val="clear" w:color="auto" w:fill="auto"/>
          </w:tcPr>
          <w:p>
            <w:pPr>
              <w:keepNext/>
              <w:spacing w:after="240"/>
              <w:jc w:val="right"/>
              <w:rPr>
                <w:noProof/>
                <w:sz w:val="22"/>
                <w:szCs w:val="22"/>
              </w:rPr>
            </w:pPr>
            <w:r>
              <w:rPr>
                <w:noProof/>
                <w:sz w:val="22"/>
                <w:szCs w:val="22"/>
              </w:rPr>
              <w:t xml:space="preserve"> 0,04 </w:t>
            </w:r>
          </w:p>
        </w:tc>
        <w:tc>
          <w:tcPr>
            <w:tcW w:w="1418" w:type="dxa"/>
            <w:shd w:val="clear" w:color="auto" w:fill="auto"/>
          </w:tcPr>
          <w:p>
            <w:pPr>
              <w:keepNext/>
              <w:spacing w:after="240"/>
              <w:jc w:val="right"/>
              <w:rPr>
                <w:noProof/>
                <w:sz w:val="22"/>
                <w:szCs w:val="22"/>
              </w:rPr>
            </w:pPr>
            <w:r>
              <w:rPr>
                <w:noProof/>
                <w:sz w:val="22"/>
                <w:szCs w:val="22"/>
              </w:rPr>
              <w:t xml:space="preserve"> 0,14 </w:t>
            </w:r>
          </w:p>
        </w:tc>
        <w:tc>
          <w:tcPr>
            <w:tcW w:w="1417" w:type="dxa"/>
            <w:shd w:val="clear" w:color="auto" w:fill="auto"/>
          </w:tcPr>
          <w:p>
            <w:pPr>
              <w:keepNext/>
              <w:spacing w:after="240"/>
              <w:jc w:val="right"/>
              <w:rPr>
                <w:noProof/>
                <w:sz w:val="22"/>
                <w:szCs w:val="22"/>
              </w:rPr>
            </w:pPr>
            <w:r>
              <w:rPr>
                <w:noProof/>
                <w:sz w:val="22"/>
                <w:szCs w:val="22"/>
              </w:rPr>
              <w:t xml:space="preserve"> 34,68 </w:t>
            </w:r>
          </w:p>
        </w:tc>
      </w:tr>
    </w:tbl>
    <w:p>
      <w:pPr>
        <w:spacing w:before="0" w:after="240"/>
        <w:rPr>
          <w:noProof/>
        </w:rPr>
      </w:pPr>
    </w:p>
    <w:p>
      <w:pPr>
        <w:spacing w:before="0" w:after="240"/>
        <w:rPr>
          <w:noProof/>
          <w:u w:val="single"/>
        </w:rPr>
      </w:pPr>
      <w:r>
        <w:rPr>
          <w:noProof/>
          <w:u w:val="single"/>
        </w:rPr>
        <w:t>Fejlemények 2018. december 31-e után (2019. június 30-ig)</w:t>
      </w:r>
    </w:p>
    <w:p>
      <w:pPr>
        <w:spacing w:before="0"/>
        <w:rPr>
          <w:noProof/>
        </w:rPr>
      </w:pPr>
      <w:r>
        <w:rPr>
          <w:noProof/>
        </w:rPr>
        <w:t>2019 februárjában és márciusában összesen 10,6 millió EUR-t fizettek ki két lehívás során Szíria nemteljesítése miatt (3,2 millió EUR-t és 7,4 millió EUR-t, amely összegek magukban foglalják az EBB által kiszabott büntetőkamatokat is).</w:t>
      </w:r>
    </w:p>
    <w:p>
      <w:pPr>
        <w:pStyle w:val="ManualHeading2"/>
        <w:tabs>
          <w:tab w:val="clear" w:pos="850"/>
        </w:tabs>
        <w:ind w:left="567" w:hanging="567"/>
        <w:rPr>
          <w:noProof/>
        </w:rPr>
      </w:pPr>
      <w:bookmarkStart w:id="27" w:name="_Toc21506667"/>
      <w:r>
        <w:rPr>
          <w:noProof/>
        </w:rPr>
        <w:t>5.3.</w:t>
      </w:r>
      <w:r>
        <w:rPr>
          <w:noProof/>
        </w:rPr>
        <w:tab/>
        <w:t>Az alap eszközeinek alakulása</w:t>
      </w:r>
      <w:bookmarkEnd w:id="27"/>
    </w:p>
    <w:p>
      <w:pPr>
        <w:rPr>
          <w:noProof/>
        </w:rPr>
      </w:pPr>
      <w:r>
        <w:rPr>
          <w:noProof/>
        </w:rPr>
        <w:t>A külső fellépésekre vonatkozó garanciaalap létrehozásáról szóló rendelet</w:t>
      </w:r>
      <w:r>
        <w:rPr>
          <w:noProof/>
          <w:vertAlign w:val="superscript"/>
        </w:rPr>
        <w:footnoteReference w:id="42"/>
      </w:r>
      <w:r>
        <w:rPr>
          <w:noProof/>
        </w:rPr>
        <w:t xml:space="preserve"> (a továbbiakban: a garanciaalapról szóló rendelet) szerint a megfelelő szintet (célösszeget) az egyes műveletekből adódó fennálló összes tőkekötelezettség és a felhalmozott kamat 9 %-ában határozták meg. A célösszeg teljesítésének biztosítása érdekében feltöltési mechanizmus működik.</w:t>
      </w:r>
    </w:p>
    <w:p>
      <w:pPr>
        <w:rPr>
          <w:noProof/>
        </w:rPr>
      </w:pPr>
      <w:r>
        <w:rPr>
          <w:noProof/>
        </w:rPr>
        <w:t>A feltöltési mechanizmus alapján az uniós költségvetés 2018 februárjában 137,8 millió EUR-t fizetett az alapnak, míg 2019 februárjában ez a kifizetés 103,2 millió EUR-t tett ki.</w:t>
      </w:r>
    </w:p>
    <w:p>
      <w:pPr>
        <w:rPr>
          <w:noProof/>
        </w:rPr>
      </w:pPr>
      <w:r>
        <w:rPr>
          <w:noProof/>
        </w:rPr>
        <w:t>2018. december 31-én az alap nettó eszközállománya</w:t>
      </w:r>
      <w:r>
        <w:rPr>
          <w:rStyle w:val="Funotenzeichen"/>
          <w:noProof/>
        </w:rPr>
        <w:footnoteReference w:id="43"/>
      </w:r>
      <w:r>
        <w:rPr>
          <w:noProof/>
        </w:rPr>
        <w:t xml:space="preserve"> 2 608,84 millió EUR-t tett ki. Mivel az alap nettó eszközállománya alacsonyabb volt a célösszegnél</w:t>
      </w:r>
      <w:r>
        <w:rPr>
          <w:rStyle w:val="FootnoteReference"/>
          <w:noProof/>
        </w:rPr>
        <w:footnoteReference w:id="44"/>
      </w:r>
      <w:r>
        <w:rPr>
          <w:noProof/>
        </w:rPr>
        <w:t xml:space="preserve"> (2 848,99 millió EUR), a garanciaalapot 2020-ban 240,15 millió EUR-val fogják feltölteni.</w:t>
      </w:r>
    </w:p>
    <w:p>
      <w:pPr>
        <w:autoSpaceDE w:val="0"/>
        <w:autoSpaceDN w:val="0"/>
        <w:adjustRightInd w:val="0"/>
        <w:rPr>
          <w:noProof/>
        </w:rPr>
      </w:pPr>
      <w:r>
        <w:rPr>
          <w:noProof/>
        </w:rPr>
        <w:t>Az EBB külső hitelezési megbízatásának félidős értékelésével egy időben el kell végezni az alap főbb paramétereinek, mindenekelőtt a célösszegnek az értékelését. E célból egy külső szakértő elvégezte a garanciaalap értékelését, melynek során figyelembe vette az alap kockázati profilját és eredményességét az alap által fedezett külső finanszírozás és a kapcsolódó kockázatok alakulásának fényében. A 2016 augusztusában benyújtott jelentés fő megállapítása, hogy a 9 %-os célösszeg a hitelportfólió jelenlegi kockázati profilja alapján változatlanul optimálisnak tekinthető, még akkor is, ha a fő kötelezettek minősítése tovább romlik. Következésképpen a 9 %-os célösszeg változatlan maradt.</w:t>
      </w:r>
    </w:p>
    <w:p>
      <w:pPr>
        <w:pStyle w:val="ManualHeading1"/>
        <w:tabs>
          <w:tab w:val="clear" w:pos="850"/>
          <w:tab w:val="left" w:pos="567"/>
        </w:tabs>
        <w:ind w:left="567" w:hanging="567"/>
        <w:rPr>
          <w:noProof/>
        </w:rPr>
      </w:pPr>
      <w:bookmarkStart w:id="28" w:name="_Toc21506668"/>
      <w:r>
        <w:rPr>
          <w:noProof/>
        </w:rPr>
        <w:t>6.</w:t>
      </w:r>
      <w:r>
        <w:rPr>
          <w:noProof/>
        </w:rPr>
        <w:tab/>
        <w:t>Európai Stratégiai Beruházási Alap (ESBA)</w:t>
      </w:r>
      <w:r>
        <w:rPr>
          <w:rStyle w:val="FootnoteReference"/>
          <w:noProof/>
        </w:rPr>
        <w:t xml:space="preserve"> </w:t>
      </w:r>
      <w:r>
        <w:rPr>
          <w:rStyle w:val="FootnoteReference"/>
          <w:noProof/>
        </w:rPr>
        <w:footnoteReference w:id="45"/>
      </w:r>
      <w:bookmarkEnd w:id="28"/>
    </w:p>
    <w:p>
      <w:pPr>
        <w:rPr>
          <w:noProof/>
        </w:rPr>
      </w:pPr>
      <w:r>
        <w:rPr>
          <w:noProof/>
        </w:rPr>
        <w:t>Az ESBA-garanciaalap feltöltése fokozatosan történik, az uniós garancia által viselt kitettség növekedésének figyelembevételével.</w:t>
      </w:r>
    </w:p>
    <w:p>
      <w:pPr>
        <w:rPr>
          <w:noProof/>
        </w:rPr>
      </w:pPr>
      <w:r>
        <w:rPr>
          <w:noProof/>
        </w:rPr>
        <w:t>Az ESBA-rendelet 12. cikke (4) bekezdésének megfelelően az ESBA-garanciaalap eszközeit közvetlenül a Bizottság kezeli, és – a megfelelő prudenciális szabályok betartásával – a hatékony és eredményes pénzgazdálkodás elvével összhangban fekteti be.</w:t>
      </w:r>
    </w:p>
    <w:p>
      <w:pPr>
        <w:rPr>
          <w:noProof/>
        </w:rPr>
      </w:pPr>
      <w:r>
        <w:rPr>
          <w:noProof/>
        </w:rPr>
        <w:t>Az EBB és az EBA hatáskörébe tartozik az uniós garanciával fedezett egyes műveletek kockázatának értékelése és nyomon követése. A Bizottság e jelentés, továbbá a jövőbeli tevékenységre vonatkozó koherens és prudens feltételezések alapján biztosítja az ESBA-garanciaalap felülvizsgálat tárgyát képező célösszegének és szintjének megfelelőségét. Az ESBA-rendelet 16. cikke (3) bekezdésének megfelelően az EBB és az EBA 2019 márciusában jelentést tett a Bizottságnak és az Európai Számvevőszéknek.</w:t>
      </w:r>
    </w:p>
    <w:p>
      <w:pPr>
        <w:rPr>
          <w:noProof/>
        </w:rPr>
      </w:pPr>
      <w:r>
        <w:rPr>
          <w:noProof/>
        </w:rPr>
        <w:t>Az ESBA-rendelet 16. cikkének (2) bekezdése szerint az EBB által az Európai Parlament és a Tanács részére benyújtandó éves jelentésnek konkrét információkat kell tartalmaznia az ESBA keretében végrehajtott finanszírozási és beruházási műveletekhez kapcsolódó összesített kockázatról, valamint a garancia lehívásáról.</w:t>
      </w:r>
    </w:p>
    <w:p>
      <w:pPr>
        <w:rPr>
          <w:noProof/>
          <w:u w:val="single"/>
        </w:rPr>
      </w:pPr>
      <w:r>
        <w:rPr>
          <w:noProof/>
          <w:u w:val="single"/>
        </w:rPr>
        <w:t>Fejlemények 2018 során</w:t>
      </w:r>
      <w:r>
        <w:rPr>
          <w:rStyle w:val="FootnoteReference"/>
          <w:noProof/>
        </w:rPr>
        <w:footnoteReference w:id="46"/>
      </w:r>
    </w:p>
    <w:p>
      <w:pPr>
        <w:widowControl w:val="0"/>
        <w:autoSpaceDE w:val="0"/>
        <w:autoSpaceDN w:val="0"/>
        <w:adjustRightInd w:val="0"/>
        <w:rPr>
          <w:noProof/>
        </w:rPr>
      </w:pPr>
      <w:r>
        <w:rPr>
          <w:noProof/>
        </w:rPr>
        <w:t xml:space="preserve">2018. december 31-én az Európai Stratégiai Beruházási Alap keretében aláírt – 28 tagállamra kiterjedő – műveletek összességében 53,6 milliárd EUR-t tettek ki, ebből az összegből 39,1 milliárd EUR-t az infrastruktúra és innováció keret (IIW) (407 művelet), 14,5 milliárd EUR-t pedig a kkv-keret (SMEW) (470 művelet) keretében írtak alá. Összességében ez jelentős növekedést mutat 2017-hez képest, amikor az év végén az aláírások összesen 37,4 milliárd EUR-t tettek ki. </w:t>
      </w:r>
    </w:p>
    <w:p>
      <w:pPr>
        <w:widowControl w:val="0"/>
        <w:autoSpaceDE w:val="0"/>
        <w:autoSpaceDN w:val="0"/>
        <w:adjustRightInd w:val="0"/>
        <w:rPr>
          <w:noProof/>
        </w:rPr>
      </w:pPr>
      <w:r>
        <w:rPr>
          <w:noProof/>
        </w:rPr>
        <w:t xml:space="preserve">2018. december 31-én az uniós garanciával fedezett, kintlévő folyósított kitettségek összege közel 15,8 milliárd EUR volt, ami emelkedést jelent a 2017. évi 10,1 milliárd EUR-hoz képest. </w:t>
      </w:r>
    </w:p>
    <w:p>
      <w:pPr>
        <w:widowControl w:val="0"/>
        <w:autoSpaceDE w:val="0"/>
        <w:autoSpaceDN w:val="0"/>
        <w:adjustRightInd w:val="0"/>
        <w:rPr>
          <w:noProof/>
        </w:rPr>
      </w:pPr>
      <w:r>
        <w:rPr>
          <w:noProof/>
        </w:rPr>
        <w:t>Az uniós költségvetés uniós garanciával fedezett lehetséges jövőbeli kifizetésekből származó kitettsége az aláírt (folyósított és nem folyósított) műveletek tekintetében 19,8 milliárd EUR-t tett ki.</w:t>
      </w:r>
    </w:p>
    <w:p>
      <w:pPr>
        <w:widowControl w:val="0"/>
        <w:autoSpaceDE w:val="0"/>
        <w:autoSpaceDN w:val="0"/>
        <w:adjustRightInd w:val="0"/>
        <w:rPr>
          <w:noProof/>
        </w:rPr>
      </w:pPr>
      <w:r>
        <w:rPr>
          <w:noProof/>
        </w:rPr>
        <w:t>2018. december 31-én az Uniónak az EBB csoport ESBA-műveletei keretében folyósított kintlévő összegekhez kapcsolódó garanciából eredő kitettsége 15,8 milliárd EUR-t tett ki az uniós garancianyújtásra jogi kötelezettségvállalás</w:t>
      </w:r>
      <w:r>
        <w:rPr>
          <w:noProof/>
          <w:vertAlign w:val="superscript"/>
        </w:rPr>
        <w:footnoteReference w:id="47"/>
      </w:r>
      <w:r>
        <w:rPr>
          <w:noProof/>
        </w:rPr>
        <w:t xml:space="preserve"> alapján rendelkezésre álló nettó 25,9 milliárd EUR-hoz viszonyítva. Az Európai Unió 2018. évi pénzügyi kimutatásához kapcsolódó megjegyzésekben a 15,8 milliárd EUR függő kötelezettségként jelenik meg.</w:t>
      </w:r>
    </w:p>
    <w:p>
      <w:pPr>
        <w:widowControl w:val="0"/>
        <w:autoSpaceDE w:val="0"/>
        <w:autoSpaceDN w:val="0"/>
        <w:adjustRightInd w:val="0"/>
        <w:rPr>
          <w:noProof/>
        </w:rPr>
      </w:pPr>
      <w:r>
        <w:rPr>
          <w:noProof/>
        </w:rPr>
        <w:t>Az infrastruktúra és innováció keretből (IIW) az uniós garanciával fedezett kintlévő folyósított kitettségek összege 14,8 milliárd EUR volt, ebből a hitelműveletek 14,2 milliárd EUR-t, a kvázisajáttőke-műveletek pedig 600 millió EUR-t jelentettek.</w:t>
      </w:r>
    </w:p>
    <w:p>
      <w:pPr>
        <w:widowControl w:val="0"/>
        <w:autoSpaceDE w:val="0"/>
        <w:autoSpaceDN w:val="0"/>
        <w:adjustRightInd w:val="0"/>
        <w:rPr>
          <w:noProof/>
        </w:rPr>
      </w:pPr>
      <w:r>
        <w:rPr>
          <w:noProof/>
        </w:rPr>
        <w:t>2018-ban az EBB által az infrastruktúra és innováció keretből (IIW) kezelt ESBA-műveletek az EU számára 112,7 millió EUR összegű nettó bevételt eredményeztek. Ebből az összegből a 2018. december 31-i állapot szerint a Bizottság EBB-vel szembeni nettó követelése az Európai Unió 2018. évi pénzügyi kimutatásában 38,9 millió EUR</w:t>
      </w:r>
      <w:r>
        <w:rPr>
          <w:noProof/>
          <w:vertAlign w:val="superscript"/>
        </w:rPr>
        <w:footnoteReference w:id="48"/>
      </w:r>
      <w:r>
        <w:rPr>
          <w:noProof/>
        </w:rPr>
        <w:t xml:space="preserve"> volt. </w:t>
      </w:r>
    </w:p>
    <w:p>
      <w:pPr>
        <w:widowControl w:val="0"/>
        <w:autoSpaceDE w:val="0"/>
        <w:autoSpaceDN w:val="0"/>
        <w:adjustRightInd w:val="0"/>
        <w:rPr>
          <w:noProof/>
        </w:rPr>
      </w:pPr>
      <w:r>
        <w:rPr>
          <w:noProof/>
        </w:rPr>
        <w:t>2018. december 31-én a kkv-kerethez (SMEW) kapcsolódó, uniós garanciával fedezett kintlévő kitettség összesen 995 millió EUR volt, ebből 880 millió EUR garanciaműveletet, 115 millió EUR pedig sajáttőke-műveletet jelentett.</w:t>
      </w:r>
    </w:p>
    <w:p>
      <w:pPr>
        <w:widowControl w:val="0"/>
        <w:autoSpaceDE w:val="0"/>
        <w:autoSpaceDN w:val="0"/>
        <w:adjustRightInd w:val="0"/>
        <w:rPr>
          <w:rFonts w:eastAsia="Calibri"/>
          <w:noProof/>
        </w:rPr>
      </w:pPr>
      <w:r>
        <w:rPr>
          <w:noProof/>
        </w:rPr>
        <w:t>A kkv-keretből (SMEW) kezelt ESBA-műveletekkel összefüggésben az EU-t 2018-ban 30,3 millió EUR összegű költség terhelte. Ebből az EU 2018. évi pénzügyi kimutatásában szereplő 21,9 millió EUR összegű igazgatási díj 2019. június 30-án vagy azt követően fizetendő az EBA számára.</w:t>
      </w:r>
    </w:p>
    <w:p>
      <w:pPr>
        <w:widowControl w:val="0"/>
        <w:autoSpaceDE w:val="0"/>
        <w:autoSpaceDN w:val="0"/>
        <w:adjustRightInd w:val="0"/>
        <w:rPr>
          <w:noProof/>
        </w:rPr>
      </w:pPr>
      <w:r>
        <w:rPr>
          <w:noProof/>
        </w:rPr>
        <w:t>Az ESBA-garanciaalap</w:t>
      </w:r>
      <w:r>
        <w:rPr>
          <w:noProof/>
          <w:sz w:val="20"/>
          <w:szCs w:val="20"/>
          <w:vertAlign w:val="superscript"/>
        </w:rPr>
        <w:footnoteReference w:id="49"/>
      </w:r>
      <w:r>
        <w:rPr>
          <w:noProof/>
        </w:rPr>
        <w:t xml:space="preserve"> teljes eszközállománya 2018. december 31-én 5 452 millió EUR-t tett ki. Az eszközök a következőket foglalták magukban: az értékesíthetőként besorolt befektetési célú értékpapír-portfólió (5 000 millió EUR), az eredménnyel szemben valós értéken értékelt pénzügyi eszközként besorolt, pozitív nettó jelenértékű határidős USD-eladási ügylet (2 millió EUR), valamint pénzeszközök és pénzeszköz-egyenértékesek (450 millió EUR).</w:t>
      </w:r>
    </w:p>
    <w:p>
      <w:pPr>
        <w:rPr>
          <w:noProof/>
          <w:u w:val="single"/>
        </w:rPr>
      </w:pPr>
      <w:r>
        <w:rPr>
          <w:noProof/>
          <w:u w:val="single"/>
        </w:rPr>
        <w:t xml:space="preserve">Az ESBA-garanciaalap feltöltése </w:t>
      </w:r>
    </w:p>
    <w:p>
      <w:pPr>
        <w:widowControl w:val="0"/>
        <w:autoSpaceDE w:val="0"/>
        <w:autoSpaceDN w:val="0"/>
        <w:adjustRightInd w:val="0"/>
        <w:rPr>
          <w:noProof/>
          <w:szCs w:val="20"/>
        </w:rPr>
      </w:pPr>
      <w:r>
        <w:rPr>
          <w:noProof/>
        </w:rPr>
        <w:t xml:space="preserve">Az ESBA-garanciaalap feltöltésére 2018-ban összesen 2 069 millió EUR költségvetési előirányzat került lekötésre. Ebből az összegből a C(2018)307 bizottsági határozatnak megfelelően 1 905 millió EUR összegű költségvetési előirányzatot kötöttek le. A „Pénzügyi intervenciókra képzett tartalékok” költségvetési sorból további 105 millió EUR összegű kötelezettségvállalási előirányzatot bocsátottak rendelkezésre. Végül 59 millió EUR címzett bevételként került lekötésre. </w:t>
      </w:r>
    </w:p>
    <w:p>
      <w:pPr>
        <w:widowControl w:val="0"/>
        <w:autoSpaceDE w:val="0"/>
        <w:autoSpaceDN w:val="0"/>
        <w:adjustRightInd w:val="0"/>
        <w:rPr>
          <w:noProof/>
          <w:szCs w:val="20"/>
        </w:rPr>
      </w:pPr>
      <w:r>
        <w:rPr>
          <w:noProof/>
        </w:rPr>
        <w:t>Az év során összesen 2 014 millió EUR tényleges kifizetésére került sor az ESBA-garanciaalap részére. Ez nagyrészt az EU általános költségvetésének kifizetési előirányzataiból származott, míg 59 millió EUR címzett bevételként behajtásra került (53,4 millió EUR-t az ESBA-bevételekből, 5,6 millió EUR-t pedig a Marguerite Alap bevételeiből), 154,9 millió EUR-t pedig kiegészítő kifizetési előirányzatként a költségvetési év végén csoportosítottak át.</w:t>
      </w:r>
    </w:p>
    <w:p>
      <w:pPr>
        <w:rPr>
          <w:noProof/>
          <w:u w:val="single"/>
        </w:rPr>
      </w:pPr>
      <w:r>
        <w:rPr>
          <w:noProof/>
          <w:u w:val="single"/>
        </w:rPr>
        <w:t>Az uniós garancia lehívása és felhasználása</w:t>
      </w:r>
    </w:p>
    <w:p>
      <w:pPr>
        <w:rPr>
          <w:noProof/>
        </w:rPr>
      </w:pPr>
      <w:r>
        <w:rPr>
          <w:noProof/>
        </w:rPr>
        <w:t>Az ESBA-megállapodás 8. cikke (1) bekezdésének a) pontjával összhangban az uniós garanciából 97,1 millió EUR került lehívásra az infrastruktúra és innováció keretből végrehajtott, nemteljesítő művelethez kapcsolódóan. Az ESBA-megállapodás 11. cikkének megfelelően az EBB először 18,6 millió EUR-t hajtott be, ezzel a fizetendő összeg 78,5 millió EUR-ra csökkent. A lehívott összeget az ESBA-számláról (17,7 millió EUR) és az ESBA-garanciaalapból (60,8 millió EUR) fedezték. Ezt követően 1,6 millió EUR behajtására került sor. Az említett nemteljesítő művelettel kapcsolatban az EBB 1,0 millió EUR-t hívott le a behajtási költségekre és 0,6 millió EUR-t a visszatéríthető igazgatási díjakra.</w:t>
      </w:r>
    </w:p>
    <w:p>
      <w:pPr>
        <w:widowControl w:val="0"/>
        <w:autoSpaceDE w:val="0"/>
        <w:autoSpaceDN w:val="0"/>
        <w:adjustRightInd w:val="0"/>
        <w:rPr>
          <w:noProof/>
          <w:szCs w:val="20"/>
        </w:rPr>
      </w:pPr>
      <w:r>
        <w:rPr>
          <w:noProof/>
        </w:rPr>
        <w:t>2018-ban 0,6 millió EUR került kifizetésre az EBB-nek finanszírozási költségekre</w:t>
      </w:r>
      <w:r>
        <w:rPr>
          <w:noProof/>
          <w:vertAlign w:val="superscript"/>
        </w:rPr>
        <w:footnoteReference w:id="50"/>
      </w:r>
      <w:r>
        <w:rPr>
          <w:noProof/>
        </w:rPr>
        <w:t xml:space="preserve"> és 10,7 millió EUR értékhelyesbítésekre</w:t>
      </w:r>
      <w:r>
        <w:rPr>
          <w:noProof/>
          <w:vertAlign w:val="superscript"/>
        </w:rPr>
        <w:footnoteReference w:id="51"/>
      </w:r>
      <w:r>
        <w:rPr>
          <w:noProof/>
        </w:rPr>
        <w:t>.</w:t>
      </w:r>
    </w:p>
    <w:p>
      <w:pPr>
        <w:rPr>
          <w:noProof/>
        </w:rPr>
      </w:pPr>
      <w:r>
        <w:rPr>
          <w:noProof/>
        </w:rPr>
        <w:t>Az ESBA-garanciaalap kezeléséről további információk olvashatók a Bizottság által az Európai Parlamentnek, a Tanácsnak és az Európai Számvevőszéknek előterjesztett, az Európai Stratégiai Beruházási Alap garanciaalapjának kezeléséről szóló legfrissebb jelentésben</w:t>
      </w:r>
      <w:r>
        <w:rPr>
          <w:rStyle w:val="FootnoteReference"/>
          <w:noProof/>
        </w:rPr>
        <w:footnoteReference w:id="52"/>
      </w:r>
      <w:r>
        <w:rPr>
          <w:noProof/>
        </w:rPr>
        <w:t xml:space="preserve"> és a kapcsolódó bizottsági szolgálati munkadokumentumban (SWD).</w:t>
      </w:r>
    </w:p>
    <w:p>
      <w:pPr>
        <w:pStyle w:val="ManualHeading1"/>
        <w:tabs>
          <w:tab w:val="clear" w:pos="850"/>
          <w:tab w:val="left" w:pos="567"/>
        </w:tabs>
        <w:ind w:left="567" w:hanging="567"/>
        <w:rPr>
          <w:noProof/>
        </w:rPr>
      </w:pPr>
      <w:bookmarkStart w:id="29" w:name="_Toc21506669"/>
      <w:r>
        <w:rPr>
          <w:noProof/>
        </w:rPr>
        <w:t>7.</w:t>
      </w:r>
      <w:r>
        <w:rPr>
          <w:noProof/>
        </w:rPr>
        <w:tab/>
        <w:t>Európai Fenntartható Fejlődési Alap (EFFA)</w:t>
      </w:r>
      <w:bookmarkEnd w:id="29"/>
      <w:r>
        <w:rPr>
          <w:noProof/>
          <w:vertAlign w:val="superscript"/>
        </w:rPr>
        <w:t xml:space="preserve"> </w:t>
      </w:r>
    </w:p>
    <w:p>
      <w:pPr>
        <w:rPr>
          <w:noProof/>
        </w:rPr>
      </w:pPr>
      <w:r>
        <w:rPr>
          <w:noProof/>
        </w:rPr>
        <w:t xml:space="preserve">Az Európai Bizottság 2016. szeptember 14-én külső beruházási tervet javasolt, hogy ösztönözze az EU afrikai partnerországaiba és az EU szomszédságában található partnerországokba irányuló beruházásokat, megerősítse a partnerségeket és hozzájáruljon a fenntartható fejlesztési célok eléréséhez, elősegítve a migráció egyes kiváltó okainak kezelését. </w:t>
      </w:r>
    </w:p>
    <w:p>
      <w:pPr>
        <w:rPr>
          <w:noProof/>
        </w:rPr>
      </w:pPr>
      <w:r>
        <w:rPr>
          <w:noProof/>
        </w:rPr>
        <w:t>A külső beruházási terv része az új Európai Fenntartható Fejlődési Alap (EFFA), amely az állami pénzügyi intézmények és a magánszektor beruházásainak támogatására irányuló integrált finanszírozási mechanizmus. Az EFFA számos végrehajtó partner előtt nyitva áll, így az egyébként lehetségesnél sokkal több állami és magánberuházást képes mozgósítani. Az EFFA a következőkből áll:</w:t>
      </w:r>
    </w:p>
    <w:p>
      <w:pPr>
        <w:numPr>
          <w:ilvl w:val="0"/>
          <w:numId w:val="44"/>
        </w:numPr>
        <w:rPr>
          <w:noProof/>
        </w:rPr>
      </w:pPr>
      <w:r>
        <w:rPr>
          <w:noProof/>
        </w:rPr>
        <w:t>költségvetési garancia és</w:t>
      </w:r>
    </w:p>
    <w:p>
      <w:pPr>
        <w:numPr>
          <w:ilvl w:val="0"/>
          <w:numId w:val="44"/>
        </w:numPr>
        <w:rPr>
          <w:noProof/>
        </w:rPr>
      </w:pPr>
      <w:r>
        <w:rPr>
          <w:noProof/>
        </w:rPr>
        <w:t>vegyes finanszírozási eszközök.</w:t>
      </w:r>
    </w:p>
    <w:p>
      <w:pPr>
        <w:rPr>
          <w:noProof/>
        </w:rPr>
      </w:pPr>
      <w:r>
        <w:rPr>
          <w:noProof/>
        </w:rPr>
        <w:t>Az EFFA-rendelet 2017. szeptember 26-án lépett hatályba.</w:t>
      </w:r>
      <w:r>
        <w:rPr>
          <w:noProof/>
          <w:vertAlign w:val="superscript"/>
        </w:rPr>
        <w:t xml:space="preserve"> </w:t>
      </w:r>
      <w:r>
        <w:rPr>
          <w:noProof/>
          <w:vertAlign w:val="superscript"/>
        </w:rPr>
        <w:footnoteReference w:id="53"/>
      </w:r>
    </w:p>
    <w:p>
      <w:pPr>
        <w:rPr>
          <w:noProof/>
        </w:rPr>
      </w:pPr>
    </w:p>
    <w:p>
      <w:pPr>
        <w:pStyle w:val="ManualHeading2"/>
        <w:tabs>
          <w:tab w:val="clear" w:pos="850"/>
        </w:tabs>
        <w:ind w:left="567" w:hanging="567"/>
        <w:rPr>
          <w:noProof/>
        </w:rPr>
      </w:pPr>
      <w:bookmarkStart w:id="30" w:name="_Toc21506670"/>
      <w:r>
        <w:rPr>
          <w:noProof/>
        </w:rPr>
        <w:t>7.1.</w:t>
      </w:r>
      <w:r>
        <w:rPr>
          <w:noProof/>
        </w:rPr>
        <w:tab/>
        <w:t>Az EFFA-garanciáról</w:t>
      </w:r>
      <w:bookmarkEnd w:id="30"/>
    </w:p>
    <w:p>
      <w:pPr>
        <w:rPr>
          <w:noProof/>
        </w:rPr>
      </w:pPr>
      <w:r>
        <w:rPr>
          <w:noProof/>
        </w:rPr>
        <w:t xml:space="preserve">Az EFFA-garanciát a partnerországokban a fenntartható fejlődéssel kapcsolatos beruházási kockázatok csökkentésére fogják felhasználni, ezáltal segítve a – különösen magánforrásokból történő – beruházások mobilizálását. </w:t>
      </w:r>
    </w:p>
    <w:p>
      <w:pPr>
        <w:rPr>
          <w:noProof/>
        </w:rPr>
      </w:pPr>
      <w:r>
        <w:rPr>
          <w:noProof/>
        </w:rPr>
        <w:t>A garancia 1,54 milliárd EUR értékű magánberuházást hivatott mozgósítani. Ezt az összeget 28 javasolt beruházási programra allokálták, amelyek várhatóan akár 17,5 milliárd EUR összegű (főként magánforrásokból származó) fenntartható beruházást mozgósítanak a partnerországokban. A garancia:</w:t>
      </w:r>
    </w:p>
    <w:p>
      <w:pPr>
        <w:numPr>
          <w:ilvl w:val="0"/>
          <w:numId w:val="43"/>
        </w:numPr>
        <w:rPr>
          <w:noProof/>
        </w:rPr>
      </w:pPr>
      <w:r>
        <w:rPr>
          <w:noProof/>
        </w:rPr>
        <w:t>a projekt helyszíni elindításához szükséges indulótőke („saját tőke” vagy „kockázati tőke”) egy részére finanszírozást vonz be,</w:t>
      </w:r>
    </w:p>
    <w:p>
      <w:pPr>
        <w:numPr>
          <w:ilvl w:val="0"/>
          <w:numId w:val="43"/>
        </w:numPr>
        <w:rPr>
          <w:noProof/>
        </w:rPr>
      </w:pPr>
      <w:r>
        <w:rPr>
          <w:noProof/>
        </w:rPr>
        <w:t>biztosítékként (garanciaként) szolgál a hitel egy részének visszafizetésére, amennyiben a hitelfelvevőnél veszteségek merülnek fel és nem tudja visszafizetni a hitelt.</w:t>
      </w:r>
    </w:p>
    <w:p>
      <w:pPr>
        <w:rPr>
          <w:noProof/>
          <w:u w:val="single"/>
        </w:rPr>
      </w:pPr>
      <w:r>
        <w:rPr>
          <w:noProof/>
          <w:u w:val="single"/>
        </w:rPr>
        <w:t>Beruházási programok</w:t>
      </w:r>
    </w:p>
    <w:p>
      <w:pPr>
        <w:rPr>
          <w:noProof/>
        </w:rPr>
      </w:pPr>
      <w:r>
        <w:rPr>
          <w:noProof/>
        </w:rPr>
        <w:t>2018 áprilisáig számos partner pénzügyi vállalkozás több mint 40 beruházási programra tett javaslatot 3,5 milliárd EUR-t meghaladóan, amelyet az EFFA-garancia fedez, öt kiemelt beruházási területen (beruházási keret): a) fenntartható energia és konnektivitás; b) a mikro-, kis- és középvállalkozások (mkkv-k) finanszírozása; c) fenntartható mezőgazdaság, vidéki vállalkozók és agráripar; d) fenntartható városok és e) digitalizálva fejlesztés.</w:t>
      </w:r>
    </w:p>
    <w:p>
      <w:pPr>
        <w:rPr>
          <w:noProof/>
        </w:rPr>
      </w:pPr>
      <w:r>
        <w:rPr>
          <w:noProof/>
        </w:rPr>
        <w:t xml:space="preserve">A pénzügyi vállalkozások javaslatai alapján 2018 júniusában és novemberében az EU végül 1,54 milliárd EUR-t különített el 28 garanciára. </w:t>
      </w:r>
    </w:p>
    <w:p>
      <w:pPr>
        <w:rPr>
          <w:noProof/>
          <w:u w:val="single"/>
        </w:rPr>
      </w:pPr>
    </w:p>
    <w:p>
      <w:pPr>
        <w:rPr>
          <w:noProof/>
          <w:u w:val="single"/>
        </w:rPr>
      </w:pPr>
      <w:r>
        <w:rPr>
          <w:noProof/>
          <w:u w:val="single"/>
        </w:rPr>
        <w:t>NASIRA</w:t>
      </w:r>
    </w:p>
    <w:p>
      <w:pPr>
        <w:rPr>
          <w:noProof/>
        </w:rPr>
      </w:pPr>
      <w:r>
        <w:rPr>
          <w:noProof/>
        </w:rPr>
        <w:t xml:space="preserve">Az első EFFA-garanciamegállapodást 2018. december 18-án írták alá az AAA besorolású FMO holland fejlesztési bankkal a NASIRA kockázatmegosztási finanszírozási mechanizmusról. </w:t>
      </w:r>
    </w:p>
    <w:p>
      <w:pPr>
        <w:rPr>
          <w:noProof/>
        </w:rPr>
      </w:pPr>
      <w:r>
        <w:rPr>
          <w:noProof/>
        </w:rPr>
        <w:t xml:space="preserve">Az FMO várakozásai szerint a NASIRA 800 000 munkahelyet fog létrehozni és támogatni, valamint a kis- és középvállalkozások (kkv-k), a belső menekültek, a menekültek, a visszatelepülők, a nők és a fiatalok javát fogja szolgálni. </w:t>
      </w:r>
    </w:p>
    <w:p>
      <w:pPr>
        <w:rPr>
          <w:noProof/>
        </w:rPr>
      </w:pPr>
      <w:r>
        <w:rPr>
          <w:noProof/>
        </w:rPr>
        <w:t>A többi partner pénzügyi vállalkozással több párhuzamos tárgyalás kezdődött meg, amelyek jelentős része 2019 vége előtt várhatóan lezárul.</w:t>
      </w:r>
    </w:p>
    <w:p>
      <w:pPr>
        <w:pStyle w:val="ManualHeading2"/>
        <w:tabs>
          <w:tab w:val="clear" w:pos="850"/>
        </w:tabs>
        <w:spacing w:before="240"/>
        <w:ind w:left="567" w:hanging="567"/>
        <w:rPr>
          <w:noProof/>
        </w:rPr>
      </w:pPr>
      <w:bookmarkStart w:id="31" w:name="_Toc21506671"/>
      <w:r>
        <w:rPr>
          <w:noProof/>
        </w:rPr>
        <w:t>7.2.</w:t>
      </w:r>
      <w:r>
        <w:rPr>
          <w:noProof/>
        </w:rPr>
        <w:tab/>
        <w:t>Az EFFA-garanciaalap</w:t>
      </w:r>
      <w:bookmarkEnd w:id="31"/>
    </w:p>
    <w:p>
      <w:pPr>
        <w:rPr>
          <w:noProof/>
        </w:rPr>
      </w:pPr>
      <w:r>
        <w:rPr>
          <w:noProof/>
        </w:rPr>
        <w:t xml:space="preserve">Az (EU) 2017/1601 rendelet III. fejezetével összhangban az EFFA-garanciaalap likviditási tartalékot képez, amelyből az EFFA-garancia lehívása esetén a támogatható partnerekkel kötött EFFA-garanciamegállapodásnak és a vonatkozó rendelkezéseknek megfelelően a támogatható partner részére fizetést kell teljesíteni. </w:t>
      </w:r>
    </w:p>
    <w:p>
      <w:pPr>
        <w:rPr>
          <w:noProof/>
        </w:rPr>
      </w:pPr>
      <w:r>
        <w:rPr>
          <w:noProof/>
        </w:rPr>
        <w:t>Az EFFA-garanciaalap forrásait a Bizottság közvetlenül kezeli és azokat a hatékony és eredményes pénzgazdálkodás elvével összhangban, a megfelelő prudenciális szabályokat követve ruházza be.</w:t>
      </w:r>
    </w:p>
    <w:p>
      <w:pPr>
        <w:rPr>
          <w:noProof/>
        </w:rPr>
      </w:pPr>
      <w:r>
        <w:rPr>
          <w:noProof/>
        </w:rPr>
        <w:t>Az EFFA-garanciaalap számára biztosított források az (EU) 2017/1601 rendelet 14. cikkével összhangban a következők: az Unió általános költségvetéséből és az Európai Fejlesztési Alapból nyújtott hozzájárulások, a tagállamok és az egyéb hozzájárulók önkéntes hozzájárulásai, valamint egyéb források.</w:t>
      </w:r>
    </w:p>
    <w:p>
      <w:pPr>
        <w:rPr>
          <w:noProof/>
        </w:rPr>
      </w:pPr>
      <w:r>
        <w:rPr>
          <w:noProof/>
        </w:rPr>
        <w:t>A tartalékolási ráta az Unió általános költségvetéséből fedezett összes EFFA-garanciakötelezettség 50 %-ának felel meg.</w:t>
      </w:r>
    </w:p>
    <w:sectPr>
      <w:headerReference w:type="even" r:id="rId24"/>
      <w:headerReference w:type="default" r:id="rId25"/>
      <w:footerReference w:type="even" r:id="rId26"/>
      <w:footerReference w:type="default" r:id="rId27"/>
      <w:headerReference w:type="first" r:id="rId28"/>
      <w:footerReference w:type="first" r:id="rId29"/>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_GOPA TheSerif Light">
    <w:altName w:val="Times New Roman"/>
    <w:charset w:val="00"/>
    <w:family w:val="roman"/>
    <w:pitch w:val="variable"/>
    <w:sig w:usb0="8000006F" w:usb1="5000204A"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fldChar w:fldCharType="end"/>
    </w:r>
  </w:p>
  <w:p>
    <w:pPr>
      <w:tabs>
        <w:tab w:val="left" w:pos="507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noProof/>
      </w:rPr>
    </w:pPr>
    <w:r>
      <w:fldChar w:fldCharType="begin"/>
    </w:r>
    <w:r>
      <w:instrText xml:space="preserve"> PAGE   \* MERGEFORMAT </w:instrText>
    </w:r>
    <w:r>
      <w:fldChar w:fldCharType="separate"/>
    </w:r>
    <w:r>
      <w:rPr>
        <w:noProof/>
      </w:rPr>
      <w:t>25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ind w:left="480" w:hanging="480"/>
      </w:pPr>
      <w:r>
        <w:rPr>
          <w:rStyle w:val="FootnoteReference"/>
        </w:rPr>
        <w:footnoteRef/>
      </w:r>
      <w:r>
        <w:tab/>
        <w:t>Az Európai Parlament és a Tanács 966/2012/EU, Euratom rendelete (2012. október 25.) az Unió általános költségvetésére alkalmazandó pénzügyi szabályokról és az 1605/2002/EK, Euratom tanácsi rendelet hatályon kívül helyezéséről (HL L 298., 2012.10.26., 1. o.).</w:t>
      </w:r>
    </w:p>
  </w:footnote>
  <w:footnote w:id="3">
    <w:p>
      <w:pPr>
        <w:pStyle w:val="FootnoteText"/>
        <w:ind w:left="480" w:hanging="480"/>
      </w:pPr>
      <w:r>
        <w:rPr>
          <w:rStyle w:val="FootnoteReference"/>
        </w:rPr>
        <w:footnoteRef/>
      </w:r>
      <w:r>
        <w:tab/>
        <w:t>A későbbiekben az (EU) 2018/409 rendelettel (HL L 76., 2018.3.19., 1. o.) módosított 480/2009/EK, Euratom tanácsi rendelettel (HL L 145., 2009.6.10., 10. o.) módosított, a külső fellépésekre vonatkozó garanciaalap létrehozásáról szóló, 1994. október 31-i 2728/94/EK, Euratom tanácsi rendelet (HL L 293., 1994.11.12., 1. o.), a továbbiakban: a garanciaalapról szóló rendelet.</w:t>
      </w:r>
    </w:p>
  </w:footnote>
  <w:footnote w:id="4">
    <w:p>
      <w:pPr>
        <w:pStyle w:val="FootnoteText"/>
        <w:ind w:left="480" w:hanging="480"/>
      </w:pPr>
      <w:r>
        <w:rPr>
          <w:rStyle w:val="FootnoteReference"/>
        </w:rPr>
        <w:footnoteRef/>
      </w:r>
      <w:r>
        <w:tab/>
        <w:t>Az Európai Parlament és a Tanács (EU) 2015/1017 rendelete (2015. június 25.) az Európai Stratégiai Beruházási Alapról, az Európai Beruházási Tanácsadó Platformról és a Beruházási Projektek Európai Portáljáról, valamint az 1291/2013/EU és az 1316/2013/EU rendelet módosításáról – az Európai Stratégiai Beruházási Alap (a továbbiakban: az ESBA-rendelet) (HL L 169., 2015.7.1., 1. o.). Az ESBA-rendeletet az Európai Stratégiai Beruházási Alap időbeli hatályának meghosszabbítására, továbbá az említett alapot és az Európai Beruházási Tanácsadó Platformot érintő technikai javítások bevezetésére vonatkozó 2017. december 13-i (EU) 2017/2396 európai parlamenti és tanácsi rendelet (a továbbiakban: az ESBA 2.0 módosítás, HL L 345., 2017.12.27., 34. o.) módosította. Az ESBA 2.0 módosítás többek között növelte az uniós garancia összegét, továbbá módosította a garanciaalap célösszegét. Az Európai Stratégiai Beruházási Alap (ESBA) irányítására és az uniós garancia biztosítására vonatkozó megállapodást (a továbbiakban: az ESBA-megállapodás) az Európai Bizottság és az Európai Beruházási Bank (EBB) 2015. július 22-én írta alá; a megállapodást 2016. július 21-én, 2017. november 21-én, 2018. március 9-én és 2018 decemberében módosították és újraszövegezték.</w:t>
      </w:r>
    </w:p>
  </w:footnote>
  <w:footnote w:id="5">
    <w:p>
      <w:pPr>
        <w:pStyle w:val="FootnoteText"/>
        <w:ind w:left="480" w:hanging="480"/>
      </w:pPr>
      <w:r>
        <w:rPr>
          <w:rStyle w:val="FootnoteReference"/>
        </w:rPr>
        <w:footnoteRef/>
      </w:r>
      <w:r>
        <w:tab/>
        <w:t>A makroszintű pénzügyi támogatás harmadik országoknak nyújtott vissza nem térítendő támogatás is lehet (ez utóbbira e jelentés nem tér ki). A jogalapok hivatkozási jegyzéke a bizottsági szolgálati munkadokumentum A2B. táblázatának mellékletében található.</w:t>
      </w:r>
    </w:p>
  </w:footnote>
  <w:footnote w:id="6">
    <w:p>
      <w:pPr>
        <w:pStyle w:val="FootnoteText"/>
        <w:ind w:left="480" w:hanging="480"/>
      </w:pPr>
      <w:r>
        <w:rPr>
          <w:rStyle w:val="FootnoteReference"/>
        </w:rPr>
        <w:footnoteRef/>
      </w:r>
      <w:r>
        <w:tab/>
        <w:t>A Tanács 332/2002/EK rendelete (2002. február 18.) a tagállamok fizetési mérlegéhez középtávú pénzügyi támogatási mechanizmus létrehozásáról (HL L 53., 2002.2.23., 1. o.).</w:t>
      </w:r>
    </w:p>
  </w:footnote>
  <w:footnote w:id="7">
    <w:p>
      <w:pPr>
        <w:pStyle w:val="FootnoteText"/>
        <w:ind w:left="480" w:hanging="480"/>
      </w:pPr>
      <w:r>
        <w:rPr>
          <w:rStyle w:val="FootnoteReference"/>
        </w:rPr>
        <w:footnoteRef/>
      </w:r>
      <w:r>
        <w:tab/>
        <w:t xml:space="preserve">A Tanács 407/2010/EU rendelete (2010. május 11.) az európai pénzügyi stabilizációs mechanizmus létrehozásáról (HL L 118., 2010.5.12., 1. o.). </w:t>
      </w:r>
    </w:p>
  </w:footnote>
  <w:footnote w:id="8">
    <w:p>
      <w:pPr>
        <w:pStyle w:val="FootnoteText"/>
        <w:ind w:left="480" w:hanging="480"/>
      </w:pPr>
      <w:r>
        <w:rPr>
          <w:rStyle w:val="FootnoteReference"/>
          <w:sz w:val="22"/>
        </w:rPr>
        <w:footnoteRef/>
      </w:r>
      <w:r>
        <w:tab/>
        <w:t>Az Európai Atomenergia-közösséget (Euratom) létrehozó 1957. március 25-i módosított és kiegészített szerződés.</w:t>
      </w:r>
    </w:p>
  </w:footnote>
  <w:footnote w:id="9">
    <w:p>
      <w:pPr>
        <w:pStyle w:val="FootnoteText"/>
        <w:ind w:left="480" w:hanging="480"/>
      </w:pPr>
      <w:r>
        <w:rPr>
          <w:rStyle w:val="FootnoteReference"/>
        </w:rPr>
        <w:footnoteRef/>
      </w:r>
      <w:r>
        <w:tab/>
        <w:t>Tagállamok esetében: Az atomerőművek finanszírozásához való hozzájárulás céljából nyújtott Euratom-kölcsönökre vonatkozó szerződéskötésnek a Bizottság részére történő engedélyezéséről szóló, 1977. március 29-i módosított és kiegészített 77/270/Euratom tanácsi határozat (HL L 88., 1977. április 6., 9. o.).</w:t>
      </w:r>
    </w:p>
  </w:footnote>
  <w:footnote w:id="10">
    <w:p>
      <w:pPr>
        <w:pStyle w:val="FootnoteText"/>
        <w:ind w:left="480" w:hanging="480"/>
      </w:pPr>
      <w:r>
        <w:rPr>
          <w:rStyle w:val="FootnoteReference"/>
        </w:rPr>
        <w:footnoteRef/>
      </w:r>
      <w:r>
        <w:tab/>
        <w:t>Egyes nem uniós tagállamokra vonatkozóan: A Tanács 94/179/Euratom határozata (1994. március 21.) egyes harmadik országok atomerőműveinek biztonsága és hatékonysága javításának finanszírozásához való hozzájárulás céljából a Bizottság Euratom-kölcsönszerződések megkötésére való felhatalmazása érdekében a 77/270/Euratom határozat módosításáról (HL L 84., 1994.3.29.).</w:t>
      </w:r>
    </w:p>
  </w:footnote>
  <w:footnote w:id="11">
    <w:p>
      <w:pPr>
        <w:pStyle w:val="FootnoteText"/>
        <w:ind w:left="480" w:hanging="480"/>
      </w:pPr>
      <w:r>
        <w:rPr>
          <w:rStyle w:val="FootnoteReference"/>
        </w:rPr>
        <w:footnoteRef/>
      </w:r>
      <w:r>
        <w:tab/>
        <w:t>Az Európai Parlament és a Tanács 466/2014/EU határozata (2014. április 16.) az Unión kívüli beruházási projekteket támogató finanszírozási műveletek veszteségeinek fedezésére az Európai Beruházási Banknak nyújtott uniós garanciáról (HL L 135., 2014.5.8., 1. o.).</w:t>
      </w:r>
    </w:p>
  </w:footnote>
  <w:footnote w:id="12">
    <w:p>
      <w:pPr>
        <w:pStyle w:val="FootnoteText"/>
        <w:ind w:left="426" w:hanging="426"/>
      </w:pPr>
      <w:r>
        <w:rPr>
          <w:rStyle w:val="FootnoteReference"/>
        </w:rPr>
        <w:footnoteRef/>
      </w:r>
      <w:r>
        <w:tab/>
        <w:t>A Cotonouban 2000. június 23-án aláírt AKCS–EU partnerségi megállapodást 2000-től 2020-ig tartó 20 éves időtartamra kötötték. Ez a fejlődő országok és az EU közötti legátfogóbb partnerségi megállapodás. Az uniós költségvetés ezt nem finanszírozza.</w:t>
      </w:r>
    </w:p>
  </w:footnote>
  <w:footnote w:id="13">
    <w:p>
      <w:pPr>
        <w:pStyle w:val="FootnoteText"/>
        <w:ind w:left="426" w:hanging="426"/>
      </w:pPr>
      <w:r>
        <w:rPr>
          <w:rStyle w:val="FootnoteReference"/>
        </w:rPr>
        <w:footnoteRef/>
      </w:r>
      <w:r>
        <w:tab/>
        <w:t>Az (EU) 2018/409 rendelettel (HL L 76., 2018.3.19., 1. o.) módosított, a külső fellépésekre vonatkozó garanciaalap létrehozásáról szóló 480/2009/EK, Euratom tanácsi rendelet (HL L 145., 2009.6.10., 10. o.).</w:t>
      </w:r>
    </w:p>
  </w:footnote>
  <w:footnote w:id="14">
    <w:p>
      <w:pPr>
        <w:pStyle w:val="FootnoteText"/>
        <w:ind w:left="426" w:hanging="426"/>
      </w:pPr>
      <w:r>
        <w:rPr>
          <w:rStyle w:val="FootnoteReference"/>
        </w:rPr>
        <w:footnoteRef/>
      </w:r>
      <w:r>
        <w:tab/>
        <w:t xml:space="preserve">Bár a külső kockázatokat végeredményben az uniós költségvetés fedezi, a garanciaalap olyan eszközként szolgál, amely védelmet nyújt az uniós költségvetés számára a nemteljesítés kockázatával szemben. Az alapról és annak gazdálkodásáról szóló legutóbbi, 2018-as éves jelentést (COM(2019) 363 final) és annak bizottsági szolgálati munkadokumentumát (SWD(2019) 314 final) 2019.8.5-én hagyták jóvá, és a következő internetes címen érhetők el: </w:t>
      </w:r>
      <w:hyperlink r:id="rId1" w:history="1">
        <w:r>
          <w:rPr>
            <w:rStyle w:val="Hyperlink"/>
          </w:rPr>
          <w:t>http://eur-lex.europa.eu/homepage.html</w:t>
        </w:r>
      </w:hyperlink>
      <w:r>
        <w:t>.</w:t>
      </w:r>
    </w:p>
  </w:footnote>
  <w:footnote w:id="15">
    <w:p>
      <w:pPr>
        <w:pStyle w:val="FootnoteText"/>
        <w:ind w:left="426" w:hanging="426"/>
      </w:pPr>
      <w:r>
        <w:rPr>
          <w:rStyle w:val="FootnoteReference"/>
        </w:rPr>
        <w:footnoteRef/>
      </w:r>
      <w:r>
        <w:tab/>
        <w:t>Az alap működéséről és a feltöltési célrátáról szóló átfogó jelentés a COM(2014) 214 final (2014.4.8.) dokumentumban és annak SWD(2014) 129 final bizottsági szolgálati munkadokumentumában található.</w:t>
      </w:r>
    </w:p>
  </w:footnote>
  <w:footnote w:id="16">
    <w:p>
      <w:pPr>
        <w:pStyle w:val="FootnoteText"/>
        <w:ind w:left="426" w:hanging="426"/>
      </w:pPr>
      <w:r>
        <w:rPr>
          <w:rStyle w:val="FootnoteReference"/>
        </w:rPr>
        <w:footnoteRef/>
      </w:r>
      <w:r>
        <w:tab/>
        <w:t>Az uniós garancia mértékét az ESBA 2.0 módosítás 16 milliárd EUR-ról 26 milliárd EUR-ra növelte.</w:t>
      </w:r>
    </w:p>
  </w:footnote>
  <w:footnote w:id="17">
    <w:p>
      <w:pPr>
        <w:pStyle w:val="FootnoteText"/>
        <w:ind w:left="426" w:hanging="426"/>
      </w:pPr>
      <w:r>
        <w:rPr>
          <w:rStyle w:val="FootnoteReference"/>
        </w:rPr>
        <w:footnoteRef/>
      </w:r>
      <w:r>
        <w:tab/>
        <w:t xml:space="preserve">Az EBB csoport által nyújtott garancia mértékét az ESBA 2.0 módosítás 5 milliárd EUR-ról 7,5 milliárd EUR-ra növelte. </w:t>
      </w:r>
    </w:p>
  </w:footnote>
  <w:footnote w:id="18">
    <w:p>
      <w:pPr>
        <w:pStyle w:val="FootnoteText"/>
        <w:ind w:left="480" w:hanging="480"/>
      </w:pPr>
      <w:r>
        <w:rPr>
          <w:rStyle w:val="FootnoteReference"/>
        </w:rPr>
        <w:footnoteRef/>
      </w:r>
      <w:r>
        <w:tab/>
        <w:t xml:space="preserve">Az ESBA garanciaalapjának irányításával kapcsolatban további információt a következő bizottsági jelentés tartalmaz: COM(2019) 244 final, 2019.5.28. </w:t>
      </w:r>
    </w:p>
  </w:footnote>
  <w:footnote w:id="19">
    <w:p>
      <w:pPr>
        <w:pStyle w:val="FootnoteText"/>
        <w:ind w:left="426" w:hanging="426"/>
      </w:pPr>
      <w:r>
        <w:rPr>
          <w:rStyle w:val="FootnoteReference"/>
        </w:rPr>
        <w:footnoteRef/>
      </w:r>
      <w:r>
        <w:tab/>
        <w:t>Az ESBA-rendelet 12. cikkének (5) bekezdése a célösszeget eredetileg az uniós garanciával fedezett teljes kötelezettségállomány 50 %-ában állapította meg. Az ESBA 2.0 rendelet hatálybalépésével a célösszeg az uniós garanciával fedezett teljes kötelezettségállomány 35 %-ára módosult.</w:t>
      </w:r>
    </w:p>
  </w:footnote>
  <w:footnote w:id="20">
    <w:p>
      <w:pPr>
        <w:pStyle w:val="FootnoteText"/>
        <w:ind w:left="480" w:hanging="480"/>
        <w:jc w:val="left"/>
      </w:pPr>
      <w:r>
        <w:rPr>
          <w:rStyle w:val="FootnoteReference"/>
        </w:rPr>
        <w:footnoteRef/>
      </w:r>
      <w:r>
        <w:tab/>
        <w:t>A görög hitelkeretről lásd: http://ec.europa.eu/economy_finance/assistance_eu_ms/greek_loan_facility/index_en.htm.</w:t>
      </w:r>
    </w:p>
  </w:footnote>
  <w:footnote w:id="21">
    <w:p>
      <w:pPr>
        <w:pStyle w:val="FootnoteText"/>
        <w:ind w:left="480" w:hanging="480"/>
        <w:rPr>
          <w:color w:val="000000"/>
        </w:rPr>
      </w:pPr>
      <w:r>
        <w:rPr>
          <w:rStyle w:val="FootnoteReference"/>
        </w:rPr>
        <w:footnoteRef/>
      </w:r>
      <w:r>
        <w:tab/>
      </w:r>
      <w:hyperlink r:id="rId2" w:history="1">
        <w:r>
          <w:rPr>
            <w:rStyle w:val="Hyperlink"/>
            <w:color w:val="auto"/>
            <w:u w:val="none"/>
          </w:rPr>
          <w:t>Az EFSF-ről lásd:</w:t>
        </w:r>
      </w:hyperlink>
      <w:r>
        <w:t xml:space="preserve"> http://www.efsf.europa.eu.</w:t>
      </w:r>
    </w:p>
  </w:footnote>
  <w:footnote w:id="22">
    <w:p>
      <w:pPr>
        <w:pStyle w:val="FootnoteText"/>
        <w:ind w:left="480" w:hanging="480"/>
      </w:pPr>
      <w:r>
        <w:rPr>
          <w:rStyle w:val="FootnoteReference"/>
        </w:rPr>
        <w:footnoteRef/>
      </w:r>
      <w:r>
        <w:tab/>
        <w:t>Az EU/EFSM keretében nyújtott hiteleket az uniós költségvetés garantálja.</w:t>
      </w:r>
    </w:p>
  </w:footnote>
  <w:footnote w:id="23">
    <w:p>
      <w:pPr>
        <w:pStyle w:val="FootnoteText"/>
        <w:ind w:left="480" w:hanging="480"/>
      </w:pPr>
      <w:r>
        <w:rPr>
          <w:rStyle w:val="FootnoteReference"/>
        </w:rPr>
        <w:footnoteRef/>
      </w:r>
      <w:r>
        <w:tab/>
        <w:t xml:space="preserve">Az ESM-ről lásd: </w:t>
      </w:r>
      <w:hyperlink r:id="rId3" w:history="1">
        <w:r>
          <w:rPr>
            <w:rStyle w:val="Hyperlink"/>
          </w:rPr>
          <w:t>http://esm.europa.eu</w:t>
        </w:r>
      </w:hyperlink>
    </w:p>
  </w:footnote>
  <w:footnote w:id="24">
    <w:p>
      <w:pPr>
        <w:pStyle w:val="FootnoteText"/>
        <w:ind w:left="480" w:hanging="480"/>
        <w:jc w:val="left"/>
      </w:pPr>
      <w:r>
        <w:rPr>
          <w:rStyle w:val="FootnoteReference"/>
        </w:rPr>
        <w:footnoteRef/>
      </w:r>
      <w:r>
        <w:tab/>
        <w:t>Vö. az ECOFIN Tanács 2010. május 9–10-i rendkívüli üléséről kiadott sajtóközleménnyel (</w:t>
      </w:r>
      <w:hyperlink r:id="rId4" w:history="1">
        <w:r>
          <w:rPr>
            <w:rStyle w:val="Hyperlink"/>
          </w:rPr>
          <w:t>http://www.consilium.europa.eu/uedocs/cms_data/docs/pressdata/en/ecofin/114324.pdf</w:t>
        </w:r>
      </w:hyperlink>
      <w:r>
        <w:t>).</w:t>
      </w:r>
    </w:p>
  </w:footnote>
  <w:footnote w:id="25">
    <w:p>
      <w:pPr>
        <w:pStyle w:val="FootnoteText"/>
        <w:ind w:left="480" w:hanging="480"/>
      </w:pPr>
      <w:r>
        <w:rPr>
          <w:rStyle w:val="FootnoteReference"/>
        </w:rPr>
        <w:footnoteRef/>
      </w:r>
      <w:r>
        <w:tab/>
        <w:t>A Tanács 407/2010/EU rendelete (2010. május 11.) az európai pénzügyi stabilizációs mechanizmus létrehozásáról (HL L 118., 2010.5.12., 1. o.).</w:t>
      </w:r>
    </w:p>
  </w:footnote>
  <w:footnote w:id="26">
    <w:p>
      <w:pPr>
        <w:pStyle w:val="FootnoteText"/>
        <w:ind w:left="480" w:hanging="480"/>
      </w:pPr>
      <w:r>
        <w:rPr>
          <w:rStyle w:val="FootnoteReference"/>
        </w:rPr>
        <w:footnoteRef/>
      </w:r>
      <w:r>
        <w:tab/>
        <w:t>A Tanács 2011/77/EU végrehajtási határozata (2010. december 7.) az Írországnak nyújtandó uniós pénzügyi támogatásról (HL L 30., 2011.2.4., 348. o.).</w:t>
      </w:r>
    </w:p>
  </w:footnote>
  <w:footnote w:id="27">
    <w:p>
      <w:pPr>
        <w:pStyle w:val="FootnoteText"/>
        <w:ind w:left="480" w:hanging="480"/>
      </w:pPr>
      <w:r>
        <w:rPr>
          <w:rStyle w:val="FootnoteReference"/>
        </w:rPr>
        <w:footnoteRef/>
      </w:r>
      <w:r>
        <w:tab/>
        <w:t>A Tanács 2011/344/EU végrehajtási határozata (2011. május 30.) a Portugáliának nyújtandó uniós pénzügyi támogatásról (HL L 159., 2011.6.17., 88. o.), lásd a helyesbítést is (HL L 178., 2012.7.10., 15. o.).</w:t>
      </w:r>
    </w:p>
  </w:footnote>
  <w:footnote w:id="28">
    <w:p>
      <w:pPr>
        <w:pStyle w:val="FootnoteText"/>
        <w:ind w:left="480" w:hanging="480"/>
      </w:pPr>
      <w:r>
        <w:rPr>
          <w:rStyle w:val="FootnoteReference"/>
        </w:rPr>
        <w:footnoteRef/>
      </w:r>
      <w:r>
        <w:tab/>
        <w:t>Az Európai Parlament és a Tanács (EU) 2018/598 határozata (2018. április 18.) a Grúziának nyújtandó további makroszintű pénzügyi támogatásról (HL L 103., 2018.4.23., 8. o.).</w:t>
      </w:r>
    </w:p>
  </w:footnote>
  <w:footnote w:id="29">
    <w:p>
      <w:pPr>
        <w:pStyle w:val="FootnoteText"/>
        <w:ind w:left="480" w:hanging="480"/>
      </w:pPr>
      <w:r>
        <w:rPr>
          <w:rStyle w:val="FootnoteReference"/>
        </w:rPr>
        <w:footnoteRef/>
      </w:r>
      <w:r>
        <w:tab/>
        <w:t>Az Európai Parlament és a Tanács (EU) 2018/947 határozata (2018. július 4.) az Ukrajnának nyújtandó további makroszintű pénzügyi támogatásról (HL L 171., 2018.7.6., 11. o.).</w:t>
      </w:r>
    </w:p>
  </w:footnote>
  <w:footnote w:id="30">
    <w:p>
      <w:pPr>
        <w:pStyle w:val="FootnoteText"/>
        <w:ind w:left="480" w:hanging="480"/>
      </w:pPr>
      <w:r>
        <w:rPr>
          <w:rStyle w:val="FootnoteReference"/>
        </w:rPr>
        <w:footnoteRef/>
      </w:r>
      <w:r>
        <w:tab/>
        <w:t>Az Európai Parlament és a Tanács (EU) 2017/1565 határozata (2017. szeptember 13.) a Moldovai Köztársaságnak nyújtandó makroszintű pénzügyi támogatásról (HL L 242., 2017.9.20., 14. o.).</w:t>
      </w:r>
    </w:p>
  </w:footnote>
  <w:footnote w:id="31">
    <w:p>
      <w:pPr>
        <w:pStyle w:val="FootnoteText"/>
        <w:ind w:left="480" w:hanging="480"/>
      </w:pPr>
      <w:r>
        <w:rPr>
          <w:rStyle w:val="FootnoteReference"/>
        </w:rPr>
        <w:footnoteRef/>
      </w:r>
      <w:r>
        <w:tab/>
        <w:t>C(2013) 3496.</w:t>
      </w:r>
    </w:p>
  </w:footnote>
  <w:footnote w:id="32">
    <w:p>
      <w:pPr>
        <w:pStyle w:val="FootnoteText"/>
        <w:ind w:left="482" w:hanging="482"/>
      </w:pPr>
      <w:r>
        <w:rPr>
          <w:rStyle w:val="FootnoteReference"/>
        </w:rPr>
        <w:footnoteRef/>
      </w:r>
      <w:r>
        <w:tab/>
        <w:t>Lásd a jelentés 1. táblázatát.</w:t>
      </w:r>
    </w:p>
  </w:footnote>
  <w:footnote w:id="33">
    <w:p>
      <w:pPr>
        <w:pStyle w:val="FootnoteText"/>
        <w:spacing w:before="120"/>
        <w:ind w:left="480" w:hanging="480"/>
      </w:pPr>
      <w:r>
        <w:rPr>
          <w:rStyle w:val="FootnoteReference"/>
        </w:rPr>
        <w:footnoteRef/>
      </w:r>
      <w:r>
        <w:tab/>
        <w:t>E számítás céljából feltételezik, hogy a nemteljesítő hitelek esedékességét nem hozzák előre, azaz nem a teljes összeget, hanem csak az esedékes törlesztőrészletet kell figyelembe venni (lásd a jelentés 2. és 3. táblázatát, valamint a bizottsági szolgálati munkadokumentum A4. táblázatát).</w:t>
      </w:r>
    </w:p>
  </w:footnote>
  <w:footnote w:id="34">
    <w:p>
      <w:pPr>
        <w:pStyle w:val="FootnoteText"/>
        <w:ind w:left="480" w:hanging="480"/>
      </w:pPr>
      <w:r>
        <w:rPr>
          <w:rStyle w:val="FootnoteReference"/>
        </w:rPr>
        <w:footnoteRef/>
      </w:r>
      <w:r>
        <w:tab/>
        <w:t>Lásd az 1. táblázatot.</w:t>
      </w:r>
    </w:p>
  </w:footnote>
  <w:footnote w:id="35">
    <w:p>
      <w:pPr>
        <w:pStyle w:val="FootnoteText"/>
        <w:ind w:left="480" w:hanging="480"/>
      </w:pPr>
      <w:r>
        <w:rPr>
          <w:rStyle w:val="FootnoteReference"/>
        </w:rPr>
        <w:footnoteRef/>
      </w:r>
      <w:r>
        <w:tab/>
        <w:t>Lásd a tradicionális, a héa- és a GNI-alapú saját források rendelkezésre bocsátásának módszereiről és eljárásáról, valamint a készpénzigények teljesítését célzó intézkedésekről szóló, 2014. május 26-i 609/2014/EU, Euratom tanácsi rendelet (HL L 168., 2014.6.7., 39. o.) 14. cikkét.</w:t>
      </w:r>
    </w:p>
  </w:footnote>
  <w:footnote w:id="36">
    <w:p>
      <w:pPr>
        <w:pStyle w:val="FootnoteText"/>
        <w:ind w:left="480" w:hanging="480"/>
      </w:pPr>
      <w:r>
        <w:rPr>
          <w:rStyle w:val="FootnoteReference"/>
        </w:rPr>
        <w:footnoteRef/>
      </w:r>
      <w:r>
        <w:tab/>
        <w:t>Lásd a 609/2014/EU, Euratom rendelet 14. cikkének (3) bekezdését.</w:t>
      </w:r>
    </w:p>
  </w:footnote>
  <w:footnote w:id="37">
    <w:p>
      <w:pPr>
        <w:pStyle w:val="FootnoteText"/>
        <w:ind w:left="480" w:hanging="480"/>
      </w:pPr>
      <w:r>
        <w:rPr>
          <w:rStyle w:val="FootnoteReference"/>
        </w:rPr>
        <w:footnoteRef/>
      </w:r>
      <w:r>
        <w:tab/>
        <w:t>Lásd az Unión kívüli beruházási projekteket támogató finanszírozási műveletek veszteségeinek fedezésére az Európai Beruházási Banknak nyújtott uniós garanciáról szóló 466/2014/EU határozat módosításáról szóló, 2018. március 14-i (EU) 2018/412 európai parlamenti és tanácsi határozattal (HL L 76., 2018.3.19., 30. o.) módosított, az Unión kívüli beruházási projekteket támogató finanszírozási műveletek veszteségeinek fedezésére az Európai Beruházási Banknak nyújtott uniós garanciáról szóló, 2014. április 16-i 466/2014/EU európai parlamenti és tanácsi határozat (HL L 135., 2014.5.8., 1. o.) 8. cikkének (7) bekezdését.</w:t>
      </w:r>
    </w:p>
  </w:footnote>
  <w:footnote w:id="38">
    <w:p>
      <w:pPr>
        <w:pStyle w:val="FootnoteText"/>
        <w:ind w:left="480" w:hanging="480"/>
      </w:pPr>
      <w:r>
        <w:rPr>
          <w:rStyle w:val="FootnoteReference"/>
        </w:rPr>
        <w:footnoteRef/>
      </w:r>
      <w:r>
        <w:tab/>
        <w:t>Kivéve Bulgáriát és Romániát, amelyeknek az Unióhoz való csatlakozás előtt nyújtottak Euratom-hiteleket. A csatlakozásra váró országoknak nyújtott hiteleket (és hitelgaranciákat) a csatlakozás időpontjáig az alap fedezte. A csatlakozási időponttól kezdve a továbbra is fennálló hitelek már nem az Unió külső tevékenységei közé tartoznak, ezért azokat közvetlenül az uniós költségvetés fedezi.</w:t>
      </w:r>
    </w:p>
  </w:footnote>
  <w:footnote w:id="39">
    <w:p>
      <w:pPr>
        <w:pStyle w:val="FootnoteText"/>
        <w:ind w:left="482" w:hanging="482"/>
      </w:pPr>
      <w:r>
        <w:rPr>
          <w:rStyle w:val="FootnoteReference"/>
        </w:rPr>
        <w:footnoteRef/>
      </w:r>
      <w:r>
        <w:tab/>
        <w:t>A behajtási eljárásokról további információ található az Európai Unió és az Európai Beruházási Bank között létrejött, 2018. október 3-án aláírt behajtási megállapodásban, amely szabályozza az Unión kívüli beruházási projekteket támogató finanszírozási műveletek veszteségeinek fedezésére az Európai Beruházási Banknak nyújtott uniós garancia keretében végrehajtott kifizetések behajtására vonatkozó feltételeket és eljárásokat.</w:t>
      </w:r>
    </w:p>
  </w:footnote>
  <w:footnote w:id="40">
    <w:p>
      <w:pPr>
        <w:pStyle w:val="FootnoteText"/>
        <w:ind w:left="482" w:hanging="482"/>
      </w:pPr>
      <w:r>
        <w:rPr>
          <w:rStyle w:val="FootnoteReference"/>
        </w:rPr>
        <w:footnoteRef/>
      </w:r>
      <w:r>
        <w:tab/>
        <w:t>A büntetőkamatokat és felhalmozott kamatokat az EBB csak az egyes kölcsönökre vonatkozó második fizetési felszólítás után követeli és a nemteljesítés időpontjától a garanciaalap általi kifizetés időpontjáig számítja.</w:t>
      </w:r>
    </w:p>
  </w:footnote>
  <w:footnote w:id="41">
    <w:p>
      <w:pPr>
        <w:pStyle w:val="FootnoteText"/>
        <w:ind w:left="480" w:hanging="480"/>
      </w:pPr>
      <w:r>
        <w:rPr>
          <w:rStyle w:val="FootnoteReference"/>
        </w:rPr>
        <w:footnoteRef/>
      </w:r>
      <w:r>
        <w:tab/>
        <w:t>Ez tartalmazza az EBB által 2018.12.31-ig már lehívott 375,39 millió EUR-s összeget (tőke).</w:t>
      </w:r>
    </w:p>
  </w:footnote>
  <w:footnote w:id="42">
    <w:p>
      <w:pPr>
        <w:pStyle w:val="FootnoteText"/>
        <w:ind w:left="426" w:hanging="426"/>
      </w:pPr>
      <w:r>
        <w:rPr>
          <w:rStyle w:val="FootnoteReference"/>
        </w:rPr>
        <w:footnoteRef/>
      </w:r>
      <w:r>
        <w:tab/>
        <w:t>Az (EU) 2018/409 rendelettel (HL L 76., 2018.3.19., 1. o.) módosított, a külső fellépésekre vonatkozó garanciaalap létrehozásáról szóló 480/2009/EK, Euratom tanácsi rendelet (HL L 145., 2009.6.10., 10. o.).</w:t>
      </w:r>
    </w:p>
  </w:footnote>
  <w:footnote w:id="43">
    <w:p>
      <w:pPr>
        <w:pStyle w:val="FootnoteText"/>
        <w:ind w:left="426" w:hanging="426"/>
      </w:pPr>
      <w:r>
        <w:rPr>
          <w:rStyle w:val="FootnoteReference"/>
        </w:rPr>
        <w:footnoteRef/>
      </w:r>
      <w:r>
        <w:tab/>
        <w:t>Az alap összes eszköze a felhalmozott kötelezettségek (az EBB díjai és a könyvvizsgálat díjai) levonásával.</w:t>
      </w:r>
    </w:p>
  </w:footnote>
  <w:footnote w:id="44">
    <w:p>
      <w:pPr>
        <w:pStyle w:val="FootnoteText"/>
        <w:ind w:left="426" w:hanging="426"/>
      </w:pPr>
      <w:r>
        <w:rPr>
          <w:rStyle w:val="FootnoteReference"/>
        </w:rPr>
        <w:footnoteRef/>
      </w:r>
      <w:r>
        <w:tab/>
        <w:t>A 31 655,46 millió EUR 9 %-a. A célösszeg kiszámítása a következő: az egyes műveletekből adódó teljes fennálló tőkekötelezettségre 9 %-ot alkalmaznak, az így kapott összeget növelik a felhalmozott kamattal (MFA, Euratom- és EBB-hitelek harmadik országok számára), majd levonják az n–1. év végén átruházott hiteleket.</w:t>
      </w:r>
    </w:p>
  </w:footnote>
  <w:footnote w:id="45">
    <w:p>
      <w:pPr>
        <w:pStyle w:val="FootnoteText"/>
        <w:spacing w:before="120"/>
        <w:ind w:left="480" w:hanging="480"/>
      </w:pPr>
      <w:r>
        <w:rPr>
          <w:rStyle w:val="FootnoteReference"/>
        </w:rPr>
        <w:footnoteRef/>
      </w:r>
      <w:r>
        <w:tab/>
        <w:t xml:space="preserve">Az Európai Parlament és a Tanács (EU) 2015/1017 rendelete (2015. június 25.) az Európai Stratégiai Beruházási Alapról, az Európai Beruházási Tanácsadó Platformról és a Beruházási Projektek Európai Portáljáról, valamint az 1291/2013/EU és az 1316/2013/EU rendelet módosításáról – az Európai Stratégiai Beruházási Alap (a továbbiakban: az ESBA-rendelet) (HL L 169., 2015.7.1., 1. o.). Az ESBA-rendeletet az Európai Stratégiai Beruházási Alap időbeli hatályának meghosszabbítására, továbbá az említett alapot és az Európai Beruházási Tanácsadó Platformot érintő technikai javítások bevezetésére vonatkozó 2017. december 13-i (EU) 2017/2396 európai parlamenti és tanácsi rendelet (a továbbiakban: ESBA 2.0 módosítás) módosította. Az ESBA 2.0 módosítás többek között növelte az uniós garancia összegét, továbbá módosította a garanciaalap célösszegét. Az Európai Stratégiai Beruházási Alap (ESBA) irányítására és az uniós garancia biztosítására vonatkozó megállapodást (a továbbiakban: az ESBA-megállapodás) az Európai Bizottság és az Európai Beruházási Bank (EBB) 2015. július 22-én írta alá; a megállapodást 2016. július 21-én, 2017. november 21-én, 2018. március 9-én és 2018 decemberében módosították és újraszövegezték. </w:t>
      </w:r>
    </w:p>
  </w:footnote>
  <w:footnote w:id="46">
    <w:p>
      <w:pPr>
        <w:pStyle w:val="FootnoteText"/>
        <w:ind w:left="482" w:hanging="482"/>
      </w:pPr>
      <w:r>
        <w:rPr>
          <w:rStyle w:val="FootnoteReference"/>
        </w:rPr>
        <w:footnoteRef/>
      </w:r>
      <w:r>
        <w:tab/>
        <w:t>Az erre a szakaszra vonatkozó információk a Bizottság által az Európai Parlamentnek, a Tanácsnak és a Számvevőszéknek címzett, az Európai Stratégiai Beruházási Alap garanciaalapjának kezeléséről szóló, 2018. évi bizottsági jelentésből származnak (COM(2019) 244 final, 2019.5.28.).</w:t>
      </w:r>
    </w:p>
  </w:footnote>
  <w:footnote w:id="47">
    <w:p>
      <w:pPr>
        <w:pStyle w:val="FootnoteText"/>
        <w:ind w:left="426" w:hanging="426"/>
      </w:pPr>
      <w:r>
        <w:rPr>
          <w:rStyle w:val="FootnoteReference"/>
        </w:rPr>
        <w:footnoteRef/>
      </w:r>
      <w:r>
        <w:tab/>
        <w:t xml:space="preserve">Az ESBA 2.0 módosítás 11. cikke szerint az uniós garancia összege semmilyen esetben nem haladhatja meg a 26 milliárd EUR-t, 2018. július 6. előtt pedig nem haladhatja meg a 16 milliárd EUR-t. A lehívott és felhasznált uniós garancia összege, valamint a kkv-keretben a portfóliógaranciát képező termékekre vonatkozó céltartalékok levonásra kerülnek az uniós garancia maximális összegéből. </w:t>
      </w:r>
    </w:p>
  </w:footnote>
  <w:footnote w:id="48">
    <w:p>
      <w:pPr>
        <w:pStyle w:val="FootnoteText"/>
        <w:ind w:left="426" w:hanging="426"/>
        <w:rPr>
          <w:rStyle w:val="FootnoteReference"/>
        </w:rPr>
      </w:pPr>
      <w:r>
        <w:rPr>
          <w:rStyle w:val="FootnoteReference"/>
        </w:rPr>
        <w:footnoteRef/>
      </w:r>
      <w:r>
        <w:rPr>
          <w:rStyle w:val="FootnoteReference"/>
        </w:rPr>
        <w:tab/>
      </w:r>
      <w:r>
        <w:t>Az EBB-nek</w:t>
      </w:r>
      <w:r>
        <w:rPr>
          <w:rStyle w:val="FootnoteReference"/>
        </w:rPr>
        <w:t xml:space="preserve"> </w:t>
      </w:r>
      <w:r>
        <w:t>2019-ben,</w:t>
      </w:r>
      <w:r>
        <w:rPr>
          <w:rStyle w:val="FootnoteReference"/>
        </w:rPr>
        <w:t xml:space="preserve"> </w:t>
      </w:r>
      <w:r>
        <w:t>egy</w:t>
      </w:r>
      <w:r>
        <w:rPr>
          <w:rStyle w:val="FootnoteReference"/>
        </w:rPr>
        <w:t xml:space="preserve"> </w:t>
      </w:r>
      <w:r>
        <w:t>nemteljesítő művelet kapcsán fizetendő 0,5 millió EUR összegű kintlévő behajtási költségek levonása után.</w:t>
      </w:r>
    </w:p>
  </w:footnote>
  <w:footnote w:id="49">
    <w:p>
      <w:pPr>
        <w:pStyle w:val="FootnoteText"/>
        <w:ind w:left="426" w:hanging="426"/>
      </w:pPr>
      <w:r>
        <w:rPr>
          <w:rStyle w:val="FootnoteReference"/>
        </w:rPr>
        <w:footnoteRef/>
      </w:r>
      <w:r>
        <w:tab/>
        <w:t>Az ESBA-garanciaalap auditált pénzügyi kimutatása az ESBA-garanciaalapról szóló jelentéshez mellékelt bizottsági szolgálati munkadokumentumban (SWD(2019) 188) került közzétételre.</w:t>
      </w:r>
    </w:p>
  </w:footnote>
  <w:footnote w:id="50">
    <w:p>
      <w:pPr>
        <w:pStyle w:val="FootnoteText"/>
        <w:ind w:left="426" w:hanging="426"/>
      </w:pPr>
      <w:r>
        <w:rPr>
          <w:rStyle w:val="FootnoteReference"/>
        </w:rPr>
        <w:footnoteRef/>
      </w:r>
      <w:r>
        <w:tab/>
        <w:t>Lásd az ESBA-megállapodás 8. cikke (1) bekezdésének d) pontját. Ez az összeg nem tartalmazza a fent említett lehívással kapcsolatos 1,6 millió EUR összegű költséget.</w:t>
      </w:r>
    </w:p>
  </w:footnote>
  <w:footnote w:id="51">
    <w:p>
      <w:pPr>
        <w:pStyle w:val="FootnoteText"/>
        <w:ind w:left="426" w:hanging="426"/>
      </w:pPr>
      <w:r>
        <w:rPr>
          <w:rStyle w:val="FootnoteReference"/>
        </w:rPr>
        <w:footnoteRef/>
      </w:r>
      <w:r>
        <w:tab/>
        <w:t>Lásd az ESBA-megállapodás 8. cikke (1) bekezdésének b) pontját.</w:t>
      </w:r>
    </w:p>
  </w:footnote>
  <w:footnote w:id="52">
    <w:p>
      <w:pPr>
        <w:pStyle w:val="FootnoteText"/>
        <w:ind w:left="425" w:hanging="425"/>
      </w:pPr>
      <w:r>
        <w:rPr>
          <w:rStyle w:val="FootnoteReference"/>
        </w:rPr>
        <w:footnoteRef/>
      </w:r>
      <w:r>
        <w:tab/>
        <w:t>Legfrissebb verzió – COM(2019) 244 final, 2019.5.28.</w:t>
      </w:r>
    </w:p>
  </w:footnote>
  <w:footnote w:id="53">
    <w:p>
      <w:pPr>
        <w:pStyle w:val="FootnoteText"/>
        <w:ind w:left="426" w:hanging="426"/>
      </w:pPr>
      <w:r>
        <w:rPr>
          <w:rStyle w:val="FootnoteReference"/>
        </w:rPr>
        <w:footnoteRef/>
      </w:r>
      <w:r>
        <w:tab/>
        <w:t>Az Európai Parlament és a Tanács (EU) 2017/1601 rendelete (2017. szeptember 26.) az Európai Fenntartható Fejlődési Alap (EFFA), az EFFA-garancia és az EFFA-garanciaalap létrehozásáról (HL L 249., 2017.9.27., 1. 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13E000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50FB1"/>
    <w:multiLevelType w:val="multilevel"/>
    <w:tmpl w:val="30847FD6"/>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5E43525"/>
    <w:multiLevelType w:val="multilevel"/>
    <w:tmpl w:val="76202BFE"/>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D175C68"/>
    <w:multiLevelType w:val="hybridMultilevel"/>
    <w:tmpl w:val="84CE7842"/>
    <w:lvl w:ilvl="0" w:tplc="785CD484">
      <w:start w:val="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2DD5905"/>
    <w:multiLevelType w:val="singleLevel"/>
    <w:tmpl w:val="6CB4B73E"/>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5">
    <w:nsid w:val="1CD71CE5"/>
    <w:multiLevelType w:val="hybridMultilevel"/>
    <w:tmpl w:val="5D9A37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E930D7"/>
    <w:multiLevelType w:val="multilevel"/>
    <w:tmpl w:val="EFD2E05E"/>
    <w:lvl w:ilvl="0">
      <w:start w:val="1"/>
      <w:numFmt w:val="decimal"/>
      <w:lvlRestart w:val="0"/>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nsid w:val="31F65919"/>
    <w:multiLevelType w:val="hybridMultilevel"/>
    <w:tmpl w:val="A7B2D2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78B083A"/>
    <w:multiLevelType w:val="hybridMultilevel"/>
    <w:tmpl w:val="724C6F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11">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12">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13">
    <w:nsid w:val="3E191884"/>
    <w:multiLevelType w:val="singleLevel"/>
    <w:tmpl w:val="3020C764"/>
    <w:name w:val="List Bullet 3"/>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4">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5">
    <w:nsid w:val="473508AF"/>
    <w:multiLevelType w:val="hybridMultilevel"/>
    <w:tmpl w:val="863C4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49795E82"/>
    <w:multiLevelType w:val="hybridMultilevel"/>
    <w:tmpl w:val="35E044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55630FD0"/>
    <w:multiLevelType w:val="hybridMultilevel"/>
    <w:tmpl w:val="B3E027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21">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2">
    <w:nsid w:val="59D8701E"/>
    <w:multiLevelType w:val="hybridMultilevel"/>
    <w:tmpl w:val="C9241452"/>
    <w:lvl w:ilvl="0" w:tplc="47B077A8">
      <w:start w:val="6"/>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5B4A68BD"/>
    <w:multiLevelType w:val="multilevel"/>
    <w:tmpl w:val="141CFBD6"/>
    <w:lvl w:ilvl="0">
      <w:start w:val="1"/>
      <w:numFmt w:val="bullet"/>
      <w:pStyle w:val="DBulletsgelb1"/>
      <w:lvlText w:val=""/>
      <w:lvlJc w:val="left"/>
      <w:pPr>
        <w:ind w:left="530" w:hanging="360"/>
      </w:pPr>
      <w:rPr>
        <w:rFonts w:ascii="Symbol" w:hAnsi="Symbol" w:hint="default"/>
        <w:color w:val="auto"/>
        <w:sz w:val="19"/>
        <w:szCs w:val="18"/>
      </w:rPr>
    </w:lvl>
    <w:lvl w:ilvl="1">
      <w:start w:val="1"/>
      <w:numFmt w:val="bullet"/>
      <w:pStyle w:val="BBullets2"/>
      <w:lvlText w:val="o"/>
      <w:lvlJc w:val="left"/>
      <w:pPr>
        <w:tabs>
          <w:tab w:val="num" w:pos="709"/>
        </w:tabs>
        <w:ind w:left="709" w:hanging="284"/>
      </w:pPr>
      <w:rPr>
        <w:rFonts w:ascii="Symbol" w:hAnsi="Symbol" w:hint="default"/>
        <w:sz w:val="16"/>
      </w:rPr>
    </w:lvl>
    <w:lvl w:ilvl="2">
      <w:start w:val="1"/>
      <w:numFmt w:val="bullet"/>
      <w:lvlText w:val=""/>
      <w:lvlJc w:val="left"/>
      <w:pPr>
        <w:tabs>
          <w:tab w:val="num" w:pos="1990"/>
        </w:tabs>
        <w:ind w:left="1990" w:hanging="360"/>
      </w:pPr>
      <w:rPr>
        <w:rFonts w:ascii="Wingdings" w:hAnsi="Wingdings" w:hint="default"/>
      </w:rPr>
    </w:lvl>
    <w:lvl w:ilvl="3">
      <w:start w:val="1"/>
      <w:numFmt w:val="bullet"/>
      <w:lvlText w:val=""/>
      <w:lvlJc w:val="left"/>
      <w:pPr>
        <w:tabs>
          <w:tab w:val="num" w:pos="2710"/>
        </w:tabs>
        <w:ind w:left="2710" w:hanging="360"/>
      </w:pPr>
      <w:rPr>
        <w:rFonts w:ascii="Symbol" w:hAnsi="Symbol" w:hint="default"/>
      </w:rPr>
    </w:lvl>
    <w:lvl w:ilvl="4">
      <w:start w:val="1"/>
      <w:numFmt w:val="bullet"/>
      <w:lvlText w:val="o"/>
      <w:lvlJc w:val="left"/>
      <w:pPr>
        <w:tabs>
          <w:tab w:val="num" w:pos="3430"/>
        </w:tabs>
        <w:ind w:left="3430" w:hanging="360"/>
      </w:pPr>
      <w:rPr>
        <w:rFonts w:ascii="Courier New" w:hAnsi="Courier New" w:cs="Courier New" w:hint="default"/>
      </w:rPr>
    </w:lvl>
    <w:lvl w:ilvl="5">
      <w:start w:val="1"/>
      <w:numFmt w:val="bullet"/>
      <w:lvlText w:val=""/>
      <w:lvlJc w:val="left"/>
      <w:pPr>
        <w:tabs>
          <w:tab w:val="num" w:pos="4150"/>
        </w:tabs>
        <w:ind w:left="4150" w:hanging="360"/>
      </w:pPr>
      <w:rPr>
        <w:rFonts w:ascii="Wingdings" w:hAnsi="Wingdings" w:hint="default"/>
      </w:rPr>
    </w:lvl>
    <w:lvl w:ilvl="6">
      <w:start w:val="1"/>
      <w:numFmt w:val="bullet"/>
      <w:lvlText w:val=""/>
      <w:lvlJc w:val="left"/>
      <w:pPr>
        <w:tabs>
          <w:tab w:val="num" w:pos="4870"/>
        </w:tabs>
        <w:ind w:left="4870" w:hanging="360"/>
      </w:pPr>
      <w:rPr>
        <w:rFonts w:ascii="Symbol" w:hAnsi="Symbol" w:hint="default"/>
      </w:rPr>
    </w:lvl>
    <w:lvl w:ilvl="7">
      <w:start w:val="1"/>
      <w:numFmt w:val="bullet"/>
      <w:lvlText w:val="o"/>
      <w:lvlJc w:val="left"/>
      <w:pPr>
        <w:tabs>
          <w:tab w:val="num" w:pos="5590"/>
        </w:tabs>
        <w:ind w:left="5590" w:hanging="360"/>
      </w:pPr>
      <w:rPr>
        <w:rFonts w:ascii="Courier New" w:hAnsi="Courier New" w:cs="Courier New" w:hint="default"/>
      </w:rPr>
    </w:lvl>
    <w:lvl w:ilvl="8">
      <w:start w:val="1"/>
      <w:numFmt w:val="bullet"/>
      <w:lvlText w:val=""/>
      <w:lvlJc w:val="left"/>
      <w:pPr>
        <w:tabs>
          <w:tab w:val="num" w:pos="6310"/>
        </w:tabs>
        <w:ind w:left="6310" w:hanging="360"/>
      </w:pPr>
      <w:rPr>
        <w:rFonts w:ascii="Wingdings" w:hAnsi="Wingdings" w:hint="default"/>
      </w:rPr>
    </w:lvl>
  </w:abstractNum>
  <w:abstractNum w:abstractNumId="24">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5">
    <w:nsid w:val="5F8C3B69"/>
    <w:multiLevelType w:val="multilevel"/>
    <w:tmpl w:val="9B14DAA8"/>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7">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28">
    <w:nsid w:val="62A8042C"/>
    <w:multiLevelType w:val="singleLevel"/>
    <w:tmpl w:val="CCF20C06"/>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9">
    <w:nsid w:val="67671EEF"/>
    <w:multiLevelType w:val="singleLevel"/>
    <w:tmpl w:val="249CEA72"/>
    <w:lvl w:ilvl="0">
      <w:start w:val="1"/>
      <w:numFmt w:val="bullet"/>
      <w:lvlText w:val="–"/>
      <w:lvlJc w:val="left"/>
      <w:pPr>
        <w:tabs>
          <w:tab w:val="num" w:pos="765"/>
        </w:tabs>
        <w:ind w:left="765" w:hanging="283"/>
      </w:pPr>
      <w:rPr>
        <w:rFonts w:ascii="Times New Roman" w:hAnsi="Times New Roman"/>
      </w:rPr>
    </w:lvl>
  </w:abstractNum>
  <w:abstractNum w:abstractNumId="30">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31">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2">
    <w:nsid w:val="6D1471E6"/>
    <w:multiLevelType w:val="hybridMultilevel"/>
    <w:tmpl w:val="9544FB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D2B5511"/>
    <w:multiLevelType w:val="singleLevel"/>
    <w:tmpl w:val="74A09970"/>
    <w:name w:val="List Bullet 1"/>
    <w:lvl w:ilvl="0">
      <w:start w:val="1"/>
      <w:numFmt w:val="bullet"/>
      <w:lvlRestart w:val="0"/>
      <w:lvlText w:val=""/>
      <w:lvlJc w:val="left"/>
      <w:pPr>
        <w:tabs>
          <w:tab w:val="num" w:pos="283"/>
        </w:tabs>
        <w:ind w:left="283" w:hanging="283"/>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5C26F71"/>
    <w:multiLevelType w:val="multilevel"/>
    <w:tmpl w:val="E01E7708"/>
    <w:lvl w:ilvl="0">
      <w:start w:val="1"/>
      <w:numFmt w:val="decimal"/>
      <w:lvlRestart w:val="0"/>
      <w:pStyle w:val="Heading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8A241BD"/>
    <w:multiLevelType w:val="singleLevel"/>
    <w:tmpl w:val="53C4DF32"/>
    <w:name w:val="NumPar"/>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37">
    <w:nsid w:val="79C96D36"/>
    <w:multiLevelType w:val="multilevel"/>
    <w:tmpl w:val="BE983CE4"/>
    <w:name w:val="List Dash 3"/>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9">
    <w:nsid w:val="7D8820A0"/>
    <w:multiLevelType w:val="singleLevel"/>
    <w:tmpl w:val="54F6C7B4"/>
    <w:name w:val="Heading"/>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40">
    <w:nsid w:val="7F081A4A"/>
    <w:multiLevelType w:val="hybridMultilevel"/>
    <w:tmpl w:val="AB963DFC"/>
    <w:lvl w:ilvl="0" w:tplc="7572F9A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F7154E1"/>
    <w:multiLevelType w:val="singleLevel"/>
    <w:tmpl w:val="E3F6D2C6"/>
    <w:name w:val="List Dash 4"/>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18"/>
  </w:num>
  <w:num w:numId="2">
    <w:abstractNumId w:val="7"/>
  </w:num>
  <w:num w:numId="3">
    <w:abstractNumId w:val="26"/>
  </w:num>
  <w:num w:numId="4">
    <w:abstractNumId w:val="24"/>
  </w:num>
  <w:num w:numId="5">
    <w:abstractNumId w:val="16"/>
  </w:num>
  <w:num w:numId="6">
    <w:abstractNumId w:val="30"/>
  </w:num>
  <w:num w:numId="7">
    <w:abstractNumId w:val="35"/>
  </w:num>
  <w:num w:numId="8">
    <w:abstractNumId w:val="35"/>
  </w:num>
  <w:num w:numId="9">
    <w:abstractNumId w:val="34"/>
  </w:num>
  <w:num w:numId="10">
    <w:abstractNumId w:val="38"/>
  </w:num>
  <w:num w:numId="11">
    <w:abstractNumId w:val="11"/>
  </w:num>
  <w:num w:numId="12">
    <w:abstractNumId w:val="10"/>
  </w:num>
  <w:num w:numId="13">
    <w:abstractNumId w:val="27"/>
  </w:num>
  <w:num w:numId="14">
    <w:abstractNumId w:val="12"/>
  </w:num>
  <w:num w:numId="15">
    <w:abstractNumId w:val="20"/>
  </w:num>
  <w:num w:numId="16">
    <w:abstractNumId w:val="25"/>
  </w:num>
  <w:num w:numId="17">
    <w:abstractNumId w:val="37"/>
  </w:num>
  <w:num w:numId="18">
    <w:abstractNumId w:val="6"/>
  </w:num>
  <w:num w:numId="19">
    <w:abstractNumId w:val="2"/>
  </w:num>
  <w:num w:numId="20">
    <w:abstractNumId w:val="1"/>
  </w:num>
  <w:num w:numId="21">
    <w:abstractNumId w:val="31"/>
  </w:num>
  <w:num w:numId="22">
    <w:abstractNumId w:val="4"/>
  </w:num>
  <w:num w:numId="23">
    <w:abstractNumId w:val="13"/>
  </w:num>
  <w:num w:numId="24">
    <w:abstractNumId w:val="41"/>
  </w:num>
  <w:num w:numId="25">
    <w:abstractNumId w:val="14"/>
  </w:num>
  <w:num w:numId="26">
    <w:abstractNumId w:val="28"/>
  </w:num>
  <w:num w:numId="27">
    <w:abstractNumId w:val="21"/>
  </w:num>
  <w:num w:numId="28">
    <w:abstractNumId w:val="36"/>
  </w:num>
  <w:num w:numId="29">
    <w:abstractNumId w:val="39"/>
  </w:num>
  <w:num w:numId="30">
    <w:abstractNumId w:val="0"/>
  </w:num>
  <w:num w:numId="31">
    <w:abstractNumId w:val="35"/>
  </w:num>
  <w:num w:numId="32">
    <w:abstractNumId w:val="35"/>
  </w:num>
  <w:num w:numId="33">
    <w:abstractNumId w:val="23"/>
  </w:num>
  <w:num w:numId="34">
    <w:abstractNumId w:val="29"/>
  </w:num>
  <w:num w:numId="35">
    <w:abstractNumId w:val="15"/>
  </w:num>
  <w:num w:numId="36">
    <w:abstractNumId w:val="19"/>
  </w:num>
  <w:num w:numId="37">
    <w:abstractNumId w:val="17"/>
  </w:num>
  <w:num w:numId="38">
    <w:abstractNumId w:val="5"/>
  </w:num>
  <w:num w:numId="39">
    <w:abstractNumId w:val="32"/>
  </w:num>
  <w:num w:numId="40">
    <w:abstractNumId w:val="9"/>
  </w:num>
  <w:num w:numId="41">
    <w:abstractNumId w:val="8"/>
  </w:num>
  <w:num w:numId="42">
    <w:abstractNumId w:val="40"/>
  </w:num>
  <w:num w:numId="43">
    <w:abstractNumId w:val="22"/>
  </w:num>
  <w:num w:numId="44">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ocStatus" w:val="Green"/>
    <w:docVar w:name="LW_CORRIGENDUM" w:val="&lt;UNUSED&gt;"/>
    <w:docVar w:name="LW_COVERPAGE_EXISTS" w:val="True"/>
    <w:docVar w:name="LW_COVERPAGE_GUID" w:val="6FB8E0D8-E7B9-4FD7-AAAD-312FE1FA1BC2"/>
    <w:docVar w:name="LW_COVERPAGE_TYPE" w:val="1"/>
    <w:docVar w:name="LW_CROSSREFERENCE" w:val="{SWD(2019) 379 final}"/>
    <w:docVar w:name="LW_DocType" w:val="NORMAL"/>
    <w:docVar w:name="LW_EMISSION" w:val="2019.10.23."/>
    <w:docVar w:name="LW_EMISSION_ISODATE" w:val="2019-10-23"/>
    <w:docVar w:name="LW_EMISSION_LOCATION" w:val="BRX"/>
    <w:docVar w:name="LW_EMISSION_PREFIX" w:val="Brüsszel, "/>
    <w:docVar w:name="LW_EMISSION_SUFFIX" w:val=" "/>
    <w:docVar w:name="LW_ID_DOCTYPE_NONLW" w:val="CP-006"/>
    <w:docVar w:name="LW_LANGUE" w:val="HU"/>
    <w:docVar w:name="LW_LEVEL_OF_SENSITIVITY" w:val="Standard treatmen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19) 48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az általános költségvetés által fedezett garanciákról _x000d__x000d__x000d__x000b_2018. december 31-i helyzet"/>
    <w:docVar w:name="LW_TYPE.DOC.CP" w:val="A BIZOTTSÁG JELENTÉSE AZ EURÓPAI PARLAMENTNEK ÉS A TANÁCSNAK"/>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sz w:val="24"/>
      <w:szCs w:val="24"/>
      <w:lang w:eastAsia="en-US"/>
    </w:rPr>
  </w:style>
  <w:style w:type="paragraph" w:styleId="Heading1">
    <w:name w:val="heading 1"/>
    <w:basedOn w:val="Normal"/>
    <w:next w:val="Normal"/>
    <w:link w:val="Heading1Char"/>
    <w:qFormat/>
    <w:pPr>
      <w:keepNext/>
      <w:numPr>
        <w:numId w:val="8"/>
      </w:numPr>
      <w:spacing w:before="360"/>
      <w:outlineLvl w:val="0"/>
    </w:pPr>
    <w:rPr>
      <w:b/>
      <w:bCs/>
      <w:smallCaps/>
      <w:szCs w:val="32"/>
    </w:rPr>
  </w:style>
  <w:style w:type="paragraph" w:styleId="Heading2">
    <w:name w:val="heading 2"/>
    <w:basedOn w:val="Normal"/>
    <w:next w:val="Normal"/>
    <w:link w:val="Heading2Char"/>
    <w:qFormat/>
    <w:pPr>
      <w:keepNext/>
      <w:outlineLvl w:val="1"/>
    </w:pPr>
    <w:rPr>
      <w:b/>
      <w:bCs/>
      <w:iCs/>
      <w:noProof/>
      <w:szCs w:val="28"/>
    </w:rPr>
  </w:style>
  <w:style w:type="paragraph" w:styleId="Heading3">
    <w:name w:val="heading 3"/>
    <w:basedOn w:val="Normal"/>
    <w:next w:val="Normal"/>
    <w:qFormat/>
    <w:pPr>
      <w:keepNext/>
      <w:numPr>
        <w:ilvl w:val="2"/>
        <w:numId w:val="8"/>
      </w:numPr>
      <w:outlineLvl w:val="2"/>
    </w:pPr>
    <w:rPr>
      <w:bCs/>
      <w:i/>
      <w:szCs w:val="26"/>
    </w:rPr>
  </w:style>
  <w:style w:type="paragraph" w:styleId="Heading4">
    <w:name w:val="heading 4"/>
    <w:basedOn w:val="Normal"/>
    <w:next w:val="Normal"/>
    <w:qFormat/>
    <w:pPr>
      <w:keepNext/>
      <w:numPr>
        <w:ilvl w:val="3"/>
        <w:numId w:val="8"/>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aliases w:val="BVI fnr"/>
    <w:uiPriority w:val="99"/>
    <w:semiHidden/>
    <w:rPr>
      <w:shd w:val="clear" w:color="auto" w:fill="auto"/>
      <w:vertAlign w:val="superscript"/>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t"/>
    <w:basedOn w:val="Normal"/>
    <w:link w:val="FootnoteTextChar"/>
    <w:uiPriority w:val="99"/>
    <w:pPr>
      <w:spacing w:before="0"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pPr>
      <w:tabs>
        <w:tab w:val="center" w:pos="4535"/>
        <w:tab w:val="right" w:pos="9071"/>
      </w:tabs>
    </w:pPr>
  </w:style>
  <w:style w:type="paragraph" w:customStyle="1" w:styleId="HeaderLandscape">
    <w:name w:val="HeaderLandscape"/>
    <w:basedOn w:val="Normal"/>
    <w:pPr>
      <w:tabs>
        <w:tab w:val="center" w:pos="7285"/>
        <w:tab w:val="right" w:pos="14003"/>
      </w:tabs>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pPr>
      <w:numPr>
        <w:numId w:val="9"/>
      </w:numPr>
    </w:pPr>
  </w:style>
  <w:style w:type="paragraph" w:customStyle="1" w:styleId="NumPar2">
    <w:name w:val="NumPar 2"/>
    <w:basedOn w:val="Normal"/>
    <w:next w:val="Normal"/>
    <w:pPr>
      <w:numPr>
        <w:ilvl w:val="1"/>
        <w:numId w:val="9"/>
      </w:numPr>
    </w:pPr>
  </w:style>
  <w:style w:type="paragraph" w:customStyle="1" w:styleId="NumPar3">
    <w:name w:val="NumPar 3"/>
    <w:basedOn w:val="Normal"/>
    <w:next w:val="Normal"/>
    <w:pPr>
      <w:numPr>
        <w:ilvl w:val="2"/>
        <w:numId w:val="9"/>
      </w:numPr>
    </w:pPr>
  </w:style>
  <w:style w:type="paragraph" w:customStyle="1" w:styleId="NumPar4">
    <w:name w:val="NumPar 4"/>
    <w:basedOn w:val="Normal"/>
    <w:next w:val="Normal"/>
    <w:pPr>
      <w:numPr>
        <w:ilvl w:val="3"/>
        <w:numId w:val="9"/>
      </w:numPr>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10"/>
      </w:numPr>
    </w:pPr>
  </w:style>
  <w:style w:type="paragraph" w:customStyle="1" w:styleId="Point0number">
    <w:name w:val="Point 0 (number)"/>
    <w:basedOn w:val="Normal"/>
    <w:pPr>
      <w:numPr>
        <w:numId w:val="10"/>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10"/>
      </w:numPr>
    </w:pPr>
  </w:style>
  <w:style w:type="paragraph" w:customStyle="1" w:styleId="Point1number">
    <w:name w:val="Point 1 (number)"/>
    <w:basedOn w:val="Normal"/>
    <w:pPr>
      <w:numPr>
        <w:ilvl w:val="2"/>
        <w:numId w:val="10"/>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10"/>
      </w:numPr>
    </w:pPr>
  </w:style>
  <w:style w:type="paragraph" w:customStyle="1" w:styleId="Point2number">
    <w:name w:val="Point 2 (number)"/>
    <w:basedOn w:val="Normal"/>
    <w:pPr>
      <w:numPr>
        <w:ilvl w:val="4"/>
        <w:numId w:val="10"/>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10"/>
      </w:numPr>
    </w:pPr>
  </w:style>
  <w:style w:type="paragraph" w:customStyle="1" w:styleId="Point3number">
    <w:name w:val="Point 3 (number)"/>
    <w:basedOn w:val="Normal"/>
    <w:pPr>
      <w:numPr>
        <w:ilvl w:val="6"/>
        <w:numId w:val="10"/>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1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qFormat/>
    <w:pPr>
      <w:tabs>
        <w:tab w:val="right" w:leader="dot" w:pos="9071"/>
      </w:tabs>
      <w:spacing w:before="60"/>
      <w:ind w:left="850" w:hanging="850"/>
      <w:jc w:val="left"/>
    </w:pPr>
  </w:style>
  <w:style w:type="paragraph" w:styleId="TOC2">
    <w:name w:val="toc 2"/>
    <w:basedOn w:val="Normal"/>
    <w:next w:val="Normal"/>
    <w:uiPriority w:val="39"/>
    <w:qFormat/>
    <w:pPr>
      <w:tabs>
        <w:tab w:val="right" w:leader="dot" w:pos="9071"/>
      </w:tabs>
      <w:spacing w:before="60"/>
      <w:ind w:left="850" w:hanging="850"/>
      <w:jc w:val="left"/>
    </w:pPr>
  </w:style>
  <w:style w:type="paragraph" w:styleId="TOC3">
    <w:name w:val="toc 3"/>
    <w:basedOn w:val="Normal"/>
    <w:next w:val="Normal"/>
    <w:uiPriority w:val="39"/>
    <w:qFormat/>
    <w:pPr>
      <w:tabs>
        <w:tab w:val="right" w:leader="dot" w:pos="9071"/>
      </w:tabs>
      <w:spacing w:before="60"/>
      <w:ind w:left="850" w:hanging="850"/>
      <w:jc w:val="left"/>
    </w:pPr>
  </w:style>
  <w:style w:type="paragraph" w:styleId="TOC4">
    <w:name w:val="toc 4"/>
    <w:basedOn w:val="Normal"/>
    <w:next w:val="Normal"/>
    <w:semiHidden/>
    <w:pPr>
      <w:tabs>
        <w:tab w:val="right" w:leader="dot" w:pos="9071"/>
      </w:tabs>
      <w:spacing w:before="60"/>
      <w:ind w:left="850" w:hanging="850"/>
      <w:jc w:val="left"/>
    </w:pPr>
  </w:style>
  <w:style w:type="paragraph" w:styleId="TOC5">
    <w:name w:val="toc 5"/>
    <w:basedOn w:val="Normal"/>
    <w:next w:val="Normal"/>
    <w:semiHidden/>
    <w:pPr>
      <w:tabs>
        <w:tab w:val="right" w:leader="dot" w:pos="9071"/>
      </w:tabs>
      <w:spacing w:before="300"/>
      <w:jc w:val="left"/>
    </w:pPr>
  </w:style>
  <w:style w:type="paragraph" w:styleId="TOC6">
    <w:name w:val="toc 6"/>
    <w:basedOn w:val="Normal"/>
    <w:next w:val="Normal"/>
    <w:semiHidden/>
    <w:pPr>
      <w:tabs>
        <w:tab w:val="right" w:leader="dot" w:pos="9071"/>
      </w:tabs>
      <w:spacing w:before="240"/>
      <w:jc w:val="left"/>
    </w:pPr>
  </w:style>
  <w:style w:type="paragraph" w:styleId="TOC7">
    <w:name w:val="toc 7"/>
    <w:basedOn w:val="Normal"/>
    <w:next w:val="Normal"/>
    <w:semiHidden/>
    <w:pPr>
      <w:tabs>
        <w:tab w:val="right" w:leader="dot" w:pos="9071"/>
      </w:tabs>
      <w:spacing w:before="180"/>
      <w:jc w:val="left"/>
    </w:pPr>
  </w:style>
  <w:style w:type="paragraph" w:styleId="TOC8">
    <w:name w:val="toc 8"/>
    <w:basedOn w:val="Normal"/>
    <w:next w:val="Normal"/>
    <w:semiHidden/>
    <w:pPr>
      <w:tabs>
        <w:tab w:val="right" w:leader="dot" w:pos="9071"/>
      </w:tabs>
      <w:jc w:val="left"/>
    </w:pPr>
  </w:style>
  <w:style w:type="paragraph" w:styleId="TOC9">
    <w:name w:val="toc 9"/>
    <w:basedOn w:val="Normal"/>
    <w:next w:val="Normal"/>
    <w:semiHidden/>
    <w:pPr>
      <w:tabs>
        <w:tab w:val="right" w:leader="dot" w:pos="9071"/>
      </w:tabs>
    </w:pPr>
  </w:style>
  <w:style w:type="paragraph" w:styleId="TOCHeading">
    <w:name w:val="TOC Heading"/>
    <w:basedOn w:val="Normal"/>
    <w:next w:val="Normal"/>
    <w:link w:val="TOCHeadingChar"/>
    <w:uiPriority w:val="39"/>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character" w:customStyle="1" w:styleId="Funotenzeichen">
    <w:name w:val="Fußnotenzeichen"/>
    <w:rPr>
      <w:rFonts w:cs="Times New Roman"/>
      <w:shd w:val="clear" w:color="auto" w:fill="auto"/>
      <w:vertAlign w:val="superscript"/>
    </w:rPr>
  </w:style>
  <w:style w:type="character" w:styleId="Hyperlink">
    <w:name w:val="Hyperlink"/>
    <w:uiPriority w:val="99"/>
    <w:rPr>
      <w:rFonts w:cs="Times New Roman"/>
      <w:color w:val="0000FF"/>
      <w:u w:val="single"/>
      <w:shd w:val="clear" w:color="auto" w:fill="auto"/>
    </w:rPr>
  </w:style>
  <w:style w:type="character" w:styleId="Emphasis">
    <w:name w:val="Emphasis"/>
    <w:qFormat/>
    <w:rPr>
      <w:rFonts w:cs="Times New Roman"/>
      <w:i/>
      <w:iCs/>
      <w:shd w:val="clear" w:color="auto" w:fill="auto"/>
    </w:rPr>
  </w:style>
  <w:style w:type="paragraph" w:styleId="ListBullet">
    <w:name w:val="List Bullet"/>
    <w:basedOn w:val="Normal"/>
    <w:pPr>
      <w:numPr>
        <w:numId w:val="30"/>
      </w:numPr>
    </w:pPr>
    <w:rPr>
      <w:lang w:eastAsia="de-DE"/>
    </w:rPr>
  </w:style>
  <w:style w:type="paragraph" w:styleId="ListNumber">
    <w:name w:val="List Number"/>
    <w:basedOn w:val="Normal"/>
    <w:pPr>
      <w:numPr>
        <w:numId w:val="16"/>
      </w:numPr>
    </w:pPr>
    <w:rPr>
      <w:lang w:eastAsia="de-DE"/>
    </w:rPr>
  </w:style>
  <w:style w:type="paragraph" w:customStyle="1" w:styleId="ListDash">
    <w:name w:val="List Dash"/>
    <w:basedOn w:val="Normal"/>
    <w:pPr>
      <w:numPr>
        <w:numId w:val="25"/>
      </w:numPr>
    </w:pPr>
    <w:rPr>
      <w:lang w:eastAsia="de-DE"/>
    </w:rPr>
  </w:style>
  <w:style w:type="paragraph" w:customStyle="1" w:styleId="ListNumberLevel2">
    <w:name w:val="List Number (Level 2)"/>
    <w:basedOn w:val="Normal"/>
    <w:pPr>
      <w:numPr>
        <w:ilvl w:val="1"/>
        <w:numId w:val="16"/>
      </w:numPr>
    </w:pPr>
    <w:rPr>
      <w:lang w:eastAsia="de-DE"/>
    </w:rPr>
  </w:style>
  <w:style w:type="paragraph" w:customStyle="1" w:styleId="ListNumberLevel3">
    <w:name w:val="List Number (Level 3)"/>
    <w:basedOn w:val="Normal"/>
    <w:pPr>
      <w:numPr>
        <w:ilvl w:val="2"/>
        <w:numId w:val="16"/>
      </w:numPr>
    </w:pPr>
    <w:rPr>
      <w:lang w:eastAsia="de-DE"/>
    </w:rPr>
  </w:style>
  <w:style w:type="paragraph" w:customStyle="1" w:styleId="ListNumberLevel4">
    <w:name w:val="List Number (Level 4)"/>
    <w:basedOn w:val="Normal"/>
    <w:pPr>
      <w:numPr>
        <w:ilvl w:val="3"/>
        <w:numId w:val="16"/>
      </w:numPr>
    </w:pPr>
    <w:rPr>
      <w:lang w:eastAsia="de-DE"/>
    </w:rPr>
  </w:style>
  <w:style w:type="paragraph" w:styleId="Caption">
    <w:name w:val="caption"/>
    <w:basedOn w:val="Normal"/>
    <w:next w:val="Normal"/>
    <w:qFormat/>
    <w:rPr>
      <w:b/>
      <w:bCs/>
      <w:sz w:val="20"/>
      <w:szCs w:val="20"/>
    </w:rPr>
  </w:style>
  <w:style w:type="paragraph" w:styleId="TableofFigures">
    <w:name w:val="table of figures"/>
    <w:basedOn w:val="Normal"/>
    <w:next w:val="Normal"/>
  </w:style>
  <w:style w:type="character" w:styleId="CommentReference">
    <w:name w:val="annotation reference"/>
    <w:rPr>
      <w:sz w:val="16"/>
      <w:szCs w:val="16"/>
      <w:shd w:val="clear" w:color="auto" w:fill="aut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shd w:val="clear" w:color="auto" w:fill="auto"/>
      <w:lang w:eastAsia="en-US"/>
    </w:rPr>
  </w:style>
  <w:style w:type="paragraph" w:styleId="ListNumber2">
    <w:name w:val="List Number 2"/>
    <w:basedOn w:val="Normal"/>
    <w:pPr>
      <w:numPr>
        <w:numId w:val="18"/>
      </w:numPr>
    </w:pPr>
    <w:rPr>
      <w:lang w:eastAsia="de-DE"/>
    </w:rPr>
  </w:style>
  <w:style w:type="paragraph" w:styleId="ListNumber3">
    <w:name w:val="List Number 3"/>
    <w:basedOn w:val="Normal"/>
    <w:pPr>
      <w:numPr>
        <w:numId w:val="19"/>
      </w:numPr>
    </w:pPr>
    <w:rPr>
      <w:lang w:eastAsia="de-DE"/>
    </w:rPr>
  </w:style>
  <w:style w:type="paragraph" w:styleId="ListNumber4">
    <w:name w:val="List Number 4"/>
    <w:basedOn w:val="Normal"/>
    <w:pPr>
      <w:numPr>
        <w:numId w:val="20"/>
      </w:numPr>
    </w:pPr>
    <w:rPr>
      <w:lang w:eastAsia="de-DE"/>
    </w:rPr>
  </w:style>
  <w:style w:type="paragraph" w:customStyle="1" w:styleId="ListNumber1">
    <w:name w:val="List Number 1"/>
    <w:basedOn w:val="Text1"/>
    <w:pPr>
      <w:numPr>
        <w:numId w:val="17"/>
      </w:numPr>
    </w:pPr>
    <w:rPr>
      <w:lang w:eastAsia="de-DE"/>
    </w:rPr>
  </w:style>
  <w:style w:type="paragraph" w:customStyle="1" w:styleId="ListNumber1Level2">
    <w:name w:val="List Number 1 (Level 2)"/>
    <w:basedOn w:val="Text1"/>
    <w:pPr>
      <w:numPr>
        <w:ilvl w:val="1"/>
        <w:numId w:val="17"/>
      </w:numPr>
    </w:pPr>
    <w:rPr>
      <w:lang w:eastAsia="de-DE"/>
    </w:rPr>
  </w:style>
  <w:style w:type="paragraph" w:customStyle="1" w:styleId="ListNumber2Level2">
    <w:name w:val="List Number 2 (Level 2)"/>
    <w:basedOn w:val="Text2"/>
    <w:pPr>
      <w:numPr>
        <w:ilvl w:val="1"/>
        <w:numId w:val="18"/>
      </w:numPr>
    </w:pPr>
    <w:rPr>
      <w:lang w:eastAsia="de-DE"/>
    </w:rPr>
  </w:style>
  <w:style w:type="paragraph" w:customStyle="1" w:styleId="ListNumber3Level2">
    <w:name w:val="List Number 3 (Level 2)"/>
    <w:basedOn w:val="Text3"/>
    <w:pPr>
      <w:numPr>
        <w:ilvl w:val="1"/>
        <w:numId w:val="19"/>
      </w:numPr>
    </w:pPr>
    <w:rPr>
      <w:lang w:eastAsia="de-DE"/>
    </w:rPr>
  </w:style>
  <w:style w:type="paragraph" w:customStyle="1" w:styleId="ListNumber4Level2">
    <w:name w:val="List Number 4 (Level 2)"/>
    <w:basedOn w:val="Text4"/>
    <w:pPr>
      <w:numPr>
        <w:ilvl w:val="1"/>
        <w:numId w:val="20"/>
      </w:numPr>
    </w:pPr>
    <w:rPr>
      <w:lang w:eastAsia="de-DE"/>
    </w:rPr>
  </w:style>
  <w:style w:type="paragraph" w:customStyle="1" w:styleId="ListNumber1Level3">
    <w:name w:val="List Number 1 (Level 3)"/>
    <w:basedOn w:val="Text1"/>
    <w:pPr>
      <w:numPr>
        <w:ilvl w:val="2"/>
        <w:numId w:val="17"/>
      </w:numPr>
    </w:pPr>
    <w:rPr>
      <w:lang w:eastAsia="de-DE"/>
    </w:rPr>
  </w:style>
  <w:style w:type="paragraph" w:customStyle="1" w:styleId="ListNumber2Level3">
    <w:name w:val="List Number 2 (Level 3)"/>
    <w:basedOn w:val="Text2"/>
    <w:pPr>
      <w:numPr>
        <w:ilvl w:val="2"/>
        <w:numId w:val="18"/>
      </w:numPr>
    </w:pPr>
    <w:rPr>
      <w:lang w:eastAsia="de-DE"/>
    </w:rPr>
  </w:style>
  <w:style w:type="paragraph" w:customStyle="1" w:styleId="ListNumber3Level3">
    <w:name w:val="List Number 3 (Level 3)"/>
    <w:basedOn w:val="Text3"/>
    <w:pPr>
      <w:numPr>
        <w:ilvl w:val="2"/>
        <w:numId w:val="19"/>
      </w:numPr>
    </w:pPr>
    <w:rPr>
      <w:lang w:eastAsia="de-DE"/>
    </w:rPr>
  </w:style>
  <w:style w:type="paragraph" w:customStyle="1" w:styleId="ListNumber4Level3">
    <w:name w:val="List Number 4 (Level 3)"/>
    <w:basedOn w:val="Text4"/>
    <w:pPr>
      <w:numPr>
        <w:ilvl w:val="2"/>
        <w:numId w:val="20"/>
      </w:numPr>
    </w:pPr>
    <w:rPr>
      <w:lang w:eastAsia="de-DE"/>
    </w:rPr>
  </w:style>
  <w:style w:type="paragraph" w:customStyle="1" w:styleId="ListNumber1Level4">
    <w:name w:val="List Number 1 (Level 4)"/>
    <w:basedOn w:val="Text1"/>
    <w:pPr>
      <w:numPr>
        <w:ilvl w:val="3"/>
        <w:numId w:val="17"/>
      </w:numPr>
    </w:pPr>
    <w:rPr>
      <w:lang w:eastAsia="de-DE"/>
    </w:rPr>
  </w:style>
  <w:style w:type="paragraph" w:customStyle="1" w:styleId="ListNumber2Level4">
    <w:name w:val="List Number 2 (Level 4)"/>
    <w:basedOn w:val="Text2"/>
    <w:pPr>
      <w:numPr>
        <w:ilvl w:val="3"/>
        <w:numId w:val="18"/>
      </w:numPr>
    </w:pPr>
    <w:rPr>
      <w:lang w:eastAsia="de-DE"/>
    </w:rPr>
  </w:style>
  <w:style w:type="paragraph" w:customStyle="1" w:styleId="ListNumber3Level4">
    <w:name w:val="List Number 3 (Level 4)"/>
    <w:basedOn w:val="Text3"/>
    <w:pPr>
      <w:numPr>
        <w:ilvl w:val="3"/>
        <w:numId w:val="19"/>
      </w:numPr>
    </w:pPr>
    <w:rPr>
      <w:lang w:eastAsia="de-DE"/>
    </w:rPr>
  </w:style>
  <w:style w:type="paragraph" w:customStyle="1" w:styleId="ListNumber4Level4">
    <w:name w:val="List Number 4 (Level 4)"/>
    <w:basedOn w:val="Text4"/>
    <w:pPr>
      <w:numPr>
        <w:ilvl w:val="3"/>
        <w:numId w:val="20"/>
      </w:numPr>
    </w:pPr>
    <w:rPr>
      <w:lang w:eastAsia="de-DE"/>
    </w:rPr>
  </w:style>
  <w:style w:type="paragraph" w:customStyle="1" w:styleId="ListBullet1">
    <w:name w:val="List Bullet 1"/>
    <w:basedOn w:val="Normal"/>
    <w:pPr>
      <w:numPr>
        <w:numId w:val="21"/>
      </w:numPr>
    </w:pPr>
    <w:rPr>
      <w:lang w:eastAsia="de-DE"/>
    </w:rPr>
  </w:style>
  <w:style w:type="paragraph" w:styleId="ListBullet2">
    <w:name w:val="List Bullet 2"/>
    <w:basedOn w:val="Normal"/>
    <w:pPr>
      <w:numPr>
        <w:numId w:val="22"/>
      </w:numPr>
    </w:pPr>
    <w:rPr>
      <w:lang w:eastAsia="de-DE"/>
    </w:rPr>
  </w:style>
  <w:style w:type="paragraph" w:styleId="ListBullet3">
    <w:name w:val="List Bullet 3"/>
    <w:basedOn w:val="Normal"/>
    <w:pPr>
      <w:numPr>
        <w:numId w:val="23"/>
      </w:numPr>
    </w:pPr>
    <w:rPr>
      <w:lang w:eastAsia="de-DE"/>
    </w:rPr>
  </w:style>
  <w:style w:type="paragraph" w:styleId="ListBullet4">
    <w:name w:val="List Bullet 4"/>
    <w:basedOn w:val="Normal"/>
    <w:pPr>
      <w:numPr>
        <w:numId w:val="24"/>
      </w:numPr>
    </w:pPr>
    <w:rPr>
      <w:lang w:eastAsia="de-DE"/>
    </w:rPr>
  </w:style>
  <w:style w:type="paragraph" w:customStyle="1" w:styleId="ListDash1">
    <w:name w:val="List Dash 1"/>
    <w:basedOn w:val="Normal"/>
    <w:pPr>
      <w:numPr>
        <w:numId w:val="26"/>
      </w:numPr>
    </w:pPr>
    <w:rPr>
      <w:lang w:eastAsia="de-DE"/>
    </w:rPr>
  </w:style>
  <w:style w:type="paragraph" w:customStyle="1" w:styleId="ListDash2">
    <w:name w:val="List Dash 2"/>
    <w:basedOn w:val="Normal"/>
    <w:pPr>
      <w:numPr>
        <w:numId w:val="27"/>
      </w:numPr>
    </w:pPr>
    <w:rPr>
      <w:lang w:eastAsia="de-DE"/>
    </w:rPr>
  </w:style>
  <w:style w:type="paragraph" w:customStyle="1" w:styleId="ListDash3">
    <w:name w:val="List Dash 3"/>
    <w:basedOn w:val="Normal"/>
    <w:pPr>
      <w:numPr>
        <w:numId w:val="28"/>
      </w:numPr>
    </w:pPr>
    <w:rPr>
      <w:lang w:eastAsia="de-DE"/>
    </w:rPr>
  </w:style>
  <w:style w:type="paragraph" w:customStyle="1" w:styleId="ListDash4">
    <w:name w:val="List Dash 4"/>
    <w:basedOn w:val="Normal"/>
    <w:pPr>
      <w:numPr>
        <w:numId w:val="29"/>
      </w:numPr>
    </w:pPr>
    <w:rPr>
      <w:lang w:eastAsia="de-DE"/>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shd w:val="clear" w:color="auto" w:fill="auto"/>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hd w:val="clear" w:color="auto" w:fill="auto"/>
      <w:lang w:eastAsia="en-US"/>
    </w:rPr>
  </w:style>
  <w:style w:type="paragraph" w:customStyle="1" w:styleId="Default">
    <w:name w:val="Default"/>
    <w:pPr>
      <w:autoSpaceDE w:val="0"/>
      <w:autoSpaceDN w:val="0"/>
      <w:adjustRightInd w:val="0"/>
    </w:pPr>
    <w:rPr>
      <w:color w:val="000000"/>
      <w:sz w:val="24"/>
      <w:szCs w:val="24"/>
    </w:rPr>
  </w:style>
  <w:style w:type="paragraph" w:styleId="DocumentMap">
    <w:name w:val="Document Map"/>
    <w:basedOn w:val="Normal"/>
    <w:link w:val="DocumentMapChar"/>
    <w:pPr>
      <w:shd w:val="clear" w:color="auto" w:fill="000080"/>
    </w:pPr>
    <w:rPr>
      <w:rFonts w:ascii="Tahoma" w:hAnsi="Tahoma" w:cs="Tahoma"/>
      <w:sz w:val="20"/>
      <w:szCs w:val="20"/>
    </w:rPr>
  </w:style>
  <w:style w:type="character" w:customStyle="1" w:styleId="DocumentMapChar">
    <w:name w:val="Document Map Char"/>
    <w:link w:val="DocumentMap"/>
    <w:rPr>
      <w:rFonts w:ascii="Tahoma" w:hAnsi="Tahoma" w:cs="Tahoma"/>
      <w:shd w:val="clear" w:color="auto" w:fill="000080"/>
      <w:lang w:eastAsia="en-US"/>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t Char"/>
    <w:link w:val="FootnoteText"/>
    <w:uiPriority w:val="99"/>
    <w:rPr>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Pr>
      <w:b/>
      <w:sz w:val="28"/>
      <w:szCs w:val="24"/>
      <w:shd w:val="clear" w:color="auto" w:fill="auto"/>
      <w:lang w:eastAsia="en-US"/>
    </w:rPr>
  </w:style>
  <w:style w:type="character" w:customStyle="1" w:styleId="FooterCoverPageChar">
    <w:name w:val="Footer Cover Page Char"/>
    <w:link w:val="FooterCoverPage"/>
    <w:rPr>
      <w:sz w:val="24"/>
      <w:szCs w:val="24"/>
      <w:lang w:eastAsia="en-US"/>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link w:val="HeaderCoverPage"/>
    <w:rPr>
      <w:sz w:val="24"/>
      <w:szCs w:val="24"/>
      <w:lang w:eastAsia="en-US"/>
    </w:rPr>
  </w:style>
  <w:style w:type="character" w:customStyle="1" w:styleId="FooterChar">
    <w:name w:val="Footer Char"/>
    <w:link w:val="Footer"/>
    <w:uiPriority w:val="99"/>
    <w:rPr>
      <w:sz w:val="24"/>
      <w:szCs w:val="24"/>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pPr>
      <w:spacing w:after="60"/>
      <w:jc w:val="center"/>
      <w:outlineLvl w:val="1"/>
    </w:pPr>
    <w:rPr>
      <w:rFonts w:ascii="Cambria" w:hAnsi="Cambria"/>
    </w:rPr>
  </w:style>
  <w:style w:type="character" w:customStyle="1" w:styleId="SubtitleChar">
    <w:name w:val="Subtitle Char"/>
    <w:link w:val="Subtitle"/>
    <w:rPr>
      <w:rFonts w:ascii="Cambria" w:eastAsia="Times New Roman" w:hAnsi="Cambria" w:cs="Times New Roman"/>
      <w:sz w:val="24"/>
      <w:szCs w:val="24"/>
      <w:shd w:val="clear" w:color="auto" w:fill="auto"/>
      <w:lang w:eastAsia="en-US"/>
    </w:rPr>
  </w:style>
  <w:style w:type="paragraph" w:styleId="NormalWeb">
    <w:name w:val="Normal (Web)"/>
    <w:basedOn w:val="Normal"/>
    <w:uiPriority w:val="99"/>
    <w:unhideWhenUsed/>
    <w:pPr>
      <w:spacing w:before="100" w:beforeAutospacing="1" w:after="100" w:afterAutospacing="1"/>
      <w:jc w:val="left"/>
    </w:pPr>
    <w:rPr>
      <w:lang w:eastAsia="en-GB"/>
    </w:rPr>
  </w:style>
  <w:style w:type="character" w:styleId="Strong">
    <w:name w:val="Strong"/>
    <w:uiPriority w:val="22"/>
    <w:qFormat/>
    <w:rPr>
      <w:b/>
      <w:bCs/>
      <w:shd w:val="clear" w:color="auto" w:fill="auto"/>
    </w:rPr>
  </w:style>
  <w:style w:type="paragraph" w:styleId="Revision">
    <w:name w:val="Revision"/>
    <w:hidden/>
    <w:uiPriority w:val="99"/>
    <w:semiHidden/>
    <w:rPr>
      <w:sz w:val="24"/>
      <w:szCs w:val="24"/>
      <w:lang w:eastAsia="en-US"/>
    </w:rPr>
  </w:style>
  <w:style w:type="character" w:customStyle="1" w:styleId="Heading1Char">
    <w:name w:val="Heading 1 Char"/>
    <w:link w:val="Heading1"/>
    <w:rPr>
      <w:b/>
      <w:bCs/>
      <w:smallCaps/>
      <w:sz w:val="24"/>
      <w:szCs w:val="32"/>
      <w:lang w:eastAsia="en-US"/>
    </w:rPr>
  </w:style>
  <w:style w:type="character" w:customStyle="1" w:styleId="Heading2Char">
    <w:name w:val="Heading 2 Char"/>
    <w:link w:val="Heading2"/>
    <w:rPr>
      <w:b/>
      <w:bCs/>
      <w:iCs/>
      <w:noProof/>
      <w:sz w:val="24"/>
      <w:szCs w:val="28"/>
      <w:lang w:eastAsia="en-US"/>
    </w:rPr>
  </w:style>
  <w:style w:type="character" w:styleId="FollowedHyperlink">
    <w:name w:val="FollowedHyperlink"/>
    <w:rPr>
      <w:color w:val="800080"/>
      <w:u w:val="single"/>
      <w:shd w:val="clear" w:color="auto" w:fill="auto"/>
    </w:rPr>
  </w:style>
  <w:style w:type="paragraph" w:styleId="EndnoteText">
    <w:name w:val="endnote text"/>
    <w:basedOn w:val="Normal"/>
    <w:link w:val="EndnoteTextChar"/>
    <w:rPr>
      <w:sz w:val="20"/>
      <w:szCs w:val="20"/>
    </w:rPr>
  </w:style>
  <w:style w:type="character" w:customStyle="1" w:styleId="EndnoteTextChar">
    <w:name w:val="Endnote Text Char"/>
    <w:link w:val="EndnoteText"/>
    <w:rPr>
      <w:shd w:val="clear" w:color="auto" w:fill="auto"/>
      <w:lang w:eastAsia="en-US"/>
    </w:rPr>
  </w:style>
  <w:style w:type="character" w:styleId="EndnoteReference">
    <w:name w:val="endnote reference"/>
    <w:rPr>
      <w:shd w:val="clear" w:color="auto" w:fill="auto"/>
      <w:vertAlign w:val="superscript"/>
    </w:rPr>
  </w:style>
  <w:style w:type="paragraph" w:customStyle="1" w:styleId="BBullets2">
    <w:name w:val="B Bullets 2"/>
    <w:uiPriority w:val="20"/>
    <w:qFormat/>
    <w:pPr>
      <w:numPr>
        <w:ilvl w:val="1"/>
        <w:numId w:val="33"/>
      </w:numPr>
      <w:spacing w:before="60" w:after="60" w:line="320" w:lineRule="exact"/>
    </w:pPr>
    <w:rPr>
      <w:rFonts w:ascii="_GOPA TheSerif Light" w:eastAsia="Calibri" w:hAnsi="_GOPA TheSerif Light"/>
      <w:color w:val="000000"/>
      <w:sz w:val="19"/>
      <w:szCs w:val="22"/>
      <w:lang w:eastAsia="en-US"/>
    </w:rPr>
  </w:style>
  <w:style w:type="paragraph" w:customStyle="1" w:styleId="DBulletsgelb1">
    <w:name w:val="D Bullets gelb 1"/>
    <w:link w:val="DBulletsgelb1Zchn"/>
    <w:uiPriority w:val="54"/>
    <w:qFormat/>
    <w:pPr>
      <w:numPr>
        <w:numId w:val="33"/>
      </w:numPr>
      <w:pBdr>
        <w:top w:val="single" w:sz="4" w:space="0" w:color="FCF6E9"/>
        <w:left w:val="single" w:sz="4" w:space="8" w:color="FCF6E9"/>
        <w:bottom w:val="single" w:sz="4" w:space="0" w:color="FCF6E9"/>
        <w:right w:val="single" w:sz="4" w:space="4" w:color="FCF6E9"/>
      </w:pBdr>
      <w:shd w:val="clear" w:color="auto" w:fill="FCF6E9"/>
      <w:spacing w:line="320" w:lineRule="exact"/>
      <w:ind w:left="425" w:right="113" w:hanging="255"/>
    </w:pPr>
    <w:rPr>
      <w:rFonts w:ascii="_GOPA TheSerif Light" w:eastAsia="Calibri" w:hAnsi="_GOPA TheSerif Light"/>
      <w:color w:val="000000"/>
      <w:sz w:val="19"/>
      <w:szCs w:val="22"/>
      <w:lang w:eastAsia="de-DE"/>
    </w:rPr>
  </w:style>
  <w:style w:type="character" w:customStyle="1" w:styleId="DBulletsgelb1Zchn">
    <w:name w:val="D Bullets gelb 1 Zchn"/>
    <w:link w:val="DBulletsgelb1"/>
    <w:uiPriority w:val="54"/>
    <w:rPr>
      <w:rFonts w:ascii="_GOPA TheSerif Light" w:eastAsia="Calibri" w:hAnsi="_GOPA TheSerif Light"/>
      <w:color w:val="000000"/>
      <w:sz w:val="19"/>
      <w:szCs w:val="22"/>
      <w:shd w:val="clear" w:color="auto" w:fill="FCF6E9"/>
      <w:lang w:eastAsia="de-DE"/>
    </w:rPr>
  </w:style>
  <w:style w:type="character" w:customStyle="1" w:styleId="BHighlight1">
    <w:name w:val="B Highlight 1"/>
    <w:qFormat/>
    <w:rPr>
      <w:rFonts w:ascii="_GOPA TheSerif Light" w:hAnsi="_GOPA TheSerif Light"/>
      <w:b/>
      <w:color w:val="DC9300"/>
      <w:sz w:val="19"/>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szCs w:val="24"/>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basedOn w:val="DefaultParagraphFont"/>
    <w:link w:val="HeaderSensitivity"/>
    <w:rPr>
      <w:b/>
      <w:sz w:val="32"/>
      <w:szCs w:val="24"/>
      <w:lang w:eastAsia="en-US"/>
    </w:rPr>
  </w:style>
  <w:style w:type="paragraph" w:customStyle="1" w:styleId="SecurityMarking">
    <w:name w:val="SecurityMarking"/>
    <w:basedOn w:val="Normal"/>
    <w:pPr>
      <w:spacing w:before="0" w:after="0" w:line="276" w:lineRule="auto"/>
      <w:ind w:left="5103"/>
      <w:jc w:val="left"/>
    </w:pPr>
    <w:rPr>
      <w:rFonts w:eastAsiaTheme="minorHAnsi"/>
      <w:sz w:val="28"/>
      <w:szCs w:val="22"/>
    </w:rPr>
  </w:style>
  <w:style w:type="paragraph" w:customStyle="1" w:styleId="DateMarking">
    <w:name w:val="DateMarking"/>
    <w:basedOn w:val="Normal"/>
    <w:pPr>
      <w:spacing w:before="0" w:after="0" w:line="276" w:lineRule="auto"/>
      <w:ind w:left="5103"/>
      <w:jc w:val="left"/>
    </w:pPr>
    <w:rPr>
      <w:rFonts w:eastAsiaTheme="minorHAnsi"/>
      <w:i/>
      <w:sz w:val="28"/>
      <w:szCs w:val="22"/>
    </w:rPr>
  </w:style>
  <w:style w:type="paragraph" w:customStyle="1" w:styleId="ReleasableTo">
    <w:name w:val="ReleasableTo"/>
    <w:basedOn w:val="Normal"/>
    <w:pPr>
      <w:spacing w:before="0" w:after="0" w:line="276" w:lineRule="auto"/>
      <w:ind w:left="5103"/>
      <w:jc w:val="left"/>
    </w:pPr>
    <w:rPr>
      <w:rFonts w:eastAsiaTheme="minorHAnsi"/>
      <w:i/>
      <w:sz w:val="28"/>
      <w:szCs w:val="22"/>
    </w:rPr>
  </w:style>
  <w:style w:type="paragraph" w:customStyle="1" w:styleId="HeaderSensitivityRight">
    <w:name w:val="Header Sensitivity Right"/>
    <w:basedOn w:val="Normal"/>
    <w:pPr>
      <w:spacing w:before="0"/>
      <w:jc w:val="right"/>
    </w:pPr>
    <w:rPr>
      <w:sz w:val="28"/>
    </w:rPr>
  </w:style>
  <w:style w:type="character" w:customStyle="1" w:styleId="e24kjd">
    <w:name w:val="e24kjd"/>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sz w:val="24"/>
      <w:szCs w:val="24"/>
      <w:lang w:eastAsia="en-US"/>
    </w:rPr>
  </w:style>
  <w:style w:type="paragraph" w:styleId="Heading1">
    <w:name w:val="heading 1"/>
    <w:basedOn w:val="Normal"/>
    <w:next w:val="Normal"/>
    <w:link w:val="Heading1Char"/>
    <w:qFormat/>
    <w:pPr>
      <w:keepNext/>
      <w:numPr>
        <w:numId w:val="8"/>
      </w:numPr>
      <w:spacing w:before="360"/>
      <w:outlineLvl w:val="0"/>
    </w:pPr>
    <w:rPr>
      <w:b/>
      <w:bCs/>
      <w:smallCaps/>
      <w:szCs w:val="32"/>
    </w:rPr>
  </w:style>
  <w:style w:type="paragraph" w:styleId="Heading2">
    <w:name w:val="heading 2"/>
    <w:basedOn w:val="Normal"/>
    <w:next w:val="Normal"/>
    <w:link w:val="Heading2Char"/>
    <w:qFormat/>
    <w:pPr>
      <w:keepNext/>
      <w:outlineLvl w:val="1"/>
    </w:pPr>
    <w:rPr>
      <w:b/>
      <w:bCs/>
      <w:iCs/>
      <w:noProof/>
      <w:szCs w:val="28"/>
    </w:rPr>
  </w:style>
  <w:style w:type="paragraph" w:styleId="Heading3">
    <w:name w:val="heading 3"/>
    <w:basedOn w:val="Normal"/>
    <w:next w:val="Normal"/>
    <w:qFormat/>
    <w:pPr>
      <w:keepNext/>
      <w:numPr>
        <w:ilvl w:val="2"/>
        <w:numId w:val="8"/>
      </w:numPr>
      <w:outlineLvl w:val="2"/>
    </w:pPr>
    <w:rPr>
      <w:bCs/>
      <w:i/>
      <w:szCs w:val="26"/>
    </w:rPr>
  </w:style>
  <w:style w:type="paragraph" w:styleId="Heading4">
    <w:name w:val="heading 4"/>
    <w:basedOn w:val="Normal"/>
    <w:next w:val="Normal"/>
    <w:qFormat/>
    <w:pPr>
      <w:keepNext/>
      <w:numPr>
        <w:ilvl w:val="3"/>
        <w:numId w:val="8"/>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aliases w:val="BVI fnr"/>
    <w:uiPriority w:val="99"/>
    <w:semiHidden/>
    <w:rPr>
      <w:shd w:val="clear" w:color="auto" w:fill="auto"/>
      <w:vertAlign w:val="superscript"/>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t"/>
    <w:basedOn w:val="Normal"/>
    <w:link w:val="FootnoteTextChar"/>
    <w:uiPriority w:val="99"/>
    <w:pPr>
      <w:spacing w:before="0"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pPr>
      <w:tabs>
        <w:tab w:val="center" w:pos="4535"/>
        <w:tab w:val="right" w:pos="9071"/>
      </w:tabs>
    </w:pPr>
  </w:style>
  <w:style w:type="paragraph" w:customStyle="1" w:styleId="HeaderLandscape">
    <w:name w:val="HeaderLandscape"/>
    <w:basedOn w:val="Normal"/>
    <w:pPr>
      <w:tabs>
        <w:tab w:val="center" w:pos="7285"/>
        <w:tab w:val="right" w:pos="14003"/>
      </w:tabs>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pPr>
      <w:numPr>
        <w:numId w:val="9"/>
      </w:numPr>
    </w:pPr>
  </w:style>
  <w:style w:type="paragraph" w:customStyle="1" w:styleId="NumPar2">
    <w:name w:val="NumPar 2"/>
    <w:basedOn w:val="Normal"/>
    <w:next w:val="Normal"/>
    <w:pPr>
      <w:numPr>
        <w:ilvl w:val="1"/>
        <w:numId w:val="9"/>
      </w:numPr>
    </w:pPr>
  </w:style>
  <w:style w:type="paragraph" w:customStyle="1" w:styleId="NumPar3">
    <w:name w:val="NumPar 3"/>
    <w:basedOn w:val="Normal"/>
    <w:next w:val="Normal"/>
    <w:pPr>
      <w:numPr>
        <w:ilvl w:val="2"/>
        <w:numId w:val="9"/>
      </w:numPr>
    </w:pPr>
  </w:style>
  <w:style w:type="paragraph" w:customStyle="1" w:styleId="NumPar4">
    <w:name w:val="NumPar 4"/>
    <w:basedOn w:val="Normal"/>
    <w:next w:val="Normal"/>
    <w:pPr>
      <w:numPr>
        <w:ilvl w:val="3"/>
        <w:numId w:val="9"/>
      </w:numPr>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10"/>
      </w:numPr>
    </w:pPr>
  </w:style>
  <w:style w:type="paragraph" w:customStyle="1" w:styleId="Point0number">
    <w:name w:val="Point 0 (number)"/>
    <w:basedOn w:val="Normal"/>
    <w:pPr>
      <w:numPr>
        <w:numId w:val="10"/>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10"/>
      </w:numPr>
    </w:pPr>
  </w:style>
  <w:style w:type="paragraph" w:customStyle="1" w:styleId="Point1number">
    <w:name w:val="Point 1 (number)"/>
    <w:basedOn w:val="Normal"/>
    <w:pPr>
      <w:numPr>
        <w:ilvl w:val="2"/>
        <w:numId w:val="10"/>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10"/>
      </w:numPr>
    </w:pPr>
  </w:style>
  <w:style w:type="paragraph" w:customStyle="1" w:styleId="Point2number">
    <w:name w:val="Point 2 (number)"/>
    <w:basedOn w:val="Normal"/>
    <w:pPr>
      <w:numPr>
        <w:ilvl w:val="4"/>
        <w:numId w:val="10"/>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10"/>
      </w:numPr>
    </w:pPr>
  </w:style>
  <w:style w:type="paragraph" w:customStyle="1" w:styleId="Point3number">
    <w:name w:val="Point 3 (number)"/>
    <w:basedOn w:val="Normal"/>
    <w:pPr>
      <w:numPr>
        <w:ilvl w:val="6"/>
        <w:numId w:val="10"/>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1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qFormat/>
    <w:pPr>
      <w:tabs>
        <w:tab w:val="right" w:leader="dot" w:pos="9071"/>
      </w:tabs>
      <w:spacing w:before="60"/>
      <w:ind w:left="850" w:hanging="850"/>
      <w:jc w:val="left"/>
    </w:pPr>
  </w:style>
  <w:style w:type="paragraph" w:styleId="TOC2">
    <w:name w:val="toc 2"/>
    <w:basedOn w:val="Normal"/>
    <w:next w:val="Normal"/>
    <w:uiPriority w:val="39"/>
    <w:qFormat/>
    <w:pPr>
      <w:tabs>
        <w:tab w:val="right" w:leader="dot" w:pos="9071"/>
      </w:tabs>
      <w:spacing w:before="60"/>
      <w:ind w:left="850" w:hanging="850"/>
      <w:jc w:val="left"/>
    </w:pPr>
  </w:style>
  <w:style w:type="paragraph" w:styleId="TOC3">
    <w:name w:val="toc 3"/>
    <w:basedOn w:val="Normal"/>
    <w:next w:val="Normal"/>
    <w:uiPriority w:val="39"/>
    <w:qFormat/>
    <w:pPr>
      <w:tabs>
        <w:tab w:val="right" w:leader="dot" w:pos="9071"/>
      </w:tabs>
      <w:spacing w:before="60"/>
      <w:ind w:left="850" w:hanging="850"/>
      <w:jc w:val="left"/>
    </w:pPr>
  </w:style>
  <w:style w:type="paragraph" w:styleId="TOC4">
    <w:name w:val="toc 4"/>
    <w:basedOn w:val="Normal"/>
    <w:next w:val="Normal"/>
    <w:semiHidden/>
    <w:pPr>
      <w:tabs>
        <w:tab w:val="right" w:leader="dot" w:pos="9071"/>
      </w:tabs>
      <w:spacing w:before="60"/>
      <w:ind w:left="850" w:hanging="850"/>
      <w:jc w:val="left"/>
    </w:pPr>
  </w:style>
  <w:style w:type="paragraph" w:styleId="TOC5">
    <w:name w:val="toc 5"/>
    <w:basedOn w:val="Normal"/>
    <w:next w:val="Normal"/>
    <w:semiHidden/>
    <w:pPr>
      <w:tabs>
        <w:tab w:val="right" w:leader="dot" w:pos="9071"/>
      </w:tabs>
      <w:spacing w:before="300"/>
      <w:jc w:val="left"/>
    </w:pPr>
  </w:style>
  <w:style w:type="paragraph" w:styleId="TOC6">
    <w:name w:val="toc 6"/>
    <w:basedOn w:val="Normal"/>
    <w:next w:val="Normal"/>
    <w:semiHidden/>
    <w:pPr>
      <w:tabs>
        <w:tab w:val="right" w:leader="dot" w:pos="9071"/>
      </w:tabs>
      <w:spacing w:before="240"/>
      <w:jc w:val="left"/>
    </w:pPr>
  </w:style>
  <w:style w:type="paragraph" w:styleId="TOC7">
    <w:name w:val="toc 7"/>
    <w:basedOn w:val="Normal"/>
    <w:next w:val="Normal"/>
    <w:semiHidden/>
    <w:pPr>
      <w:tabs>
        <w:tab w:val="right" w:leader="dot" w:pos="9071"/>
      </w:tabs>
      <w:spacing w:before="180"/>
      <w:jc w:val="left"/>
    </w:pPr>
  </w:style>
  <w:style w:type="paragraph" w:styleId="TOC8">
    <w:name w:val="toc 8"/>
    <w:basedOn w:val="Normal"/>
    <w:next w:val="Normal"/>
    <w:semiHidden/>
    <w:pPr>
      <w:tabs>
        <w:tab w:val="right" w:leader="dot" w:pos="9071"/>
      </w:tabs>
      <w:jc w:val="left"/>
    </w:pPr>
  </w:style>
  <w:style w:type="paragraph" w:styleId="TOC9">
    <w:name w:val="toc 9"/>
    <w:basedOn w:val="Normal"/>
    <w:next w:val="Normal"/>
    <w:semiHidden/>
    <w:pPr>
      <w:tabs>
        <w:tab w:val="right" w:leader="dot" w:pos="9071"/>
      </w:tabs>
    </w:pPr>
  </w:style>
  <w:style w:type="paragraph" w:styleId="TOCHeading">
    <w:name w:val="TOC Heading"/>
    <w:basedOn w:val="Normal"/>
    <w:next w:val="Normal"/>
    <w:link w:val="TOCHeadingChar"/>
    <w:uiPriority w:val="39"/>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character" w:customStyle="1" w:styleId="Funotenzeichen">
    <w:name w:val="Fußnotenzeichen"/>
    <w:rPr>
      <w:rFonts w:cs="Times New Roman"/>
      <w:shd w:val="clear" w:color="auto" w:fill="auto"/>
      <w:vertAlign w:val="superscript"/>
    </w:rPr>
  </w:style>
  <w:style w:type="character" w:styleId="Hyperlink">
    <w:name w:val="Hyperlink"/>
    <w:uiPriority w:val="99"/>
    <w:rPr>
      <w:rFonts w:cs="Times New Roman"/>
      <w:color w:val="0000FF"/>
      <w:u w:val="single"/>
      <w:shd w:val="clear" w:color="auto" w:fill="auto"/>
    </w:rPr>
  </w:style>
  <w:style w:type="character" w:styleId="Emphasis">
    <w:name w:val="Emphasis"/>
    <w:qFormat/>
    <w:rPr>
      <w:rFonts w:cs="Times New Roman"/>
      <w:i/>
      <w:iCs/>
      <w:shd w:val="clear" w:color="auto" w:fill="auto"/>
    </w:rPr>
  </w:style>
  <w:style w:type="paragraph" w:styleId="ListBullet">
    <w:name w:val="List Bullet"/>
    <w:basedOn w:val="Normal"/>
    <w:pPr>
      <w:numPr>
        <w:numId w:val="30"/>
      </w:numPr>
    </w:pPr>
    <w:rPr>
      <w:lang w:eastAsia="de-DE"/>
    </w:rPr>
  </w:style>
  <w:style w:type="paragraph" w:styleId="ListNumber">
    <w:name w:val="List Number"/>
    <w:basedOn w:val="Normal"/>
    <w:pPr>
      <w:numPr>
        <w:numId w:val="16"/>
      </w:numPr>
    </w:pPr>
    <w:rPr>
      <w:lang w:eastAsia="de-DE"/>
    </w:rPr>
  </w:style>
  <w:style w:type="paragraph" w:customStyle="1" w:styleId="ListDash">
    <w:name w:val="List Dash"/>
    <w:basedOn w:val="Normal"/>
    <w:pPr>
      <w:numPr>
        <w:numId w:val="25"/>
      </w:numPr>
    </w:pPr>
    <w:rPr>
      <w:lang w:eastAsia="de-DE"/>
    </w:rPr>
  </w:style>
  <w:style w:type="paragraph" w:customStyle="1" w:styleId="ListNumberLevel2">
    <w:name w:val="List Number (Level 2)"/>
    <w:basedOn w:val="Normal"/>
    <w:pPr>
      <w:numPr>
        <w:ilvl w:val="1"/>
        <w:numId w:val="16"/>
      </w:numPr>
    </w:pPr>
    <w:rPr>
      <w:lang w:eastAsia="de-DE"/>
    </w:rPr>
  </w:style>
  <w:style w:type="paragraph" w:customStyle="1" w:styleId="ListNumberLevel3">
    <w:name w:val="List Number (Level 3)"/>
    <w:basedOn w:val="Normal"/>
    <w:pPr>
      <w:numPr>
        <w:ilvl w:val="2"/>
        <w:numId w:val="16"/>
      </w:numPr>
    </w:pPr>
    <w:rPr>
      <w:lang w:eastAsia="de-DE"/>
    </w:rPr>
  </w:style>
  <w:style w:type="paragraph" w:customStyle="1" w:styleId="ListNumberLevel4">
    <w:name w:val="List Number (Level 4)"/>
    <w:basedOn w:val="Normal"/>
    <w:pPr>
      <w:numPr>
        <w:ilvl w:val="3"/>
        <w:numId w:val="16"/>
      </w:numPr>
    </w:pPr>
    <w:rPr>
      <w:lang w:eastAsia="de-DE"/>
    </w:rPr>
  </w:style>
  <w:style w:type="paragraph" w:styleId="Caption">
    <w:name w:val="caption"/>
    <w:basedOn w:val="Normal"/>
    <w:next w:val="Normal"/>
    <w:qFormat/>
    <w:rPr>
      <w:b/>
      <w:bCs/>
      <w:sz w:val="20"/>
      <w:szCs w:val="20"/>
    </w:rPr>
  </w:style>
  <w:style w:type="paragraph" w:styleId="TableofFigures">
    <w:name w:val="table of figures"/>
    <w:basedOn w:val="Normal"/>
    <w:next w:val="Normal"/>
  </w:style>
  <w:style w:type="character" w:styleId="CommentReference">
    <w:name w:val="annotation reference"/>
    <w:rPr>
      <w:sz w:val="16"/>
      <w:szCs w:val="16"/>
      <w:shd w:val="clear" w:color="auto" w:fill="aut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shd w:val="clear" w:color="auto" w:fill="auto"/>
      <w:lang w:eastAsia="en-US"/>
    </w:rPr>
  </w:style>
  <w:style w:type="paragraph" w:styleId="ListNumber2">
    <w:name w:val="List Number 2"/>
    <w:basedOn w:val="Normal"/>
    <w:pPr>
      <w:numPr>
        <w:numId w:val="18"/>
      </w:numPr>
    </w:pPr>
    <w:rPr>
      <w:lang w:eastAsia="de-DE"/>
    </w:rPr>
  </w:style>
  <w:style w:type="paragraph" w:styleId="ListNumber3">
    <w:name w:val="List Number 3"/>
    <w:basedOn w:val="Normal"/>
    <w:pPr>
      <w:numPr>
        <w:numId w:val="19"/>
      </w:numPr>
    </w:pPr>
    <w:rPr>
      <w:lang w:eastAsia="de-DE"/>
    </w:rPr>
  </w:style>
  <w:style w:type="paragraph" w:styleId="ListNumber4">
    <w:name w:val="List Number 4"/>
    <w:basedOn w:val="Normal"/>
    <w:pPr>
      <w:numPr>
        <w:numId w:val="20"/>
      </w:numPr>
    </w:pPr>
    <w:rPr>
      <w:lang w:eastAsia="de-DE"/>
    </w:rPr>
  </w:style>
  <w:style w:type="paragraph" w:customStyle="1" w:styleId="ListNumber1">
    <w:name w:val="List Number 1"/>
    <w:basedOn w:val="Text1"/>
    <w:pPr>
      <w:numPr>
        <w:numId w:val="17"/>
      </w:numPr>
    </w:pPr>
    <w:rPr>
      <w:lang w:eastAsia="de-DE"/>
    </w:rPr>
  </w:style>
  <w:style w:type="paragraph" w:customStyle="1" w:styleId="ListNumber1Level2">
    <w:name w:val="List Number 1 (Level 2)"/>
    <w:basedOn w:val="Text1"/>
    <w:pPr>
      <w:numPr>
        <w:ilvl w:val="1"/>
        <w:numId w:val="17"/>
      </w:numPr>
    </w:pPr>
    <w:rPr>
      <w:lang w:eastAsia="de-DE"/>
    </w:rPr>
  </w:style>
  <w:style w:type="paragraph" w:customStyle="1" w:styleId="ListNumber2Level2">
    <w:name w:val="List Number 2 (Level 2)"/>
    <w:basedOn w:val="Text2"/>
    <w:pPr>
      <w:numPr>
        <w:ilvl w:val="1"/>
        <w:numId w:val="18"/>
      </w:numPr>
    </w:pPr>
    <w:rPr>
      <w:lang w:eastAsia="de-DE"/>
    </w:rPr>
  </w:style>
  <w:style w:type="paragraph" w:customStyle="1" w:styleId="ListNumber3Level2">
    <w:name w:val="List Number 3 (Level 2)"/>
    <w:basedOn w:val="Text3"/>
    <w:pPr>
      <w:numPr>
        <w:ilvl w:val="1"/>
        <w:numId w:val="19"/>
      </w:numPr>
    </w:pPr>
    <w:rPr>
      <w:lang w:eastAsia="de-DE"/>
    </w:rPr>
  </w:style>
  <w:style w:type="paragraph" w:customStyle="1" w:styleId="ListNumber4Level2">
    <w:name w:val="List Number 4 (Level 2)"/>
    <w:basedOn w:val="Text4"/>
    <w:pPr>
      <w:numPr>
        <w:ilvl w:val="1"/>
        <w:numId w:val="20"/>
      </w:numPr>
    </w:pPr>
    <w:rPr>
      <w:lang w:eastAsia="de-DE"/>
    </w:rPr>
  </w:style>
  <w:style w:type="paragraph" w:customStyle="1" w:styleId="ListNumber1Level3">
    <w:name w:val="List Number 1 (Level 3)"/>
    <w:basedOn w:val="Text1"/>
    <w:pPr>
      <w:numPr>
        <w:ilvl w:val="2"/>
        <w:numId w:val="17"/>
      </w:numPr>
    </w:pPr>
    <w:rPr>
      <w:lang w:eastAsia="de-DE"/>
    </w:rPr>
  </w:style>
  <w:style w:type="paragraph" w:customStyle="1" w:styleId="ListNumber2Level3">
    <w:name w:val="List Number 2 (Level 3)"/>
    <w:basedOn w:val="Text2"/>
    <w:pPr>
      <w:numPr>
        <w:ilvl w:val="2"/>
        <w:numId w:val="18"/>
      </w:numPr>
    </w:pPr>
    <w:rPr>
      <w:lang w:eastAsia="de-DE"/>
    </w:rPr>
  </w:style>
  <w:style w:type="paragraph" w:customStyle="1" w:styleId="ListNumber3Level3">
    <w:name w:val="List Number 3 (Level 3)"/>
    <w:basedOn w:val="Text3"/>
    <w:pPr>
      <w:numPr>
        <w:ilvl w:val="2"/>
        <w:numId w:val="19"/>
      </w:numPr>
    </w:pPr>
    <w:rPr>
      <w:lang w:eastAsia="de-DE"/>
    </w:rPr>
  </w:style>
  <w:style w:type="paragraph" w:customStyle="1" w:styleId="ListNumber4Level3">
    <w:name w:val="List Number 4 (Level 3)"/>
    <w:basedOn w:val="Text4"/>
    <w:pPr>
      <w:numPr>
        <w:ilvl w:val="2"/>
        <w:numId w:val="20"/>
      </w:numPr>
    </w:pPr>
    <w:rPr>
      <w:lang w:eastAsia="de-DE"/>
    </w:rPr>
  </w:style>
  <w:style w:type="paragraph" w:customStyle="1" w:styleId="ListNumber1Level4">
    <w:name w:val="List Number 1 (Level 4)"/>
    <w:basedOn w:val="Text1"/>
    <w:pPr>
      <w:numPr>
        <w:ilvl w:val="3"/>
        <w:numId w:val="17"/>
      </w:numPr>
    </w:pPr>
    <w:rPr>
      <w:lang w:eastAsia="de-DE"/>
    </w:rPr>
  </w:style>
  <w:style w:type="paragraph" w:customStyle="1" w:styleId="ListNumber2Level4">
    <w:name w:val="List Number 2 (Level 4)"/>
    <w:basedOn w:val="Text2"/>
    <w:pPr>
      <w:numPr>
        <w:ilvl w:val="3"/>
        <w:numId w:val="18"/>
      </w:numPr>
    </w:pPr>
    <w:rPr>
      <w:lang w:eastAsia="de-DE"/>
    </w:rPr>
  </w:style>
  <w:style w:type="paragraph" w:customStyle="1" w:styleId="ListNumber3Level4">
    <w:name w:val="List Number 3 (Level 4)"/>
    <w:basedOn w:val="Text3"/>
    <w:pPr>
      <w:numPr>
        <w:ilvl w:val="3"/>
        <w:numId w:val="19"/>
      </w:numPr>
    </w:pPr>
    <w:rPr>
      <w:lang w:eastAsia="de-DE"/>
    </w:rPr>
  </w:style>
  <w:style w:type="paragraph" w:customStyle="1" w:styleId="ListNumber4Level4">
    <w:name w:val="List Number 4 (Level 4)"/>
    <w:basedOn w:val="Text4"/>
    <w:pPr>
      <w:numPr>
        <w:ilvl w:val="3"/>
        <w:numId w:val="20"/>
      </w:numPr>
    </w:pPr>
    <w:rPr>
      <w:lang w:eastAsia="de-DE"/>
    </w:rPr>
  </w:style>
  <w:style w:type="paragraph" w:customStyle="1" w:styleId="ListBullet1">
    <w:name w:val="List Bullet 1"/>
    <w:basedOn w:val="Normal"/>
    <w:pPr>
      <w:numPr>
        <w:numId w:val="21"/>
      </w:numPr>
    </w:pPr>
    <w:rPr>
      <w:lang w:eastAsia="de-DE"/>
    </w:rPr>
  </w:style>
  <w:style w:type="paragraph" w:styleId="ListBullet2">
    <w:name w:val="List Bullet 2"/>
    <w:basedOn w:val="Normal"/>
    <w:pPr>
      <w:numPr>
        <w:numId w:val="22"/>
      </w:numPr>
    </w:pPr>
    <w:rPr>
      <w:lang w:eastAsia="de-DE"/>
    </w:rPr>
  </w:style>
  <w:style w:type="paragraph" w:styleId="ListBullet3">
    <w:name w:val="List Bullet 3"/>
    <w:basedOn w:val="Normal"/>
    <w:pPr>
      <w:numPr>
        <w:numId w:val="23"/>
      </w:numPr>
    </w:pPr>
    <w:rPr>
      <w:lang w:eastAsia="de-DE"/>
    </w:rPr>
  </w:style>
  <w:style w:type="paragraph" w:styleId="ListBullet4">
    <w:name w:val="List Bullet 4"/>
    <w:basedOn w:val="Normal"/>
    <w:pPr>
      <w:numPr>
        <w:numId w:val="24"/>
      </w:numPr>
    </w:pPr>
    <w:rPr>
      <w:lang w:eastAsia="de-DE"/>
    </w:rPr>
  </w:style>
  <w:style w:type="paragraph" w:customStyle="1" w:styleId="ListDash1">
    <w:name w:val="List Dash 1"/>
    <w:basedOn w:val="Normal"/>
    <w:pPr>
      <w:numPr>
        <w:numId w:val="26"/>
      </w:numPr>
    </w:pPr>
    <w:rPr>
      <w:lang w:eastAsia="de-DE"/>
    </w:rPr>
  </w:style>
  <w:style w:type="paragraph" w:customStyle="1" w:styleId="ListDash2">
    <w:name w:val="List Dash 2"/>
    <w:basedOn w:val="Normal"/>
    <w:pPr>
      <w:numPr>
        <w:numId w:val="27"/>
      </w:numPr>
    </w:pPr>
    <w:rPr>
      <w:lang w:eastAsia="de-DE"/>
    </w:rPr>
  </w:style>
  <w:style w:type="paragraph" w:customStyle="1" w:styleId="ListDash3">
    <w:name w:val="List Dash 3"/>
    <w:basedOn w:val="Normal"/>
    <w:pPr>
      <w:numPr>
        <w:numId w:val="28"/>
      </w:numPr>
    </w:pPr>
    <w:rPr>
      <w:lang w:eastAsia="de-DE"/>
    </w:rPr>
  </w:style>
  <w:style w:type="paragraph" w:customStyle="1" w:styleId="ListDash4">
    <w:name w:val="List Dash 4"/>
    <w:basedOn w:val="Normal"/>
    <w:pPr>
      <w:numPr>
        <w:numId w:val="29"/>
      </w:numPr>
    </w:pPr>
    <w:rPr>
      <w:lang w:eastAsia="de-DE"/>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shd w:val="clear" w:color="auto" w:fill="auto"/>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hd w:val="clear" w:color="auto" w:fill="auto"/>
      <w:lang w:eastAsia="en-US"/>
    </w:rPr>
  </w:style>
  <w:style w:type="paragraph" w:customStyle="1" w:styleId="Default">
    <w:name w:val="Default"/>
    <w:pPr>
      <w:autoSpaceDE w:val="0"/>
      <w:autoSpaceDN w:val="0"/>
      <w:adjustRightInd w:val="0"/>
    </w:pPr>
    <w:rPr>
      <w:color w:val="000000"/>
      <w:sz w:val="24"/>
      <w:szCs w:val="24"/>
    </w:rPr>
  </w:style>
  <w:style w:type="paragraph" w:styleId="DocumentMap">
    <w:name w:val="Document Map"/>
    <w:basedOn w:val="Normal"/>
    <w:link w:val="DocumentMapChar"/>
    <w:pPr>
      <w:shd w:val="clear" w:color="auto" w:fill="000080"/>
    </w:pPr>
    <w:rPr>
      <w:rFonts w:ascii="Tahoma" w:hAnsi="Tahoma" w:cs="Tahoma"/>
      <w:sz w:val="20"/>
      <w:szCs w:val="20"/>
    </w:rPr>
  </w:style>
  <w:style w:type="character" w:customStyle="1" w:styleId="DocumentMapChar">
    <w:name w:val="Document Map Char"/>
    <w:link w:val="DocumentMap"/>
    <w:rPr>
      <w:rFonts w:ascii="Tahoma" w:hAnsi="Tahoma" w:cs="Tahoma"/>
      <w:shd w:val="clear" w:color="auto" w:fill="000080"/>
      <w:lang w:eastAsia="en-US"/>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t Char"/>
    <w:link w:val="FootnoteText"/>
    <w:uiPriority w:val="99"/>
    <w:rPr>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Pr>
      <w:b/>
      <w:sz w:val="28"/>
      <w:szCs w:val="24"/>
      <w:shd w:val="clear" w:color="auto" w:fill="auto"/>
      <w:lang w:eastAsia="en-US"/>
    </w:rPr>
  </w:style>
  <w:style w:type="character" w:customStyle="1" w:styleId="FooterCoverPageChar">
    <w:name w:val="Footer Cover Page Char"/>
    <w:link w:val="FooterCoverPage"/>
    <w:rPr>
      <w:sz w:val="24"/>
      <w:szCs w:val="24"/>
      <w:lang w:eastAsia="en-US"/>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link w:val="HeaderCoverPage"/>
    <w:rPr>
      <w:sz w:val="24"/>
      <w:szCs w:val="24"/>
      <w:lang w:eastAsia="en-US"/>
    </w:rPr>
  </w:style>
  <w:style w:type="character" w:customStyle="1" w:styleId="FooterChar">
    <w:name w:val="Footer Char"/>
    <w:link w:val="Footer"/>
    <w:uiPriority w:val="99"/>
    <w:rPr>
      <w:sz w:val="24"/>
      <w:szCs w:val="24"/>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pPr>
      <w:spacing w:after="60"/>
      <w:jc w:val="center"/>
      <w:outlineLvl w:val="1"/>
    </w:pPr>
    <w:rPr>
      <w:rFonts w:ascii="Cambria" w:hAnsi="Cambria"/>
    </w:rPr>
  </w:style>
  <w:style w:type="character" w:customStyle="1" w:styleId="SubtitleChar">
    <w:name w:val="Subtitle Char"/>
    <w:link w:val="Subtitle"/>
    <w:rPr>
      <w:rFonts w:ascii="Cambria" w:eastAsia="Times New Roman" w:hAnsi="Cambria" w:cs="Times New Roman"/>
      <w:sz w:val="24"/>
      <w:szCs w:val="24"/>
      <w:shd w:val="clear" w:color="auto" w:fill="auto"/>
      <w:lang w:eastAsia="en-US"/>
    </w:rPr>
  </w:style>
  <w:style w:type="paragraph" w:styleId="NormalWeb">
    <w:name w:val="Normal (Web)"/>
    <w:basedOn w:val="Normal"/>
    <w:uiPriority w:val="99"/>
    <w:unhideWhenUsed/>
    <w:pPr>
      <w:spacing w:before="100" w:beforeAutospacing="1" w:after="100" w:afterAutospacing="1"/>
      <w:jc w:val="left"/>
    </w:pPr>
    <w:rPr>
      <w:lang w:eastAsia="en-GB"/>
    </w:rPr>
  </w:style>
  <w:style w:type="character" w:styleId="Strong">
    <w:name w:val="Strong"/>
    <w:uiPriority w:val="22"/>
    <w:qFormat/>
    <w:rPr>
      <w:b/>
      <w:bCs/>
      <w:shd w:val="clear" w:color="auto" w:fill="auto"/>
    </w:rPr>
  </w:style>
  <w:style w:type="paragraph" w:styleId="Revision">
    <w:name w:val="Revision"/>
    <w:hidden/>
    <w:uiPriority w:val="99"/>
    <w:semiHidden/>
    <w:rPr>
      <w:sz w:val="24"/>
      <w:szCs w:val="24"/>
      <w:lang w:eastAsia="en-US"/>
    </w:rPr>
  </w:style>
  <w:style w:type="character" w:customStyle="1" w:styleId="Heading1Char">
    <w:name w:val="Heading 1 Char"/>
    <w:link w:val="Heading1"/>
    <w:rPr>
      <w:b/>
      <w:bCs/>
      <w:smallCaps/>
      <w:sz w:val="24"/>
      <w:szCs w:val="32"/>
      <w:lang w:eastAsia="en-US"/>
    </w:rPr>
  </w:style>
  <w:style w:type="character" w:customStyle="1" w:styleId="Heading2Char">
    <w:name w:val="Heading 2 Char"/>
    <w:link w:val="Heading2"/>
    <w:rPr>
      <w:b/>
      <w:bCs/>
      <w:iCs/>
      <w:noProof/>
      <w:sz w:val="24"/>
      <w:szCs w:val="28"/>
      <w:lang w:eastAsia="en-US"/>
    </w:rPr>
  </w:style>
  <w:style w:type="character" w:styleId="FollowedHyperlink">
    <w:name w:val="FollowedHyperlink"/>
    <w:rPr>
      <w:color w:val="800080"/>
      <w:u w:val="single"/>
      <w:shd w:val="clear" w:color="auto" w:fill="auto"/>
    </w:rPr>
  </w:style>
  <w:style w:type="paragraph" w:styleId="EndnoteText">
    <w:name w:val="endnote text"/>
    <w:basedOn w:val="Normal"/>
    <w:link w:val="EndnoteTextChar"/>
    <w:rPr>
      <w:sz w:val="20"/>
      <w:szCs w:val="20"/>
    </w:rPr>
  </w:style>
  <w:style w:type="character" w:customStyle="1" w:styleId="EndnoteTextChar">
    <w:name w:val="Endnote Text Char"/>
    <w:link w:val="EndnoteText"/>
    <w:rPr>
      <w:shd w:val="clear" w:color="auto" w:fill="auto"/>
      <w:lang w:eastAsia="en-US"/>
    </w:rPr>
  </w:style>
  <w:style w:type="character" w:styleId="EndnoteReference">
    <w:name w:val="endnote reference"/>
    <w:rPr>
      <w:shd w:val="clear" w:color="auto" w:fill="auto"/>
      <w:vertAlign w:val="superscript"/>
    </w:rPr>
  </w:style>
  <w:style w:type="paragraph" w:customStyle="1" w:styleId="BBullets2">
    <w:name w:val="B Bullets 2"/>
    <w:uiPriority w:val="20"/>
    <w:qFormat/>
    <w:pPr>
      <w:numPr>
        <w:ilvl w:val="1"/>
        <w:numId w:val="33"/>
      </w:numPr>
      <w:spacing w:before="60" w:after="60" w:line="320" w:lineRule="exact"/>
    </w:pPr>
    <w:rPr>
      <w:rFonts w:ascii="_GOPA TheSerif Light" w:eastAsia="Calibri" w:hAnsi="_GOPA TheSerif Light"/>
      <w:color w:val="000000"/>
      <w:sz w:val="19"/>
      <w:szCs w:val="22"/>
      <w:lang w:eastAsia="en-US"/>
    </w:rPr>
  </w:style>
  <w:style w:type="paragraph" w:customStyle="1" w:styleId="DBulletsgelb1">
    <w:name w:val="D Bullets gelb 1"/>
    <w:link w:val="DBulletsgelb1Zchn"/>
    <w:uiPriority w:val="54"/>
    <w:qFormat/>
    <w:pPr>
      <w:numPr>
        <w:numId w:val="33"/>
      </w:numPr>
      <w:pBdr>
        <w:top w:val="single" w:sz="4" w:space="0" w:color="FCF6E9"/>
        <w:left w:val="single" w:sz="4" w:space="8" w:color="FCF6E9"/>
        <w:bottom w:val="single" w:sz="4" w:space="0" w:color="FCF6E9"/>
        <w:right w:val="single" w:sz="4" w:space="4" w:color="FCF6E9"/>
      </w:pBdr>
      <w:shd w:val="clear" w:color="auto" w:fill="FCF6E9"/>
      <w:spacing w:line="320" w:lineRule="exact"/>
      <w:ind w:left="425" w:right="113" w:hanging="255"/>
    </w:pPr>
    <w:rPr>
      <w:rFonts w:ascii="_GOPA TheSerif Light" w:eastAsia="Calibri" w:hAnsi="_GOPA TheSerif Light"/>
      <w:color w:val="000000"/>
      <w:sz w:val="19"/>
      <w:szCs w:val="22"/>
      <w:lang w:eastAsia="de-DE"/>
    </w:rPr>
  </w:style>
  <w:style w:type="character" w:customStyle="1" w:styleId="DBulletsgelb1Zchn">
    <w:name w:val="D Bullets gelb 1 Zchn"/>
    <w:link w:val="DBulletsgelb1"/>
    <w:uiPriority w:val="54"/>
    <w:rPr>
      <w:rFonts w:ascii="_GOPA TheSerif Light" w:eastAsia="Calibri" w:hAnsi="_GOPA TheSerif Light"/>
      <w:color w:val="000000"/>
      <w:sz w:val="19"/>
      <w:szCs w:val="22"/>
      <w:shd w:val="clear" w:color="auto" w:fill="FCF6E9"/>
      <w:lang w:eastAsia="de-DE"/>
    </w:rPr>
  </w:style>
  <w:style w:type="character" w:customStyle="1" w:styleId="BHighlight1">
    <w:name w:val="B Highlight 1"/>
    <w:qFormat/>
    <w:rPr>
      <w:rFonts w:ascii="_GOPA TheSerif Light" w:hAnsi="_GOPA TheSerif Light"/>
      <w:b/>
      <w:color w:val="DC9300"/>
      <w:sz w:val="19"/>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szCs w:val="24"/>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basedOn w:val="DefaultParagraphFont"/>
    <w:link w:val="HeaderSensitivity"/>
    <w:rPr>
      <w:b/>
      <w:sz w:val="32"/>
      <w:szCs w:val="24"/>
      <w:lang w:eastAsia="en-US"/>
    </w:rPr>
  </w:style>
  <w:style w:type="paragraph" w:customStyle="1" w:styleId="SecurityMarking">
    <w:name w:val="SecurityMarking"/>
    <w:basedOn w:val="Normal"/>
    <w:pPr>
      <w:spacing w:before="0" w:after="0" w:line="276" w:lineRule="auto"/>
      <w:ind w:left="5103"/>
      <w:jc w:val="left"/>
    </w:pPr>
    <w:rPr>
      <w:rFonts w:eastAsiaTheme="minorHAnsi"/>
      <w:sz w:val="28"/>
      <w:szCs w:val="22"/>
    </w:rPr>
  </w:style>
  <w:style w:type="paragraph" w:customStyle="1" w:styleId="DateMarking">
    <w:name w:val="DateMarking"/>
    <w:basedOn w:val="Normal"/>
    <w:pPr>
      <w:spacing w:before="0" w:after="0" w:line="276" w:lineRule="auto"/>
      <w:ind w:left="5103"/>
      <w:jc w:val="left"/>
    </w:pPr>
    <w:rPr>
      <w:rFonts w:eastAsiaTheme="minorHAnsi"/>
      <w:i/>
      <w:sz w:val="28"/>
      <w:szCs w:val="22"/>
    </w:rPr>
  </w:style>
  <w:style w:type="paragraph" w:customStyle="1" w:styleId="ReleasableTo">
    <w:name w:val="ReleasableTo"/>
    <w:basedOn w:val="Normal"/>
    <w:pPr>
      <w:spacing w:before="0" w:after="0" w:line="276" w:lineRule="auto"/>
      <w:ind w:left="5103"/>
      <w:jc w:val="left"/>
    </w:pPr>
    <w:rPr>
      <w:rFonts w:eastAsiaTheme="minorHAnsi"/>
      <w:i/>
      <w:sz w:val="28"/>
      <w:szCs w:val="22"/>
    </w:rPr>
  </w:style>
  <w:style w:type="paragraph" w:customStyle="1" w:styleId="HeaderSensitivityRight">
    <w:name w:val="Header Sensitivity Right"/>
    <w:basedOn w:val="Normal"/>
    <w:pPr>
      <w:spacing w:before="0"/>
      <w:jc w:val="right"/>
    </w:pPr>
    <w:rPr>
      <w:sz w:val="28"/>
    </w:rPr>
  </w:style>
  <w:style w:type="character" w:customStyle="1" w:styleId="e24kjd">
    <w:name w:val="e24kjd"/>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65135">
      <w:bodyDiv w:val="1"/>
      <w:marLeft w:val="0"/>
      <w:marRight w:val="0"/>
      <w:marTop w:val="0"/>
      <w:marBottom w:val="0"/>
      <w:divBdr>
        <w:top w:val="none" w:sz="0" w:space="0" w:color="auto"/>
        <w:left w:val="none" w:sz="0" w:space="0" w:color="auto"/>
        <w:bottom w:val="none" w:sz="0" w:space="0" w:color="auto"/>
        <w:right w:val="none" w:sz="0" w:space="0" w:color="auto"/>
      </w:divBdr>
    </w:div>
    <w:div w:id="339546453">
      <w:bodyDiv w:val="1"/>
      <w:marLeft w:val="0"/>
      <w:marRight w:val="0"/>
      <w:marTop w:val="0"/>
      <w:marBottom w:val="0"/>
      <w:divBdr>
        <w:top w:val="none" w:sz="0" w:space="0" w:color="auto"/>
        <w:left w:val="none" w:sz="0" w:space="0" w:color="auto"/>
        <w:bottom w:val="none" w:sz="0" w:space="0" w:color="auto"/>
        <w:right w:val="none" w:sz="0" w:space="0" w:color="auto"/>
      </w:divBdr>
    </w:div>
    <w:div w:id="357388917">
      <w:bodyDiv w:val="1"/>
      <w:marLeft w:val="0"/>
      <w:marRight w:val="0"/>
      <w:marTop w:val="0"/>
      <w:marBottom w:val="0"/>
      <w:divBdr>
        <w:top w:val="none" w:sz="0" w:space="0" w:color="auto"/>
        <w:left w:val="none" w:sz="0" w:space="0" w:color="auto"/>
        <w:bottom w:val="none" w:sz="0" w:space="0" w:color="auto"/>
        <w:right w:val="none" w:sz="0" w:space="0" w:color="auto"/>
      </w:divBdr>
    </w:div>
    <w:div w:id="419453083">
      <w:bodyDiv w:val="1"/>
      <w:marLeft w:val="0"/>
      <w:marRight w:val="0"/>
      <w:marTop w:val="0"/>
      <w:marBottom w:val="0"/>
      <w:divBdr>
        <w:top w:val="none" w:sz="0" w:space="0" w:color="auto"/>
        <w:left w:val="none" w:sz="0" w:space="0" w:color="auto"/>
        <w:bottom w:val="none" w:sz="0" w:space="0" w:color="auto"/>
        <w:right w:val="none" w:sz="0" w:space="0" w:color="auto"/>
      </w:divBdr>
    </w:div>
    <w:div w:id="552615252">
      <w:bodyDiv w:val="1"/>
      <w:marLeft w:val="0"/>
      <w:marRight w:val="0"/>
      <w:marTop w:val="0"/>
      <w:marBottom w:val="0"/>
      <w:divBdr>
        <w:top w:val="none" w:sz="0" w:space="0" w:color="auto"/>
        <w:left w:val="none" w:sz="0" w:space="0" w:color="auto"/>
        <w:bottom w:val="none" w:sz="0" w:space="0" w:color="auto"/>
        <w:right w:val="none" w:sz="0" w:space="0" w:color="auto"/>
      </w:divBdr>
    </w:div>
    <w:div w:id="670185613">
      <w:bodyDiv w:val="1"/>
      <w:marLeft w:val="0"/>
      <w:marRight w:val="0"/>
      <w:marTop w:val="0"/>
      <w:marBottom w:val="0"/>
      <w:divBdr>
        <w:top w:val="none" w:sz="0" w:space="0" w:color="auto"/>
        <w:left w:val="none" w:sz="0" w:space="0" w:color="auto"/>
        <w:bottom w:val="none" w:sz="0" w:space="0" w:color="auto"/>
        <w:right w:val="none" w:sz="0" w:space="0" w:color="auto"/>
      </w:divBdr>
    </w:div>
    <w:div w:id="790244039">
      <w:bodyDiv w:val="1"/>
      <w:marLeft w:val="0"/>
      <w:marRight w:val="0"/>
      <w:marTop w:val="0"/>
      <w:marBottom w:val="0"/>
      <w:divBdr>
        <w:top w:val="none" w:sz="0" w:space="0" w:color="auto"/>
        <w:left w:val="none" w:sz="0" w:space="0" w:color="auto"/>
        <w:bottom w:val="none" w:sz="0" w:space="0" w:color="auto"/>
        <w:right w:val="none" w:sz="0" w:space="0" w:color="auto"/>
      </w:divBdr>
    </w:div>
    <w:div w:id="983241643">
      <w:bodyDiv w:val="1"/>
      <w:marLeft w:val="0"/>
      <w:marRight w:val="0"/>
      <w:marTop w:val="0"/>
      <w:marBottom w:val="0"/>
      <w:divBdr>
        <w:top w:val="none" w:sz="0" w:space="0" w:color="auto"/>
        <w:left w:val="none" w:sz="0" w:space="0" w:color="auto"/>
        <w:bottom w:val="none" w:sz="0" w:space="0" w:color="auto"/>
        <w:right w:val="none" w:sz="0" w:space="0" w:color="auto"/>
      </w:divBdr>
    </w:div>
    <w:div w:id="1113477509">
      <w:bodyDiv w:val="1"/>
      <w:marLeft w:val="0"/>
      <w:marRight w:val="0"/>
      <w:marTop w:val="0"/>
      <w:marBottom w:val="0"/>
      <w:divBdr>
        <w:top w:val="none" w:sz="0" w:space="0" w:color="auto"/>
        <w:left w:val="none" w:sz="0" w:space="0" w:color="auto"/>
        <w:bottom w:val="none" w:sz="0" w:space="0" w:color="auto"/>
        <w:right w:val="none" w:sz="0" w:space="0" w:color="auto"/>
      </w:divBdr>
    </w:div>
    <w:div w:id="1249382966">
      <w:bodyDiv w:val="1"/>
      <w:marLeft w:val="0"/>
      <w:marRight w:val="0"/>
      <w:marTop w:val="0"/>
      <w:marBottom w:val="0"/>
      <w:divBdr>
        <w:top w:val="none" w:sz="0" w:space="0" w:color="auto"/>
        <w:left w:val="none" w:sz="0" w:space="0" w:color="auto"/>
        <w:bottom w:val="none" w:sz="0" w:space="0" w:color="auto"/>
        <w:right w:val="none" w:sz="0" w:space="0" w:color="auto"/>
      </w:divBdr>
    </w:div>
    <w:div w:id="1435828464">
      <w:bodyDiv w:val="1"/>
      <w:marLeft w:val="0"/>
      <w:marRight w:val="0"/>
      <w:marTop w:val="0"/>
      <w:marBottom w:val="0"/>
      <w:divBdr>
        <w:top w:val="none" w:sz="0" w:space="0" w:color="auto"/>
        <w:left w:val="none" w:sz="0" w:space="0" w:color="auto"/>
        <w:bottom w:val="none" w:sz="0" w:space="0" w:color="auto"/>
        <w:right w:val="none" w:sz="0" w:space="0" w:color="auto"/>
      </w:divBdr>
    </w:div>
    <w:div w:id="1449197605">
      <w:bodyDiv w:val="1"/>
      <w:marLeft w:val="0"/>
      <w:marRight w:val="0"/>
      <w:marTop w:val="0"/>
      <w:marBottom w:val="0"/>
      <w:divBdr>
        <w:top w:val="none" w:sz="0" w:space="0" w:color="auto"/>
        <w:left w:val="none" w:sz="0" w:space="0" w:color="auto"/>
        <w:bottom w:val="none" w:sz="0" w:space="0" w:color="auto"/>
        <w:right w:val="none" w:sz="0" w:space="0" w:color="auto"/>
      </w:divBdr>
      <w:divsChild>
        <w:div w:id="1638997413">
          <w:marLeft w:val="0"/>
          <w:marRight w:val="0"/>
          <w:marTop w:val="0"/>
          <w:marBottom w:val="0"/>
          <w:divBdr>
            <w:top w:val="none" w:sz="0" w:space="0" w:color="auto"/>
            <w:left w:val="none" w:sz="0" w:space="0" w:color="auto"/>
            <w:bottom w:val="none" w:sz="0" w:space="0" w:color="auto"/>
            <w:right w:val="none" w:sz="0" w:space="0" w:color="auto"/>
          </w:divBdr>
          <w:divsChild>
            <w:div w:id="1195967791">
              <w:marLeft w:val="-300"/>
              <w:marRight w:val="0"/>
              <w:marTop w:val="0"/>
              <w:marBottom w:val="270"/>
              <w:divBdr>
                <w:top w:val="none" w:sz="0" w:space="0" w:color="auto"/>
                <w:left w:val="none" w:sz="0" w:space="0" w:color="auto"/>
                <w:bottom w:val="none" w:sz="0" w:space="0" w:color="auto"/>
                <w:right w:val="none" w:sz="0" w:space="0" w:color="auto"/>
              </w:divBdr>
              <w:divsChild>
                <w:div w:id="1963266378">
                  <w:marLeft w:val="0"/>
                  <w:marRight w:val="0"/>
                  <w:marTop w:val="0"/>
                  <w:marBottom w:val="0"/>
                  <w:divBdr>
                    <w:top w:val="none" w:sz="0" w:space="0" w:color="auto"/>
                    <w:left w:val="none" w:sz="0" w:space="0" w:color="auto"/>
                    <w:bottom w:val="none" w:sz="0" w:space="0" w:color="auto"/>
                    <w:right w:val="none" w:sz="0" w:space="0" w:color="auto"/>
                  </w:divBdr>
                  <w:divsChild>
                    <w:div w:id="969550347">
                      <w:marLeft w:val="0"/>
                      <w:marRight w:val="0"/>
                      <w:marTop w:val="0"/>
                      <w:marBottom w:val="270"/>
                      <w:divBdr>
                        <w:top w:val="none" w:sz="0" w:space="0" w:color="auto"/>
                        <w:left w:val="none" w:sz="0" w:space="0" w:color="auto"/>
                        <w:bottom w:val="none" w:sz="0" w:space="0" w:color="auto"/>
                        <w:right w:val="none" w:sz="0" w:space="0" w:color="auto"/>
                      </w:divBdr>
                      <w:divsChild>
                        <w:div w:id="1118140803">
                          <w:marLeft w:val="0"/>
                          <w:marRight w:val="0"/>
                          <w:marTop w:val="0"/>
                          <w:marBottom w:val="0"/>
                          <w:divBdr>
                            <w:top w:val="none" w:sz="0" w:space="0" w:color="auto"/>
                            <w:left w:val="none" w:sz="0" w:space="0" w:color="auto"/>
                            <w:bottom w:val="none" w:sz="0" w:space="0" w:color="auto"/>
                            <w:right w:val="none" w:sz="0" w:space="0" w:color="auto"/>
                          </w:divBdr>
                          <w:divsChild>
                            <w:div w:id="2042395949">
                              <w:marLeft w:val="0"/>
                              <w:marRight w:val="0"/>
                              <w:marTop w:val="0"/>
                              <w:marBottom w:val="0"/>
                              <w:divBdr>
                                <w:top w:val="none" w:sz="0" w:space="0" w:color="auto"/>
                                <w:left w:val="none" w:sz="0" w:space="0" w:color="auto"/>
                                <w:bottom w:val="none" w:sz="0" w:space="0" w:color="auto"/>
                                <w:right w:val="none" w:sz="0" w:space="0" w:color="auto"/>
                              </w:divBdr>
                              <w:divsChild>
                                <w:div w:id="59836253">
                                  <w:marLeft w:val="0"/>
                                  <w:marRight w:val="0"/>
                                  <w:marTop w:val="0"/>
                                  <w:marBottom w:val="0"/>
                                  <w:divBdr>
                                    <w:top w:val="none" w:sz="0" w:space="0" w:color="auto"/>
                                    <w:left w:val="none" w:sz="0" w:space="0" w:color="auto"/>
                                    <w:bottom w:val="none" w:sz="0" w:space="0" w:color="auto"/>
                                    <w:right w:val="none" w:sz="0" w:space="0" w:color="auto"/>
                                  </w:divBdr>
                                  <w:divsChild>
                                    <w:div w:id="157007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056603">
      <w:bodyDiv w:val="1"/>
      <w:marLeft w:val="0"/>
      <w:marRight w:val="0"/>
      <w:marTop w:val="0"/>
      <w:marBottom w:val="0"/>
      <w:divBdr>
        <w:top w:val="none" w:sz="0" w:space="0" w:color="auto"/>
        <w:left w:val="none" w:sz="0" w:space="0" w:color="auto"/>
        <w:bottom w:val="none" w:sz="0" w:space="0" w:color="auto"/>
        <w:right w:val="none" w:sz="0" w:space="0" w:color="auto"/>
      </w:divBdr>
    </w:div>
    <w:div w:id="1550337983">
      <w:bodyDiv w:val="1"/>
      <w:marLeft w:val="0"/>
      <w:marRight w:val="0"/>
      <w:marTop w:val="0"/>
      <w:marBottom w:val="0"/>
      <w:divBdr>
        <w:top w:val="none" w:sz="0" w:space="0" w:color="auto"/>
        <w:left w:val="none" w:sz="0" w:space="0" w:color="auto"/>
        <w:bottom w:val="none" w:sz="0" w:space="0" w:color="auto"/>
        <w:right w:val="none" w:sz="0" w:space="0" w:color="auto"/>
      </w:divBdr>
      <w:divsChild>
        <w:div w:id="557279205">
          <w:marLeft w:val="0"/>
          <w:marRight w:val="0"/>
          <w:marTop w:val="0"/>
          <w:marBottom w:val="0"/>
          <w:divBdr>
            <w:top w:val="none" w:sz="0" w:space="0" w:color="auto"/>
            <w:left w:val="none" w:sz="0" w:space="0" w:color="auto"/>
            <w:bottom w:val="none" w:sz="0" w:space="0" w:color="auto"/>
            <w:right w:val="none" w:sz="0" w:space="0" w:color="auto"/>
          </w:divBdr>
          <w:divsChild>
            <w:div w:id="1843855925">
              <w:marLeft w:val="0"/>
              <w:marRight w:val="0"/>
              <w:marTop w:val="0"/>
              <w:marBottom w:val="0"/>
              <w:divBdr>
                <w:top w:val="none" w:sz="0" w:space="0" w:color="auto"/>
                <w:left w:val="none" w:sz="0" w:space="0" w:color="auto"/>
                <w:bottom w:val="none" w:sz="0" w:space="0" w:color="auto"/>
                <w:right w:val="none" w:sz="0" w:space="0" w:color="auto"/>
              </w:divBdr>
              <w:divsChild>
                <w:div w:id="335615287">
                  <w:marLeft w:val="0"/>
                  <w:marRight w:val="0"/>
                  <w:marTop w:val="0"/>
                  <w:marBottom w:val="0"/>
                  <w:divBdr>
                    <w:top w:val="none" w:sz="0" w:space="0" w:color="auto"/>
                    <w:left w:val="none" w:sz="0" w:space="0" w:color="auto"/>
                    <w:bottom w:val="none" w:sz="0" w:space="0" w:color="auto"/>
                    <w:right w:val="none" w:sz="0" w:space="0" w:color="auto"/>
                  </w:divBdr>
                  <w:divsChild>
                    <w:div w:id="125254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0335">
      <w:bodyDiv w:val="1"/>
      <w:marLeft w:val="0"/>
      <w:marRight w:val="0"/>
      <w:marTop w:val="0"/>
      <w:marBottom w:val="0"/>
      <w:divBdr>
        <w:top w:val="none" w:sz="0" w:space="0" w:color="auto"/>
        <w:left w:val="none" w:sz="0" w:space="0" w:color="auto"/>
        <w:bottom w:val="none" w:sz="0" w:space="0" w:color="auto"/>
        <w:right w:val="none" w:sz="0" w:space="0" w:color="auto"/>
      </w:divBdr>
    </w:div>
    <w:div w:id="1760590565">
      <w:bodyDiv w:val="1"/>
      <w:marLeft w:val="0"/>
      <w:marRight w:val="0"/>
      <w:marTop w:val="0"/>
      <w:marBottom w:val="0"/>
      <w:divBdr>
        <w:top w:val="none" w:sz="0" w:space="0" w:color="auto"/>
        <w:left w:val="none" w:sz="0" w:space="0" w:color="auto"/>
        <w:bottom w:val="none" w:sz="0" w:space="0" w:color="auto"/>
        <w:right w:val="none" w:sz="0" w:space="0" w:color="auto"/>
      </w:divBdr>
    </w:div>
    <w:div w:id="202809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footer" Target="foot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sm.europa.eu" TargetMode="External"/><Relationship Id="rId2" Type="http://schemas.openxmlformats.org/officeDocument/2006/relationships/hyperlink" Target="file://C:\Users\stosklo\AppData\Local\AppData\Local\Microsoft\Windows\Temporary%20Internet%20Files\AppData\Local\Microsoft\Windows\Temporary%20Internet%20Files\skrynna\AppData\Local\Microsoft\Windows\skrynna\AppData\Local\Microsoft\Windows\Temporary%20Internet%20Files\sinesca\AppData\Local\Microsoft\Windows\Temporary%20Internet%20Files\skrynna\AppData\Local\Microsoft\Windows\Temporary%20Internet%20Files\skrynna\AppData\Local\Microsoft\Windows\steimpa\AppData\Local\Microsoft\Windows\Temporary%20Internet%20Files\Content.Outlook\ASMTF00S\About%20the%20EFSF" TargetMode="External"/><Relationship Id="rId1" Type="http://schemas.openxmlformats.org/officeDocument/2006/relationships/hyperlink" Target="http://eur-lex.europa.eu/homepage.html" TargetMode="External"/><Relationship Id="rId4" Type="http://schemas.openxmlformats.org/officeDocument/2006/relationships/hyperlink" Target="http://www.consilium.europa.eu/uedocs/cms_data/docs/pressdata/en/ecofin/1143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02678-5446-433B-9C06-85A092E94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26</Pages>
  <Words>6489</Words>
  <Characters>44195</Characters>
  <Application>Microsoft Office Word</Application>
  <DocSecurity>0</DocSecurity>
  <Lines>1027</Lines>
  <Paragraphs>589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50095</CharactersWithSpaces>
  <SharedDoc>false</SharedDoc>
  <HLinks>
    <vt:vector size="156" baseType="variant">
      <vt:variant>
        <vt:i4>1835064</vt:i4>
      </vt:variant>
      <vt:variant>
        <vt:i4>131</vt:i4>
      </vt:variant>
      <vt:variant>
        <vt:i4>0</vt:i4>
      </vt:variant>
      <vt:variant>
        <vt:i4>5</vt:i4>
      </vt:variant>
      <vt:variant>
        <vt:lpwstr/>
      </vt:variant>
      <vt:variant>
        <vt:lpwstr>_Toc485288193</vt:lpwstr>
      </vt:variant>
      <vt:variant>
        <vt:i4>1835064</vt:i4>
      </vt:variant>
      <vt:variant>
        <vt:i4>125</vt:i4>
      </vt:variant>
      <vt:variant>
        <vt:i4>0</vt:i4>
      </vt:variant>
      <vt:variant>
        <vt:i4>5</vt:i4>
      </vt:variant>
      <vt:variant>
        <vt:lpwstr/>
      </vt:variant>
      <vt:variant>
        <vt:lpwstr>_Toc485288192</vt:lpwstr>
      </vt:variant>
      <vt:variant>
        <vt:i4>1835064</vt:i4>
      </vt:variant>
      <vt:variant>
        <vt:i4>119</vt:i4>
      </vt:variant>
      <vt:variant>
        <vt:i4>0</vt:i4>
      </vt:variant>
      <vt:variant>
        <vt:i4>5</vt:i4>
      </vt:variant>
      <vt:variant>
        <vt:lpwstr/>
      </vt:variant>
      <vt:variant>
        <vt:lpwstr>_Toc485288191</vt:lpwstr>
      </vt:variant>
      <vt:variant>
        <vt:i4>1835064</vt:i4>
      </vt:variant>
      <vt:variant>
        <vt:i4>113</vt:i4>
      </vt:variant>
      <vt:variant>
        <vt:i4>0</vt:i4>
      </vt:variant>
      <vt:variant>
        <vt:i4>5</vt:i4>
      </vt:variant>
      <vt:variant>
        <vt:lpwstr/>
      </vt:variant>
      <vt:variant>
        <vt:lpwstr>_Toc485288190</vt:lpwstr>
      </vt:variant>
      <vt:variant>
        <vt:i4>1900600</vt:i4>
      </vt:variant>
      <vt:variant>
        <vt:i4>107</vt:i4>
      </vt:variant>
      <vt:variant>
        <vt:i4>0</vt:i4>
      </vt:variant>
      <vt:variant>
        <vt:i4>5</vt:i4>
      </vt:variant>
      <vt:variant>
        <vt:lpwstr/>
      </vt:variant>
      <vt:variant>
        <vt:lpwstr>_Toc485288189</vt:lpwstr>
      </vt:variant>
      <vt:variant>
        <vt:i4>1900600</vt:i4>
      </vt:variant>
      <vt:variant>
        <vt:i4>101</vt:i4>
      </vt:variant>
      <vt:variant>
        <vt:i4>0</vt:i4>
      </vt:variant>
      <vt:variant>
        <vt:i4>5</vt:i4>
      </vt:variant>
      <vt:variant>
        <vt:lpwstr/>
      </vt:variant>
      <vt:variant>
        <vt:lpwstr>_Toc485288188</vt:lpwstr>
      </vt:variant>
      <vt:variant>
        <vt:i4>1900600</vt:i4>
      </vt:variant>
      <vt:variant>
        <vt:i4>95</vt:i4>
      </vt:variant>
      <vt:variant>
        <vt:i4>0</vt:i4>
      </vt:variant>
      <vt:variant>
        <vt:i4>5</vt:i4>
      </vt:variant>
      <vt:variant>
        <vt:lpwstr/>
      </vt:variant>
      <vt:variant>
        <vt:lpwstr>_Toc485288187</vt:lpwstr>
      </vt:variant>
      <vt:variant>
        <vt:i4>1900600</vt:i4>
      </vt:variant>
      <vt:variant>
        <vt:i4>89</vt:i4>
      </vt:variant>
      <vt:variant>
        <vt:i4>0</vt:i4>
      </vt:variant>
      <vt:variant>
        <vt:i4>5</vt:i4>
      </vt:variant>
      <vt:variant>
        <vt:lpwstr/>
      </vt:variant>
      <vt:variant>
        <vt:lpwstr>_Toc485288186</vt:lpwstr>
      </vt:variant>
      <vt:variant>
        <vt:i4>1900600</vt:i4>
      </vt:variant>
      <vt:variant>
        <vt:i4>83</vt:i4>
      </vt:variant>
      <vt:variant>
        <vt:i4>0</vt:i4>
      </vt:variant>
      <vt:variant>
        <vt:i4>5</vt:i4>
      </vt:variant>
      <vt:variant>
        <vt:lpwstr/>
      </vt:variant>
      <vt:variant>
        <vt:lpwstr>_Toc485288185</vt:lpwstr>
      </vt:variant>
      <vt:variant>
        <vt:i4>1900600</vt:i4>
      </vt:variant>
      <vt:variant>
        <vt:i4>77</vt:i4>
      </vt:variant>
      <vt:variant>
        <vt:i4>0</vt:i4>
      </vt:variant>
      <vt:variant>
        <vt:i4>5</vt:i4>
      </vt:variant>
      <vt:variant>
        <vt:lpwstr/>
      </vt:variant>
      <vt:variant>
        <vt:lpwstr>_Toc485288184</vt:lpwstr>
      </vt:variant>
      <vt:variant>
        <vt:i4>1900600</vt:i4>
      </vt:variant>
      <vt:variant>
        <vt:i4>71</vt:i4>
      </vt:variant>
      <vt:variant>
        <vt:i4>0</vt:i4>
      </vt:variant>
      <vt:variant>
        <vt:i4>5</vt:i4>
      </vt:variant>
      <vt:variant>
        <vt:lpwstr/>
      </vt:variant>
      <vt:variant>
        <vt:lpwstr>_Toc485288183</vt:lpwstr>
      </vt:variant>
      <vt:variant>
        <vt:i4>1900600</vt:i4>
      </vt:variant>
      <vt:variant>
        <vt:i4>65</vt:i4>
      </vt:variant>
      <vt:variant>
        <vt:i4>0</vt:i4>
      </vt:variant>
      <vt:variant>
        <vt:i4>5</vt:i4>
      </vt:variant>
      <vt:variant>
        <vt:lpwstr/>
      </vt:variant>
      <vt:variant>
        <vt:lpwstr>_Toc485288182</vt:lpwstr>
      </vt:variant>
      <vt:variant>
        <vt:i4>1900600</vt:i4>
      </vt:variant>
      <vt:variant>
        <vt:i4>59</vt:i4>
      </vt:variant>
      <vt:variant>
        <vt:i4>0</vt:i4>
      </vt:variant>
      <vt:variant>
        <vt:i4>5</vt:i4>
      </vt:variant>
      <vt:variant>
        <vt:lpwstr/>
      </vt:variant>
      <vt:variant>
        <vt:lpwstr>_Toc485288181</vt:lpwstr>
      </vt:variant>
      <vt:variant>
        <vt:i4>1900600</vt:i4>
      </vt:variant>
      <vt:variant>
        <vt:i4>53</vt:i4>
      </vt:variant>
      <vt:variant>
        <vt:i4>0</vt:i4>
      </vt:variant>
      <vt:variant>
        <vt:i4>5</vt:i4>
      </vt:variant>
      <vt:variant>
        <vt:lpwstr/>
      </vt:variant>
      <vt:variant>
        <vt:lpwstr>_Toc485288180</vt:lpwstr>
      </vt:variant>
      <vt:variant>
        <vt:i4>1179704</vt:i4>
      </vt:variant>
      <vt:variant>
        <vt:i4>47</vt:i4>
      </vt:variant>
      <vt:variant>
        <vt:i4>0</vt:i4>
      </vt:variant>
      <vt:variant>
        <vt:i4>5</vt:i4>
      </vt:variant>
      <vt:variant>
        <vt:lpwstr/>
      </vt:variant>
      <vt:variant>
        <vt:lpwstr>_Toc485288179</vt:lpwstr>
      </vt:variant>
      <vt:variant>
        <vt:i4>1179704</vt:i4>
      </vt:variant>
      <vt:variant>
        <vt:i4>41</vt:i4>
      </vt:variant>
      <vt:variant>
        <vt:i4>0</vt:i4>
      </vt:variant>
      <vt:variant>
        <vt:i4>5</vt:i4>
      </vt:variant>
      <vt:variant>
        <vt:lpwstr/>
      </vt:variant>
      <vt:variant>
        <vt:lpwstr>_Toc485288178</vt:lpwstr>
      </vt:variant>
      <vt:variant>
        <vt:i4>1179704</vt:i4>
      </vt:variant>
      <vt:variant>
        <vt:i4>35</vt:i4>
      </vt:variant>
      <vt:variant>
        <vt:i4>0</vt:i4>
      </vt:variant>
      <vt:variant>
        <vt:i4>5</vt:i4>
      </vt:variant>
      <vt:variant>
        <vt:lpwstr/>
      </vt:variant>
      <vt:variant>
        <vt:lpwstr>_Toc485288177</vt:lpwstr>
      </vt:variant>
      <vt:variant>
        <vt:i4>1179704</vt:i4>
      </vt:variant>
      <vt:variant>
        <vt:i4>29</vt:i4>
      </vt:variant>
      <vt:variant>
        <vt:i4>0</vt:i4>
      </vt:variant>
      <vt:variant>
        <vt:i4>5</vt:i4>
      </vt:variant>
      <vt:variant>
        <vt:lpwstr/>
      </vt:variant>
      <vt:variant>
        <vt:lpwstr>_Toc485288176</vt:lpwstr>
      </vt:variant>
      <vt:variant>
        <vt:i4>1179704</vt:i4>
      </vt:variant>
      <vt:variant>
        <vt:i4>23</vt:i4>
      </vt:variant>
      <vt:variant>
        <vt:i4>0</vt:i4>
      </vt:variant>
      <vt:variant>
        <vt:i4>5</vt:i4>
      </vt:variant>
      <vt:variant>
        <vt:lpwstr/>
      </vt:variant>
      <vt:variant>
        <vt:lpwstr>_Toc485288175</vt:lpwstr>
      </vt:variant>
      <vt:variant>
        <vt:i4>1179704</vt:i4>
      </vt:variant>
      <vt:variant>
        <vt:i4>17</vt:i4>
      </vt:variant>
      <vt:variant>
        <vt:i4>0</vt:i4>
      </vt:variant>
      <vt:variant>
        <vt:i4>5</vt:i4>
      </vt:variant>
      <vt:variant>
        <vt:lpwstr/>
      </vt:variant>
      <vt:variant>
        <vt:lpwstr>_Toc485288174</vt:lpwstr>
      </vt:variant>
      <vt:variant>
        <vt:i4>1179704</vt:i4>
      </vt:variant>
      <vt:variant>
        <vt:i4>11</vt:i4>
      </vt:variant>
      <vt:variant>
        <vt:i4>0</vt:i4>
      </vt:variant>
      <vt:variant>
        <vt:i4>5</vt:i4>
      </vt:variant>
      <vt:variant>
        <vt:lpwstr/>
      </vt:variant>
      <vt:variant>
        <vt:lpwstr>_Toc485288173</vt:lpwstr>
      </vt:variant>
      <vt:variant>
        <vt:i4>1179704</vt:i4>
      </vt:variant>
      <vt:variant>
        <vt:i4>5</vt:i4>
      </vt:variant>
      <vt:variant>
        <vt:i4>0</vt:i4>
      </vt:variant>
      <vt:variant>
        <vt:i4>5</vt:i4>
      </vt:variant>
      <vt:variant>
        <vt:lpwstr/>
      </vt:variant>
      <vt:variant>
        <vt:lpwstr>_Toc485288172</vt:lpwstr>
      </vt:variant>
      <vt:variant>
        <vt:i4>786490</vt:i4>
      </vt:variant>
      <vt:variant>
        <vt:i4>9</vt:i4>
      </vt:variant>
      <vt:variant>
        <vt:i4>0</vt:i4>
      </vt:variant>
      <vt:variant>
        <vt:i4>5</vt:i4>
      </vt:variant>
      <vt:variant>
        <vt:lpwstr>http://www.consilium.europa.eu/uedocs/cms_data/docs/pressdata/en/ecofin/114324.pdf</vt:lpwstr>
      </vt:variant>
      <vt:variant>
        <vt:lpwstr/>
      </vt:variant>
      <vt:variant>
        <vt:i4>2031690</vt:i4>
      </vt:variant>
      <vt:variant>
        <vt:i4>6</vt:i4>
      </vt:variant>
      <vt:variant>
        <vt:i4>0</vt:i4>
      </vt:variant>
      <vt:variant>
        <vt:i4>5</vt:i4>
      </vt:variant>
      <vt:variant>
        <vt:lpwstr>http://esm.europa.eu/</vt:lpwstr>
      </vt:variant>
      <vt:variant>
        <vt:lpwstr/>
      </vt:variant>
      <vt:variant>
        <vt:i4>2883619</vt:i4>
      </vt:variant>
      <vt:variant>
        <vt:i4>3</vt:i4>
      </vt:variant>
      <vt:variant>
        <vt:i4>0</vt:i4>
      </vt:variant>
      <vt:variant>
        <vt:i4>5</vt:i4>
      </vt:variant>
      <vt:variant>
        <vt:lpwstr>../../AppData/Local/Microsoft/Windows/Temporary Internet Files/AppData/Local/Microsoft/Windows/Temporary Internet Files/skrynna/AppData/Local/Microsoft/Windows/skrynna/AppData/Local/Microsoft/Windows/Temporary Internet Files/sinesca/AppData/Local/Microsoft/Windows/Temporary Internet Files/skrynna/AppData/Local/Microsoft/Windows/Temporary Internet Files/skrynna/AppData/Local/Microsoft/Windows/steimpa/AppData/Local/Microsoft/Windows/Temporary Internet Files/Content.Outlook/ASMTF00S/About the EFSF</vt:lpwstr>
      </vt:variant>
      <vt:variant>
        <vt:lpwstr/>
      </vt:variant>
      <vt:variant>
        <vt:i4>3145760</vt:i4>
      </vt:variant>
      <vt:variant>
        <vt:i4>0</vt:i4>
      </vt:variant>
      <vt:variant>
        <vt:i4>0</vt:i4>
      </vt:variant>
      <vt:variant>
        <vt:i4>5</vt:i4>
      </vt:variant>
      <vt:variant>
        <vt:lpwstr>http://eur-lex.europa.eu/homepage.html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24</cp:revision>
  <cp:lastPrinted>2019-06-28T08:39:00Z</cp:lastPrinted>
  <dcterms:created xsi:type="dcterms:W3CDTF">2019-09-25T11:54:00Z</dcterms:created>
  <dcterms:modified xsi:type="dcterms:W3CDTF">2019-10-14T10:03:00Z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 Build 20190717</vt:lpwstr>
  </property>
  <property fmtid="{D5CDD505-2E9C-101B-9397-08002B2CF9AE}" pid="7" name="Created using">
    <vt:lpwstr>LW 6.0.1, Build 20180503</vt:lpwstr>
  </property>
  <property fmtid="{D5CDD505-2E9C-101B-9397-08002B2CF9AE}" pid="8" name="CPTemplateID">
    <vt:lpwstr>CP-006</vt:lpwstr>
  </property>
</Properties>
</file>