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B43D8922-D818-4951-8C21-F7558C847A05" style="width:450.75pt;height:333.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rPr>
          <w:noProof/>
        </w:rPr>
      </w:pPr>
      <w:bookmarkStart w:id="1" w:name="_GoBack"/>
      <w:bookmarkEnd w:id="1"/>
      <w:r>
        <w:rPr>
          <w:noProof/>
        </w:rPr>
        <w:lastRenderedPageBreak/>
        <w:t>1.</w:t>
      </w:r>
      <w:r>
        <w:rPr>
          <w:noProof/>
        </w:rPr>
        <w:tab/>
        <w:t>Įvadas</w:t>
      </w:r>
    </w:p>
    <w:p>
      <w:pPr>
        <w:pStyle w:val="ListParagraph"/>
        <w:spacing w:after="120" w:line="240" w:lineRule="auto"/>
        <w:ind w:left="0"/>
        <w:contextualSpacing w:val="0"/>
        <w:jc w:val="both"/>
        <w:rPr>
          <w:rFonts w:ascii="Times New Roman" w:hAnsi="Times New Roman"/>
          <w:noProof/>
          <w:sz w:val="24"/>
          <w:szCs w:val="24"/>
        </w:rPr>
      </w:pPr>
      <w:r>
        <w:rPr>
          <w:rFonts w:ascii="Times New Roman" w:hAnsi="Times New Roman"/>
          <w:noProof/>
          <w:sz w:val="24"/>
          <w:szCs w:val="24"/>
        </w:rPr>
        <w:t>Statybos produktų reglamentu</w:t>
      </w:r>
      <w:r>
        <w:rPr>
          <w:rStyle w:val="FootnoteReference"/>
          <w:rFonts w:ascii="Times New Roman" w:hAnsi="Times New Roman"/>
          <w:noProof/>
          <w:sz w:val="24"/>
          <w:szCs w:val="24"/>
        </w:rPr>
        <w:footnoteReference w:id="2"/>
      </w:r>
      <w:r>
        <w:rPr>
          <w:rFonts w:ascii="Times New Roman" w:hAnsi="Times New Roman"/>
          <w:noProof/>
          <w:sz w:val="24"/>
          <w:szCs w:val="24"/>
        </w:rPr>
        <w:t xml:space="preserve"> (SPR) reglamentuojama statybos produktų vidaus rinka. Juo siekiama užtikrinti laisvą judėjimą, kaip apibrėžta SPR 8 straipsnio 4 dalyje. SPR visapusiškai taikomas nuo 2013 m. liepos mėn.</w:t>
      </w:r>
    </w:p>
    <w:p>
      <w:pPr>
        <w:pStyle w:val="ListParagraph"/>
        <w:spacing w:after="120" w:line="240" w:lineRule="auto"/>
        <w:ind w:left="0"/>
        <w:contextualSpacing w:val="0"/>
        <w:jc w:val="both"/>
        <w:rPr>
          <w:rFonts w:ascii="Times New Roman" w:hAnsi="Times New Roman"/>
          <w:noProof/>
          <w:sz w:val="24"/>
          <w:szCs w:val="24"/>
        </w:rPr>
      </w:pPr>
      <w:r>
        <w:rPr>
          <w:rFonts w:ascii="Times New Roman" w:hAnsi="Times New Roman"/>
          <w:noProof/>
          <w:sz w:val="24"/>
          <w:szCs w:val="24"/>
        </w:rPr>
        <w:t>Šioje ataskaitoje nagrinėjama, kaip Europos techninio vertinimo organizacija (EOTA) atliko užduotis, kurioms gavo ES dotacijas. Joje vertinamas šių užduočių aktualumas, veiksmingumas, efektyvumas, suderinamumas ir Europos pridėtinė vertė.</w:t>
      </w:r>
    </w:p>
    <w:p>
      <w:pPr>
        <w:pStyle w:val="ListParagraph"/>
        <w:spacing w:after="120" w:line="240" w:lineRule="auto"/>
        <w:ind w:left="0"/>
        <w:contextualSpacing w:val="0"/>
        <w:jc w:val="both"/>
        <w:rPr>
          <w:rFonts w:ascii="Times New Roman" w:hAnsi="Times New Roman"/>
          <w:noProof/>
          <w:sz w:val="24"/>
          <w:szCs w:val="24"/>
        </w:rPr>
      </w:pPr>
      <w:r>
        <w:rPr>
          <w:rFonts w:ascii="Times New Roman" w:hAnsi="Times New Roman"/>
          <w:noProof/>
          <w:sz w:val="24"/>
          <w:szCs w:val="24"/>
        </w:rPr>
        <w:t>Pagal SPR 34 straipsnio 2 dalį reikalaujama, kad Europos Komisija įvertintų Sąjungos lėšomis finansuojamų 31 straipsnio 4 dalyje nustatytų užduočių aktualumą, atsižvelgdama į Sąjungos politiką ir teisės aktų reikalavimus, ir praneštų Europos Parlamentui ir Tarybai to vertinimo rezultatus. Tai užduotys, pavestos EOTA , t. y. Techninio vertinimo įstaigų organizacijai.</w:t>
      </w:r>
    </w:p>
    <w:p>
      <w:pPr>
        <w:pStyle w:val="ListParagraph"/>
        <w:spacing w:after="120" w:line="240" w:lineRule="auto"/>
        <w:ind w:left="0"/>
        <w:contextualSpacing w:val="0"/>
        <w:jc w:val="both"/>
        <w:rPr>
          <w:rFonts w:ascii="Times New Roman" w:hAnsi="Times New Roman"/>
          <w:noProof/>
          <w:sz w:val="24"/>
          <w:szCs w:val="24"/>
        </w:rPr>
      </w:pPr>
      <w:r>
        <w:rPr>
          <w:rFonts w:ascii="Times New Roman" w:hAnsi="Times New Roman"/>
          <w:noProof/>
          <w:sz w:val="24"/>
          <w:szCs w:val="24"/>
        </w:rPr>
        <w:t xml:space="preserve">Duomenys, kurių reikėjo šiai ataskaitai parengti, gauti iš dviejų pagrindinių šaltinių: </w:t>
      </w:r>
    </w:p>
    <w:p>
      <w:pPr>
        <w:pStyle w:val="ListParagraph"/>
        <w:numPr>
          <w:ilvl w:val="0"/>
          <w:numId w:val="34"/>
        </w:numPr>
        <w:spacing w:after="120" w:line="240" w:lineRule="auto"/>
        <w:contextualSpacing w:val="0"/>
        <w:jc w:val="both"/>
        <w:rPr>
          <w:rFonts w:ascii="Times New Roman" w:hAnsi="Times New Roman"/>
          <w:noProof/>
          <w:sz w:val="24"/>
          <w:szCs w:val="24"/>
        </w:rPr>
      </w:pPr>
      <w:r>
        <w:rPr>
          <w:rFonts w:ascii="Times New Roman" w:hAnsi="Times New Roman"/>
          <w:noProof/>
          <w:sz w:val="24"/>
          <w:szCs w:val="24"/>
        </w:rPr>
        <w:t xml:space="preserve">EOTA pateiktos informacijos ir </w:t>
      </w:r>
    </w:p>
    <w:p>
      <w:pPr>
        <w:pStyle w:val="ListParagraph"/>
        <w:numPr>
          <w:ilvl w:val="0"/>
          <w:numId w:val="34"/>
        </w:numPr>
        <w:spacing w:after="120" w:line="240" w:lineRule="auto"/>
        <w:contextualSpacing w:val="0"/>
        <w:jc w:val="both"/>
        <w:rPr>
          <w:rFonts w:ascii="Times New Roman" w:hAnsi="Times New Roman"/>
          <w:noProof/>
          <w:sz w:val="24"/>
          <w:szCs w:val="24"/>
        </w:rPr>
      </w:pPr>
      <w:r>
        <w:rPr>
          <w:rFonts w:ascii="Times New Roman" w:hAnsi="Times New Roman"/>
          <w:noProof/>
          <w:sz w:val="24"/>
          <w:szCs w:val="24"/>
        </w:rPr>
        <w:t xml:space="preserve">išorės tyrimo </w:t>
      </w:r>
      <w:r>
        <w:rPr>
          <w:rFonts w:ascii="Times New Roman" w:hAnsi="Times New Roman"/>
          <w:i/>
          <w:noProof/>
          <w:sz w:val="24"/>
          <w:szCs w:val="24"/>
        </w:rPr>
        <w:t>Supporting study for the evaluation of the relevance of EOTA tasks</w:t>
      </w:r>
      <w:r>
        <w:rPr>
          <w:rFonts w:ascii="Times New Roman" w:hAnsi="Times New Roman"/>
          <w:noProof/>
          <w:sz w:val="24"/>
          <w:szCs w:val="24"/>
        </w:rPr>
        <w:t xml:space="preserve"> (liet. „Pagalbinis EOTA užduočių aktualumo vertinimo tyrimas“) (toliau – tyrimas), atlikto 2016 m. gruodžio mėn.</w:t>
      </w:r>
      <w:r>
        <w:rPr>
          <w:rStyle w:val="FootnoteReference"/>
          <w:rFonts w:ascii="Times New Roman" w:hAnsi="Times New Roman"/>
          <w:noProof/>
          <w:sz w:val="24"/>
          <w:szCs w:val="24"/>
        </w:rPr>
        <w:footnoteReference w:id="3"/>
      </w:r>
    </w:p>
    <w:p>
      <w:pPr>
        <w:pStyle w:val="ListParagraph"/>
        <w:spacing w:after="120" w:line="240" w:lineRule="auto"/>
        <w:ind w:left="0"/>
        <w:contextualSpacing w:val="0"/>
        <w:jc w:val="both"/>
        <w:rPr>
          <w:rFonts w:ascii="Times New Roman" w:hAnsi="Times New Roman"/>
          <w:noProof/>
          <w:sz w:val="24"/>
          <w:szCs w:val="24"/>
        </w:rPr>
      </w:pPr>
      <w:r>
        <w:rPr>
          <w:rFonts w:ascii="Times New Roman" w:hAnsi="Times New Roman"/>
          <w:noProof/>
          <w:sz w:val="24"/>
          <w:szCs w:val="24"/>
        </w:rPr>
        <w:t>EOTA pateikė informaciją 2019 m. pradžioje ir ji apėmė 2014–2018 m. kiekybinius bei statistinius duomenis.</w:t>
      </w:r>
    </w:p>
    <w:p>
      <w:pPr>
        <w:pStyle w:val="ListParagraph"/>
        <w:spacing w:after="120" w:line="240" w:lineRule="auto"/>
        <w:ind w:left="0"/>
        <w:contextualSpacing w:val="0"/>
        <w:jc w:val="both"/>
        <w:rPr>
          <w:rFonts w:ascii="Times New Roman" w:hAnsi="Times New Roman"/>
          <w:noProof/>
          <w:sz w:val="24"/>
          <w:szCs w:val="24"/>
        </w:rPr>
      </w:pPr>
      <w:r>
        <w:rPr>
          <w:rFonts w:ascii="Times New Roman" w:hAnsi="Times New Roman"/>
          <w:noProof/>
          <w:sz w:val="24"/>
          <w:szCs w:val="24"/>
        </w:rPr>
        <w:t>Tyrimas aprėpė laikotarpį nuo 2011 m. balandžio mėn. iki 2015 m. pabaigos. Jame analizuojama turima informacija ir papildomi duomenys, gauti iš pagrindinių SPR nustatytos sistemos dalyvių ir joje dalyvaujančių suinteresuotųjų subjektų</w:t>
      </w:r>
      <w:r>
        <w:rPr>
          <w:rStyle w:val="FootnoteReference"/>
          <w:rFonts w:ascii="Times New Roman" w:hAnsi="Times New Roman"/>
          <w:noProof/>
          <w:sz w:val="24"/>
          <w:szCs w:val="24"/>
        </w:rPr>
        <w:footnoteReference w:id="4"/>
      </w:r>
      <w:r>
        <w:rPr>
          <w:rFonts w:ascii="Times New Roman" w:hAnsi="Times New Roman"/>
          <w:noProof/>
          <w:sz w:val="24"/>
          <w:szCs w:val="24"/>
        </w:rPr>
        <w:t>. Tyrime pripažįstama, kad būta keletas iššūkių, visų pirma: i) palyginti trumpas SPR taikymo laikotarpis (kurio didžiąją dalį atitinkami pagrindiniai suinteresuotieji subjektai skyrė būtinam perėjimo procesui); ii) ribotas duomenų nuoseklumas ir palyginamumas ir iii) ribotas informacijos, gautos konsultuojantis su suinteresuotaisiais subjektais, reprezentatyvumas (dėl netolygaus dalyvavimo). Atsižvelgiant į šiuos galimus trūkumus, tyrimas suteikė galimybę atlikti pradinį vertinimą.</w:t>
      </w:r>
    </w:p>
    <w:p>
      <w:pPr>
        <w:pStyle w:val="ListParagraph"/>
        <w:spacing w:after="120" w:line="240" w:lineRule="auto"/>
        <w:ind w:left="0"/>
        <w:contextualSpacing w:val="0"/>
        <w:jc w:val="both"/>
        <w:rPr>
          <w:rFonts w:ascii="Times New Roman" w:hAnsi="Times New Roman"/>
          <w:noProof/>
          <w:sz w:val="24"/>
          <w:szCs w:val="24"/>
        </w:rPr>
      </w:pPr>
    </w:p>
    <w:p>
      <w:pPr>
        <w:pStyle w:val="Heading1"/>
        <w:rPr>
          <w:noProof/>
        </w:rPr>
      </w:pPr>
      <w:r>
        <w:rPr>
          <w:noProof/>
        </w:rPr>
        <w:t>2.</w:t>
      </w:r>
      <w:r>
        <w:rPr>
          <w:noProof/>
        </w:rPr>
        <w:tab/>
        <w:t>Aplinkybės</w:t>
      </w:r>
    </w:p>
    <w:p>
      <w:pPr>
        <w:pStyle w:val="Heading2"/>
        <w:rPr>
          <w:noProof/>
        </w:rPr>
      </w:pPr>
      <w:r>
        <w:rPr>
          <w:noProof/>
        </w:rPr>
        <w:t>2.1.</w:t>
      </w:r>
      <w:r>
        <w:rPr>
          <w:noProof/>
        </w:rPr>
        <w:tab/>
        <w:t>EOTA vaidmuo</w:t>
      </w:r>
    </w:p>
    <w:p>
      <w:pPr>
        <w:pStyle w:val="ListParagraph"/>
        <w:widowControl w:val="0"/>
        <w:spacing w:after="120" w:line="240" w:lineRule="auto"/>
        <w:ind w:left="0"/>
        <w:contextualSpacing w:val="0"/>
        <w:jc w:val="both"/>
        <w:rPr>
          <w:rFonts w:ascii="Times New Roman" w:hAnsi="Times New Roman"/>
          <w:noProof/>
          <w:sz w:val="24"/>
          <w:szCs w:val="24"/>
        </w:rPr>
      </w:pPr>
      <w:r>
        <w:rPr>
          <w:rFonts w:ascii="Times New Roman" w:hAnsi="Times New Roman"/>
          <w:noProof/>
          <w:sz w:val="24"/>
          <w:szCs w:val="24"/>
        </w:rPr>
        <w:t>EOTA – tai techninio vertinimo organizacija, kurią įsteigė techninio vertinimo įstaigos (TVĮ) pagal SPR 31 straipsnio 1 dalį.</w:t>
      </w:r>
    </w:p>
    <w:p>
      <w:pPr>
        <w:widowControl w:val="0"/>
        <w:spacing w:after="120" w:line="240" w:lineRule="auto"/>
        <w:jc w:val="both"/>
        <w:rPr>
          <w:rFonts w:ascii="Times New Roman" w:hAnsi="Times New Roman"/>
          <w:noProof/>
          <w:sz w:val="24"/>
          <w:szCs w:val="24"/>
        </w:rPr>
      </w:pPr>
      <w:r>
        <w:rPr>
          <w:rFonts w:ascii="Times New Roman" w:hAnsi="Times New Roman"/>
          <w:noProof/>
          <w:sz w:val="24"/>
          <w:szCs w:val="24"/>
        </w:rPr>
        <w:lastRenderedPageBreak/>
        <w:t>EOTA buvo pavestas svarbus vaidmuo pertvarkant ankstesnę produktų patvirtinimo sistemą, nustatytą Statybos produktų direktyvoje (SPD)</w:t>
      </w:r>
      <w:r>
        <w:rPr>
          <w:rStyle w:val="FootnoteReference"/>
          <w:noProof/>
          <w:sz w:val="24"/>
          <w:szCs w:val="24"/>
        </w:rPr>
        <w:footnoteReference w:id="5"/>
      </w:r>
      <w:r>
        <w:rPr>
          <w:noProof/>
          <w:sz w:val="24"/>
          <w:szCs w:val="24"/>
        </w:rPr>
        <w:t>,</w:t>
      </w:r>
      <w:r>
        <w:rPr>
          <w:rFonts w:ascii="Times New Roman" w:hAnsi="Times New Roman"/>
          <w:noProof/>
          <w:sz w:val="24"/>
          <w:szCs w:val="24"/>
        </w:rPr>
        <w:t xml:space="preserve"> į naują SPR eksploatacinių savybių vertinimo sistemą.</w:t>
      </w:r>
    </w:p>
    <w:p>
      <w:pPr>
        <w:spacing w:after="120" w:line="240" w:lineRule="auto"/>
        <w:jc w:val="both"/>
        <w:rPr>
          <w:rFonts w:ascii="Times New Roman" w:hAnsi="Times New Roman"/>
          <w:noProof/>
          <w:sz w:val="24"/>
          <w:szCs w:val="24"/>
        </w:rPr>
      </w:pPr>
      <w:r>
        <w:rPr>
          <w:rFonts w:ascii="Times New Roman" w:hAnsi="Times New Roman"/>
          <w:noProof/>
          <w:sz w:val="24"/>
          <w:szCs w:val="24"/>
        </w:rPr>
        <w:t xml:space="preserve">EOTA siūlo gamintojams alternatyvų metodą gauti CE ženklą statybos produktams, kuriems netaikomi arba ne visiškai taikomi Europos standartizacijos komiteto (CEN) parengti darnieji Europos standartai. Kaip nustatyta SPR 21 straipsnio 1 dalyje, gamintojai gali prašyti, kad būtų pateiktas šių statybos produktų Europos techninis įvertinimas (ETĮ), kuriuo remiantis bus išduota eksploatacinių savybių deklaracija ir statybos produktai bus ženklinami CE ženklu. Taip pat tikėtasi, kad taikant šį metodą naujoviški produktai galės lengviau ir greičiau patekti į rinką. </w:t>
      </w:r>
    </w:p>
    <w:p>
      <w:pPr>
        <w:pStyle w:val="ListParagraph"/>
        <w:spacing w:after="120" w:line="240" w:lineRule="auto"/>
        <w:ind w:left="0"/>
        <w:contextualSpacing w:val="0"/>
        <w:jc w:val="both"/>
        <w:rPr>
          <w:rFonts w:ascii="Times New Roman" w:hAnsi="Times New Roman"/>
          <w:noProof/>
          <w:sz w:val="24"/>
          <w:szCs w:val="24"/>
        </w:rPr>
      </w:pPr>
      <w:r>
        <w:rPr>
          <w:rFonts w:ascii="Times New Roman" w:hAnsi="Times New Roman"/>
          <w:noProof/>
          <w:sz w:val="24"/>
          <w:szCs w:val="24"/>
        </w:rPr>
        <w:t>ETĮ rengia TVĮ, remdamosi Europos vertinimo dokumentais (EVD), kuriuos rengia EOTA, taikydama SPR 19 straipsnį ir vėlesnes procedūras, nustatytas Reglamento II priede.</w:t>
      </w:r>
    </w:p>
    <w:p>
      <w:pPr>
        <w:pStyle w:val="ListParagraph"/>
        <w:spacing w:after="120" w:line="240" w:lineRule="auto"/>
        <w:ind w:left="0"/>
        <w:contextualSpacing w:val="0"/>
        <w:jc w:val="both"/>
        <w:rPr>
          <w:rFonts w:ascii="Times New Roman" w:hAnsi="Times New Roman"/>
          <w:noProof/>
          <w:sz w:val="24"/>
          <w:szCs w:val="24"/>
        </w:rPr>
      </w:pPr>
    </w:p>
    <w:p>
      <w:pPr>
        <w:pStyle w:val="Heading2"/>
        <w:rPr>
          <w:noProof/>
        </w:rPr>
      </w:pPr>
      <w:r>
        <w:rPr>
          <w:noProof/>
        </w:rPr>
        <w:t>2.2.</w:t>
      </w:r>
      <w:r>
        <w:rPr>
          <w:noProof/>
        </w:rPr>
        <w:tab/>
        <w:t>EOTA tikslai ir užduotys</w:t>
      </w:r>
    </w:p>
    <w:p>
      <w:pPr>
        <w:spacing w:after="120" w:line="240" w:lineRule="auto"/>
        <w:jc w:val="both"/>
        <w:rPr>
          <w:rFonts w:ascii="Times New Roman" w:hAnsi="Times New Roman"/>
          <w:noProof/>
          <w:sz w:val="24"/>
          <w:szCs w:val="24"/>
        </w:rPr>
      </w:pPr>
      <w:r>
        <w:rPr>
          <w:rFonts w:ascii="Times New Roman" w:hAnsi="Times New Roman"/>
          <w:noProof/>
          <w:sz w:val="24"/>
          <w:szCs w:val="24"/>
        </w:rPr>
        <w:t>EOTA tikslas – koordinuoti TVĮ veiklą, kaip nustatyta 31 straipsnyje.</w:t>
      </w:r>
    </w:p>
    <w:p>
      <w:pPr>
        <w:spacing w:after="120" w:line="240" w:lineRule="auto"/>
        <w:jc w:val="both"/>
        <w:rPr>
          <w:rFonts w:ascii="Times New Roman" w:hAnsi="Times New Roman"/>
          <w:noProof/>
          <w:sz w:val="24"/>
          <w:szCs w:val="24"/>
        </w:rPr>
      </w:pPr>
      <w:r>
        <w:rPr>
          <w:rFonts w:ascii="Times New Roman" w:hAnsi="Times New Roman"/>
          <w:noProof/>
          <w:sz w:val="24"/>
          <w:szCs w:val="24"/>
        </w:rPr>
        <w:t>31 straipsnio 4 dalyje pateikiamas bent šių užduočių, kurias EOTA privalo atlikti, sąrašas:</w:t>
      </w:r>
    </w:p>
    <w:p>
      <w:pPr>
        <w:numPr>
          <w:ilvl w:val="0"/>
          <w:numId w:val="8"/>
        </w:numPr>
        <w:spacing w:after="120" w:line="240" w:lineRule="auto"/>
        <w:jc w:val="both"/>
        <w:rPr>
          <w:rFonts w:ascii="Times New Roman" w:hAnsi="Times New Roman"/>
          <w:i/>
          <w:noProof/>
          <w:sz w:val="24"/>
          <w:szCs w:val="24"/>
        </w:rPr>
      </w:pPr>
      <w:r>
        <w:rPr>
          <w:rFonts w:ascii="Times New Roman" w:hAnsi="Times New Roman"/>
          <w:i/>
          <w:noProof/>
          <w:sz w:val="24"/>
          <w:szCs w:val="24"/>
        </w:rPr>
        <w:t>organizuoja TVĮ veiklos koordinavimą ir prireikus užtikrina bendradarbiavimą ir konsultavimąsi su kitais suinteresuotaisiais subjektais;</w:t>
      </w:r>
    </w:p>
    <w:p>
      <w:pPr>
        <w:numPr>
          <w:ilvl w:val="0"/>
          <w:numId w:val="8"/>
        </w:numPr>
        <w:spacing w:after="120" w:line="240" w:lineRule="auto"/>
        <w:jc w:val="both"/>
        <w:rPr>
          <w:rFonts w:ascii="Times New Roman" w:hAnsi="Times New Roman"/>
          <w:i/>
          <w:noProof/>
          <w:sz w:val="24"/>
          <w:szCs w:val="24"/>
        </w:rPr>
      </w:pPr>
      <w:r>
        <w:rPr>
          <w:rFonts w:ascii="Times New Roman" w:hAnsi="Times New Roman"/>
          <w:i/>
          <w:noProof/>
          <w:sz w:val="24"/>
          <w:szCs w:val="24"/>
        </w:rPr>
        <w:t>užtikrina, kad TVĮ dalytųsi geriausios praktikos pavyzdžiais siekiant skatinti didesnį veiksmingumą ir teikti geresnes paslaugas pramonei;</w:t>
      </w:r>
    </w:p>
    <w:p>
      <w:pPr>
        <w:numPr>
          <w:ilvl w:val="0"/>
          <w:numId w:val="8"/>
        </w:numPr>
        <w:spacing w:after="120" w:line="240" w:lineRule="auto"/>
        <w:jc w:val="both"/>
        <w:rPr>
          <w:rFonts w:ascii="Times New Roman" w:hAnsi="Times New Roman"/>
          <w:i/>
          <w:noProof/>
          <w:sz w:val="24"/>
          <w:szCs w:val="24"/>
        </w:rPr>
      </w:pPr>
      <w:r>
        <w:rPr>
          <w:rFonts w:ascii="Times New Roman" w:hAnsi="Times New Roman"/>
          <w:i/>
          <w:noProof/>
          <w:sz w:val="24"/>
          <w:szCs w:val="24"/>
        </w:rPr>
        <w:t>koordinuoja 21 straipsnyje ir II priede nustatytų procedūrų taikymą bei teikia šiam tikslui reikalingą pagalbą;</w:t>
      </w:r>
    </w:p>
    <w:p>
      <w:pPr>
        <w:numPr>
          <w:ilvl w:val="0"/>
          <w:numId w:val="8"/>
        </w:numPr>
        <w:spacing w:after="120" w:line="240" w:lineRule="auto"/>
        <w:jc w:val="both"/>
        <w:rPr>
          <w:rFonts w:ascii="Times New Roman" w:hAnsi="Times New Roman"/>
          <w:i/>
          <w:noProof/>
          <w:sz w:val="24"/>
          <w:szCs w:val="24"/>
        </w:rPr>
      </w:pPr>
      <w:r>
        <w:rPr>
          <w:rFonts w:ascii="Times New Roman" w:hAnsi="Times New Roman"/>
          <w:i/>
          <w:noProof/>
          <w:sz w:val="24"/>
          <w:szCs w:val="24"/>
        </w:rPr>
        <w:t>rengia ir priima Europos vertinimo dokumentus;</w:t>
      </w:r>
    </w:p>
    <w:p>
      <w:pPr>
        <w:numPr>
          <w:ilvl w:val="0"/>
          <w:numId w:val="8"/>
        </w:numPr>
        <w:spacing w:after="120" w:line="240" w:lineRule="auto"/>
        <w:jc w:val="both"/>
        <w:rPr>
          <w:rFonts w:ascii="Times New Roman" w:hAnsi="Times New Roman"/>
          <w:i/>
          <w:noProof/>
          <w:sz w:val="24"/>
          <w:szCs w:val="24"/>
        </w:rPr>
      </w:pPr>
      <w:r>
        <w:rPr>
          <w:rFonts w:ascii="Times New Roman" w:hAnsi="Times New Roman"/>
          <w:i/>
          <w:noProof/>
          <w:sz w:val="24"/>
          <w:szCs w:val="24"/>
        </w:rPr>
        <w:t>praneša Komisijai apie visus klausimus, susijusius su Europos vertinimo dokumentų rengimu, ir su 21 straipsnyje ir II priede nustatytų procedūrų aiškinimu susijusius aspektus bei siūlo Komisijai patobulinimus remiantis įgyta patirtimi;</w:t>
      </w:r>
    </w:p>
    <w:p>
      <w:pPr>
        <w:numPr>
          <w:ilvl w:val="0"/>
          <w:numId w:val="8"/>
        </w:numPr>
        <w:spacing w:after="120" w:line="240" w:lineRule="auto"/>
        <w:jc w:val="both"/>
        <w:rPr>
          <w:rFonts w:ascii="Times New Roman" w:hAnsi="Times New Roman"/>
          <w:i/>
          <w:noProof/>
          <w:sz w:val="24"/>
          <w:szCs w:val="24"/>
        </w:rPr>
      </w:pPr>
      <w:r>
        <w:rPr>
          <w:rFonts w:ascii="Times New Roman" w:hAnsi="Times New Roman"/>
          <w:i/>
          <w:noProof/>
          <w:sz w:val="24"/>
          <w:szCs w:val="24"/>
        </w:rPr>
        <w:t xml:space="preserve">teikia pastabas dėl TVĮ, kuri nevykdo savo užduočių pagal 21 straipsnyje ir II priede nustatytas procedūras, Komisijai ir tą TVĮ paskyrusiai valstybei narei; </w:t>
      </w:r>
    </w:p>
    <w:p>
      <w:pPr>
        <w:numPr>
          <w:ilvl w:val="0"/>
          <w:numId w:val="8"/>
        </w:numPr>
        <w:spacing w:after="120" w:line="240" w:lineRule="auto"/>
        <w:jc w:val="both"/>
        <w:rPr>
          <w:rFonts w:ascii="Times New Roman" w:hAnsi="Times New Roman"/>
          <w:i/>
          <w:noProof/>
          <w:sz w:val="24"/>
          <w:szCs w:val="24"/>
        </w:rPr>
      </w:pPr>
      <w:r>
        <w:rPr>
          <w:rFonts w:ascii="Times New Roman" w:hAnsi="Times New Roman"/>
          <w:i/>
          <w:noProof/>
          <w:sz w:val="24"/>
          <w:szCs w:val="24"/>
        </w:rPr>
        <w:t>užtikrina, kad priimti Europos vertinimo dokumentai ir nuorodos į Europos techninius įvertinimus būtų skelbiami viešai.</w:t>
      </w:r>
    </w:p>
    <w:p>
      <w:pPr>
        <w:spacing w:after="120" w:line="240" w:lineRule="auto"/>
        <w:jc w:val="both"/>
        <w:rPr>
          <w:rFonts w:ascii="Times New Roman" w:hAnsi="Times New Roman"/>
          <w:noProof/>
          <w:sz w:val="24"/>
          <w:szCs w:val="24"/>
        </w:rPr>
      </w:pPr>
      <w:r>
        <w:rPr>
          <w:rFonts w:ascii="Times New Roman" w:hAnsi="Times New Roman"/>
          <w:noProof/>
          <w:sz w:val="24"/>
          <w:szCs w:val="24"/>
        </w:rPr>
        <w:t>Pagrindinės EOTA užduotys yra nurodomos c ir d punktuose, nes jos yra tiesiogiai susijusios su EVD rengimu. a ir b punktuose nurodomos užduotys gali būti laikomos papildomomis užduotimis, turinčiomis didelį poveikį dokumentų rengimo procesui ir jų kokybei. Galiausiai e, f ir g punktuose nurodomos užduotys gali būti laikomos stebėsenos užduotimis.</w:t>
      </w:r>
    </w:p>
    <w:p>
      <w:pPr>
        <w:spacing w:after="60" w:line="240" w:lineRule="auto"/>
        <w:jc w:val="both"/>
        <w:rPr>
          <w:rFonts w:ascii="Times New Roman" w:hAnsi="Times New Roman"/>
          <w:noProof/>
          <w:sz w:val="24"/>
          <w:szCs w:val="24"/>
        </w:rPr>
      </w:pPr>
      <w:r>
        <w:rPr>
          <w:rFonts w:ascii="Times New Roman" w:hAnsi="Times New Roman"/>
          <w:noProof/>
          <w:sz w:val="24"/>
          <w:szCs w:val="24"/>
        </w:rPr>
        <w:t>Kalbant apie EVD rengimo ir tvirtinimo procedūrą (d punkte nurodoma užduotis), SPR 20 straipsnio 1 pirmoje dalyje yra nustatyti reikalavimai, kad procedūra būtų:</w:t>
      </w:r>
    </w:p>
    <w:p>
      <w:pPr>
        <w:numPr>
          <w:ilvl w:val="0"/>
          <w:numId w:val="10"/>
        </w:numPr>
        <w:spacing w:after="60" w:line="240" w:lineRule="auto"/>
        <w:ind w:left="714" w:hanging="357"/>
        <w:jc w:val="both"/>
        <w:rPr>
          <w:rFonts w:ascii="Times New Roman" w:hAnsi="Times New Roman"/>
          <w:i/>
          <w:noProof/>
          <w:sz w:val="24"/>
          <w:szCs w:val="24"/>
        </w:rPr>
      </w:pPr>
      <w:r>
        <w:rPr>
          <w:rFonts w:ascii="Times New Roman" w:hAnsi="Times New Roman"/>
          <w:i/>
          <w:noProof/>
          <w:sz w:val="24"/>
          <w:szCs w:val="24"/>
        </w:rPr>
        <w:t>skaidri atitinkamo gamintojo atžvilgiu;</w:t>
      </w:r>
    </w:p>
    <w:p>
      <w:pPr>
        <w:numPr>
          <w:ilvl w:val="0"/>
          <w:numId w:val="10"/>
        </w:numPr>
        <w:spacing w:after="60" w:line="240" w:lineRule="auto"/>
        <w:ind w:left="714" w:hanging="357"/>
        <w:jc w:val="both"/>
        <w:rPr>
          <w:rFonts w:ascii="Times New Roman" w:hAnsi="Times New Roman"/>
          <w:i/>
          <w:noProof/>
          <w:sz w:val="24"/>
          <w:szCs w:val="24"/>
        </w:rPr>
      </w:pPr>
      <w:r>
        <w:rPr>
          <w:rFonts w:ascii="Times New Roman" w:hAnsi="Times New Roman"/>
          <w:i/>
          <w:noProof/>
          <w:sz w:val="24"/>
          <w:szCs w:val="24"/>
        </w:rPr>
        <w:t>apibrėžta tinkamais privalomais terminais, kad būtų išvengta nepagrįsto vėlavimo;</w:t>
      </w:r>
    </w:p>
    <w:p>
      <w:pPr>
        <w:numPr>
          <w:ilvl w:val="0"/>
          <w:numId w:val="10"/>
        </w:numPr>
        <w:spacing w:after="60" w:line="240" w:lineRule="auto"/>
        <w:ind w:left="714" w:hanging="357"/>
        <w:jc w:val="both"/>
        <w:rPr>
          <w:rFonts w:ascii="Times New Roman" w:hAnsi="Times New Roman"/>
          <w:i/>
          <w:noProof/>
          <w:sz w:val="24"/>
          <w:szCs w:val="24"/>
        </w:rPr>
      </w:pPr>
      <w:r>
        <w:rPr>
          <w:rFonts w:ascii="Times New Roman" w:hAnsi="Times New Roman"/>
          <w:i/>
          <w:noProof/>
          <w:sz w:val="24"/>
          <w:szCs w:val="24"/>
        </w:rPr>
        <w:lastRenderedPageBreak/>
        <w:t>parengta deramai atsižvelgiant į komercinės paslapties ir konfidencialumo apsaugą;</w:t>
      </w:r>
    </w:p>
    <w:p>
      <w:pPr>
        <w:numPr>
          <w:ilvl w:val="0"/>
          <w:numId w:val="10"/>
        </w:numPr>
        <w:spacing w:after="60" w:line="240" w:lineRule="auto"/>
        <w:ind w:left="714" w:hanging="357"/>
        <w:jc w:val="both"/>
        <w:rPr>
          <w:rFonts w:ascii="Times New Roman" w:hAnsi="Times New Roman"/>
          <w:i/>
          <w:noProof/>
          <w:sz w:val="24"/>
          <w:szCs w:val="24"/>
        </w:rPr>
      </w:pPr>
      <w:r>
        <w:rPr>
          <w:rFonts w:ascii="Times New Roman" w:hAnsi="Times New Roman"/>
          <w:i/>
          <w:noProof/>
          <w:sz w:val="24"/>
          <w:szCs w:val="24"/>
        </w:rPr>
        <w:t>parengta numatant galimybę deramam Komisijos dalyvavimui;</w:t>
      </w:r>
    </w:p>
    <w:p>
      <w:pPr>
        <w:numPr>
          <w:ilvl w:val="0"/>
          <w:numId w:val="10"/>
        </w:numPr>
        <w:spacing w:after="60" w:line="240" w:lineRule="auto"/>
        <w:ind w:left="714" w:hanging="357"/>
        <w:jc w:val="both"/>
        <w:rPr>
          <w:rFonts w:ascii="Times New Roman" w:hAnsi="Times New Roman"/>
          <w:i/>
          <w:noProof/>
          <w:sz w:val="24"/>
          <w:szCs w:val="24"/>
        </w:rPr>
      </w:pPr>
      <w:r>
        <w:rPr>
          <w:rFonts w:ascii="Times New Roman" w:hAnsi="Times New Roman"/>
          <w:i/>
          <w:noProof/>
        </w:rPr>
        <w:t>pagrįsta mažiausiomis sąnaudomis gamintojui; ir</w:t>
      </w:r>
    </w:p>
    <w:p>
      <w:pPr>
        <w:numPr>
          <w:ilvl w:val="0"/>
          <w:numId w:val="10"/>
        </w:numPr>
        <w:spacing w:after="120" w:line="240" w:lineRule="auto"/>
        <w:ind w:left="714" w:hanging="357"/>
        <w:jc w:val="both"/>
        <w:rPr>
          <w:rFonts w:ascii="Times New Roman" w:hAnsi="Times New Roman"/>
          <w:i/>
          <w:noProof/>
          <w:sz w:val="24"/>
          <w:szCs w:val="24"/>
        </w:rPr>
      </w:pPr>
      <w:r>
        <w:rPr>
          <w:rFonts w:ascii="Times New Roman" w:hAnsi="Times New Roman"/>
          <w:i/>
          <w:noProof/>
        </w:rPr>
        <w:t>užtikrinanti atitinkamam produktui paskirtų TVĮ kolegialumą ir jų veiklos koordinavimą.</w:t>
      </w:r>
    </w:p>
    <w:p>
      <w:pPr>
        <w:spacing w:after="120" w:line="240" w:lineRule="auto"/>
        <w:jc w:val="both"/>
        <w:rPr>
          <w:rFonts w:ascii="Times New Roman" w:hAnsi="Times New Roman"/>
          <w:noProof/>
          <w:sz w:val="24"/>
          <w:szCs w:val="24"/>
        </w:rPr>
      </w:pPr>
      <w:r>
        <w:rPr>
          <w:rFonts w:ascii="Times New Roman" w:hAnsi="Times New Roman"/>
          <w:noProof/>
          <w:sz w:val="24"/>
          <w:szCs w:val="24"/>
        </w:rPr>
        <w:t>Skaidrumas, konfidencialumas, mažiausios sąnaudos ir savalaikiškumas taip pat nurodomi kaip būtinieji reikalavimai SPR 19 ir 23 konstatuojamosiose dalyse ir yra atspindėti procedūroje, nustatytoje II priede, kuriame papildomai patikslinamas Komisijos dalyvavimas.</w:t>
      </w:r>
    </w:p>
    <w:p>
      <w:pPr>
        <w:spacing w:after="120" w:line="240" w:lineRule="auto"/>
        <w:jc w:val="both"/>
        <w:rPr>
          <w:rFonts w:ascii="Times New Roman" w:hAnsi="Times New Roman"/>
          <w:noProof/>
          <w:sz w:val="24"/>
          <w:szCs w:val="24"/>
        </w:rPr>
      </w:pPr>
    </w:p>
    <w:p>
      <w:pPr>
        <w:pStyle w:val="Heading2"/>
        <w:rPr>
          <w:noProof/>
        </w:rPr>
      </w:pPr>
      <w:r>
        <w:rPr>
          <w:noProof/>
        </w:rPr>
        <w:t>2.3.</w:t>
      </w:r>
      <w:r>
        <w:rPr>
          <w:noProof/>
        </w:rPr>
        <w:tab/>
        <w:t>EOTA struktūra</w:t>
      </w:r>
    </w:p>
    <w:p>
      <w:pPr>
        <w:spacing w:after="120" w:line="240" w:lineRule="auto"/>
        <w:jc w:val="both"/>
        <w:rPr>
          <w:rFonts w:ascii="Times New Roman" w:hAnsi="Times New Roman"/>
          <w:noProof/>
          <w:sz w:val="24"/>
          <w:szCs w:val="24"/>
        </w:rPr>
      </w:pPr>
      <w:r>
        <w:rPr>
          <w:rFonts w:ascii="Times New Roman" w:hAnsi="Times New Roman"/>
          <w:noProof/>
          <w:sz w:val="24"/>
          <w:szCs w:val="24"/>
        </w:rPr>
        <w:t>Kaip nurodoma 31 straipsnio 2 dalyje, EOTA siekia Europos bendros svarbos interesų. Organizaciją sudaro 49 TVĮ iš 22 ES valstybių narių (visų valstybių narių, išskyrus Bulgariją, Graikiją, Latviją, Maltą, Estiją ir Liuksemburgą), dviejų EEE narėmis esančių ELPA valstybių (Norvegijos ir Šveicarijos) ir Turkijos</w:t>
      </w:r>
      <w:r>
        <w:rPr>
          <w:rStyle w:val="FootnoteReference"/>
          <w:rFonts w:ascii="Times New Roman" w:hAnsi="Times New Roman"/>
          <w:noProof/>
          <w:sz w:val="24"/>
          <w:szCs w:val="24"/>
        </w:rPr>
        <w:footnoteReference w:id="6"/>
      </w:r>
      <w:r>
        <w:rPr>
          <w:rFonts w:ascii="Times New Roman" w:hAnsi="Times New Roman"/>
          <w:noProof/>
          <w:sz w:val="24"/>
          <w:szCs w:val="24"/>
        </w:rPr>
        <w:t>.</w:t>
      </w:r>
    </w:p>
    <w:p>
      <w:pPr>
        <w:spacing w:after="120" w:line="240" w:lineRule="auto"/>
        <w:jc w:val="both"/>
        <w:rPr>
          <w:rFonts w:ascii="Times New Roman" w:hAnsi="Times New Roman"/>
          <w:noProof/>
          <w:sz w:val="24"/>
          <w:szCs w:val="24"/>
        </w:rPr>
      </w:pPr>
      <w:r>
        <w:rPr>
          <w:rFonts w:ascii="Times New Roman" w:hAnsi="Times New Roman"/>
          <w:noProof/>
          <w:sz w:val="24"/>
          <w:szCs w:val="24"/>
        </w:rPr>
        <w:t>EOTA nariai yra dalyvaujančių valstybių vyriausybių paskirtos viešojo sektoriaus institucijos arba privačios įstaigos. Kai kurios valstybės narės yra paskyrusios tik vieną TVĮ, kitos – kelias TVĮ. Kai kuriose valstybėse narėse paskirta TVĮ yra atsakinga už techninius įvertinimus ir EVD rengimą visose produktų srityse, o kitos valstybės narės yra paskyrusios TVĮ, kurių specializacija – viena ar kelios produktų sritys, nustatytos SPR 29 straipsnio 1 dalyje ir IV priede.</w:t>
      </w:r>
    </w:p>
    <w:p>
      <w:pPr>
        <w:spacing w:after="120" w:line="240" w:lineRule="auto"/>
        <w:jc w:val="both"/>
        <w:rPr>
          <w:rFonts w:ascii="Times New Roman" w:hAnsi="Times New Roman"/>
          <w:noProof/>
          <w:sz w:val="24"/>
          <w:szCs w:val="24"/>
        </w:rPr>
      </w:pPr>
      <w:r>
        <w:rPr>
          <w:rFonts w:ascii="Times New Roman" w:hAnsi="Times New Roman"/>
          <w:noProof/>
          <w:sz w:val="24"/>
          <w:szCs w:val="24"/>
        </w:rPr>
        <w:t>Pagal EOTA statutą ją sudaro:</w:t>
      </w:r>
    </w:p>
    <w:p>
      <w:pPr>
        <w:numPr>
          <w:ilvl w:val="0"/>
          <w:numId w:val="27"/>
        </w:numPr>
        <w:spacing w:after="120" w:line="240" w:lineRule="auto"/>
        <w:ind w:left="709" w:hanging="286"/>
        <w:jc w:val="both"/>
        <w:rPr>
          <w:rFonts w:ascii="Times New Roman" w:hAnsi="Times New Roman"/>
          <w:noProof/>
          <w:sz w:val="24"/>
          <w:szCs w:val="24"/>
        </w:rPr>
      </w:pPr>
      <w:r>
        <w:rPr>
          <w:rFonts w:ascii="Times New Roman" w:hAnsi="Times New Roman"/>
          <w:noProof/>
          <w:sz w:val="24"/>
          <w:szCs w:val="24"/>
        </w:rPr>
        <w:t xml:space="preserve">vykdomoji valdyba (sekretoriato darbuotojai ir šeši generalinės asamblėjos paskirti techninio vertinimo įstaigų atstovai); </w:t>
      </w:r>
    </w:p>
    <w:p>
      <w:pPr>
        <w:numPr>
          <w:ilvl w:val="0"/>
          <w:numId w:val="27"/>
        </w:numPr>
        <w:spacing w:after="120" w:line="240" w:lineRule="auto"/>
        <w:jc w:val="both"/>
        <w:rPr>
          <w:rFonts w:ascii="Times New Roman" w:hAnsi="Times New Roman"/>
          <w:noProof/>
          <w:sz w:val="24"/>
          <w:szCs w:val="24"/>
        </w:rPr>
      </w:pPr>
      <w:r>
        <w:rPr>
          <w:rFonts w:ascii="Times New Roman" w:hAnsi="Times New Roman"/>
          <w:noProof/>
          <w:sz w:val="24"/>
          <w:szCs w:val="24"/>
        </w:rPr>
        <w:t>generalinė asamblėja (ją sudaro visi EOTA nariai ir vykdomoji valdyba) ir</w:t>
      </w:r>
    </w:p>
    <w:p>
      <w:pPr>
        <w:numPr>
          <w:ilvl w:val="0"/>
          <w:numId w:val="27"/>
        </w:numPr>
        <w:spacing w:after="120" w:line="240" w:lineRule="auto"/>
        <w:jc w:val="both"/>
        <w:rPr>
          <w:rFonts w:ascii="Times New Roman" w:hAnsi="Times New Roman"/>
          <w:noProof/>
          <w:sz w:val="24"/>
          <w:szCs w:val="24"/>
        </w:rPr>
      </w:pPr>
      <w:r>
        <w:rPr>
          <w:rFonts w:ascii="Times New Roman" w:hAnsi="Times New Roman"/>
          <w:noProof/>
          <w:sz w:val="24"/>
          <w:szCs w:val="24"/>
        </w:rPr>
        <w:t>techninė valdyba.</w:t>
      </w:r>
    </w:p>
    <w:p>
      <w:pPr>
        <w:spacing w:after="120" w:line="240" w:lineRule="auto"/>
        <w:jc w:val="both"/>
        <w:rPr>
          <w:rFonts w:ascii="Times New Roman" w:hAnsi="Times New Roman"/>
          <w:noProof/>
          <w:sz w:val="24"/>
          <w:szCs w:val="24"/>
        </w:rPr>
      </w:pPr>
      <w:r>
        <w:rPr>
          <w:rFonts w:ascii="Times New Roman" w:hAnsi="Times New Roman"/>
          <w:noProof/>
          <w:sz w:val="24"/>
          <w:szCs w:val="24"/>
        </w:rPr>
        <w:t>EOTA generalinė asamblėja ir vykdomoji valdyba yra atsakingos už EOTA politikos ir strategijos rengimą.</w:t>
      </w:r>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EOTA taip pat turi sekretoriatą</w:t>
      </w:r>
      <w:r>
        <w:rPr>
          <w:rStyle w:val="FootnoteReference"/>
          <w:rFonts w:ascii="Times New Roman" w:hAnsi="Times New Roman"/>
          <w:noProof/>
          <w:sz w:val="24"/>
          <w:szCs w:val="24"/>
        </w:rPr>
        <w:footnoteReference w:id="7"/>
      </w:r>
      <w:r>
        <w:rPr>
          <w:rFonts w:ascii="Times New Roman" w:hAnsi="Times New Roman"/>
          <w:noProof/>
          <w:sz w:val="24"/>
          <w:szCs w:val="24"/>
        </w:rPr>
        <w:t xml:space="preserve"> ir Suinteresuotųjų subjektų patariamąją grupę</w:t>
      </w:r>
      <w:r>
        <w:rPr>
          <w:rStyle w:val="FootnoteReference"/>
          <w:rFonts w:ascii="Times New Roman" w:hAnsi="Times New Roman"/>
          <w:noProof/>
          <w:sz w:val="24"/>
          <w:szCs w:val="24"/>
        </w:rPr>
        <w:footnoteReference w:id="8"/>
      </w:r>
      <w:r>
        <w:rPr>
          <w:rFonts w:ascii="Times New Roman" w:hAnsi="Times New Roman"/>
          <w:noProof/>
          <w:sz w:val="24"/>
          <w:szCs w:val="24"/>
        </w:rPr>
        <w:t>, kurią sudaro po vieną atstovą iš kiekvienos pagrindinės šalies, atstovaujančios statybos sektoriaus ir EOTA vykdomosios tarybos interesams. Suinteresuotųjų subjektų patariamosios grupės sudėtį nustato ir jos veiklą prižiūri EOTA vykdomoji valdyba, o jai pirmininkauja EOTA pirmininkas.</w:t>
      </w:r>
    </w:p>
    <w:p>
      <w:pPr>
        <w:spacing w:after="120" w:line="240" w:lineRule="auto"/>
        <w:jc w:val="both"/>
        <w:rPr>
          <w:rFonts w:ascii="Times New Roman" w:hAnsi="Times New Roman"/>
          <w:noProof/>
          <w:sz w:val="24"/>
          <w:szCs w:val="24"/>
        </w:rPr>
      </w:pPr>
    </w:p>
    <w:p>
      <w:pPr>
        <w:pStyle w:val="Heading2"/>
        <w:rPr>
          <w:noProof/>
        </w:rPr>
      </w:pPr>
      <w:r>
        <w:rPr>
          <w:noProof/>
        </w:rPr>
        <w:t>2.4.</w:t>
      </w:r>
      <w:r>
        <w:rPr>
          <w:noProof/>
        </w:rPr>
        <w:tab/>
        <w:t>EVD rengimo procesas</w:t>
      </w:r>
    </w:p>
    <w:p>
      <w:pPr>
        <w:spacing w:after="120" w:line="240" w:lineRule="auto"/>
        <w:jc w:val="both"/>
        <w:rPr>
          <w:rFonts w:ascii="Times New Roman" w:hAnsi="Times New Roman"/>
          <w:b/>
          <w:noProof/>
          <w:sz w:val="24"/>
          <w:szCs w:val="24"/>
        </w:rPr>
      </w:pPr>
    </w:p>
    <w:p>
      <w:pPr>
        <w:spacing w:after="120" w:line="240" w:lineRule="auto"/>
        <w:jc w:val="both"/>
        <w:rPr>
          <w:rFonts w:ascii="Times New Roman" w:hAnsi="Times New Roman"/>
          <w:b/>
          <w:noProof/>
          <w:sz w:val="24"/>
          <w:szCs w:val="24"/>
        </w:rPr>
      </w:pPr>
      <w:r>
        <w:rPr>
          <w:rFonts w:ascii="Times New Roman" w:hAnsi="Times New Roman"/>
          <w:b/>
          <w:noProof/>
          <w:sz w:val="24"/>
          <w:szCs w:val="24"/>
        </w:rPr>
        <w:t>2.4.1.</w:t>
      </w:r>
      <w:r>
        <w:rPr>
          <w:rFonts w:ascii="Times New Roman" w:hAnsi="Times New Roman"/>
          <w:b/>
          <w:noProof/>
          <w:sz w:val="24"/>
          <w:szCs w:val="24"/>
        </w:rPr>
        <w:tab/>
        <w:t>SPR II priede nustatyta procedūra</w:t>
      </w:r>
    </w:p>
    <w:p>
      <w:pPr>
        <w:spacing w:after="120" w:line="240" w:lineRule="auto"/>
        <w:jc w:val="both"/>
        <w:rPr>
          <w:rFonts w:ascii="Times New Roman" w:hAnsi="Times New Roman"/>
          <w:noProof/>
          <w:sz w:val="24"/>
          <w:szCs w:val="24"/>
        </w:rPr>
      </w:pPr>
    </w:p>
    <w:p>
      <w:pPr>
        <w:spacing w:after="120" w:line="240" w:lineRule="auto"/>
        <w:jc w:val="both"/>
        <w:rPr>
          <w:rFonts w:ascii="Times New Roman" w:hAnsi="Times New Roman"/>
          <w:noProof/>
          <w:sz w:val="24"/>
          <w:szCs w:val="24"/>
        </w:rPr>
      </w:pPr>
      <w:r>
        <w:rPr>
          <w:rFonts w:ascii="Times New Roman" w:hAnsi="Times New Roman"/>
          <w:noProof/>
          <w:sz w:val="24"/>
          <w:szCs w:val="24"/>
        </w:rPr>
        <w:t>Statybos produkto, kuriam netaikomas arba ne visiškai taikomas darnusis Europos standartas, gamintojas gali prašyti, kad būtų išduotas jo produktų ETĮ. Su tokiu prašymu jis turi kreiptis į TVĮ. TVĮ turi pagal SPR 21 straipsnio 1 dalį nustatyti, ar konkrečiam produktui jau yra visiškai arba iš dalies taikomas EVD arba darnusis Europos standartas, ir atitinkamai informuoti gamintoją. Jeigu visiškai tam produktui taikomas EVD jau yra, remdamasi juo TVĮ pateikia ETĮ.</w:t>
      </w:r>
    </w:p>
    <w:p>
      <w:pPr>
        <w:spacing w:after="120" w:line="240" w:lineRule="auto"/>
        <w:jc w:val="both"/>
        <w:rPr>
          <w:rFonts w:ascii="Times New Roman" w:hAnsi="Times New Roman"/>
          <w:noProof/>
          <w:sz w:val="24"/>
          <w:szCs w:val="24"/>
        </w:rPr>
      </w:pPr>
      <w:r>
        <w:rPr>
          <w:rFonts w:ascii="Times New Roman" w:hAnsi="Times New Roman"/>
          <w:noProof/>
          <w:sz w:val="24"/>
          <w:szCs w:val="24"/>
        </w:rPr>
        <w:t>Kai ETĮ išduoti reikia (naujo arba peržiūrėto) EVD, prašymą gavusi TVĮ (vadinamoji atsakinga TVĮ) informuoja EOTA, sudaro su gamintoju sutartį ir joje nustato EVD parengimo darbo programą (II priedo 2 dalis). Į EVD bus įtraukti pagrindinių charakteristikų eksploataciniai aspektai, kuriuos gamintojas ketina deklaruoti.</w:t>
      </w:r>
    </w:p>
    <w:p>
      <w:pPr>
        <w:spacing w:after="120" w:line="240" w:lineRule="auto"/>
        <w:jc w:val="both"/>
        <w:rPr>
          <w:rFonts w:ascii="Times New Roman" w:hAnsi="Times New Roman"/>
          <w:noProof/>
          <w:sz w:val="24"/>
          <w:szCs w:val="24"/>
        </w:rPr>
      </w:pPr>
      <w:r>
        <w:rPr>
          <w:rFonts w:ascii="Times New Roman" w:hAnsi="Times New Roman"/>
          <w:noProof/>
          <w:sz w:val="24"/>
          <w:szCs w:val="24"/>
        </w:rPr>
        <w:t>Naują arba peržiūrėtą EVD rengia TVĮ darbo grupė, bendradarbiaudama su gamintoju, o vėliau tvirtina EOTA. Darbo grupei vadovauja atsakinga TVĮ, o ją sudaro TVĮ, kurios pareiškė norą dalyvauti atsiliepdamos į EOTA kvietimą</w:t>
      </w:r>
      <w:r>
        <w:rPr>
          <w:rStyle w:val="FootnoteReference"/>
          <w:rFonts w:ascii="Times New Roman" w:hAnsi="Times New Roman"/>
          <w:noProof/>
          <w:sz w:val="24"/>
          <w:szCs w:val="24"/>
        </w:rPr>
        <w:footnoteReference w:id="9"/>
      </w:r>
      <w:r>
        <w:rPr>
          <w:rFonts w:ascii="Times New Roman" w:hAnsi="Times New Roman"/>
          <w:noProof/>
          <w:sz w:val="24"/>
          <w:szCs w:val="24"/>
        </w:rPr>
        <w:t>. Apie EVD rengimą, kuris turi būti užbaigtas per devynis mėnesius nuo prašymo išduoti ETĮ gavimo dienos, informuojama Europos Komisija.</w:t>
      </w:r>
    </w:p>
    <w:p>
      <w:pPr>
        <w:spacing w:after="120" w:line="240" w:lineRule="auto"/>
        <w:jc w:val="both"/>
        <w:rPr>
          <w:rFonts w:ascii="Times New Roman" w:hAnsi="Times New Roman"/>
          <w:noProof/>
          <w:sz w:val="24"/>
          <w:szCs w:val="24"/>
        </w:rPr>
      </w:pPr>
      <w:r>
        <w:rPr>
          <w:rFonts w:ascii="Times New Roman" w:hAnsi="Times New Roman"/>
          <w:noProof/>
          <w:sz w:val="24"/>
          <w:szCs w:val="24"/>
        </w:rPr>
        <w:t>Informavus gamintoją, EOTA, atsižvelgdama į jo pastabas (jei jų yra), oficialiai patvirtina EVD projektą ir pateikia jį Komisijai. Komisija per 15 darbo dienų turi pateikti savo pastabas. Po to EOTA turi atitinkamai iš dalies pakeisti EVD projektą ir pateikti galutiniu laikomą EVD gamintojui bei Komisijai (II priedo 7 dalis). Šiuo etapu gali būti išduotas ETĮ.</w:t>
      </w:r>
    </w:p>
    <w:p>
      <w:pPr>
        <w:spacing w:after="120" w:line="240" w:lineRule="auto"/>
        <w:jc w:val="both"/>
        <w:rPr>
          <w:rFonts w:ascii="Times New Roman" w:hAnsi="Times New Roman"/>
          <w:noProof/>
          <w:sz w:val="24"/>
          <w:szCs w:val="24"/>
        </w:rPr>
      </w:pPr>
      <w:r>
        <w:rPr>
          <w:rFonts w:ascii="Times New Roman" w:hAnsi="Times New Roman"/>
          <w:noProof/>
          <w:sz w:val="24"/>
          <w:szCs w:val="24"/>
        </w:rPr>
        <w:t>Kai tik atsakinga TVĮ išduoda pirmąjį ETĮ, remdamasi galutiniu laikomu EVD, tas EVD prireikus pakeičiamas, atsižvelgiant į įgytą patirtį. Tik tada EOTA priima galutinį EVD ir jo kopiją siunčia Komisijai kartu su jo pavadinimo vertimu į visas ES oficialiąsias kalbas, kad būtų galima paskelbti jo nuorodą ES oficialiajame leidinyje (II priedo 8 dalis).</w:t>
      </w:r>
    </w:p>
    <w:p>
      <w:pPr>
        <w:spacing w:after="120" w:line="240" w:lineRule="auto"/>
        <w:jc w:val="both"/>
        <w:rPr>
          <w:rFonts w:ascii="Times New Roman" w:hAnsi="Times New Roman"/>
          <w:noProof/>
          <w:sz w:val="24"/>
          <w:szCs w:val="24"/>
        </w:rPr>
      </w:pPr>
      <w:r>
        <w:rPr>
          <w:rFonts w:ascii="Times New Roman" w:hAnsi="Times New Roman"/>
          <w:noProof/>
          <w:sz w:val="24"/>
          <w:szCs w:val="24"/>
        </w:rPr>
        <w:t>Išduodamas pirmasis ETĮ ir juo remiantis produktas gali gauti CE ženklą, laukiant EVD nuorodos paskelbimo Oficialiajame leidinyje.</w:t>
      </w:r>
    </w:p>
    <w:p>
      <w:pPr>
        <w:spacing w:after="120" w:line="240" w:lineRule="auto"/>
        <w:ind w:left="284"/>
        <w:jc w:val="both"/>
        <w:rPr>
          <w:rFonts w:ascii="Times New Roman" w:hAnsi="Times New Roman"/>
          <w:noProof/>
        </w:rPr>
      </w:pPr>
    </w:p>
    <w:p>
      <w:pPr>
        <w:spacing w:after="120" w:line="240" w:lineRule="auto"/>
        <w:jc w:val="both"/>
        <w:rPr>
          <w:rFonts w:ascii="Times New Roman" w:hAnsi="Times New Roman"/>
          <w:b/>
          <w:noProof/>
          <w:sz w:val="24"/>
          <w:szCs w:val="24"/>
        </w:rPr>
      </w:pPr>
      <w:r>
        <w:rPr>
          <w:rFonts w:ascii="Times New Roman" w:hAnsi="Times New Roman"/>
          <w:b/>
          <w:noProof/>
          <w:sz w:val="24"/>
          <w:szCs w:val="24"/>
        </w:rPr>
        <w:t>2.4.2.</w:t>
      </w:r>
      <w:r>
        <w:rPr>
          <w:rFonts w:ascii="Times New Roman" w:hAnsi="Times New Roman"/>
          <w:b/>
          <w:noProof/>
          <w:sz w:val="24"/>
          <w:szCs w:val="24"/>
        </w:rPr>
        <w:tab/>
        <w:t>SPD dokumentų naudojimas ir keitimas</w:t>
      </w:r>
    </w:p>
    <w:p>
      <w:pPr>
        <w:spacing w:after="120" w:line="240" w:lineRule="auto"/>
        <w:jc w:val="both"/>
        <w:rPr>
          <w:rFonts w:ascii="Times New Roman" w:hAnsi="Times New Roman"/>
          <w:noProof/>
          <w:sz w:val="24"/>
          <w:szCs w:val="24"/>
        </w:rPr>
      </w:pPr>
      <w:r>
        <w:rPr>
          <w:rFonts w:ascii="Times New Roman" w:hAnsi="Times New Roman"/>
          <w:noProof/>
          <w:sz w:val="24"/>
          <w:szCs w:val="24"/>
        </w:rPr>
        <w:t>Prieš įsigaliojant SPR, pagal SPD buvo išduodami Europos techniniai liudijimai.</w:t>
      </w:r>
    </w:p>
    <w:p>
      <w:pPr>
        <w:spacing w:after="120" w:line="240" w:lineRule="auto"/>
        <w:jc w:val="both"/>
        <w:rPr>
          <w:rFonts w:ascii="Times New Roman" w:hAnsi="Times New Roman"/>
          <w:noProof/>
          <w:sz w:val="24"/>
          <w:szCs w:val="24"/>
        </w:rPr>
      </w:pPr>
      <w:r>
        <w:rPr>
          <w:rFonts w:ascii="Times New Roman" w:hAnsi="Times New Roman"/>
          <w:noProof/>
          <w:sz w:val="24"/>
          <w:szCs w:val="24"/>
        </w:rPr>
        <w:t>Pagal SPD (9 straipsnis) Europos techniniai liudijimai buvo išduodami remiantis rekomendacijomis, kaip suteikti Europos techninį liudijimą, arba bendrais susitarimais dėl patvirtinimo procedūrų</w:t>
      </w:r>
      <w:r>
        <w:rPr>
          <w:rStyle w:val="FootnoteReference"/>
          <w:rFonts w:ascii="Times New Roman" w:hAnsi="Times New Roman"/>
          <w:noProof/>
          <w:sz w:val="24"/>
          <w:szCs w:val="24"/>
        </w:rPr>
        <w:footnoteReference w:id="10"/>
      </w:r>
      <w:r>
        <w:rPr>
          <w:rFonts w:ascii="Times New Roman" w:hAnsi="Times New Roman"/>
          <w:noProof/>
          <w:sz w:val="24"/>
          <w:szCs w:val="24"/>
        </w:rPr>
        <w:t>. Europos techniniai liudijimai galiojo ilgiausiai penkerius metus</w:t>
      </w:r>
      <w:r>
        <w:rPr>
          <w:rStyle w:val="FootnoteReference"/>
          <w:rFonts w:ascii="Times New Roman" w:hAnsi="Times New Roman"/>
          <w:noProof/>
          <w:sz w:val="24"/>
          <w:szCs w:val="24"/>
        </w:rPr>
        <w:footnoteReference w:id="11"/>
      </w:r>
      <w:r>
        <w:rPr>
          <w:rFonts w:ascii="Times New Roman" w:hAnsi="Times New Roman"/>
          <w:noProof/>
          <w:sz w:val="24"/>
          <w:szCs w:val="24"/>
        </w:rPr>
        <w:t>, o tai reiškia, kad tokie dokumentai negalėjo būti toliau naudojami (kaip eksploatacinių savybių deklaracijos rengimo pagrindas) po 2018 m. liepos 1 d.</w:t>
      </w:r>
    </w:p>
    <w:p>
      <w:pPr>
        <w:spacing w:after="120" w:line="240" w:lineRule="auto"/>
        <w:jc w:val="both"/>
        <w:rPr>
          <w:rFonts w:ascii="Times New Roman" w:hAnsi="Times New Roman"/>
          <w:noProof/>
          <w:sz w:val="24"/>
          <w:szCs w:val="24"/>
        </w:rPr>
      </w:pPr>
      <w:r>
        <w:rPr>
          <w:rFonts w:ascii="Times New Roman" w:hAnsi="Times New Roman"/>
          <w:noProof/>
          <w:sz w:val="24"/>
          <w:szCs w:val="24"/>
        </w:rPr>
        <w:t>Vienintelis būdas, kaip buvo galima perkelti bendrų sutarimų dėl patvirtinimo procedūrų sąvoką iš SPD į SPR – rengti EVD remiantis bendrų susitarimų dėl patvirtinimo procedūrų techniniu turiniu, jeigu į tuos susitarimus buvo įtraukta naujausia informacija. Iki 2018 m. birželio 30 d. pagal bendrus susitarimus dėl patvirtinimo procedūrų išduodami Europos techniniai liudijimai turėjo būti pakeisti ETĮ, išduodamais remiantis EVD.</w:t>
      </w:r>
    </w:p>
    <w:p>
      <w:pPr>
        <w:spacing w:after="120" w:line="240" w:lineRule="auto"/>
        <w:jc w:val="both"/>
        <w:rPr>
          <w:rFonts w:ascii="Times New Roman" w:hAnsi="Times New Roman"/>
          <w:noProof/>
          <w:sz w:val="24"/>
          <w:szCs w:val="24"/>
        </w:rPr>
      </w:pPr>
      <w:r>
        <w:rPr>
          <w:rFonts w:ascii="Times New Roman" w:hAnsi="Times New Roman"/>
          <w:noProof/>
          <w:sz w:val="24"/>
          <w:szCs w:val="24"/>
        </w:rPr>
        <w:t>66 straipsnio 3 dalyje nustatyta, kad EVD atveju rekomendacijos, kaip išduoti Europos techninius liudijimus, „gali būti naudojamos kaip“ Europos vertinimo dokumentai kaip pagrindas išleisti ETĮ pagal SPR, jeigu jose yra visi elementai, kurių reikia siekiant parengti EVD pagal SPR 24 straipsnį, ir jeigu jų techninis turinys per tą laiką nepaseno. Pagal SPR buvo sukurti nauji vertinimo metodai ir kriterijai, todėl rekomendacijos, kaip išduoti Europos techninius liudijimus, paseno ir yra laipsniškai keičiamos į EVD. Šiuo metu, t. y. iki 2019 m. birželio mėn., yra pakeista 12 rekomendacijų, kaip išduoti Europos techninį liudijimą (su visomis jų dalimis), kurių nuorodos yra paskelbtos Oficialiajame leidinyje, ir yra dar 14 rekomendacijų, kaip suteikti Europos techninį liudijimą, kurios yra šiuo metu keičiamos.</w:t>
      </w:r>
    </w:p>
    <w:p>
      <w:pPr>
        <w:spacing w:after="120" w:line="240" w:lineRule="auto"/>
        <w:jc w:val="both"/>
        <w:rPr>
          <w:rFonts w:ascii="Times New Roman" w:hAnsi="Times New Roman"/>
          <w:noProof/>
          <w:sz w:val="24"/>
          <w:szCs w:val="24"/>
        </w:rPr>
      </w:pPr>
    </w:p>
    <w:p>
      <w:pPr>
        <w:pStyle w:val="Heading2"/>
        <w:rPr>
          <w:noProof/>
        </w:rPr>
      </w:pPr>
      <w:r>
        <w:rPr>
          <w:noProof/>
        </w:rPr>
        <w:t>2.5.</w:t>
      </w:r>
      <w:r>
        <w:rPr>
          <w:noProof/>
        </w:rPr>
        <w:tab/>
        <w:t>EOTA finansavimas</w:t>
      </w:r>
    </w:p>
    <w:p>
      <w:pPr>
        <w:spacing w:after="120" w:line="240" w:lineRule="auto"/>
        <w:jc w:val="both"/>
        <w:rPr>
          <w:rFonts w:ascii="Times New Roman" w:hAnsi="Times New Roman"/>
          <w:noProof/>
          <w:sz w:val="24"/>
          <w:szCs w:val="24"/>
        </w:rPr>
      </w:pPr>
      <w:r>
        <w:rPr>
          <w:rFonts w:ascii="Times New Roman" w:hAnsi="Times New Roman"/>
          <w:noProof/>
          <w:sz w:val="24"/>
          <w:szCs w:val="24"/>
        </w:rPr>
        <w:t>SPR yra nustatyta EOTA finansavimo tvarka ir finansuotinos užduotys.</w:t>
      </w:r>
    </w:p>
    <w:p>
      <w:pPr>
        <w:spacing w:after="120" w:line="240" w:lineRule="auto"/>
        <w:jc w:val="both"/>
        <w:rPr>
          <w:rFonts w:ascii="Times New Roman" w:hAnsi="Times New Roman"/>
          <w:noProof/>
          <w:sz w:val="24"/>
          <w:szCs w:val="24"/>
        </w:rPr>
      </w:pPr>
      <w:r>
        <w:rPr>
          <w:rFonts w:ascii="Times New Roman" w:hAnsi="Times New Roman"/>
          <w:noProof/>
          <w:sz w:val="24"/>
          <w:szCs w:val="24"/>
        </w:rPr>
        <w:t>20 straipsnio 2 dalyje nustatyta, kad „</w:t>
      </w:r>
      <w:r>
        <w:rPr>
          <w:rFonts w:ascii="Times New Roman" w:hAnsi="Times New Roman"/>
          <w:i/>
          <w:noProof/>
          <w:sz w:val="24"/>
          <w:szCs w:val="24"/>
        </w:rPr>
        <w:t>TVĮ kartu su TVĮ organizacija padengia visas Europos vertinimo dokumentų rengimo ir priėmimo išlaidas</w:t>
      </w:r>
      <w:r>
        <w:rPr>
          <w:rFonts w:ascii="Times New Roman" w:hAnsi="Times New Roman"/>
          <w:noProof/>
          <w:sz w:val="24"/>
          <w:szCs w:val="24"/>
        </w:rPr>
        <w:t>“. Pagal 31 straipsnio 5 dalį „</w:t>
      </w:r>
      <w:r>
        <w:rPr>
          <w:rFonts w:ascii="Times New Roman" w:hAnsi="Times New Roman"/>
          <w:i/>
          <w:noProof/>
          <w:sz w:val="24"/>
          <w:szCs w:val="24"/>
        </w:rPr>
        <w:t>[v]alstybės narės užtikrina, kad TVĮ finansų ir žmogiškaisiais ištekliais remtų TVĮ organizaciją</w:t>
      </w:r>
      <w:r>
        <w:rPr>
          <w:rFonts w:ascii="Times New Roman" w:hAnsi="Times New Roman"/>
          <w:noProof/>
          <w:sz w:val="24"/>
          <w:szCs w:val="24"/>
        </w:rPr>
        <w:t>“.</w:t>
      </w:r>
    </w:p>
    <w:p>
      <w:pPr>
        <w:spacing w:after="120" w:line="240" w:lineRule="auto"/>
        <w:jc w:val="both"/>
        <w:rPr>
          <w:rFonts w:ascii="Times New Roman" w:hAnsi="Times New Roman"/>
          <w:noProof/>
          <w:sz w:val="24"/>
          <w:szCs w:val="24"/>
        </w:rPr>
      </w:pPr>
      <w:r>
        <w:rPr>
          <w:rFonts w:ascii="Times New Roman" w:hAnsi="Times New Roman"/>
          <w:noProof/>
          <w:sz w:val="24"/>
          <w:szCs w:val="24"/>
        </w:rPr>
        <w:t>Vis dėlto, atsižvelgiant į EOTA vaidmenį statybos produktams skirtoje suderintoje sistemoje, 31 straipsnio 2 dalyje patikslinama, kad EOTA „</w:t>
      </w:r>
      <w:r>
        <w:rPr>
          <w:rFonts w:ascii="Times New Roman" w:hAnsi="Times New Roman"/>
          <w:i/>
          <w:noProof/>
          <w:sz w:val="24"/>
          <w:szCs w:val="24"/>
        </w:rPr>
        <w:t>laikoma įstaiga, siekiančia Europos bendros svarbos interesų, kaip apibrėžta 2002 m. gruodžio 23 d. Komisijos reglamento (EB, Euratomas) Nr. 2342/2002, nustatančio išsamias Tarybos reglamento (EB, Euratomas) Nr. 1605/2002 dėl Europos Bendrijų bendrajam biudžetui taikomo finansinio reglamento įgyvendinimo taisykles, 162 straipsnyje“.</w:t>
      </w:r>
    </w:p>
    <w:p>
      <w:pPr>
        <w:spacing w:after="120" w:line="240" w:lineRule="auto"/>
        <w:jc w:val="both"/>
        <w:rPr>
          <w:rFonts w:ascii="Times New Roman" w:hAnsi="Times New Roman"/>
          <w:noProof/>
          <w:sz w:val="24"/>
          <w:szCs w:val="24"/>
        </w:rPr>
      </w:pPr>
      <w:r>
        <w:rPr>
          <w:rFonts w:ascii="Times New Roman" w:hAnsi="Times New Roman"/>
          <w:noProof/>
          <w:sz w:val="24"/>
          <w:szCs w:val="24"/>
        </w:rPr>
        <w:t>Todėl pagal SPR 32, 33 straipsnius, 34 straipsnio 1 dalį ir 35 straipsnį „</w:t>
      </w:r>
      <w:r>
        <w:rPr>
          <w:rFonts w:ascii="Times New Roman" w:hAnsi="Times New Roman"/>
          <w:i/>
          <w:noProof/>
          <w:sz w:val="24"/>
          <w:szCs w:val="24"/>
        </w:rPr>
        <w:t>Sąjungos finansavimas gali būti suteikiamas TVĮ organizacijai įgyvendinti 31 straipsnio 4 dalyje nurodytas užduotis</w:t>
      </w:r>
      <w:r>
        <w:rPr>
          <w:rFonts w:ascii="Times New Roman" w:hAnsi="Times New Roman"/>
          <w:noProof/>
          <w:sz w:val="24"/>
          <w:szCs w:val="24"/>
        </w:rPr>
        <w:t>“.</w:t>
      </w:r>
    </w:p>
    <w:p>
      <w:pPr>
        <w:spacing w:after="120" w:line="240" w:lineRule="auto"/>
        <w:jc w:val="both"/>
        <w:rPr>
          <w:rFonts w:ascii="Times New Roman" w:hAnsi="Times New Roman"/>
          <w:noProof/>
          <w:sz w:val="24"/>
          <w:szCs w:val="24"/>
        </w:rPr>
      </w:pPr>
      <w:r>
        <w:rPr>
          <w:rFonts w:ascii="Times New Roman" w:hAnsi="Times New Roman"/>
          <w:noProof/>
          <w:sz w:val="24"/>
          <w:szCs w:val="24"/>
        </w:rPr>
        <w:t>Praktiškai tai reiškia, kad TVĮ dalijasi EOTA finansavimu, o Europos Komisija jį remia, be to, tai taip pat reiškia, kad gamintojams nereikia padengti jokių išlaidų, susijusių su EVD rengimu ir priėmimu. Tačiau gamintojai moka TVĮ mokesčius už ETĮ išdavimą, kurių dydis skiriasi, priklausomai nuo TVĮ.</w:t>
      </w:r>
    </w:p>
    <w:p>
      <w:pPr>
        <w:spacing w:after="120" w:line="240" w:lineRule="auto"/>
        <w:jc w:val="both"/>
        <w:rPr>
          <w:rFonts w:ascii="Times New Roman" w:hAnsi="Times New Roman"/>
          <w:noProof/>
          <w:sz w:val="24"/>
          <w:szCs w:val="24"/>
        </w:rPr>
      </w:pPr>
      <w:r>
        <w:rPr>
          <w:rFonts w:ascii="Times New Roman" w:hAnsi="Times New Roman"/>
          <w:noProof/>
          <w:sz w:val="24"/>
          <w:szCs w:val="24"/>
        </w:rPr>
        <w:t>EVD rengimo finansavimo lėšas EOTA skiria atsakingai TVĮ ir dalyvaujančioms TVĮ.</w:t>
      </w:r>
    </w:p>
    <w:p>
      <w:pPr>
        <w:spacing w:after="120" w:line="240" w:lineRule="auto"/>
        <w:jc w:val="both"/>
        <w:rPr>
          <w:rFonts w:ascii="Times New Roman" w:hAnsi="Times New Roman"/>
          <w:noProof/>
          <w:sz w:val="24"/>
          <w:szCs w:val="24"/>
        </w:rPr>
      </w:pPr>
    </w:p>
    <w:p>
      <w:pPr>
        <w:spacing w:after="120" w:line="240" w:lineRule="auto"/>
        <w:jc w:val="both"/>
        <w:rPr>
          <w:rFonts w:ascii="Cambria" w:hAnsi="Cambria"/>
          <w:b/>
          <w:noProof/>
          <w:sz w:val="32"/>
          <w:szCs w:val="32"/>
        </w:rPr>
      </w:pPr>
    </w:p>
    <w:p>
      <w:pPr>
        <w:spacing w:after="120" w:line="240" w:lineRule="auto"/>
        <w:jc w:val="both"/>
        <w:rPr>
          <w:rFonts w:ascii="Cambria" w:hAnsi="Cambria"/>
          <w:b/>
          <w:noProof/>
          <w:sz w:val="32"/>
          <w:szCs w:val="32"/>
        </w:rPr>
      </w:pPr>
      <w:r>
        <w:rPr>
          <w:rFonts w:ascii="Cambria" w:hAnsi="Cambria"/>
          <w:b/>
          <w:noProof/>
          <w:sz w:val="32"/>
          <w:szCs w:val="32"/>
        </w:rPr>
        <w:t>3.</w:t>
      </w:r>
      <w:r>
        <w:rPr>
          <w:rFonts w:ascii="Cambria" w:hAnsi="Cambria"/>
          <w:b/>
          <w:noProof/>
          <w:sz w:val="32"/>
          <w:szCs w:val="32"/>
        </w:rPr>
        <w:tab/>
        <w:t>Pagrindiniai nustatyti faktai</w:t>
      </w:r>
    </w:p>
    <w:p>
      <w:pPr>
        <w:pStyle w:val="Heading2"/>
        <w:rPr>
          <w:noProof/>
        </w:rPr>
      </w:pPr>
      <w:r>
        <w:rPr>
          <w:noProof/>
        </w:rPr>
        <w:t>3.1.</w:t>
      </w:r>
      <w:r>
        <w:rPr>
          <w:noProof/>
        </w:rPr>
        <w:tab/>
        <w:t>EOTA veiklos rezultatai</w:t>
      </w:r>
    </w:p>
    <w:p>
      <w:pPr>
        <w:pStyle w:val="Heading3"/>
        <w:rPr>
          <w:rFonts w:ascii="Times New Roman" w:hAnsi="Times New Roman"/>
          <w:noProof/>
        </w:rPr>
      </w:pPr>
      <w:r>
        <w:rPr>
          <w:noProof/>
        </w:rPr>
        <w:t>3.1.1.</w:t>
      </w:r>
      <w:r>
        <w:rPr>
          <w:noProof/>
        </w:rPr>
        <w:tab/>
        <w:t>Veikla</w:t>
      </w:r>
    </w:p>
    <w:p>
      <w:pPr>
        <w:spacing w:after="120" w:line="240" w:lineRule="auto"/>
        <w:ind w:left="284"/>
        <w:jc w:val="both"/>
        <w:rPr>
          <w:rFonts w:ascii="Times New Roman" w:hAnsi="Times New Roman"/>
          <w:noProof/>
          <w:sz w:val="24"/>
          <w:szCs w:val="24"/>
        </w:rPr>
      </w:pPr>
      <w:r>
        <w:rPr>
          <w:rFonts w:ascii="Times New Roman" w:hAnsi="Times New Roman"/>
          <w:noProof/>
          <w:sz w:val="24"/>
          <w:szCs w:val="24"/>
        </w:rPr>
        <w:t>EOTA veikla yra suskirstyta į keturias darbo dalis.</w:t>
      </w:r>
    </w:p>
    <w:p>
      <w:pPr>
        <w:spacing w:after="120" w:line="240" w:lineRule="auto"/>
        <w:ind w:left="284"/>
        <w:jc w:val="both"/>
        <w:rPr>
          <w:rFonts w:ascii="Times New Roman" w:hAnsi="Times New Roman"/>
          <w:noProof/>
          <w:sz w:val="24"/>
          <w:szCs w:val="24"/>
        </w:rPr>
      </w:pPr>
      <w:r>
        <w:rPr>
          <w:rFonts w:ascii="Times New Roman" w:hAnsi="Times New Roman"/>
          <w:noProof/>
          <w:sz w:val="24"/>
          <w:szCs w:val="24"/>
        </w:rPr>
        <w:t>1-oji darbo dalis – sekretoriatas. Šios dalies sąnaudos, susijusios su darbuotojų darbo užmokesčiu, yra didžiausios. Sekretoriatas koordinuoja veiklą ir teikia reikiamą paramą vykdant procedūras, nustatytas SPR 21 straipsnyje ir II priede.</w:t>
      </w:r>
    </w:p>
    <w:p>
      <w:pPr>
        <w:spacing w:after="120" w:line="240" w:lineRule="auto"/>
        <w:ind w:left="284"/>
        <w:jc w:val="both"/>
        <w:rPr>
          <w:rFonts w:ascii="Times New Roman" w:hAnsi="Times New Roman"/>
          <w:noProof/>
          <w:sz w:val="24"/>
          <w:szCs w:val="24"/>
        </w:rPr>
      </w:pPr>
      <w:r>
        <w:rPr>
          <w:rFonts w:ascii="Times New Roman" w:hAnsi="Times New Roman"/>
          <w:noProof/>
          <w:sz w:val="24"/>
          <w:szCs w:val="24"/>
        </w:rPr>
        <w:t>2-oji darbo dalis yra susijusi su EOTA organų ir darbo grupių posėdžiais.</w:t>
      </w:r>
    </w:p>
    <w:p>
      <w:pPr>
        <w:spacing w:after="120" w:line="240" w:lineRule="auto"/>
        <w:ind w:left="284"/>
        <w:jc w:val="both"/>
        <w:rPr>
          <w:rFonts w:ascii="Times New Roman" w:hAnsi="Times New Roman"/>
          <w:noProof/>
          <w:sz w:val="24"/>
          <w:szCs w:val="24"/>
        </w:rPr>
      </w:pPr>
      <w:r>
        <w:rPr>
          <w:rFonts w:ascii="Times New Roman" w:hAnsi="Times New Roman"/>
          <w:noProof/>
          <w:sz w:val="24"/>
          <w:szCs w:val="24"/>
        </w:rPr>
        <w:t>3-ioji darbo dalis – tai pagrindinė veikla, susijusi su EVD rengimu. Pastarųjų trejų metų laikotarpiu ši dalis sudarė 41 proc. vieno žmogaus darbo dienų.</w:t>
      </w:r>
    </w:p>
    <w:p>
      <w:pPr>
        <w:spacing w:after="120" w:line="240" w:lineRule="auto"/>
        <w:ind w:left="284"/>
        <w:jc w:val="both"/>
        <w:rPr>
          <w:rFonts w:ascii="Times New Roman" w:hAnsi="Times New Roman"/>
          <w:noProof/>
          <w:sz w:val="24"/>
          <w:szCs w:val="24"/>
        </w:rPr>
      </w:pPr>
      <w:r>
        <w:rPr>
          <w:rFonts w:ascii="Times New Roman" w:hAnsi="Times New Roman"/>
          <w:noProof/>
          <w:sz w:val="24"/>
          <w:szCs w:val="24"/>
        </w:rPr>
        <w:t>4-oji darbo dalis yra susijusi su pagalbinėmis ekspertų paslaugomis ir kita paramos veikla. Jai tenka mažiausia visų vieno žmogaus darbo dienų dalis.</w:t>
      </w:r>
    </w:p>
    <w:p>
      <w:pPr>
        <w:spacing w:after="120" w:line="240" w:lineRule="auto"/>
        <w:ind w:left="284"/>
        <w:jc w:val="both"/>
        <w:rPr>
          <w:rFonts w:ascii="Times New Roman" w:hAnsi="Times New Roman"/>
          <w:noProof/>
          <w:sz w:val="24"/>
          <w:szCs w:val="24"/>
        </w:rPr>
      </w:pPr>
      <w:r>
        <w:rPr>
          <w:rFonts w:ascii="Times New Roman" w:hAnsi="Times New Roman"/>
          <w:noProof/>
          <w:sz w:val="24"/>
          <w:szCs w:val="24"/>
        </w:rPr>
        <w:t>Visa ši veikla yra iš dalies finansuojama EOTA skiriama ES dotacija.</w:t>
      </w:r>
    </w:p>
    <w:p>
      <w:pPr>
        <w:spacing w:after="120" w:line="240" w:lineRule="auto"/>
        <w:ind w:left="284"/>
        <w:jc w:val="both"/>
        <w:rPr>
          <w:rFonts w:ascii="Times New Roman" w:hAnsi="Times New Roman"/>
          <w:noProof/>
          <w:sz w:val="24"/>
          <w:szCs w:val="24"/>
        </w:rPr>
      </w:pPr>
    </w:p>
    <w:p>
      <w:pPr>
        <w:spacing w:after="120" w:line="240" w:lineRule="auto"/>
        <w:ind w:left="284"/>
        <w:jc w:val="both"/>
        <w:rPr>
          <w:rFonts w:cs="Calibri"/>
          <w:noProof/>
          <w:sz w:val="24"/>
          <w:szCs w:val="24"/>
        </w:rPr>
      </w:pPr>
      <w:r>
        <w:rPr>
          <w:noProof/>
          <w:sz w:val="24"/>
          <w:szCs w:val="24"/>
        </w:rPr>
        <w:t>1 lentelė. Darbo daliai tenkanti EOTA biudžete numatytos veiklos dalis, išreikšta vieno žmogaus darbo dienų skaičiumi ir procentine dalimi (2013–2018 m.):</w:t>
      </w:r>
    </w:p>
    <w:tbl>
      <w:tblPr>
        <w:tblW w:w="8647" w:type="dxa"/>
        <w:tblInd w:w="392" w:type="dxa"/>
        <w:tblLayout w:type="fixed"/>
        <w:tblLook w:val="04A0" w:firstRow="1" w:lastRow="0" w:firstColumn="1" w:lastColumn="0" w:noHBand="0" w:noVBand="1"/>
      </w:tblPr>
      <w:tblGrid>
        <w:gridCol w:w="1325"/>
        <w:gridCol w:w="1085"/>
        <w:gridCol w:w="1134"/>
        <w:gridCol w:w="1275"/>
        <w:gridCol w:w="1276"/>
        <w:gridCol w:w="1276"/>
        <w:gridCol w:w="1276"/>
      </w:tblGrid>
      <w:tr>
        <w:trPr>
          <w:trHeight w:val="300"/>
        </w:trPr>
        <w:tc>
          <w:tcPr>
            <w:tcW w:w="1325"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pPr>
              <w:autoSpaceDE w:val="0"/>
              <w:autoSpaceDN w:val="0"/>
              <w:adjustRightInd w:val="0"/>
              <w:spacing w:after="0" w:line="240" w:lineRule="auto"/>
              <w:jc w:val="center"/>
              <w:rPr>
                <w:rFonts w:eastAsia="Times New Roman" w:cs="Calibri"/>
                <w:b/>
                <w:bCs/>
                <w:noProof/>
                <w:color w:val="000000"/>
              </w:rPr>
            </w:pPr>
            <w:r>
              <w:rPr>
                <w:b/>
                <w:bCs/>
                <w:noProof/>
              </w:rPr>
              <w:t>Biudžetas vieno žmogaus darbo dienomis*</w:t>
            </w:r>
          </w:p>
        </w:tc>
        <w:tc>
          <w:tcPr>
            <w:tcW w:w="1085"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pPr>
              <w:spacing w:after="0" w:line="240" w:lineRule="auto"/>
              <w:ind w:left="-108" w:right="-35"/>
              <w:jc w:val="center"/>
              <w:rPr>
                <w:rFonts w:eastAsia="Times New Roman" w:cs="Calibri"/>
                <w:b/>
                <w:bCs/>
                <w:noProof/>
                <w:color w:val="000000"/>
              </w:rPr>
            </w:pPr>
            <w:r>
              <w:rPr>
                <w:b/>
                <w:bCs/>
                <w:noProof/>
              </w:rPr>
              <w:t>2013 m.</w:t>
            </w:r>
          </w:p>
        </w:tc>
        <w:tc>
          <w:tcPr>
            <w:tcW w:w="1134"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pPr>
              <w:spacing w:after="0" w:line="240" w:lineRule="auto"/>
              <w:ind w:left="-108" w:right="-35"/>
              <w:jc w:val="center"/>
              <w:rPr>
                <w:rFonts w:eastAsia="Times New Roman" w:cs="Calibri"/>
                <w:b/>
                <w:bCs/>
                <w:noProof/>
                <w:color w:val="000000"/>
              </w:rPr>
            </w:pPr>
            <w:r>
              <w:rPr>
                <w:b/>
                <w:bCs/>
                <w:noProof/>
              </w:rPr>
              <w:t>2014 m.</w:t>
            </w:r>
          </w:p>
        </w:tc>
        <w:tc>
          <w:tcPr>
            <w:tcW w:w="1275"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pPr>
              <w:spacing w:after="0" w:line="240" w:lineRule="auto"/>
              <w:ind w:left="-108" w:right="-35"/>
              <w:jc w:val="center"/>
              <w:rPr>
                <w:rFonts w:eastAsia="Times New Roman" w:cs="Calibri"/>
                <w:b/>
                <w:bCs/>
                <w:noProof/>
                <w:color w:val="000000"/>
              </w:rPr>
            </w:pPr>
            <w:r>
              <w:rPr>
                <w:b/>
                <w:bCs/>
                <w:noProof/>
              </w:rPr>
              <w:t>2015 m.</w:t>
            </w:r>
          </w:p>
        </w:tc>
        <w:tc>
          <w:tcPr>
            <w:tcW w:w="1276"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pPr>
              <w:spacing w:after="0" w:line="240" w:lineRule="auto"/>
              <w:ind w:left="-108" w:right="-35"/>
              <w:jc w:val="center"/>
              <w:rPr>
                <w:rFonts w:eastAsia="Times New Roman" w:cs="Calibri"/>
                <w:b/>
                <w:bCs/>
                <w:noProof/>
                <w:color w:val="000000"/>
              </w:rPr>
            </w:pPr>
            <w:r>
              <w:rPr>
                <w:b/>
                <w:bCs/>
                <w:noProof/>
              </w:rPr>
              <w:t>2016 m.</w:t>
            </w:r>
          </w:p>
        </w:tc>
        <w:tc>
          <w:tcPr>
            <w:tcW w:w="1276" w:type="dxa"/>
            <w:tcBorders>
              <w:top w:val="single" w:sz="4" w:space="0" w:color="auto"/>
              <w:left w:val="single" w:sz="4" w:space="0" w:color="auto"/>
              <w:bottom w:val="single" w:sz="4" w:space="0" w:color="auto"/>
              <w:right w:val="single" w:sz="4" w:space="0" w:color="auto"/>
            </w:tcBorders>
            <w:shd w:val="clear" w:color="auto" w:fill="DEEAF6"/>
            <w:vAlign w:val="center"/>
          </w:tcPr>
          <w:p>
            <w:pPr>
              <w:spacing w:after="0" w:line="240" w:lineRule="auto"/>
              <w:ind w:left="-108" w:right="-35"/>
              <w:jc w:val="center"/>
              <w:rPr>
                <w:rFonts w:eastAsia="Times New Roman" w:cs="Calibri"/>
                <w:b/>
                <w:bCs/>
                <w:noProof/>
                <w:color w:val="000000"/>
              </w:rPr>
            </w:pPr>
            <w:r>
              <w:rPr>
                <w:b/>
                <w:bCs/>
                <w:noProof/>
              </w:rPr>
              <w:t>2017 m.</w:t>
            </w:r>
          </w:p>
        </w:tc>
        <w:tc>
          <w:tcPr>
            <w:tcW w:w="1276" w:type="dxa"/>
            <w:tcBorders>
              <w:top w:val="single" w:sz="4" w:space="0" w:color="auto"/>
              <w:left w:val="single" w:sz="4" w:space="0" w:color="auto"/>
              <w:bottom w:val="single" w:sz="4" w:space="0" w:color="auto"/>
              <w:right w:val="single" w:sz="4" w:space="0" w:color="auto"/>
            </w:tcBorders>
            <w:shd w:val="clear" w:color="auto" w:fill="DEEAF6"/>
            <w:vAlign w:val="center"/>
          </w:tcPr>
          <w:p>
            <w:pPr>
              <w:spacing w:after="0" w:line="240" w:lineRule="auto"/>
              <w:ind w:left="-108" w:right="-35"/>
              <w:jc w:val="center"/>
              <w:rPr>
                <w:rFonts w:eastAsia="Times New Roman" w:cs="Calibri"/>
                <w:b/>
                <w:bCs/>
                <w:noProof/>
                <w:color w:val="000000"/>
              </w:rPr>
            </w:pPr>
            <w:r>
              <w:rPr>
                <w:b/>
                <w:bCs/>
                <w:noProof/>
              </w:rPr>
              <w:t>2018 m.</w:t>
            </w:r>
          </w:p>
        </w:tc>
      </w:tr>
      <w:tr>
        <w:trPr>
          <w:trHeight w:val="300"/>
        </w:trPr>
        <w:tc>
          <w:tcPr>
            <w:tcW w:w="1325"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pPr>
              <w:spacing w:after="0" w:line="240" w:lineRule="auto"/>
              <w:jc w:val="center"/>
              <w:rPr>
                <w:rFonts w:eastAsia="Times New Roman" w:cs="Calibri"/>
                <w:b/>
                <w:noProof/>
                <w:color w:val="000000"/>
              </w:rPr>
            </w:pPr>
            <w:r>
              <w:rPr>
                <w:b/>
                <w:noProof/>
              </w:rPr>
              <w:t>1DD – sekretoriatas</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ind w:left="-108" w:right="-35"/>
              <w:jc w:val="center"/>
              <w:rPr>
                <w:rFonts w:eastAsia="Times New Roman" w:cs="Calibri"/>
                <w:noProof/>
                <w:color w:val="000000"/>
              </w:rPr>
            </w:pPr>
            <w:r>
              <w:rPr>
                <w:noProof/>
              </w:rPr>
              <w:t>602 – 85 %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ind w:left="-108" w:right="-35"/>
              <w:jc w:val="center"/>
              <w:rPr>
                <w:rFonts w:eastAsia="Times New Roman" w:cs="Calibri"/>
                <w:noProof/>
                <w:color w:val="000000"/>
              </w:rPr>
            </w:pPr>
            <w:r>
              <w:rPr>
                <w:noProof/>
              </w:rPr>
              <w:t>687 – 49 %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ind w:left="-108" w:right="-35"/>
              <w:jc w:val="center"/>
              <w:rPr>
                <w:rFonts w:eastAsia="Times New Roman" w:cs="Calibri"/>
                <w:noProof/>
                <w:color w:val="000000"/>
              </w:rPr>
            </w:pPr>
            <w:r>
              <w:rPr>
                <w:noProof/>
              </w:rPr>
              <w:t>693 – 61 %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ind w:left="-108" w:right="-35"/>
              <w:jc w:val="center"/>
              <w:rPr>
                <w:rFonts w:eastAsia="Times New Roman" w:cs="Calibri"/>
                <w:noProof/>
                <w:color w:val="000000"/>
              </w:rPr>
            </w:pPr>
            <w:r>
              <w:rPr>
                <w:noProof/>
              </w:rPr>
              <w:t>770 – 41 %</w:t>
            </w:r>
          </w:p>
        </w:tc>
        <w:tc>
          <w:tcPr>
            <w:tcW w:w="1276"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108" w:right="-35"/>
              <w:jc w:val="center"/>
              <w:rPr>
                <w:rFonts w:eastAsia="Times New Roman" w:cs="Calibri"/>
                <w:noProof/>
                <w:color w:val="000000"/>
              </w:rPr>
            </w:pPr>
            <w:r>
              <w:rPr>
                <w:noProof/>
              </w:rPr>
              <w:t>1001 – 50 %</w:t>
            </w:r>
          </w:p>
        </w:tc>
        <w:tc>
          <w:tcPr>
            <w:tcW w:w="1276"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108" w:right="-35"/>
              <w:jc w:val="center"/>
              <w:rPr>
                <w:rFonts w:eastAsia="Times New Roman" w:cs="Calibri"/>
                <w:noProof/>
                <w:color w:val="000000"/>
              </w:rPr>
            </w:pPr>
            <w:r>
              <w:rPr>
                <w:noProof/>
              </w:rPr>
              <w:t>900 – 52 %</w:t>
            </w:r>
          </w:p>
        </w:tc>
      </w:tr>
      <w:tr>
        <w:trPr>
          <w:trHeight w:val="300"/>
        </w:trPr>
        <w:tc>
          <w:tcPr>
            <w:tcW w:w="1325"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pPr>
              <w:spacing w:after="0" w:line="240" w:lineRule="auto"/>
              <w:jc w:val="center"/>
              <w:rPr>
                <w:rFonts w:eastAsia="Times New Roman" w:cs="Calibri"/>
                <w:b/>
                <w:noProof/>
                <w:color w:val="000000"/>
              </w:rPr>
            </w:pPr>
            <w:r>
              <w:rPr>
                <w:b/>
                <w:noProof/>
              </w:rPr>
              <w:t>2DD – posėdžiai</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ind w:left="-108" w:right="-35"/>
              <w:jc w:val="center"/>
              <w:rPr>
                <w:rFonts w:eastAsia="Times New Roman" w:cs="Calibri"/>
                <w:noProof/>
                <w:color w:val="000000"/>
              </w:rPr>
            </w:pPr>
            <w:r>
              <w:rPr>
                <w:noProof/>
              </w:rPr>
              <w:t>51 – 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ind w:left="-108" w:right="-35"/>
              <w:jc w:val="center"/>
              <w:rPr>
                <w:rFonts w:eastAsia="Times New Roman" w:cs="Calibri"/>
                <w:noProof/>
                <w:color w:val="000000"/>
              </w:rPr>
            </w:pPr>
            <w:r>
              <w:rPr>
                <w:noProof/>
              </w:rPr>
              <w:t>89 – 6 %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ind w:left="-108" w:right="-35"/>
              <w:jc w:val="center"/>
              <w:rPr>
                <w:rFonts w:eastAsia="Times New Roman" w:cs="Calibri"/>
                <w:noProof/>
                <w:color w:val="000000"/>
              </w:rPr>
            </w:pPr>
            <w:r>
              <w:rPr>
                <w:noProof/>
              </w:rPr>
              <w:t>160 – 14 %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ind w:left="-108" w:right="-35"/>
              <w:jc w:val="center"/>
              <w:rPr>
                <w:rFonts w:eastAsia="Times New Roman" w:cs="Calibri"/>
                <w:noProof/>
                <w:color w:val="000000"/>
              </w:rPr>
            </w:pPr>
            <w:r>
              <w:rPr>
                <w:noProof/>
              </w:rPr>
              <w:t>153 – 8 %</w:t>
            </w:r>
          </w:p>
        </w:tc>
        <w:tc>
          <w:tcPr>
            <w:tcW w:w="1276"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108" w:right="-35"/>
              <w:jc w:val="center"/>
              <w:rPr>
                <w:rFonts w:eastAsia="Times New Roman" w:cs="Calibri"/>
                <w:noProof/>
                <w:color w:val="000000"/>
              </w:rPr>
            </w:pPr>
            <w:r>
              <w:rPr>
                <w:noProof/>
              </w:rPr>
              <w:t>197 – 10 %</w:t>
            </w:r>
          </w:p>
        </w:tc>
        <w:tc>
          <w:tcPr>
            <w:tcW w:w="1276"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108" w:right="-35"/>
              <w:jc w:val="center"/>
              <w:rPr>
                <w:rFonts w:eastAsia="Times New Roman" w:cs="Calibri"/>
                <w:noProof/>
                <w:color w:val="000000"/>
              </w:rPr>
            </w:pPr>
            <w:r>
              <w:rPr>
                <w:noProof/>
              </w:rPr>
              <w:t>242 – 14 %</w:t>
            </w:r>
          </w:p>
        </w:tc>
      </w:tr>
      <w:tr>
        <w:trPr>
          <w:trHeight w:val="300"/>
        </w:trPr>
        <w:tc>
          <w:tcPr>
            <w:tcW w:w="1325"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pPr>
              <w:spacing w:after="0" w:line="240" w:lineRule="auto"/>
              <w:jc w:val="center"/>
              <w:rPr>
                <w:rFonts w:eastAsia="Times New Roman" w:cs="Calibri"/>
                <w:b/>
                <w:noProof/>
                <w:color w:val="000000"/>
              </w:rPr>
            </w:pPr>
            <w:r>
              <w:rPr>
                <w:b/>
                <w:noProof/>
              </w:rPr>
              <w:t>3DD – EVD rengimas</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ind w:left="-108" w:right="-35"/>
              <w:jc w:val="center"/>
              <w:rPr>
                <w:rFonts w:eastAsia="Times New Roman" w:cs="Calibri"/>
                <w:noProof/>
                <w:color w:val="000000"/>
              </w:rPr>
            </w:pPr>
            <w:r>
              <w:rPr>
                <w:noProof/>
              </w:rPr>
              <w:t>51 – 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ind w:left="-108" w:right="-35"/>
              <w:jc w:val="center"/>
              <w:rPr>
                <w:rFonts w:eastAsia="Times New Roman" w:cs="Calibri"/>
                <w:noProof/>
                <w:color w:val="000000"/>
              </w:rPr>
            </w:pPr>
            <w:r>
              <w:rPr>
                <w:noProof/>
              </w:rPr>
              <w:t>614 – 44 %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ind w:left="-108" w:right="-35"/>
              <w:jc w:val="center"/>
              <w:rPr>
                <w:rFonts w:eastAsia="Times New Roman" w:cs="Calibri"/>
                <w:noProof/>
                <w:color w:val="000000"/>
              </w:rPr>
            </w:pPr>
            <w:r>
              <w:rPr>
                <w:noProof/>
              </w:rPr>
              <w:t>239 – 21 %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ind w:left="-108" w:right="-35"/>
              <w:jc w:val="center"/>
              <w:rPr>
                <w:rFonts w:eastAsia="Times New Roman" w:cs="Calibri"/>
                <w:noProof/>
                <w:color w:val="000000"/>
              </w:rPr>
            </w:pPr>
            <w:r>
              <w:rPr>
                <w:noProof/>
              </w:rPr>
              <w:t>912 – 49 %</w:t>
            </w:r>
          </w:p>
        </w:tc>
        <w:tc>
          <w:tcPr>
            <w:tcW w:w="1276"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108" w:right="-35"/>
              <w:jc w:val="center"/>
              <w:rPr>
                <w:rFonts w:eastAsia="Times New Roman" w:cs="Calibri"/>
                <w:noProof/>
                <w:color w:val="000000"/>
              </w:rPr>
            </w:pPr>
            <w:r>
              <w:rPr>
                <w:noProof/>
              </w:rPr>
              <w:t>784 – 40 %</w:t>
            </w:r>
          </w:p>
        </w:tc>
        <w:tc>
          <w:tcPr>
            <w:tcW w:w="1276"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108" w:right="-35"/>
              <w:jc w:val="center"/>
              <w:rPr>
                <w:rFonts w:eastAsia="Times New Roman" w:cs="Calibri"/>
                <w:noProof/>
                <w:color w:val="000000"/>
              </w:rPr>
            </w:pPr>
            <w:r>
              <w:rPr>
                <w:noProof/>
              </w:rPr>
              <w:t>602 – 34 %</w:t>
            </w:r>
          </w:p>
        </w:tc>
      </w:tr>
      <w:tr>
        <w:trPr>
          <w:trHeight w:val="315"/>
        </w:trPr>
        <w:tc>
          <w:tcPr>
            <w:tcW w:w="1325"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pPr>
              <w:spacing w:after="0" w:line="240" w:lineRule="auto"/>
              <w:jc w:val="center"/>
              <w:rPr>
                <w:rFonts w:eastAsia="Times New Roman" w:cs="Calibri"/>
                <w:b/>
                <w:noProof/>
                <w:color w:val="000000"/>
              </w:rPr>
            </w:pPr>
            <w:r>
              <w:rPr>
                <w:b/>
                <w:noProof/>
              </w:rPr>
              <w:t>4DD – parama</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ind w:left="-108" w:right="-35"/>
              <w:jc w:val="center"/>
              <w:rPr>
                <w:rFonts w:eastAsia="Times New Roman" w:cs="Calibri"/>
                <w:noProof/>
                <w:color w:val="000000"/>
              </w:rPr>
            </w:pPr>
            <w:r>
              <w:rPr>
                <w:noProof/>
              </w:rPr>
              <w:t>0 – 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ind w:left="-108" w:right="-35"/>
              <w:jc w:val="center"/>
              <w:rPr>
                <w:rFonts w:eastAsia="Times New Roman" w:cs="Calibri"/>
                <w:noProof/>
                <w:color w:val="000000"/>
              </w:rPr>
            </w:pPr>
            <w:r>
              <w:rPr>
                <w:noProof/>
              </w:rPr>
              <w:t>0 – 0 %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ind w:left="-108" w:right="-35"/>
              <w:jc w:val="center"/>
              <w:rPr>
                <w:rFonts w:eastAsia="Times New Roman" w:cs="Calibri"/>
                <w:noProof/>
                <w:color w:val="000000"/>
              </w:rPr>
            </w:pPr>
            <w:r>
              <w:rPr>
                <w:noProof/>
              </w:rPr>
              <w:t>42 – 4 %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ind w:left="-108" w:right="-35"/>
              <w:jc w:val="center"/>
              <w:rPr>
                <w:rFonts w:eastAsia="Times New Roman" w:cs="Calibri"/>
                <w:noProof/>
                <w:color w:val="000000"/>
              </w:rPr>
            </w:pPr>
            <w:r>
              <w:rPr>
                <w:noProof/>
              </w:rPr>
              <w:t>41 – 2 %</w:t>
            </w:r>
          </w:p>
        </w:tc>
        <w:tc>
          <w:tcPr>
            <w:tcW w:w="1276" w:type="dxa"/>
            <w:tcBorders>
              <w:top w:val="single" w:sz="4" w:space="0" w:color="auto"/>
              <w:left w:val="single" w:sz="4" w:space="0" w:color="auto"/>
              <w:bottom w:val="single" w:sz="4" w:space="0" w:color="auto"/>
              <w:right w:val="single" w:sz="4" w:space="0" w:color="auto"/>
            </w:tcBorders>
            <w:vAlign w:val="center"/>
          </w:tcPr>
          <w:p>
            <w:pPr>
              <w:numPr>
                <w:ilvl w:val="0"/>
                <w:numId w:val="18"/>
              </w:numPr>
              <w:spacing w:after="0" w:line="240" w:lineRule="auto"/>
              <w:ind w:right="-35"/>
              <w:jc w:val="center"/>
              <w:rPr>
                <w:rFonts w:eastAsia="Times New Roman" w:cs="Calibri"/>
                <w:noProof/>
                <w:color w:val="000000"/>
              </w:rPr>
            </w:pPr>
            <w:r>
              <w:rPr>
                <w:noProof/>
              </w:rPr>
              <w:t>- 0 %</w:t>
            </w:r>
          </w:p>
        </w:tc>
        <w:tc>
          <w:tcPr>
            <w:tcW w:w="1276"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108" w:right="-35"/>
              <w:jc w:val="center"/>
              <w:rPr>
                <w:rFonts w:eastAsia="Times New Roman" w:cs="Calibri"/>
                <w:noProof/>
                <w:color w:val="000000"/>
              </w:rPr>
            </w:pPr>
            <w:r>
              <w:rPr>
                <w:noProof/>
              </w:rPr>
              <w:t>0 – 0 %</w:t>
            </w:r>
          </w:p>
        </w:tc>
      </w:tr>
      <w:tr>
        <w:trPr>
          <w:trHeight w:val="300"/>
        </w:trPr>
        <w:tc>
          <w:tcPr>
            <w:tcW w:w="1325"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pPr>
              <w:spacing w:after="0" w:line="240" w:lineRule="auto"/>
              <w:jc w:val="center"/>
              <w:rPr>
                <w:rFonts w:eastAsia="Times New Roman" w:cs="Calibri"/>
                <w:b/>
                <w:bCs/>
                <w:noProof/>
                <w:color w:val="000000"/>
              </w:rPr>
            </w:pPr>
            <w:r>
              <w:rPr>
                <w:b/>
                <w:bCs/>
                <w:noProof/>
              </w:rPr>
              <w:t>Iš viso</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ind w:left="-108" w:right="-35"/>
              <w:jc w:val="center"/>
              <w:rPr>
                <w:rFonts w:eastAsia="Times New Roman" w:cs="Calibri"/>
                <w:b/>
                <w:noProof/>
                <w:color w:val="000000"/>
              </w:rPr>
            </w:pPr>
            <w:r>
              <w:rPr>
                <w:b/>
                <w:noProof/>
              </w:rPr>
              <w:t>705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ind w:left="-108" w:right="-35"/>
              <w:jc w:val="center"/>
              <w:rPr>
                <w:rFonts w:eastAsia="Times New Roman" w:cs="Calibri"/>
                <w:b/>
                <w:noProof/>
                <w:color w:val="000000"/>
              </w:rPr>
            </w:pPr>
            <w:r>
              <w:rPr>
                <w:b/>
                <w:noProof/>
              </w:rPr>
              <w:t>1 391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ind w:left="-108" w:right="-35"/>
              <w:jc w:val="center"/>
              <w:rPr>
                <w:rFonts w:eastAsia="Times New Roman" w:cs="Calibri"/>
                <w:b/>
                <w:noProof/>
                <w:color w:val="000000"/>
              </w:rPr>
            </w:pPr>
            <w:r>
              <w:rPr>
                <w:b/>
                <w:noProof/>
              </w:rPr>
              <w:t>1 134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ind w:left="-108" w:right="-35"/>
              <w:jc w:val="center"/>
              <w:rPr>
                <w:rFonts w:eastAsia="Times New Roman" w:cs="Calibri"/>
                <w:b/>
                <w:noProof/>
                <w:color w:val="000000"/>
              </w:rPr>
            </w:pPr>
            <w:r>
              <w:rPr>
                <w:b/>
                <w:noProof/>
              </w:rPr>
              <w:t>1 876</w:t>
            </w:r>
          </w:p>
        </w:tc>
        <w:tc>
          <w:tcPr>
            <w:tcW w:w="1276"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108" w:right="-35"/>
              <w:jc w:val="center"/>
              <w:rPr>
                <w:rFonts w:eastAsia="Times New Roman" w:cs="Calibri"/>
                <w:b/>
                <w:noProof/>
                <w:color w:val="000000"/>
              </w:rPr>
            </w:pPr>
            <w:r>
              <w:rPr>
                <w:b/>
                <w:noProof/>
              </w:rPr>
              <w:t>1 982</w:t>
            </w:r>
          </w:p>
        </w:tc>
        <w:tc>
          <w:tcPr>
            <w:tcW w:w="1276"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108" w:right="-35"/>
              <w:jc w:val="center"/>
              <w:rPr>
                <w:rFonts w:eastAsia="Times New Roman" w:cs="Calibri"/>
                <w:b/>
                <w:noProof/>
                <w:color w:val="000000"/>
              </w:rPr>
            </w:pPr>
            <w:r>
              <w:rPr>
                <w:b/>
                <w:noProof/>
              </w:rPr>
              <w:t>1 744</w:t>
            </w:r>
          </w:p>
        </w:tc>
      </w:tr>
      <w:tr>
        <w:trPr>
          <w:trHeight w:val="300"/>
        </w:trPr>
        <w:tc>
          <w:tcPr>
            <w:tcW w:w="8647" w:type="dxa"/>
            <w:gridSpan w:val="7"/>
            <w:tcBorders>
              <w:top w:val="nil"/>
              <w:left w:val="nil"/>
              <w:bottom w:val="nil"/>
              <w:right w:val="nil"/>
            </w:tcBorders>
            <w:shd w:val="clear" w:color="auto" w:fill="auto"/>
            <w:noWrap/>
            <w:vAlign w:val="bottom"/>
            <w:hideMark/>
          </w:tcPr>
          <w:p>
            <w:pPr>
              <w:spacing w:after="0" w:line="240" w:lineRule="auto"/>
              <w:rPr>
                <w:rFonts w:cs="Calibri"/>
                <w:i/>
                <w:noProof/>
                <w:sz w:val="18"/>
                <w:szCs w:val="18"/>
              </w:rPr>
            </w:pPr>
            <w:r>
              <w:rPr>
                <w:i/>
                <w:noProof/>
                <w:sz w:val="18"/>
                <w:szCs w:val="18"/>
              </w:rPr>
              <w:t>Šaltinis: 2013–2018 m. dotacijų susitarimai</w:t>
            </w:r>
          </w:p>
        </w:tc>
      </w:tr>
      <w:tr>
        <w:trPr>
          <w:trHeight w:val="300"/>
        </w:trPr>
        <w:tc>
          <w:tcPr>
            <w:tcW w:w="8647" w:type="dxa"/>
            <w:gridSpan w:val="7"/>
            <w:tcBorders>
              <w:top w:val="nil"/>
              <w:left w:val="nil"/>
              <w:bottom w:val="nil"/>
              <w:right w:val="nil"/>
            </w:tcBorders>
            <w:shd w:val="clear" w:color="auto" w:fill="auto"/>
            <w:noWrap/>
            <w:vAlign w:val="bottom"/>
          </w:tcPr>
          <w:p>
            <w:pPr>
              <w:spacing w:after="0" w:line="240" w:lineRule="auto"/>
              <w:ind w:left="-108"/>
              <w:rPr>
                <w:rFonts w:cs="Calibri"/>
                <w:i/>
                <w:noProof/>
                <w:sz w:val="18"/>
                <w:szCs w:val="18"/>
              </w:rPr>
            </w:pPr>
            <w:r>
              <w:rPr>
                <w:i/>
                <w:noProof/>
                <w:sz w:val="18"/>
                <w:szCs w:val="18"/>
              </w:rPr>
              <w:t xml:space="preserve"> * Vieno žmogaus darbo dienų skaičius, pakoreguotas taikant 2013 ir 2014 m. 12 mėnesių ekvivalentą, kad jį būtų galima palyginti su ankstesniais laikotarpiais.</w:t>
            </w:r>
          </w:p>
        </w:tc>
      </w:tr>
    </w:tbl>
    <w:p>
      <w:pPr>
        <w:spacing w:after="120" w:line="240" w:lineRule="auto"/>
        <w:jc w:val="both"/>
        <w:rPr>
          <w:rFonts w:ascii="Times New Roman" w:hAnsi="Times New Roman"/>
          <w:noProof/>
          <w:sz w:val="24"/>
          <w:szCs w:val="24"/>
        </w:rPr>
      </w:pPr>
    </w:p>
    <w:p>
      <w:pPr>
        <w:pStyle w:val="Heading3"/>
        <w:rPr>
          <w:noProof/>
        </w:rPr>
      </w:pPr>
      <w:r>
        <w:rPr>
          <w:noProof/>
        </w:rPr>
        <w:t>3.1.2.</w:t>
      </w:r>
      <w:r>
        <w:rPr>
          <w:noProof/>
        </w:rPr>
        <w:tab/>
        <w:t>EVD rengimas</w:t>
      </w:r>
    </w:p>
    <w:p>
      <w:pPr>
        <w:spacing w:after="120" w:line="240" w:lineRule="auto"/>
        <w:jc w:val="both"/>
        <w:rPr>
          <w:rFonts w:ascii="Times New Roman" w:hAnsi="Times New Roman"/>
          <w:noProof/>
          <w:sz w:val="24"/>
          <w:szCs w:val="24"/>
        </w:rPr>
      </w:pPr>
      <w:r>
        <w:rPr>
          <w:rFonts w:ascii="Times New Roman" w:hAnsi="Times New Roman"/>
          <w:noProof/>
          <w:sz w:val="24"/>
          <w:szCs w:val="24"/>
        </w:rPr>
        <w:t>2018 m. gruodžio 31 d. EOTA buvo priėmusi 324 EVD.</w:t>
      </w:r>
    </w:p>
    <w:p>
      <w:pPr>
        <w:spacing w:after="120" w:line="240" w:lineRule="auto"/>
        <w:jc w:val="both"/>
        <w:rPr>
          <w:rFonts w:ascii="Times New Roman" w:hAnsi="Times New Roman"/>
          <w:noProof/>
          <w:sz w:val="24"/>
          <w:szCs w:val="24"/>
        </w:rPr>
      </w:pPr>
      <w:r>
        <w:rPr>
          <w:rFonts w:ascii="Times New Roman" w:hAnsi="Times New Roman"/>
          <w:noProof/>
          <w:sz w:val="24"/>
          <w:szCs w:val="24"/>
        </w:rPr>
        <w:t xml:space="preserve">217 jų jau yra nurodyti Oficialiajame leidinyje, o likusių 107 EVD nuorodas šiuo metu rengiamasi paskelbti. </w:t>
      </w:r>
    </w:p>
    <w:p>
      <w:pPr>
        <w:spacing w:after="120" w:line="240" w:lineRule="auto"/>
        <w:jc w:val="both"/>
        <w:rPr>
          <w:rFonts w:ascii="Times New Roman" w:hAnsi="Times New Roman"/>
          <w:noProof/>
          <w:sz w:val="24"/>
          <w:szCs w:val="24"/>
        </w:rPr>
      </w:pPr>
      <w:r>
        <w:rPr>
          <w:rFonts w:ascii="Times New Roman" w:hAnsi="Times New Roman"/>
          <w:noProof/>
          <w:sz w:val="24"/>
          <w:szCs w:val="24"/>
        </w:rPr>
        <w:t>Iš 217 EVD, kurių nuorodos paskelbtos, 20 yra susiję su pakeistais EVD (jais pakeičiami EVD, kurių nuorodos buvo paskelbtos pirmiau). Taigi 2018 m. paskutiniu skelbimo Oficialiajame leidinyje etapu iš viso į sąrašą buvo įtraukta 197 EVD. Pastarųjų trejų metų laikotarpiu, kuriuo procedūrą galima laikyti visiškai įgyvendinta, Oficialiajame leidinyje buvo skelbiamos vidutiniškai 61 EVD nuorodos per metus.</w:t>
      </w:r>
    </w:p>
    <w:p>
      <w:pPr>
        <w:spacing w:after="120" w:line="240" w:lineRule="auto"/>
        <w:jc w:val="both"/>
        <w:rPr>
          <w:rFonts w:ascii="Times New Roman" w:hAnsi="Times New Roman"/>
          <w:noProof/>
          <w:sz w:val="24"/>
          <w:szCs w:val="24"/>
        </w:rPr>
      </w:pPr>
    </w:p>
    <w:p>
      <w:pPr>
        <w:spacing w:after="120" w:line="240" w:lineRule="auto"/>
        <w:jc w:val="center"/>
        <w:rPr>
          <w:rFonts w:cs="Calibri"/>
          <w:noProof/>
          <w:sz w:val="24"/>
          <w:szCs w:val="24"/>
        </w:rPr>
      </w:pPr>
    </w:p>
    <w:p>
      <w:pPr>
        <w:spacing w:after="120" w:line="240" w:lineRule="auto"/>
        <w:jc w:val="center"/>
        <w:rPr>
          <w:rFonts w:cs="Calibri"/>
          <w:noProof/>
          <w:sz w:val="24"/>
          <w:szCs w:val="24"/>
        </w:rPr>
      </w:pPr>
      <w:r>
        <w:rPr>
          <w:noProof/>
        </w:rPr>
        <w:t>2 lentelė. Priimtų ir oficialiajame leidinyje nurodytų EVD skaičius per metus (2013–2018 m.):</w:t>
      </w:r>
    </w:p>
    <w:tbl>
      <w:tblPr>
        <w:tblW w:w="0" w:type="auto"/>
        <w:jc w:val="center"/>
        <w:tblLayout w:type="fixed"/>
        <w:tblCellMar>
          <w:left w:w="30" w:type="dxa"/>
          <w:right w:w="30" w:type="dxa"/>
        </w:tblCellMar>
        <w:tblLook w:val="0000" w:firstRow="0" w:lastRow="0" w:firstColumn="0" w:lastColumn="0" w:noHBand="0" w:noVBand="0"/>
      </w:tblPr>
      <w:tblGrid>
        <w:gridCol w:w="1435"/>
        <w:gridCol w:w="1435"/>
        <w:gridCol w:w="1436"/>
        <w:gridCol w:w="1435"/>
      </w:tblGrid>
      <w:tr>
        <w:trPr>
          <w:trHeight w:val="871"/>
          <w:jc w:val="center"/>
        </w:trPr>
        <w:tc>
          <w:tcPr>
            <w:tcW w:w="1435" w:type="dxa"/>
            <w:tcBorders>
              <w:top w:val="single" w:sz="4" w:space="0" w:color="auto"/>
              <w:left w:val="single" w:sz="4" w:space="0" w:color="auto"/>
              <w:bottom w:val="single" w:sz="4" w:space="0" w:color="auto"/>
              <w:right w:val="single" w:sz="4" w:space="0" w:color="auto"/>
            </w:tcBorders>
            <w:shd w:val="clear" w:color="auto" w:fill="DEEAF6"/>
          </w:tcPr>
          <w:p>
            <w:pPr>
              <w:autoSpaceDE w:val="0"/>
              <w:autoSpaceDN w:val="0"/>
              <w:adjustRightInd w:val="0"/>
              <w:spacing w:after="0" w:line="240" w:lineRule="auto"/>
              <w:jc w:val="center"/>
              <w:rPr>
                <w:rFonts w:cs="Calibri"/>
                <w:b/>
                <w:bCs/>
                <w:noProof/>
                <w:color w:val="000000"/>
              </w:rPr>
            </w:pPr>
            <w:r>
              <w:rPr>
                <w:b/>
                <w:bCs/>
                <w:noProof/>
              </w:rPr>
              <w:t>Metai</w:t>
            </w:r>
          </w:p>
        </w:tc>
        <w:tc>
          <w:tcPr>
            <w:tcW w:w="1435" w:type="dxa"/>
            <w:tcBorders>
              <w:top w:val="single" w:sz="4" w:space="0" w:color="auto"/>
              <w:left w:val="single" w:sz="4" w:space="0" w:color="auto"/>
              <w:bottom w:val="single" w:sz="4" w:space="0" w:color="auto"/>
              <w:right w:val="single" w:sz="4" w:space="0" w:color="auto"/>
            </w:tcBorders>
            <w:shd w:val="clear" w:color="auto" w:fill="DEEAF6"/>
          </w:tcPr>
          <w:p>
            <w:pPr>
              <w:autoSpaceDE w:val="0"/>
              <w:autoSpaceDN w:val="0"/>
              <w:adjustRightInd w:val="0"/>
              <w:spacing w:after="0" w:line="240" w:lineRule="auto"/>
              <w:jc w:val="center"/>
              <w:rPr>
                <w:rFonts w:cs="Calibri"/>
                <w:b/>
                <w:bCs/>
                <w:noProof/>
                <w:color w:val="000000"/>
              </w:rPr>
            </w:pPr>
            <w:r>
              <w:rPr>
                <w:b/>
                <w:bCs/>
                <w:noProof/>
              </w:rPr>
              <w:t>Priimti EVD</w:t>
            </w:r>
          </w:p>
        </w:tc>
        <w:tc>
          <w:tcPr>
            <w:tcW w:w="1436" w:type="dxa"/>
            <w:tcBorders>
              <w:top w:val="single" w:sz="4" w:space="0" w:color="auto"/>
              <w:left w:val="single" w:sz="4" w:space="0" w:color="auto"/>
              <w:bottom w:val="single" w:sz="4" w:space="0" w:color="auto"/>
              <w:right w:val="single" w:sz="4" w:space="0" w:color="auto"/>
            </w:tcBorders>
            <w:shd w:val="clear" w:color="auto" w:fill="DEEAF6"/>
          </w:tcPr>
          <w:p>
            <w:pPr>
              <w:autoSpaceDE w:val="0"/>
              <w:autoSpaceDN w:val="0"/>
              <w:adjustRightInd w:val="0"/>
              <w:spacing w:after="0" w:line="240" w:lineRule="auto"/>
              <w:jc w:val="center"/>
              <w:rPr>
                <w:rFonts w:cs="Calibri"/>
                <w:b/>
                <w:bCs/>
                <w:noProof/>
                <w:color w:val="000000"/>
              </w:rPr>
            </w:pPr>
            <w:r>
              <w:rPr>
                <w:b/>
                <w:bCs/>
                <w:noProof/>
              </w:rPr>
              <w:t>EVD</w:t>
            </w:r>
          </w:p>
          <w:p>
            <w:pPr>
              <w:autoSpaceDE w:val="0"/>
              <w:autoSpaceDN w:val="0"/>
              <w:adjustRightInd w:val="0"/>
              <w:spacing w:after="0" w:line="240" w:lineRule="auto"/>
              <w:jc w:val="center"/>
              <w:rPr>
                <w:rFonts w:cs="Calibri"/>
                <w:b/>
                <w:bCs/>
                <w:noProof/>
                <w:color w:val="000000"/>
              </w:rPr>
            </w:pPr>
            <w:r>
              <w:rPr>
                <w:b/>
                <w:bCs/>
                <w:noProof/>
              </w:rPr>
              <w:t>nuorodos Oficialiajame leidinyje*</w:t>
            </w:r>
          </w:p>
        </w:tc>
        <w:tc>
          <w:tcPr>
            <w:tcW w:w="1435" w:type="dxa"/>
            <w:tcBorders>
              <w:top w:val="single" w:sz="4" w:space="0" w:color="auto"/>
              <w:left w:val="single" w:sz="4" w:space="0" w:color="auto"/>
              <w:bottom w:val="single" w:sz="4" w:space="0" w:color="auto"/>
              <w:right w:val="single" w:sz="4" w:space="0" w:color="auto"/>
            </w:tcBorders>
            <w:shd w:val="clear" w:color="auto" w:fill="DEEAF6"/>
          </w:tcPr>
          <w:p>
            <w:pPr>
              <w:autoSpaceDE w:val="0"/>
              <w:autoSpaceDN w:val="0"/>
              <w:adjustRightInd w:val="0"/>
              <w:spacing w:after="0" w:line="240" w:lineRule="auto"/>
              <w:jc w:val="center"/>
              <w:rPr>
                <w:rFonts w:cs="Calibri"/>
                <w:b/>
                <w:bCs/>
                <w:noProof/>
                <w:color w:val="000000"/>
              </w:rPr>
            </w:pPr>
            <w:r>
              <w:rPr>
                <w:b/>
                <w:bCs/>
                <w:noProof/>
              </w:rPr>
              <w:t>EVD,</w:t>
            </w:r>
          </w:p>
          <w:p>
            <w:pPr>
              <w:autoSpaceDE w:val="0"/>
              <w:autoSpaceDN w:val="0"/>
              <w:adjustRightInd w:val="0"/>
              <w:spacing w:after="0" w:line="240" w:lineRule="auto"/>
              <w:jc w:val="center"/>
              <w:rPr>
                <w:rFonts w:cs="Calibri"/>
                <w:b/>
                <w:bCs/>
                <w:noProof/>
                <w:color w:val="000000"/>
              </w:rPr>
            </w:pPr>
            <w:r>
              <w:rPr>
                <w:b/>
                <w:bCs/>
                <w:noProof/>
              </w:rPr>
              <w:t>kurių nuorodos paskelbtos Oficialiajame leidinyje**</w:t>
            </w:r>
          </w:p>
        </w:tc>
      </w:tr>
      <w:tr>
        <w:trPr>
          <w:trHeight w:val="290"/>
          <w:jc w:val="center"/>
        </w:trPr>
        <w:tc>
          <w:tcPr>
            <w:tcW w:w="1435"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cs="Calibri"/>
                <w:noProof/>
                <w:color w:val="000000"/>
              </w:rPr>
            </w:pPr>
            <w:r>
              <w:rPr>
                <w:noProof/>
              </w:rPr>
              <w:t>2014</w:t>
            </w:r>
          </w:p>
        </w:tc>
        <w:tc>
          <w:tcPr>
            <w:tcW w:w="1435"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cs="Calibri"/>
                <w:noProof/>
                <w:color w:val="000000"/>
              </w:rPr>
            </w:pPr>
            <w:r>
              <w:rPr>
                <w:noProof/>
              </w:rPr>
              <w:t>24</w:t>
            </w:r>
          </w:p>
        </w:tc>
        <w:tc>
          <w:tcPr>
            <w:tcW w:w="1436"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cs="Calibri"/>
                <w:noProof/>
                <w:color w:val="000000"/>
              </w:rPr>
            </w:pPr>
            <w:r>
              <w:rPr>
                <w:noProof/>
              </w:rPr>
              <w:t>0</w:t>
            </w:r>
          </w:p>
        </w:tc>
        <w:tc>
          <w:tcPr>
            <w:tcW w:w="1435"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cs="Calibri"/>
                <w:noProof/>
                <w:color w:val="000000"/>
              </w:rPr>
            </w:pPr>
            <w:r>
              <w:rPr>
                <w:noProof/>
              </w:rPr>
              <w:t>0</w:t>
            </w:r>
          </w:p>
        </w:tc>
      </w:tr>
      <w:tr>
        <w:trPr>
          <w:trHeight w:val="290"/>
          <w:jc w:val="center"/>
        </w:trPr>
        <w:tc>
          <w:tcPr>
            <w:tcW w:w="1435"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cs="Calibri"/>
                <w:noProof/>
                <w:color w:val="000000"/>
              </w:rPr>
            </w:pPr>
            <w:r>
              <w:rPr>
                <w:noProof/>
              </w:rPr>
              <w:t>2015</w:t>
            </w:r>
          </w:p>
        </w:tc>
        <w:tc>
          <w:tcPr>
            <w:tcW w:w="1435"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cs="Calibri"/>
                <w:noProof/>
                <w:color w:val="000000"/>
              </w:rPr>
            </w:pPr>
            <w:r>
              <w:rPr>
                <w:noProof/>
              </w:rPr>
              <w:t>47</w:t>
            </w:r>
          </w:p>
        </w:tc>
        <w:tc>
          <w:tcPr>
            <w:tcW w:w="1436"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cs="Calibri"/>
                <w:noProof/>
                <w:color w:val="000000"/>
              </w:rPr>
            </w:pPr>
            <w:r>
              <w:rPr>
                <w:noProof/>
              </w:rPr>
              <w:t>19</w:t>
            </w:r>
          </w:p>
        </w:tc>
        <w:tc>
          <w:tcPr>
            <w:tcW w:w="1435"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cs="Calibri"/>
                <w:noProof/>
                <w:color w:val="000000"/>
              </w:rPr>
            </w:pPr>
            <w:r>
              <w:rPr>
                <w:noProof/>
              </w:rPr>
              <w:t>14</w:t>
            </w:r>
          </w:p>
        </w:tc>
      </w:tr>
      <w:tr>
        <w:trPr>
          <w:trHeight w:val="290"/>
          <w:jc w:val="center"/>
        </w:trPr>
        <w:tc>
          <w:tcPr>
            <w:tcW w:w="1435"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cs="Calibri"/>
                <w:noProof/>
                <w:color w:val="000000"/>
              </w:rPr>
            </w:pPr>
            <w:r>
              <w:rPr>
                <w:noProof/>
              </w:rPr>
              <w:t>2016</w:t>
            </w:r>
          </w:p>
        </w:tc>
        <w:tc>
          <w:tcPr>
            <w:tcW w:w="1435"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cs="Calibri"/>
                <w:noProof/>
                <w:color w:val="000000"/>
              </w:rPr>
            </w:pPr>
            <w:r>
              <w:rPr>
                <w:noProof/>
              </w:rPr>
              <w:t>107</w:t>
            </w:r>
          </w:p>
        </w:tc>
        <w:tc>
          <w:tcPr>
            <w:tcW w:w="1436"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cs="Calibri"/>
                <w:noProof/>
                <w:color w:val="000000"/>
              </w:rPr>
            </w:pPr>
            <w:r>
              <w:rPr>
                <w:noProof/>
              </w:rPr>
              <w:t>65</w:t>
            </w:r>
          </w:p>
        </w:tc>
        <w:tc>
          <w:tcPr>
            <w:tcW w:w="1435"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cs="Calibri"/>
                <w:noProof/>
                <w:color w:val="000000"/>
              </w:rPr>
            </w:pPr>
            <w:r>
              <w:rPr>
                <w:noProof/>
              </w:rPr>
              <w:t>53</w:t>
            </w:r>
          </w:p>
        </w:tc>
      </w:tr>
      <w:tr>
        <w:trPr>
          <w:trHeight w:val="290"/>
          <w:jc w:val="center"/>
        </w:trPr>
        <w:tc>
          <w:tcPr>
            <w:tcW w:w="1435"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cs="Calibri"/>
                <w:noProof/>
                <w:color w:val="000000"/>
              </w:rPr>
            </w:pPr>
            <w:r>
              <w:rPr>
                <w:noProof/>
              </w:rPr>
              <w:t>2017</w:t>
            </w:r>
          </w:p>
        </w:tc>
        <w:tc>
          <w:tcPr>
            <w:tcW w:w="1435"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cs="Calibri"/>
                <w:noProof/>
                <w:color w:val="000000"/>
              </w:rPr>
            </w:pPr>
            <w:r>
              <w:rPr>
                <w:noProof/>
              </w:rPr>
              <w:t>53</w:t>
            </w:r>
          </w:p>
        </w:tc>
        <w:tc>
          <w:tcPr>
            <w:tcW w:w="1436"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cs="Calibri"/>
                <w:noProof/>
                <w:color w:val="000000"/>
              </w:rPr>
            </w:pPr>
            <w:r>
              <w:rPr>
                <w:noProof/>
              </w:rPr>
              <w:t>70</w:t>
            </w:r>
          </w:p>
        </w:tc>
        <w:tc>
          <w:tcPr>
            <w:tcW w:w="1435"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cs="Calibri"/>
                <w:noProof/>
                <w:color w:val="000000"/>
              </w:rPr>
            </w:pPr>
            <w:r>
              <w:rPr>
                <w:noProof/>
              </w:rPr>
              <w:t>67</w:t>
            </w:r>
          </w:p>
        </w:tc>
      </w:tr>
      <w:tr>
        <w:trPr>
          <w:trHeight w:val="305"/>
          <w:jc w:val="center"/>
        </w:trPr>
        <w:tc>
          <w:tcPr>
            <w:tcW w:w="1435"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cs="Calibri"/>
                <w:noProof/>
                <w:color w:val="000000"/>
              </w:rPr>
            </w:pPr>
            <w:r>
              <w:rPr>
                <w:noProof/>
              </w:rPr>
              <w:t>2018</w:t>
            </w:r>
          </w:p>
        </w:tc>
        <w:tc>
          <w:tcPr>
            <w:tcW w:w="1435"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cs="Calibri"/>
                <w:noProof/>
                <w:color w:val="000000"/>
              </w:rPr>
            </w:pPr>
            <w:r>
              <w:rPr>
                <w:noProof/>
              </w:rPr>
              <w:t>93</w:t>
            </w:r>
          </w:p>
        </w:tc>
        <w:tc>
          <w:tcPr>
            <w:tcW w:w="1436"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cs="Calibri"/>
                <w:noProof/>
                <w:color w:val="000000"/>
              </w:rPr>
            </w:pPr>
            <w:r>
              <w:rPr>
                <w:noProof/>
              </w:rPr>
              <w:t>63</w:t>
            </w:r>
          </w:p>
        </w:tc>
        <w:tc>
          <w:tcPr>
            <w:tcW w:w="1435"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cs="Calibri"/>
                <w:noProof/>
                <w:color w:val="000000"/>
              </w:rPr>
            </w:pPr>
            <w:r>
              <w:rPr>
                <w:noProof/>
              </w:rPr>
              <w:t>63</w:t>
            </w:r>
          </w:p>
        </w:tc>
      </w:tr>
      <w:tr>
        <w:trPr>
          <w:trHeight w:val="305"/>
          <w:jc w:val="center"/>
        </w:trPr>
        <w:tc>
          <w:tcPr>
            <w:tcW w:w="1435" w:type="dxa"/>
            <w:tcBorders>
              <w:top w:val="single" w:sz="4" w:space="0" w:color="auto"/>
              <w:left w:val="single" w:sz="4" w:space="0" w:color="auto"/>
              <w:bottom w:val="single" w:sz="4" w:space="0" w:color="auto"/>
              <w:right w:val="single" w:sz="4" w:space="0" w:color="auto"/>
            </w:tcBorders>
            <w:shd w:val="clear" w:color="auto" w:fill="DEEAF6"/>
          </w:tcPr>
          <w:p>
            <w:pPr>
              <w:autoSpaceDE w:val="0"/>
              <w:autoSpaceDN w:val="0"/>
              <w:adjustRightInd w:val="0"/>
              <w:spacing w:after="0" w:line="240" w:lineRule="auto"/>
              <w:jc w:val="center"/>
              <w:rPr>
                <w:rFonts w:cs="Calibri"/>
                <w:b/>
                <w:bCs/>
                <w:noProof/>
                <w:color w:val="000000"/>
              </w:rPr>
            </w:pPr>
            <w:r>
              <w:rPr>
                <w:b/>
                <w:bCs/>
                <w:noProof/>
              </w:rPr>
              <w:t>Iš viso</w:t>
            </w:r>
          </w:p>
        </w:tc>
        <w:tc>
          <w:tcPr>
            <w:tcW w:w="1435" w:type="dxa"/>
            <w:tcBorders>
              <w:top w:val="single" w:sz="4" w:space="0" w:color="auto"/>
              <w:left w:val="single" w:sz="4" w:space="0" w:color="auto"/>
              <w:bottom w:val="single" w:sz="4" w:space="0" w:color="auto"/>
              <w:right w:val="single" w:sz="4" w:space="0" w:color="auto"/>
            </w:tcBorders>
            <w:shd w:val="clear" w:color="auto" w:fill="DEEAF6"/>
          </w:tcPr>
          <w:p>
            <w:pPr>
              <w:autoSpaceDE w:val="0"/>
              <w:autoSpaceDN w:val="0"/>
              <w:adjustRightInd w:val="0"/>
              <w:spacing w:after="0" w:line="240" w:lineRule="auto"/>
              <w:jc w:val="center"/>
              <w:rPr>
                <w:rFonts w:cs="Calibri"/>
                <w:b/>
                <w:bCs/>
                <w:noProof/>
                <w:color w:val="000000"/>
              </w:rPr>
            </w:pPr>
            <w:r>
              <w:rPr>
                <w:b/>
                <w:bCs/>
                <w:noProof/>
              </w:rPr>
              <w:t>324</w:t>
            </w:r>
          </w:p>
        </w:tc>
        <w:tc>
          <w:tcPr>
            <w:tcW w:w="1436" w:type="dxa"/>
            <w:tcBorders>
              <w:top w:val="single" w:sz="4" w:space="0" w:color="auto"/>
              <w:left w:val="single" w:sz="4" w:space="0" w:color="auto"/>
              <w:bottom w:val="single" w:sz="4" w:space="0" w:color="auto"/>
              <w:right w:val="single" w:sz="4" w:space="0" w:color="auto"/>
            </w:tcBorders>
            <w:shd w:val="clear" w:color="auto" w:fill="DEEAF6"/>
          </w:tcPr>
          <w:p>
            <w:pPr>
              <w:autoSpaceDE w:val="0"/>
              <w:autoSpaceDN w:val="0"/>
              <w:adjustRightInd w:val="0"/>
              <w:spacing w:after="0" w:line="240" w:lineRule="auto"/>
              <w:jc w:val="center"/>
              <w:rPr>
                <w:rFonts w:cs="Calibri"/>
                <w:b/>
                <w:bCs/>
                <w:noProof/>
                <w:color w:val="000000"/>
              </w:rPr>
            </w:pPr>
            <w:r>
              <w:rPr>
                <w:b/>
                <w:bCs/>
                <w:noProof/>
              </w:rPr>
              <w:t>217</w:t>
            </w:r>
          </w:p>
        </w:tc>
        <w:tc>
          <w:tcPr>
            <w:tcW w:w="1435" w:type="dxa"/>
            <w:tcBorders>
              <w:top w:val="single" w:sz="4" w:space="0" w:color="auto"/>
              <w:left w:val="single" w:sz="4" w:space="0" w:color="auto"/>
              <w:bottom w:val="single" w:sz="4" w:space="0" w:color="auto"/>
              <w:right w:val="single" w:sz="4" w:space="0" w:color="auto"/>
            </w:tcBorders>
            <w:shd w:val="clear" w:color="auto" w:fill="DEEAF6"/>
          </w:tcPr>
          <w:p>
            <w:pPr>
              <w:autoSpaceDE w:val="0"/>
              <w:autoSpaceDN w:val="0"/>
              <w:adjustRightInd w:val="0"/>
              <w:spacing w:after="0" w:line="240" w:lineRule="auto"/>
              <w:jc w:val="center"/>
              <w:rPr>
                <w:rFonts w:cs="Calibri"/>
                <w:b/>
                <w:bCs/>
                <w:noProof/>
                <w:color w:val="000000"/>
              </w:rPr>
            </w:pPr>
            <w:r>
              <w:rPr>
                <w:b/>
                <w:bCs/>
                <w:noProof/>
              </w:rPr>
              <w:t>197</w:t>
            </w:r>
          </w:p>
        </w:tc>
      </w:tr>
      <w:tr>
        <w:trPr>
          <w:trHeight w:val="305"/>
          <w:jc w:val="center"/>
        </w:trPr>
        <w:tc>
          <w:tcPr>
            <w:tcW w:w="2870" w:type="dxa"/>
            <w:gridSpan w:val="2"/>
            <w:tcBorders>
              <w:top w:val="single" w:sz="4" w:space="0" w:color="auto"/>
              <w:left w:val="single" w:sz="4" w:space="0" w:color="auto"/>
              <w:bottom w:val="single" w:sz="4" w:space="0" w:color="auto"/>
            </w:tcBorders>
          </w:tcPr>
          <w:p>
            <w:pPr>
              <w:autoSpaceDE w:val="0"/>
              <w:autoSpaceDN w:val="0"/>
              <w:adjustRightInd w:val="0"/>
              <w:spacing w:after="0" w:line="240" w:lineRule="auto"/>
              <w:jc w:val="center"/>
              <w:rPr>
                <w:rFonts w:cs="Calibri"/>
                <w:noProof/>
                <w:color w:val="000000"/>
              </w:rPr>
            </w:pPr>
            <w:r>
              <w:rPr>
                <w:noProof/>
              </w:rPr>
              <w:t>* įskaitant pakeistus EVD</w:t>
            </w:r>
          </w:p>
          <w:p>
            <w:pPr>
              <w:autoSpaceDE w:val="0"/>
              <w:autoSpaceDN w:val="0"/>
              <w:adjustRightInd w:val="0"/>
              <w:spacing w:after="0" w:line="240" w:lineRule="auto"/>
              <w:jc w:val="center"/>
              <w:rPr>
                <w:rFonts w:cs="Calibri"/>
                <w:noProof/>
                <w:color w:val="000000"/>
              </w:rPr>
            </w:pPr>
            <w:r>
              <w:rPr>
                <w:noProof/>
              </w:rPr>
              <w:t>** neįskaitant pakeistų EVD</w:t>
            </w:r>
          </w:p>
        </w:tc>
        <w:tc>
          <w:tcPr>
            <w:tcW w:w="1436" w:type="dxa"/>
            <w:tcBorders>
              <w:top w:val="single" w:sz="4" w:space="0" w:color="auto"/>
              <w:bottom w:val="single" w:sz="4" w:space="0" w:color="auto"/>
            </w:tcBorders>
          </w:tcPr>
          <w:p>
            <w:pPr>
              <w:autoSpaceDE w:val="0"/>
              <w:autoSpaceDN w:val="0"/>
              <w:adjustRightInd w:val="0"/>
              <w:spacing w:after="0" w:line="240" w:lineRule="auto"/>
              <w:jc w:val="center"/>
              <w:rPr>
                <w:rFonts w:cs="Calibri"/>
                <w:noProof/>
                <w:color w:val="000000"/>
              </w:rPr>
            </w:pPr>
          </w:p>
        </w:tc>
        <w:tc>
          <w:tcPr>
            <w:tcW w:w="1435" w:type="dxa"/>
            <w:tcBorders>
              <w:top w:val="single" w:sz="4" w:space="0" w:color="auto"/>
              <w:bottom w:val="single" w:sz="4" w:space="0" w:color="auto"/>
              <w:right w:val="single" w:sz="4" w:space="0" w:color="auto"/>
            </w:tcBorders>
          </w:tcPr>
          <w:p>
            <w:pPr>
              <w:autoSpaceDE w:val="0"/>
              <w:autoSpaceDN w:val="0"/>
              <w:adjustRightInd w:val="0"/>
              <w:spacing w:after="0" w:line="240" w:lineRule="auto"/>
              <w:jc w:val="center"/>
              <w:rPr>
                <w:rFonts w:cs="Calibri"/>
                <w:noProof/>
                <w:color w:val="000000"/>
              </w:rPr>
            </w:pPr>
          </w:p>
        </w:tc>
      </w:tr>
    </w:tbl>
    <w:p>
      <w:pPr>
        <w:spacing w:after="120" w:line="240" w:lineRule="auto"/>
        <w:rPr>
          <w:rFonts w:ascii="Times New Roman" w:hAnsi="Times New Roman"/>
          <w:noProof/>
          <w:sz w:val="24"/>
          <w:szCs w:val="24"/>
        </w:rPr>
      </w:pPr>
    </w:p>
    <w:p>
      <w:pPr>
        <w:spacing w:line="240" w:lineRule="auto"/>
        <w:jc w:val="both"/>
        <w:rPr>
          <w:rFonts w:ascii="Times New Roman" w:hAnsi="Times New Roman"/>
          <w:noProof/>
          <w:sz w:val="24"/>
          <w:szCs w:val="24"/>
        </w:rPr>
      </w:pPr>
      <w:r>
        <w:rPr>
          <w:rFonts w:ascii="Times New Roman" w:hAnsi="Times New Roman"/>
          <w:noProof/>
          <w:sz w:val="24"/>
          <w:szCs w:val="24"/>
        </w:rPr>
        <w:t>EVD, kurių nuorodos paskelbtos, gali būti suskirstyti į dvi kategorijas: EVD, parengti keičiant dokumentus, grindžiamus SPD (rekomendacijos, kaip suteikti Europos techninį liudijimą, arba bendri susitarimai dėl patvirtinimo procedūrų</w:t>
      </w:r>
      <w:r>
        <w:rPr>
          <w:rStyle w:val="FootnoteReference"/>
          <w:rFonts w:ascii="Times New Roman" w:hAnsi="Times New Roman"/>
          <w:noProof/>
          <w:sz w:val="24"/>
          <w:szCs w:val="24"/>
        </w:rPr>
        <w:footnoteReference w:id="12"/>
      </w:r>
      <w:r>
        <w:rPr>
          <w:rFonts w:ascii="Times New Roman" w:hAnsi="Times New Roman"/>
          <w:noProof/>
          <w:sz w:val="24"/>
          <w:szCs w:val="24"/>
        </w:rPr>
        <w:t>), arba nauji EVD. Dauguma EVD, kurių nuorodos yra paskelbtos, grindžiami dokumentais, parengtais pagal SPD (57 proc.).</w:t>
      </w:r>
    </w:p>
    <w:p>
      <w:pPr>
        <w:spacing w:line="240" w:lineRule="auto"/>
        <w:jc w:val="center"/>
        <w:rPr>
          <w:rFonts w:cs="Calibri"/>
          <w:noProof/>
          <w:sz w:val="24"/>
          <w:szCs w:val="24"/>
        </w:rPr>
      </w:pPr>
      <w:r>
        <w:rPr>
          <w:noProof/>
          <w:sz w:val="24"/>
          <w:szCs w:val="24"/>
        </w:rPr>
        <w:t>3 lentelė. EVD, kurių nuorodos buvo paskelbtos per metus, tipologija (2015–2018 m.):</w:t>
      </w:r>
    </w:p>
    <w:tbl>
      <w:tblPr>
        <w:tblW w:w="7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2"/>
        <w:gridCol w:w="953"/>
        <w:gridCol w:w="953"/>
        <w:gridCol w:w="953"/>
        <w:gridCol w:w="953"/>
        <w:gridCol w:w="859"/>
      </w:tblGrid>
      <w:tr>
        <w:trPr>
          <w:jc w:val="center"/>
        </w:trPr>
        <w:tc>
          <w:tcPr>
            <w:tcW w:w="2712" w:type="dxa"/>
            <w:shd w:val="clear" w:color="auto" w:fill="DEEAF6"/>
          </w:tcPr>
          <w:p>
            <w:pPr>
              <w:spacing w:after="120" w:line="240" w:lineRule="auto"/>
              <w:rPr>
                <w:rFonts w:cs="Calibri"/>
                <w:b/>
                <w:noProof/>
                <w:sz w:val="24"/>
                <w:szCs w:val="24"/>
              </w:rPr>
            </w:pPr>
            <w:r>
              <w:rPr>
                <w:b/>
                <w:noProof/>
              </w:rPr>
              <w:t>Metai</w:t>
            </w:r>
          </w:p>
        </w:tc>
        <w:tc>
          <w:tcPr>
            <w:tcW w:w="953" w:type="dxa"/>
            <w:shd w:val="clear" w:color="auto" w:fill="DEEAF6"/>
          </w:tcPr>
          <w:p>
            <w:pPr>
              <w:spacing w:after="120" w:line="240" w:lineRule="auto"/>
              <w:jc w:val="center"/>
              <w:rPr>
                <w:rFonts w:cs="Calibri"/>
                <w:b/>
                <w:noProof/>
                <w:sz w:val="24"/>
                <w:szCs w:val="24"/>
              </w:rPr>
            </w:pPr>
            <w:r>
              <w:rPr>
                <w:b/>
                <w:noProof/>
              </w:rPr>
              <w:t>2015</w:t>
            </w:r>
          </w:p>
        </w:tc>
        <w:tc>
          <w:tcPr>
            <w:tcW w:w="953" w:type="dxa"/>
            <w:shd w:val="clear" w:color="auto" w:fill="DEEAF6"/>
          </w:tcPr>
          <w:p>
            <w:pPr>
              <w:spacing w:after="120" w:line="240" w:lineRule="auto"/>
              <w:jc w:val="center"/>
              <w:rPr>
                <w:rFonts w:cs="Calibri"/>
                <w:b/>
                <w:noProof/>
                <w:sz w:val="24"/>
                <w:szCs w:val="24"/>
              </w:rPr>
            </w:pPr>
            <w:r>
              <w:rPr>
                <w:b/>
                <w:noProof/>
              </w:rPr>
              <w:t>2016</w:t>
            </w:r>
          </w:p>
        </w:tc>
        <w:tc>
          <w:tcPr>
            <w:tcW w:w="953" w:type="dxa"/>
            <w:shd w:val="clear" w:color="auto" w:fill="DEEAF6"/>
          </w:tcPr>
          <w:p>
            <w:pPr>
              <w:spacing w:after="120" w:line="240" w:lineRule="auto"/>
              <w:jc w:val="center"/>
              <w:rPr>
                <w:rFonts w:cs="Calibri"/>
                <w:b/>
                <w:noProof/>
                <w:sz w:val="24"/>
                <w:szCs w:val="24"/>
              </w:rPr>
            </w:pPr>
            <w:r>
              <w:rPr>
                <w:b/>
                <w:noProof/>
              </w:rPr>
              <w:t>2017</w:t>
            </w:r>
          </w:p>
        </w:tc>
        <w:tc>
          <w:tcPr>
            <w:tcW w:w="953" w:type="dxa"/>
            <w:shd w:val="clear" w:color="auto" w:fill="DEEAF6"/>
          </w:tcPr>
          <w:p>
            <w:pPr>
              <w:spacing w:after="120" w:line="240" w:lineRule="auto"/>
              <w:jc w:val="center"/>
              <w:rPr>
                <w:rFonts w:cs="Calibri"/>
                <w:b/>
                <w:noProof/>
                <w:sz w:val="24"/>
                <w:szCs w:val="24"/>
              </w:rPr>
            </w:pPr>
            <w:r>
              <w:rPr>
                <w:b/>
                <w:noProof/>
              </w:rPr>
              <w:t>2018</w:t>
            </w:r>
          </w:p>
        </w:tc>
        <w:tc>
          <w:tcPr>
            <w:tcW w:w="859" w:type="dxa"/>
            <w:shd w:val="clear" w:color="auto" w:fill="DEEAF6"/>
          </w:tcPr>
          <w:p>
            <w:pPr>
              <w:spacing w:after="120" w:line="240" w:lineRule="auto"/>
              <w:jc w:val="center"/>
              <w:rPr>
                <w:rFonts w:cs="Calibri"/>
                <w:b/>
                <w:noProof/>
                <w:sz w:val="24"/>
                <w:szCs w:val="24"/>
              </w:rPr>
            </w:pPr>
            <w:r>
              <w:rPr>
                <w:b/>
                <w:noProof/>
              </w:rPr>
              <w:t>Iš viso</w:t>
            </w:r>
          </w:p>
        </w:tc>
      </w:tr>
      <w:tr>
        <w:trPr>
          <w:jc w:val="center"/>
        </w:trPr>
        <w:tc>
          <w:tcPr>
            <w:tcW w:w="2712" w:type="dxa"/>
            <w:shd w:val="clear" w:color="auto" w:fill="auto"/>
          </w:tcPr>
          <w:p>
            <w:pPr>
              <w:spacing w:after="120" w:line="240" w:lineRule="auto"/>
              <w:rPr>
                <w:rFonts w:cs="Calibri"/>
                <w:b/>
                <w:noProof/>
                <w:sz w:val="24"/>
                <w:szCs w:val="24"/>
              </w:rPr>
            </w:pPr>
            <w:r>
              <w:rPr>
                <w:b/>
                <w:noProof/>
              </w:rPr>
              <w:t>EVD, parengti pagal rekomendacijas, kaip suteikti Europos techninį liudijimą</w:t>
            </w:r>
          </w:p>
        </w:tc>
        <w:tc>
          <w:tcPr>
            <w:tcW w:w="953" w:type="dxa"/>
            <w:shd w:val="clear" w:color="auto" w:fill="auto"/>
          </w:tcPr>
          <w:p>
            <w:pPr>
              <w:spacing w:after="120" w:line="240" w:lineRule="auto"/>
              <w:jc w:val="center"/>
              <w:rPr>
                <w:rFonts w:cs="Calibri"/>
                <w:noProof/>
                <w:sz w:val="24"/>
                <w:szCs w:val="24"/>
              </w:rPr>
            </w:pPr>
            <w:r>
              <w:rPr>
                <w:noProof/>
              </w:rPr>
              <w:t>0</w:t>
            </w:r>
          </w:p>
        </w:tc>
        <w:tc>
          <w:tcPr>
            <w:tcW w:w="953" w:type="dxa"/>
            <w:shd w:val="clear" w:color="auto" w:fill="auto"/>
          </w:tcPr>
          <w:p>
            <w:pPr>
              <w:spacing w:after="120" w:line="240" w:lineRule="auto"/>
              <w:jc w:val="center"/>
              <w:rPr>
                <w:rFonts w:cs="Calibri"/>
                <w:noProof/>
                <w:sz w:val="24"/>
                <w:szCs w:val="24"/>
              </w:rPr>
            </w:pPr>
            <w:r>
              <w:rPr>
                <w:noProof/>
              </w:rPr>
              <w:t>3</w:t>
            </w:r>
          </w:p>
        </w:tc>
        <w:tc>
          <w:tcPr>
            <w:tcW w:w="953" w:type="dxa"/>
            <w:shd w:val="clear" w:color="auto" w:fill="auto"/>
          </w:tcPr>
          <w:p>
            <w:pPr>
              <w:spacing w:after="120" w:line="240" w:lineRule="auto"/>
              <w:jc w:val="center"/>
              <w:rPr>
                <w:rFonts w:cs="Calibri"/>
                <w:noProof/>
                <w:sz w:val="24"/>
                <w:szCs w:val="24"/>
              </w:rPr>
            </w:pPr>
            <w:r>
              <w:rPr>
                <w:noProof/>
              </w:rPr>
              <w:t>10</w:t>
            </w:r>
          </w:p>
        </w:tc>
        <w:tc>
          <w:tcPr>
            <w:tcW w:w="953" w:type="dxa"/>
            <w:shd w:val="clear" w:color="auto" w:fill="auto"/>
          </w:tcPr>
          <w:p>
            <w:pPr>
              <w:spacing w:after="120" w:line="240" w:lineRule="auto"/>
              <w:jc w:val="center"/>
              <w:rPr>
                <w:rFonts w:cs="Calibri"/>
                <w:noProof/>
                <w:sz w:val="24"/>
                <w:szCs w:val="24"/>
              </w:rPr>
            </w:pPr>
            <w:r>
              <w:rPr>
                <w:noProof/>
              </w:rPr>
              <w:t>3</w:t>
            </w:r>
          </w:p>
        </w:tc>
        <w:tc>
          <w:tcPr>
            <w:tcW w:w="859" w:type="dxa"/>
          </w:tcPr>
          <w:p>
            <w:pPr>
              <w:spacing w:after="120" w:line="240" w:lineRule="auto"/>
              <w:jc w:val="center"/>
              <w:rPr>
                <w:rFonts w:cs="Calibri"/>
                <w:b/>
                <w:noProof/>
                <w:sz w:val="24"/>
                <w:szCs w:val="24"/>
              </w:rPr>
            </w:pPr>
            <w:r>
              <w:rPr>
                <w:b/>
                <w:noProof/>
              </w:rPr>
              <w:t>16</w:t>
            </w:r>
          </w:p>
        </w:tc>
      </w:tr>
      <w:tr>
        <w:trPr>
          <w:jc w:val="center"/>
        </w:trPr>
        <w:tc>
          <w:tcPr>
            <w:tcW w:w="2712" w:type="dxa"/>
            <w:shd w:val="clear" w:color="auto" w:fill="auto"/>
          </w:tcPr>
          <w:p>
            <w:pPr>
              <w:spacing w:after="120" w:line="240" w:lineRule="auto"/>
              <w:rPr>
                <w:rFonts w:cs="Calibri"/>
                <w:b/>
                <w:noProof/>
                <w:sz w:val="24"/>
                <w:szCs w:val="24"/>
              </w:rPr>
            </w:pPr>
            <w:r>
              <w:rPr>
                <w:b/>
                <w:noProof/>
              </w:rPr>
              <w:t>EVD, parengti pagal bendrus susitarimus dėl patvirtinimo procedūrų</w:t>
            </w:r>
          </w:p>
        </w:tc>
        <w:tc>
          <w:tcPr>
            <w:tcW w:w="953" w:type="dxa"/>
            <w:shd w:val="clear" w:color="auto" w:fill="auto"/>
          </w:tcPr>
          <w:p>
            <w:pPr>
              <w:spacing w:after="120" w:line="240" w:lineRule="auto"/>
              <w:jc w:val="center"/>
              <w:rPr>
                <w:rFonts w:cs="Calibri"/>
                <w:noProof/>
                <w:sz w:val="24"/>
                <w:szCs w:val="24"/>
              </w:rPr>
            </w:pPr>
            <w:r>
              <w:rPr>
                <w:noProof/>
              </w:rPr>
              <w:t>18</w:t>
            </w:r>
          </w:p>
        </w:tc>
        <w:tc>
          <w:tcPr>
            <w:tcW w:w="953" w:type="dxa"/>
            <w:shd w:val="clear" w:color="auto" w:fill="auto"/>
          </w:tcPr>
          <w:p>
            <w:pPr>
              <w:spacing w:after="120" w:line="240" w:lineRule="auto"/>
              <w:jc w:val="center"/>
              <w:rPr>
                <w:rFonts w:cs="Calibri"/>
                <w:noProof/>
                <w:sz w:val="24"/>
                <w:szCs w:val="24"/>
              </w:rPr>
            </w:pPr>
            <w:r>
              <w:rPr>
                <w:noProof/>
              </w:rPr>
              <w:t>34</w:t>
            </w:r>
          </w:p>
        </w:tc>
        <w:tc>
          <w:tcPr>
            <w:tcW w:w="953" w:type="dxa"/>
            <w:shd w:val="clear" w:color="auto" w:fill="auto"/>
          </w:tcPr>
          <w:p>
            <w:pPr>
              <w:spacing w:after="120" w:line="240" w:lineRule="auto"/>
              <w:jc w:val="center"/>
              <w:rPr>
                <w:rFonts w:cs="Calibri"/>
                <w:noProof/>
                <w:sz w:val="24"/>
                <w:szCs w:val="24"/>
              </w:rPr>
            </w:pPr>
            <w:r>
              <w:rPr>
                <w:noProof/>
              </w:rPr>
              <w:t>32</w:t>
            </w:r>
          </w:p>
        </w:tc>
        <w:tc>
          <w:tcPr>
            <w:tcW w:w="953" w:type="dxa"/>
            <w:shd w:val="clear" w:color="auto" w:fill="auto"/>
          </w:tcPr>
          <w:p>
            <w:pPr>
              <w:spacing w:after="120" w:line="240" w:lineRule="auto"/>
              <w:jc w:val="center"/>
              <w:rPr>
                <w:rFonts w:cs="Calibri"/>
                <w:noProof/>
                <w:sz w:val="24"/>
                <w:szCs w:val="24"/>
              </w:rPr>
            </w:pPr>
            <w:r>
              <w:rPr>
                <w:noProof/>
              </w:rPr>
              <w:t>24</w:t>
            </w:r>
          </w:p>
        </w:tc>
        <w:tc>
          <w:tcPr>
            <w:tcW w:w="859" w:type="dxa"/>
          </w:tcPr>
          <w:p>
            <w:pPr>
              <w:spacing w:after="120" w:line="240" w:lineRule="auto"/>
              <w:jc w:val="center"/>
              <w:rPr>
                <w:rFonts w:cs="Calibri"/>
                <w:b/>
                <w:noProof/>
                <w:sz w:val="24"/>
                <w:szCs w:val="24"/>
              </w:rPr>
            </w:pPr>
            <w:r>
              <w:rPr>
                <w:b/>
                <w:noProof/>
              </w:rPr>
              <w:t>108</w:t>
            </w:r>
          </w:p>
        </w:tc>
      </w:tr>
      <w:tr>
        <w:trPr>
          <w:jc w:val="center"/>
        </w:trPr>
        <w:tc>
          <w:tcPr>
            <w:tcW w:w="2712" w:type="dxa"/>
            <w:tcBorders>
              <w:bottom w:val="single" w:sz="4" w:space="0" w:color="auto"/>
            </w:tcBorders>
            <w:shd w:val="clear" w:color="auto" w:fill="auto"/>
          </w:tcPr>
          <w:p>
            <w:pPr>
              <w:spacing w:after="120" w:line="240" w:lineRule="auto"/>
              <w:rPr>
                <w:rFonts w:cs="Calibri"/>
                <w:b/>
                <w:noProof/>
                <w:sz w:val="24"/>
                <w:szCs w:val="24"/>
              </w:rPr>
            </w:pPr>
            <w:r>
              <w:rPr>
                <w:b/>
                <w:noProof/>
              </w:rPr>
              <w:t>Nauji EVD</w:t>
            </w:r>
          </w:p>
        </w:tc>
        <w:tc>
          <w:tcPr>
            <w:tcW w:w="953" w:type="dxa"/>
            <w:tcBorders>
              <w:bottom w:val="single" w:sz="4" w:space="0" w:color="auto"/>
            </w:tcBorders>
            <w:shd w:val="clear" w:color="auto" w:fill="auto"/>
          </w:tcPr>
          <w:p>
            <w:pPr>
              <w:spacing w:after="120" w:line="240" w:lineRule="auto"/>
              <w:jc w:val="center"/>
              <w:rPr>
                <w:rFonts w:cs="Calibri"/>
                <w:noProof/>
                <w:sz w:val="24"/>
                <w:szCs w:val="24"/>
              </w:rPr>
            </w:pPr>
            <w:r>
              <w:rPr>
                <w:noProof/>
              </w:rPr>
              <w:t>1</w:t>
            </w:r>
          </w:p>
        </w:tc>
        <w:tc>
          <w:tcPr>
            <w:tcW w:w="953" w:type="dxa"/>
            <w:tcBorders>
              <w:bottom w:val="single" w:sz="4" w:space="0" w:color="auto"/>
            </w:tcBorders>
            <w:shd w:val="clear" w:color="auto" w:fill="auto"/>
          </w:tcPr>
          <w:p>
            <w:pPr>
              <w:spacing w:after="120" w:line="240" w:lineRule="auto"/>
              <w:jc w:val="center"/>
              <w:rPr>
                <w:rFonts w:cs="Calibri"/>
                <w:noProof/>
                <w:sz w:val="24"/>
                <w:szCs w:val="24"/>
              </w:rPr>
            </w:pPr>
            <w:r>
              <w:rPr>
                <w:noProof/>
              </w:rPr>
              <w:t>28</w:t>
            </w:r>
          </w:p>
        </w:tc>
        <w:tc>
          <w:tcPr>
            <w:tcW w:w="953" w:type="dxa"/>
            <w:tcBorders>
              <w:bottom w:val="single" w:sz="4" w:space="0" w:color="auto"/>
            </w:tcBorders>
            <w:shd w:val="clear" w:color="auto" w:fill="auto"/>
          </w:tcPr>
          <w:p>
            <w:pPr>
              <w:spacing w:after="120" w:line="240" w:lineRule="auto"/>
              <w:jc w:val="center"/>
              <w:rPr>
                <w:rFonts w:cs="Calibri"/>
                <w:noProof/>
                <w:sz w:val="24"/>
                <w:szCs w:val="24"/>
              </w:rPr>
            </w:pPr>
            <w:r>
              <w:rPr>
                <w:noProof/>
              </w:rPr>
              <w:t>28</w:t>
            </w:r>
          </w:p>
        </w:tc>
        <w:tc>
          <w:tcPr>
            <w:tcW w:w="953" w:type="dxa"/>
            <w:tcBorders>
              <w:bottom w:val="single" w:sz="4" w:space="0" w:color="auto"/>
            </w:tcBorders>
            <w:shd w:val="clear" w:color="auto" w:fill="auto"/>
          </w:tcPr>
          <w:p>
            <w:pPr>
              <w:spacing w:after="120" w:line="240" w:lineRule="auto"/>
              <w:jc w:val="center"/>
              <w:rPr>
                <w:rFonts w:cs="Calibri"/>
                <w:noProof/>
                <w:sz w:val="24"/>
                <w:szCs w:val="24"/>
              </w:rPr>
            </w:pPr>
            <w:r>
              <w:rPr>
                <w:noProof/>
              </w:rPr>
              <w:t>36</w:t>
            </w:r>
          </w:p>
        </w:tc>
        <w:tc>
          <w:tcPr>
            <w:tcW w:w="859" w:type="dxa"/>
            <w:tcBorders>
              <w:bottom w:val="single" w:sz="4" w:space="0" w:color="auto"/>
            </w:tcBorders>
          </w:tcPr>
          <w:p>
            <w:pPr>
              <w:spacing w:after="120" w:line="240" w:lineRule="auto"/>
              <w:jc w:val="center"/>
              <w:rPr>
                <w:rFonts w:cs="Calibri"/>
                <w:b/>
                <w:noProof/>
                <w:sz w:val="24"/>
                <w:szCs w:val="24"/>
              </w:rPr>
            </w:pPr>
            <w:r>
              <w:rPr>
                <w:b/>
                <w:noProof/>
              </w:rPr>
              <w:t>93</w:t>
            </w:r>
          </w:p>
        </w:tc>
      </w:tr>
      <w:tr>
        <w:trPr>
          <w:jc w:val="center"/>
        </w:trPr>
        <w:tc>
          <w:tcPr>
            <w:tcW w:w="2712" w:type="dxa"/>
            <w:shd w:val="clear" w:color="auto" w:fill="DEEAF6"/>
          </w:tcPr>
          <w:p>
            <w:pPr>
              <w:spacing w:after="120" w:line="240" w:lineRule="auto"/>
              <w:rPr>
                <w:rFonts w:cs="Calibri"/>
                <w:b/>
                <w:noProof/>
                <w:sz w:val="24"/>
                <w:szCs w:val="24"/>
              </w:rPr>
            </w:pPr>
            <w:r>
              <w:rPr>
                <w:b/>
                <w:noProof/>
              </w:rPr>
              <w:t xml:space="preserve">Iš viso </w:t>
            </w:r>
          </w:p>
        </w:tc>
        <w:tc>
          <w:tcPr>
            <w:tcW w:w="953" w:type="dxa"/>
            <w:shd w:val="clear" w:color="auto" w:fill="DEEAF6"/>
          </w:tcPr>
          <w:p>
            <w:pPr>
              <w:spacing w:after="120" w:line="240" w:lineRule="auto"/>
              <w:jc w:val="center"/>
              <w:rPr>
                <w:rFonts w:cs="Calibri"/>
                <w:noProof/>
                <w:sz w:val="24"/>
                <w:szCs w:val="24"/>
              </w:rPr>
            </w:pPr>
            <w:r>
              <w:rPr>
                <w:noProof/>
              </w:rPr>
              <w:t>19</w:t>
            </w:r>
          </w:p>
        </w:tc>
        <w:tc>
          <w:tcPr>
            <w:tcW w:w="953" w:type="dxa"/>
            <w:shd w:val="clear" w:color="auto" w:fill="DEEAF6"/>
          </w:tcPr>
          <w:p>
            <w:pPr>
              <w:spacing w:after="120" w:line="240" w:lineRule="auto"/>
              <w:jc w:val="center"/>
              <w:rPr>
                <w:rFonts w:cs="Calibri"/>
                <w:noProof/>
                <w:sz w:val="24"/>
                <w:szCs w:val="24"/>
              </w:rPr>
            </w:pPr>
            <w:r>
              <w:rPr>
                <w:noProof/>
              </w:rPr>
              <w:t>65</w:t>
            </w:r>
          </w:p>
        </w:tc>
        <w:tc>
          <w:tcPr>
            <w:tcW w:w="953" w:type="dxa"/>
            <w:shd w:val="clear" w:color="auto" w:fill="DEEAF6"/>
          </w:tcPr>
          <w:p>
            <w:pPr>
              <w:spacing w:after="120" w:line="240" w:lineRule="auto"/>
              <w:jc w:val="center"/>
              <w:rPr>
                <w:rFonts w:cs="Calibri"/>
                <w:noProof/>
                <w:sz w:val="24"/>
                <w:szCs w:val="24"/>
              </w:rPr>
            </w:pPr>
            <w:r>
              <w:rPr>
                <w:noProof/>
              </w:rPr>
              <w:t>70</w:t>
            </w:r>
          </w:p>
        </w:tc>
        <w:tc>
          <w:tcPr>
            <w:tcW w:w="953" w:type="dxa"/>
            <w:shd w:val="clear" w:color="auto" w:fill="DEEAF6"/>
          </w:tcPr>
          <w:p>
            <w:pPr>
              <w:spacing w:after="120" w:line="240" w:lineRule="auto"/>
              <w:jc w:val="center"/>
              <w:rPr>
                <w:rFonts w:cs="Calibri"/>
                <w:noProof/>
                <w:sz w:val="24"/>
                <w:szCs w:val="24"/>
              </w:rPr>
            </w:pPr>
            <w:r>
              <w:rPr>
                <w:noProof/>
              </w:rPr>
              <w:t>63</w:t>
            </w:r>
          </w:p>
        </w:tc>
        <w:tc>
          <w:tcPr>
            <w:tcW w:w="859" w:type="dxa"/>
            <w:shd w:val="clear" w:color="auto" w:fill="DEEAF6"/>
          </w:tcPr>
          <w:p>
            <w:pPr>
              <w:spacing w:after="120" w:line="240" w:lineRule="auto"/>
              <w:jc w:val="center"/>
              <w:rPr>
                <w:rFonts w:cs="Calibri"/>
                <w:b/>
                <w:noProof/>
                <w:sz w:val="24"/>
                <w:szCs w:val="24"/>
              </w:rPr>
            </w:pPr>
            <w:r>
              <w:rPr>
                <w:b/>
                <w:noProof/>
              </w:rPr>
              <w:t>217</w:t>
            </w:r>
          </w:p>
        </w:tc>
      </w:tr>
    </w:tbl>
    <w:p>
      <w:pPr>
        <w:spacing w:after="120" w:line="240" w:lineRule="auto"/>
        <w:contextualSpacing/>
        <w:jc w:val="both"/>
        <w:rPr>
          <w:rFonts w:ascii="Times New Roman" w:hAnsi="Times New Roman"/>
          <w:i/>
          <w:noProof/>
          <w:sz w:val="18"/>
          <w:szCs w:val="18"/>
        </w:rPr>
      </w:pPr>
    </w:p>
    <w:p>
      <w:pPr>
        <w:spacing w:line="240" w:lineRule="auto"/>
        <w:jc w:val="both"/>
        <w:rPr>
          <w:rFonts w:ascii="Times New Roman" w:hAnsi="Times New Roman"/>
          <w:noProof/>
          <w:sz w:val="24"/>
          <w:szCs w:val="24"/>
        </w:rPr>
      </w:pPr>
      <w:r>
        <w:rPr>
          <w:rFonts w:ascii="Times New Roman" w:hAnsi="Times New Roman"/>
          <w:noProof/>
          <w:sz w:val="24"/>
          <w:szCs w:val="24"/>
        </w:rPr>
        <w:t>Dauguma iš 93 naujų EVD yra susiję ne su naujais rinkai pateikiamais produktais, o su produktais, kuriems taikomas, bet ne visiškai, esamas standartas arba EVD (dažnai parengtas pakeičiant dokumentą, parengtą pagal rekomendaciją, kaip suteikti Europos techninį liudijimą, arba pagal bendrą susitarimą dėl patvirtinimo procedūrų). Šie „nauji“ EVD apima tik vieną ar dvi papildomas esmines charakteristikas arba juose nurodoma šiek tiek platesnė taikymo sritis arba numatomos papildomos naudojimo paskirtys</w:t>
      </w:r>
      <w:r>
        <w:rPr>
          <w:rStyle w:val="FootnoteReference"/>
          <w:rFonts w:ascii="Times New Roman" w:hAnsi="Times New Roman"/>
          <w:noProof/>
          <w:sz w:val="24"/>
          <w:szCs w:val="24"/>
        </w:rPr>
        <w:footnoteReference w:id="13"/>
      </w:r>
      <w:r>
        <w:rPr>
          <w:rFonts w:ascii="Times New Roman" w:hAnsi="Times New Roman"/>
          <w:noProof/>
          <w:sz w:val="24"/>
          <w:szCs w:val="24"/>
        </w:rPr>
        <w:t>, palyginti su ankstesnėmis darniosiomis techninėmis specifikacijomis.</w:t>
      </w:r>
    </w:p>
    <w:p>
      <w:pPr>
        <w:spacing w:after="120" w:line="240" w:lineRule="auto"/>
        <w:jc w:val="both"/>
        <w:rPr>
          <w:rFonts w:ascii="Times New Roman" w:hAnsi="Times New Roman"/>
          <w:noProof/>
          <w:sz w:val="24"/>
          <w:szCs w:val="24"/>
        </w:rPr>
      </w:pPr>
      <w:r>
        <w:rPr>
          <w:rFonts w:ascii="Times New Roman" w:hAnsi="Times New Roman"/>
          <w:noProof/>
          <w:sz w:val="24"/>
          <w:szCs w:val="24"/>
        </w:rPr>
        <w:t>107 priimti EVD, kurių nuorodos dar nepaskelbtos, yra:</w:t>
      </w:r>
    </w:p>
    <w:p>
      <w:pPr>
        <w:numPr>
          <w:ilvl w:val="0"/>
          <w:numId w:val="29"/>
        </w:numPr>
        <w:spacing w:after="120" w:line="240" w:lineRule="auto"/>
        <w:ind w:left="709" w:hanging="289"/>
        <w:jc w:val="both"/>
        <w:rPr>
          <w:rFonts w:ascii="Times New Roman" w:hAnsi="Times New Roman"/>
          <w:noProof/>
          <w:sz w:val="24"/>
          <w:szCs w:val="24"/>
        </w:rPr>
      </w:pPr>
      <w:r>
        <w:rPr>
          <w:rFonts w:ascii="Times New Roman" w:hAnsi="Times New Roman"/>
          <w:noProof/>
          <w:sz w:val="24"/>
          <w:szCs w:val="24"/>
        </w:rPr>
        <w:t>EVD, dėl kurių laukiama EOTA reakcijos po to, kai Komisija pateikė savo pastabas</w:t>
      </w:r>
      <w:r>
        <w:rPr>
          <w:rStyle w:val="FootnoteReference"/>
          <w:rFonts w:ascii="Times New Roman" w:hAnsi="Times New Roman"/>
          <w:noProof/>
          <w:sz w:val="24"/>
          <w:szCs w:val="24"/>
        </w:rPr>
        <w:footnoteReference w:id="14"/>
      </w:r>
      <w:r>
        <w:rPr>
          <w:rFonts w:ascii="Times New Roman" w:hAnsi="Times New Roman"/>
          <w:noProof/>
          <w:sz w:val="24"/>
          <w:szCs w:val="24"/>
        </w:rPr>
        <w:t>;</w:t>
      </w:r>
    </w:p>
    <w:p>
      <w:pPr>
        <w:numPr>
          <w:ilvl w:val="0"/>
          <w:numId w:val="29"/>
        </w:numPr>
        <w:spacing w:after="120" w:line="240" w:lineRule="auto"/>
        <w:ind w:left="709" w:hanging="289"/>
        <w:jc w:val="both"/>
        <w:rPr>
          <w:rFonts w:ascii="Times New Roman" w:hAnsi="Times New Roman"/>
          <w:noProof/>
          <w:sz w:val="24"/>
          <w:szCs w:val="24"/>
        </w:rPr>
      </w:pPr>
      <w:r>
        <w:rPr>
          <w:rFonts w:ascii="Times New Roman" w:hAnsi="Times New Roman"/>
          <w:noProof/>
          <w:sz w:val="24"/>
          <w:szCs w:val="24"/>
        </w:rPr>
        <w:t>EVD, kurių nuorodų paskelbimo laukiama po galutinio jų priėmimo</w:t>
      </w:r>
      <w:r>
        <w:rPr>
          <w:rStyle w:val="FootnoteReference"/>
          <w:rFonts w:ascii="Times New Roman" w:hAnsi="Times New Roman"/>
          <w:noProof/>
          <w:sz w:val="24"/>
          <w:szCs w:val="24"/>
        </w:rPr>
        <w:footnoteReference w:id="15"/>
      </w:r>
      <w:r>
        <w:rPr>
          <w:rFonts w:ascii="Times New Roman" w:hAnsi="Times New Roman"/>
          <w:noProof/>
          <w:sz w:val="24"/>
          <w:szCs w:val="24"/>
        </w:rPr>
        <w:t>, ir</w:t>
      </w:r>
    </w:p>
    <w:p>
      <w:pPr>
        <w:numPr>
          <w:ilvl w:val="0"/>
          <w:numId w:val="29"/>
        </w:numPr>
        <w:spacing w:after="120" w:line="240" w:lineRule="auto"/>
        <w:jc w:val="both"/>
        <w:rPr>
          <w:rFonts w:ascii="Times New Roman" w:hAnsi="Times New Roman"/>
          <w:noProof/>
          <w:sz w:val="24"/>
          <w:szCs w:val="24"/>
        </w:rPr>
      </w:pPr>
      <w:r>
        <w:rPr>
          <w:rFonts w:ascii="Times New Roman" w:hAnsi="Times New Roman"/>
          <w:noProof/>
          <w:sz w:val="24"/>
          <w:szCs w:val="24"/>
        </w:rPr>
        <w:t>EVD, kuriuos Komisija atmetė kaip neatitinkančius 19 straipsnio 1 dalies nuostatų.</w:t>
      </w:r>
    </w:p>
    <w:p>
      <w:pPr>
        <w:spacing w:after="120" w:line="240" w:lineRule="auto"/>
        <w:jc w:val="both"/>
        <w:rPr>
          <w:rFonts w:ascii="Times New Roman" w:hAnsi="Times New Roman"/>
          <w:noProof/>
          <w:sz w:val="24"/>
          <w:szCs w:val="24"/>
        </w:rPr>
      </w:pPr>
      <w:r>
        <w:rPr>
          <w:rFonts w:ascii="Times New Roman" w:hAnsi="Times New Roman"/>
          <w:noProof/>
          <w:sz w:val="24"/>
          <w:szCs w:val="24"/>
        </w:rPr>
        <w:t>Dokumento tikslinimas atsižvelgiant į Komisijos pastabas gali ilgai užtrukti, todėl yra daug dokumentų, kurių nuorodų paskelbimo dar laukiama. DĖL EOTA priimtų EVD Komisija tebeturi daug techninių ir teisinių pastabų. Todėl EOTA priimtų EVD, kurių nuorodos dar nepaskelbtos, skaičius išaugo.</w:t>
      </w:r>
    </w:p>
    <w:p>
      <w:pPr>
        <w:spacing w:after="120" w:line="240" w:lineRule="auto"/>
        <w:jc w:val="both"/>
        <w:rPr>
          <w:rFonts w:ascii="Times New Roman" w:hAnsi="Times New Roman"/>
          <w:b/>
          <w:i/>
          <w:noProof/>
          <w:sz w:val="24"/>
          <w:szCs w:val="24"/>
        </w:rPr>
      </w:pPr>
      <w:r>
        <w:rPr>
          <w:rFonts w:ascii="Times New Roman" w:hAnsi="Times New Roman"/>
          <w:b/>
          <w:noProof/>
          <w:sz w:val="24"/>
          <w:szCs w:val="24"/>
        </w:rPr>
        <w:t>EVD pagal produktų sritis</w:t>
      </w:r>
    </w:p>
    <w:p>
      <w:pPr>
        <w:spacing w:after="120" w:line="240" w:lineRule="auto"/>
        <w:jc w:val="both"/>
        <w:rPr>
          <w:rFonts w:ascii="Times New Roman" w:hAnsi="Times New Roman"/>
          <w:noProof/>
          <w:sz w:val="24"/>
          <w:szCs w:val="24"/>
        </w:rPr>
      </w:pPr>
      <w:r>
        <w:rPr>
          <w:rFonts w:ascii="Times New Roman" w:hAnsi="Times New Roman"/>
          <w:noProof/>
          <w:sz w:val="24"/>
          <w:szCs w:val="24"/>
        </w:rPr>
        <w:t>EVD, kurių nuorodos yra paskelbtos, taikomi ne visoms 36 produktų sritims (jos apima 35 sritis, nustatytas SPR IV priede</w:t>
      </w:r>
      <w:r>
        <w:rPr>
          <w:rStyle w:val="FootnoteReference"/>
          <w:rFonts w:ascii="Times New Roman" w:hAnsi="Times New Roman"/>
          <w:noProof/>
          <w:sz w:val="24"/>
          <w:szCs w:val="24"/>
        </w:rPr>
        <w:footnoteReference w:id="16"/>
      </w:r>
      <w:r>
        <w:rPr>
          <w:rFonts w:ascii="Times New Roman" w:hAnsi="Times New Roman"/>
          <w:noProof/>
          <w:sz w:val="24"/>
          <w:szCs w:val="24"/>
        </w:rPr>
        <w:t>, ir papildomą „kitą“ sritį, įtrauktą taikant 29 straipsnio 1 dalį), o tik 28 iš jų.</w:t>
      </w:r>
    </w:p>
    <w:p>
      <w:pPr>
        <w:spacing w:after="120" w:line="240" w:lineRule="auto"/>
        <w:jc w:val="both"/>
        <w:rPr>
          <w:rFonts w:ascii="Times New Roman" w:hAnsi="Times New Roman"/>
          <w:noProof/>
          <w:sz w:val="24"/>
          <w:szCs w:val="24"/>
        </w:rPr>
      </w:pPr>
    </w:p>
    <w:p>
      <w:pPr>
        <w:spacing w:after="120" w:line="240" w:lineRule="auto"/>
        <w:jc w:val="center"/>
        <w:rPr>
          <w:rFonts w:cs="Calibri"/>
          <w:noProof/>
          <w:sz w:val="24"/>
          <w:szCs w:val="24"/>
        </w:rPr>
      </w:pPr>
      <w:r>
        <w:rPr>
          <w:noProof/>
          <w:sz w:val="24"/>
          <w:szCs w:val="24"/>
        </w:rPr>
        <w:t>1 diagrama. EVD, kurių nuorodos paskelbtos, pagal pagrindines produktų sritis (per 5 proc. visų EVD):</w:t>
      </w:r>
    </w:p>
    <w:p>
      <w:pPr>
        <w:spacing w:after="120" w:line="240" w:lineRule="auto"/>
        <w:jc w:val="center"/>
        <w:rPr>
          <w:rFonts w:ascii="Times New Roman" w:hAnsi="Times New Roman"/>
          <w:noProof/>
          <w:sz w:val="24"/>
          <w:szCs w:val="24"/>
        </w:rPr>
      </w:pPr>
      <w:r>
        <w:rPr>
          <w:noProof/>
          <w:lang w:val="en-GB" w:eastAsia="en-GB"/>
        </w:rPr>
        <w:drawing>
          <wp:inline distT="0" distB="0" distL="0" distR="0">
            <wp:extent cx="2924175" cy="281686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38717" cy="2830874"/>
                    </a:xfrm>
                    <a:prstGeom prst="rect">
                      <a:avLst/>
                    </a:prstGeom>
                    <a:noFill/>
                    <a:ln>
                      <a:noFill/>
                    </a:ln>
                  </pic:spPr>
                </pic:pic>
              </a:graphicData>
            </a:graphic>
          </wp:inline>
        </w:drawing>
      </w:r>
      <w:r>
        <w:rPr>
          <w:noProof/>
        </w:rPr>
        <w:t xml:space="preserve"> </w:t>
      </w:r>
    </w:p>
    <w:p>
      <w:pPr>
        <w:spacing w:after="120" w:line="240" w:lineRule="auto"/>
        <w:jc w:val="both"/>
        <w:rPr>
          <w:rFonts w:ascii="Times New Roman" w:hAnsi="Times New Roman"/>
          <w:noProof/>
          <w:sz w:val="24"/>
          <w:szCs w:val="24"/>
        </w:rPr>
      </w:pPr>
      <w:r>
        <w:rPr>
          <w:rFonts w:ascii="Times New Roman" w:hAnsi="Times New Roman"/>
          <w:noProof/>
          <w:sz w:val="24"/>
          <w:szCs w:val="24"/>
        </w:rPr>
        <w:t>Apytikriai pusė visų EVD, kurių nuorodos paskelbtos, yra parengti tik keturiose produktų srityse:</w:t>
      </w:r>
    </w:p>
    <w:p>
      <w:pPr>
        <w:numPr>
          <w:ilvl w:val="0"/>
          <w:numId w:val="20"/>
        </w:numPr>
        <w:spacing w:after="120" w:line="240" w:lineRule="auto"/>
        <w:jc w:val="both"/>
        <w:rPr>
          <w:rFonts w:ascii="Times New Roman" w:hAnsi="Times New Roman"/>
          <w:noProof/>
          <w:sz w:val="24"/>
          <w:szCs w:val="24"/>
        </w:rPr>
      </w:pPr>
      <w:r>
        <w:rPr>
          <w:rFonts w:ascii="Times New Roman" w:hAnsi="Times New Roman"/>
          <w:noProof/>
          <w:sz w:val="24"/>
          <w:szCs w:val="24"/>
        </w:rPr>
        <w:t>14,2 proc. dėl tvirtinimo detalių (33 sritis);</w:t>
      </w:r>
    </w:p>
    <w:p>
      <w:pPr>
        <w:numPr>
          <w:ilvl w:val="0"/>
          <w:numId w:val="20"/>
        </w:numPr>
        <w:spacing w:after="120" w:line="240" w:lineRule="auto"/>
        <w:jc w:val="both"/>
        <w:rPr>
          <w:rFonts w:ascii="Times New Roman" w:hAnsi="Times New Roman"/>
          <w:noProof/>
          <w:sz w:val="24"/>
          <w:szCs w:val="24"/>
        </w:rPr>
      </w:pPr>
      <w:r>
        <w:rPr>
          <w:rFonts w:ascii="Times New Roman" w:hAnsi="Times New Roman"/>
          <w:noProof/>
          <w:sz w:val="24"/>
          <w:szCs w:val="24"/>
        </w:rPr>
        <w:t>13,2 proc. dėl termoizoliacinių produktų, sudėtinių izoliacijos komplektų/sistemų (4 sritis);</w:t>
      </w:r>
    </w:p>
    <w:p>
      <w:pPr>
        <w:numPr>
          <w:ilvl w:val="0"/>
          <w:numId w:val="20"/>
        </w:numPr>
        <w:spacing w:after="120" w:line="240" w:lineRule="auto"/>
        <w:jc w:val="both"/>
        <w:rPr>
          <w:rFonts w:ascii="Times New Roman" w:hAnsi="Times New Roman"/>
          <w:noProof/>
          <w:sz w:val="24"/>
          <w:szCs w:val="24"/>
        </w:rPr>
      </w:pPr>
      <w:r>
        <w:rPr>
          <w:rFonts w:ascii="Times New Roman" w:hAnsi="Times New Roman"/>
          <w:noProof/>
          <w:sz w:val="24"/>
          <w:szCs w:val="24"/>
        </w:rPr>
        <w:t>10,1 proc. dėl konstrukcinių metalo produktų ir pagalbinių komplektų (20 sritis) ir</w:t>
      </w:r>
    </w:p>
    <w:p>
      <w:pPr>
        <w:numPr>
          <w:ilvl w:val="0"/>
          <w:numId w:val="20"/>
        </w:numPr>
        <w:spacing w:after="120" w:line="240" w:lineRule="auto"/>
        <w:jc w:val="both"/>
        <w:rPr>
          <w:rFonts w:ascii="Times New Roman" w:hAnsi="Times New Roman"/>
          <w:noProof/>
          <w:sz w:val="24"/>
          <w:szCs w:val="24"/>
        </w:rPr>
      </w:pPr>
      <w:r>
        <w:rPr>
          <w:rFonts w:ascii="Times New Roman" w:hAnsi="Times New Roman"/>
          <w:noProof/>
          <w:sz w:val="24"/>
          <w:szCs w:val="24"/>
        </w:rPr>
        <w:t>9,1 proc. dėl statybinės medienos produktų/elementų ir pagalbinių įrenginių (13 sritis).</w:t>
      </w:r>
    </w:p>
    <w:p>
      <w:pPr>
        <w:spacing w:after="120" w:line="240" w:lineRule="auto"/>
        <w:jc w:val="both"/>
        <w:rPr>
          <w:rFonts w:ascii="Times New Roman" w:hAnsi="Times New Roman"/>
          <w:noProof/>
          <w:sz w:val="24"/>
          <w:szCs w:val="24"/>
        </w:rPr>
      </w:pPr>
      <w:r>
        <w:rPr>
          <w:rFonts w:ascii="Times New Roman" w:hAnsi="Times New Roman"/>
          <w:noProof/>
          <w:sz w:val="24"/>
          <w:szCs w:val="24"/>
        </w:rPr>
        <w:t>Sritys, kuriose nėra jokių EVD, kurių nuorodos būtų paskelbtos: 10 (stacionari gaisrų gesinimo įranga); 11 (santechnikos įtaisai); 24 (užpildai); 25 (statybiniai klijai); 27 (patalpų šildymo prietaisai); 30 (plokščiojo stiklo, profilinio stiklo ir stiklinių blokų produktai) ir 31 (galios, valdymo ir ryšio kabeliai).</w:t>
      </w:r>
    </w:p>
    <w:p>
      <w:pPr>
        <w:spacing w:after="120" w:line="240" w:lineRule="auto"/>
        <w:jc w:val="both"/>
        <w:rPr>
          <w:rFonts w:ascii="Times New Roman" w:hAnsi="Times New Roman"/>
          <w:b/>
          <w:noProof/>
          <w:sz w:val="24"/>
          <w:szCs w:val="24"/>
        </w:rPr>
      </w:pPr>
      <w:r>
        <w:rPr>
          <w:rFonts w:ascii="Times New Roman" w:hAnsi="Times New Roman"/>
          <w:i/>
          <w:noProof/>
          <w:sz w:val="24"/>
          <w:szCs w:val="24"/>
        </w:rPr>
        <w:br/>
      </w:r>
      <w:r>
        <w:rPr>
          <w:rFonts w:ascii="Times New Roman" w:hAnsi="Times New Roman"/>
          <w:b/>
          <w:noProof/>
          <w:sz w:val="24"/>
          <w:szCs w:val="24"/>
        </w:rPr>
        <w:t>EVD pagal atsakingą TVĮ</w:t>
      </w:r>
    </w:p>
    <w:p>
      <w:pPr>
        <w:spacing w:after="120" w:line="240" w:lineRule="auto"/>
        <w:jc w:val="both"/>
        <w:rPr>
          <w:rFonts w:ascii="Times New Roman" w:hAnsi="Times New Roman"/>
          <w:noProof/>
          <w:sz w:val="24"/>
          <w:szCs w:val="24"/>
        </w:rPr>
      </w:pPr>
      <w:r>
        <w:rPr>
          <w:rFonts w:ascii="Times New Roman" w:hAnsi="Times New Roman"/>
          <w:noProof/>
          <w:sz w:val="24"/>
          <w:szCs w:val="24"/>
        </w:rPr>
        <w:t>Vykdydamos atsakingos TVĮ funkciją, EVD yra parengusios 29 iš 49 TVĮ. 20 TVĮ nėra parengusios jokių EVD ir 23 TVĮ nėra parengusios jokių EVD, kurių nuorodos būtų paskelbtos Oficialiajame leidinyje.</w:t>
      </w:r>
    </w:p>
    <w:p>
      <w:pPr>
        <w:spacing w:after="120" w:line="240" w:lineRule="auto"/>
        <w:jc w:val="both"/>
        <w:rPr>
          <w:rFonts w:ascii="Times New Roman" w:hAnsi="Times New Roman"/>
          <w:noProof/>
          <w:sz w:val="24"/>
          <w:szCs w:val="24"/>
        </w:rPr>
      </w:pPr>
      <w:r>
        <w:rPr>
          <w:rFonts w:ascii="Times New Roman" w:hAnsi="Times New Roman"/>
          <w:noProof/>
          <w:sz w:val="24"/>
          <w:szCs w:val="24"/>
        </w:rPr>
        <w:t xml:space="preserve"> EVD rengia labai nedaug TVĮ. Kaip matoma iš toliau pateiktos lentelės, dvi TVĮ yra parengusios apie 50 proc. visų EDV, kurių nuorodos yra paskelbtos. Tai DIBt</w:t>
      </w:r>
      <w:r>
        <w:rPr>
          <w:rStyle w:val="FootnoteReference"/>
          <w:rFonts w:ascii="Times New Roman" w:hAnsi="Times New Roman"/>
          <w:noProof/>
          <w:sz w:val="24"/>
          <w:szCs w:val="24"/>
        </w:rPr>
        <w:footnoteReference w:id="17"/>
      </w:r>
      <w:r>
        <w:rPr>
          <w:rFonts w:ascii="Times New Roman" w:hAnsi="Times New Roman"/>
          <w:noProof/>
          <w:sz w:val="24"/>
          <w:szCs w:val="24"/>
        </w:rPr>
        <w:t xml:space="preserve"> (Vokietija), parengusi 38 proc. visų EVD, kurių nuorodos yra paskelbtos, ir OIB</w:t>
      </w:r>
      <w:r>
        <w:rPr>
          <w:rStyle w:val="FootnoteReference"/>
          <w:rFonts w:ascii="Times New Roman" w:hAnsi="Times New Roman"/>
          <w:noProof/>
          <w:sz w:val="24"/>
          <w:szCs w:val="24"/>
        </w:rPr>
        <w:footnoteReference w:id="18"/>
      </w:r>
      <w:r>
        <w:rPr>
          <w:rFonts w:ascii="Times New Roman" w:hAnsi="Times New Roman"/>
          <w:noProof/>
          <w:sz w:val="24"/>
          <w:szCs w:val="24"/>
        </w:rPr>
        <w:t xml:space="preserve"> (Austrija), parengusi 13 proc. tokių EVD.</w:t>
      </w:r>
    </w:p>
    <w:p>
      <w:pPr>
        <w:spacing w:after="120" w:line="240" w:lineRule="auto"/>
        <w:jc w:val="both"/>
        <w:rPr>
          <w:rFonts w:ascii="Times New Roman" w:hAnsi="Times New Roman"/>
          <w:noProof/>
          <w:sz w:val="24"/>
          <w:szCs w:val="24"/>
        </w:rPr>
      </w:pPr>
    </w:p>
    <w:p>
      <w:pPr>
        <w:spacing w:after="120" w:line="240" w:lineRule="auto"/>
        <w:jc w:val="center"/>
        <w:rPr>
          <w:rFonts w:cs="Calibri"/>
          <w:noProof/>
          <w:sz w:val="24"/>
          <w:szCs w:val="24"/>
        </w:rPr>
      </w:pPr>
      <w:r>
        <w:rPr>
          <w:noProof/>
          <w:sz w:val="24"/>
          <w:szCs w:val="24"/>
        </w:rPr>
        <w:t xml:space="preserve">4 lentelė. Priimtų EVD ir EVD, kurių nuorodos yra paskelbtos, skaičius pagal atsakingas TVĮ, 2013–2018 m. </w:t>
      </w:r>
      <w:r>
        <w:rPr>
          <w:noProof/>
          <w:sz w:val="24"/>
          <w:szCs w:val="24"/>
        </w:rPr>
        <w:br/>
        <w:t>(neįskaitant TVĮ, kurios nėra parengusios jokių EVD):</w:t>
      </w:r>
    </w:p>
    <w:tbl>
      <w:tblPr>
        <w:tblW w:w="6396" w:type="dxa"/>
        <w:jc w:val="center"/>
        <w:tblLook w:val="04A0" w:firstRow="1" w:lastRow="0" w:firstColumn="1" w:lastColumn="0" w:noHBand="0" w:noVBand="1"/>
      </w:tblPr>
      <w:tblGrid>
        <w:gridCol w:w="1720"/>
        <w:gridCol w:w="1316"/>
        <w:gridCol w:w="1120"/>
        <w:gridCol w:w="1202"/>
        <w:gridCol w:w="1258"/>
      </w:tblGrid>
      <w:tr>
        <w:trPr>
          <w:trHeight w:val="900"/>
          <w:jc w:val="center"/>
        </w:trPr>
        <w:tc>
          <w:tcPr>
            <w:tcW w:w="1720" w:type="dxa"/>
            <w:tcBorders>
              <w:top w:val="single" w:sz="8" w:space="0" w:color="auto"/>
              <w:left w:val="single" w:sz="8" w:space="0" w:color="auto"/>
              <w:bottom w:val="single" w:sz="8" w:space="0" w:color="auto"/>
              <w:right w:val="single" w:sz="8" w:space="0" w:color="auto"/>
            </w:tcBorders>
            <w:shd w:val="clear" w:color="D9E1F2" w:fill="DEEAF6"/>
            <w:vAlign w:val="center"/>
            <w:hideMark/>
          </w:tcPr>
          <w:p>
            <w:pPr>
              <w:spacing w:after="0" w:line="240" w:lineRule="auto"/>
              <w:jc w:val="center"/>
              <w:rPr>
                <w:rFonts w:eastAsia="Times New Roman" w:cs="Calibri"/>
                <w:b/>
                <w:bCs/>
                <w:noProof/>
                <w:color w:val="000000"/>
              </w:rPr>
            </w:pPr>
            <w:r>
              <w:rPr>
                <w:b/>
                <w:bCs/>
                <w:noProof/>
              </w:rPr>
              <w:t>Atsakinga TVĮ</w:t>
            </w:r>
          </w:p>
        </w:tc>
        <w:tc>
          <w:tcPr>
            <w:tcW w:w="1316" w:type="dxa"/>
            <w:tcBorders>
              <w:top w:val="single" w:sz="8" w:space="0" w:color="auto"/>
              <w:left w:val="nil"/>
              <w:bottom w:val="single" w:sz="8" w:space="0" w:color="auto"/>
              <w:right w:val="single" w:sz="4" w:space="0" w:color="auto"/>
            </w:tcBorders>
            <w:shd w:val="clear" w:color="D9E1F2" w:fill="DEEAF6"/>
            <w:vAlign w:val="center"/>
            <w:hideMark/>
          </w:tcPr>
          <w:p>
            <w:pPr>
              <w:spacing w:after="0" w:line="240" w:lineRule="auto"/>
              <w:jc w:val="center"/>
              <w:rPr>
                <w:rFonts w:eastAsia="Times New Roman" w:cs="Calibri"/>
                <w:b/>
                <w:bCs/>
                <w:noProof/>
                <w:color w:val="000000"/>
              </w:rPr>
            </w:pPr>
            <w:r>
              <w:rPr>
                <w:b/>
                <w:bCs/>
                <w:noProof/>
              </w:rPr>
              <w:t>Šalis</w:t>
            </w:r>
          </w:p>
        </w:tc>
        <w:tc>
          <w:tcPr>
            <w:tcW w:w="1120" w:type="dxa"/>
            <w:tcBorders>
              <w:top w:val="single" w:sz="8" w:space="0" w:color="auto"/>
              <w:left w:val="nil"/>
              <w:bottom w:val="single" w:sz="8" w:space="0" w:color="auto"/>
              <w:right w:val="single" w:sz="4" w:space="0" w:color="auto"/>
            </w:tcBorders>
            <w:shd w:val="clear" w:color="D9E1F2" w:fill="DEEAF6"/>
            <w:vAlign w:val="center"/>
            <w:hideMark/>
          </w:tcPr>
          <w:p>
            <w:pPr>
              <w:spacing w:after="0" w:line="240" w:lineRule="auto"/>
              <w:jc w:val="center"/>
              <w:rPr>
                <w:rFonts w:eastAsia="Times New Roman" w:cs="Calibri"/>
                <w:b/>
                <w:bCs/>
                <w:noProof/>
                <w:color w:val="000000"/>
              </w:rPr>
            </w:pPr>
            <w:r>
              <w:rPr>
                <w:b/>
                <w:bCs/>
                <w:noProof/>
              </w:rPr>
              <w:t>Priimti EVD</w:t>
            </w:r>
          </w:p>
        </w:tc>
        <w:tc>
          <w:tcPr>
            <w:tcW w:w="1120" w:type="dxa"/>
            <w:tcBorders>
              <w:top w:val="single" w:sz="8" w:space="0" w:color="auto"/>
              <w:left w:val="nil"/>
              <w:bottom w:val="single" w:sz="8" w:space="0" w:color="auto"/>
              <w:right w:val="single" w:sz="8" w:space="0" w:color="auto"/>
            </w:tcBorders>
            <w:shd w:val="clear" w:color="D9E1F2" w:fill="DEEAF6"/>
            <w:vAlign w:val="center"/>
            <w:hideMark/>
          </w:tcPr>
          <w:p>
            <w:pPr>
              <w:spacing w:after="0" w:line="240" w:lineRule="auto"/>
              <w:jc w:val="center"/>
              <w:rPr>
                <w:rFonts w:eastAsia="Times New Roman" w:cs="Calibri"/>
                <w:b/>
                <w:bCs/>
                <w:noProof/>
                <w:color w:val="000000"/>
              </w:rPr>
            </w:pPr>
            <w:r>
              <w:rPr>
                <w:b/>
                <w:bCs/>
                <w:noProof/>
              </w:rPr>
              <w:t>EVD, kurių nuorodos paskelbtos</w:t>
            </w:r>
          </w:p>
        </w:tc>
        <w:tc>
          <w:tcPr>
            <w:tcW w:w="1120" w:type="dxa"/>
            <w:tcBorders>
              <w:top w:val="single" w:sz="8" w:space="0" w:color="auto"/>
              <w:left w:val="single" w:sz="4" w:space="0" w:color="auto"/>
              <w:bottom w:val="single" w:sz="8" w:space="0" w:color="auto"/>
              <w:right w:val="single" w:sz="8" w:space="0" w:color="auto"/>
            </w:tcBorders>
            <w:shd w:val="clear" w:color="D9E1F2" w:fill="DEEAF6"/>
            <w:vAlign w:val="center"/>
            <w:hideMark/>
          </w:tcPr>
          <w:p>
            <w:pPr>
              <w:spacing w:after="0" w:line="240" w:lineRule="auto"/>
              <w:jc w:val="center"/>
              <w:rPr>
                <w:rFonts w:eastAsia="Times New Roman" w:cs="Calibri"/>
                <w:b/>
                <w:bCs/>
                <w:noProof/>
                <w:color w:val="000000"/>
              </w:rPr>
            </w:pPr>
            <w:r>
              <w:rPr>
                <w:b/>
                <w:bCs/>
                <w:noProof/>
              </w:rPr>
              <w:t>EVD, kurių nuorodos paskelbtos, dalis</w:t>
            </w:r>
          </w:p>
        </w:tc>
      </w:tr>
      <w:tr>
        <w:trPr>
          <w:trHeight w:val="300"/>
          <w:jc w:val="center"/>
        </w:trPr>
        <w:tc>
          <w:tcPr>
            <w:tcW w:w="172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Calibri"/>
                <w:b/>
                <w:bCs/>
                <w:noProof/>
                <w:color w:val="000000"/>
              </w:rPr>
            </w:pPr>
            <w:r>
              <w:rPr>
                <w:b/>
                <w:bCs/>
                <w:noProof/>
              </w:rPr>
              <w:t>DIBt</w:t>
            </w:r>
          </w:p>
        </w:tc>
        <w:tc>
          <w:tcPr>
            <w:tcW w:w="1316" w:type="dxa"/>
            <w:tcBorders>
              <w:top w:val="single" w:sz="8" w:space="0" w:color="auto"/>
              <w:left w:val="nil"/>
              <w:bottom w:val="single" w:sz="4" w:space="0" w:color="auto"/>
              <w:right w:val="single" w:sz="4" w:space="0" w:color="auto"/>
            </w:tcBorders>
            <w:shd w:val="clear" w:color="auto" w:fill="auto"/>
            <w:noWrap/>
            <w:vAlign w:val="bottom"/>
            <w:hideMark/>
          </w:tcPr>
          <w:p>
            <w:pPr>
              <w:spacing w:after="0" w:line="240" w:lineRule="auto"/>
              <w:rPr>
                <w:rFonts w:eastAsia="Times New Roman" w:cs="Calibri"/>
                <w:noProof/>
                <w:color w:val="000000"/>
              </w:rPr>
            </w:pPr>
            <w:r>
              <w:rPr>
                <w:noProof/>
              </w:rPr>
              <w:t>Vokietija</w:t>
            </w:r>
          </w:p>
        </w:tc>
        <w:tc>
          <w:tcPr>
            <w:tcW w:w="1120" w:type="dxa"/>
            <w:tcBorders>
              <w:top w:val="single" w:sz="8" w:space="0" w:color="auto"/>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107</w:t>
            </w:r>
          </w:p>
        </w:tc>
        <w:tc>
          <w:tcPr>
            <w:tcW w:w="1120" w:type="dxa"/>
            <w:tcBorders>
              <w:top w:val="single" w:sz="8" w:space="0" w:color="auto"/>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83</w:t>
            </w:r>
          </w:p>
        </w:tc>
        <w:tc>
          <w:tcPr>
            <w:tcW w:w="1120" w:type="dxa"/>
            <w:tcBorders>
              <w:top w:val="single" w:sz="8" w:space="0" w:color="auto"/>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38,2 %</w:t>
            </w:r>
          </w:p>
        </w:tc>
      </w:tr>
      <w:tr>
        <w:trPr>
          <w:trHeight w:val="300"/>
          <w:jc w:val="center"/>
        </w:trPr>
        <w:tc>
          <w:tcPr>
            <w:tcW w:w="172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Calibri"/>
                <w:b/>
                <w:bCs/>
                <w:noProof/>
                <w:color w:val="000000"/>
              </w:rPr>
            </w:pPr>
            <w:r>
              <w:rPr>
                <w:b/>
                <w:bCs/>
                <w:noProof/>
              </w:rPr>
              <w:t>OIB</w:t>
            </w:r>
          </w:p>
        </w:tc>
        <w:tc>
          <w:tcPr>
            <w:tcW w:w="1316"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Calibri"/>
                <w:noProof/>
                <w:color w:val="000000"/>
              </w:rPr>
            </w:pPr>
            <w:r>
              <w:rPr>
                <w:noProof/>
              </w:rPr>
              <w:t>Austrija</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46</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28</w:t>
            </w:r>
          </w:p>
        </w:tc>
        <w:tc>
          <w:tcPr>
            <w:tcW w:w="112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12,9 %</w:t>
            </w:r>
          </w:p>
        </w:tc>
      </w:tr>
      <w:tr>
        <w:trPr>
          <w:trHeight w:val="300"/>
          <w:jc w:val="center"/>
        </w:trPr>
        <w:tc>
          <w:tcPr>
            <w:tcW w:w="172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Calibri"/>
                <w:b/>
                <w:bCs/>
                <w:noProof/>
                <w:color w:val="000000"/>
              </w:rPr>
            </w:pPr>
            <w:r>
              <w:rPr>
                <w:b/>
                <w:bCs/>
                <w:noProof/>
              </w:rPr>
              <w:t>ETA-DK</w:t>
            </w:r>
          </w:p>
        </w:tc>
        <w:tc>
          <w:tcPr>
            <w:tcW w:w="1316"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Calibri"/>
                <w:noProof/>
                <w:color w:val="000000"/>
              </w:rPr>
            </w:pPr>
            <w:r>
              <w:rPr>
                <w:noProof/>
              </w:rPr>
              <w:t>Danija</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34</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18</w:t>
            </w:r>
          </w:p>
        </w:tc>
        <w:tc>
          <w:tcPr>
            <w:tcW w:w="112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8,3 %</w:t>
            </w:r>
          </w:p>
        </w:tc>
      </w:tr>
      <w:tr>
        <w:trPr>
          <w:trHeight w:val="300"/>
          <w:jc w:val="center"/>
        </w:trPr>
        <w:tc>
          <w:tcPr>
            <w:tcW w:w="172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Calibri"/>
                <w:b/>
                <w:bCs/>
                <w:noProof/>
                <w:color w:val="000000"/>
              </w:rPr>
            </w:pPr>
            <w:r>
              <w:rPr>
                <w:b/>
                <w:bCs/>
                <w:noProof/>
              </w:rPr>
              <w:t>TSUS</w:t>
            </w:r>
          </w:p>
        </w:tc>
        <w:tc>
          <w:tcPr>
            <w:tcW w:w="1316"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Calibri"/>
                <w:noProof/>
                <w:color w:val="000000"/>
              </w:rPr>
            </w:pPr>
            <w:r>
              <w:rPr>
                <w:noProof/>
              </w:rPr>
              <w:t>Slovakija</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12</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11</w:t>
            </w:r>
          </w:p>
        </w:tc>
        <w:tc>
          <w:tcPr>
            <w:tcW w:w="112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5,1 %</w:t>
            </w:r>
          </w:p>
        </w:tc>
      </w:tr>
      <w:tr>
        <w:trPr>
          <w:trHeight w:val="315"/>
          <w:jc w:val="center"/>
        </w:trPr>
        <w:tc>
          <w:tcPr>
            <w:tcW w:w="172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Calibri"/>
                <w:b/>
                <w:bCs/>
                <w:noProof/>
                <w:color w:val="000000"/>
              </w:rPr>
            </w:pPr>
            <w:r>
              <w:rPr>
                <w:b/>
                <w:bCs/>
                <w:noProof/>
              </w:rPr>
              <w:t>TZUS</w:t>
            </w:r>
          </w:p>
        </w:tc>
        <w:tc>
          <w:tcPr>
            <w:tcW w:w="1316"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Calibri"/>
                <w:noProof/>
                <w:color w:val="000000"/>
              </w:rPr>
            </w:pPr>
            <w:r>
              <w:rPr>
                <w:noProof/>
              </w:rPr>
              <w:t>Čekija</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13</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10</w:t>
            </w:r>
          </w:p>
        </w:tc>
        <w:tc>
          <w:tcPr>
            <w:tcW w:w="112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4,6 %</w:t>
            </w:r>
          </w:p>
        </w:tc>
      </w:tr>
      <w:tr>
        <w:trPr>
          <w:trHeight w:val="315"/>
          <w:jc w:val="center"/>
        </w:trPr>
        <w:tc>
          <w:tcPr>
            <w:tcW w:w="172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Calibri"/>
                <w:b/>
                <w:bCs/>
                <w:noProof/>
                <w:color w:val="000000"/>
              </w:rPr>
            </w:pPr>
            <w:r>
              <w:rPr>
                <w:b/>
                <w:bCs/>
                <w:noProof/>
              </w:rPr>
              <w:t>ITeC</w:t>
            </w:r>
          </w:p>
        </w:tc>
        <w:tc>
          <w:tcPr>
            <w:tcW w:w="1316"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Calibri"/>
                <w:noProof/>
                <w:color w:val="000000"/>
              </w:rPr>
            </w:pPr>
            <w:r>
              <w:rPr>
                <w:noProof/>
              </w:rPr>
              <w:t>Ispanija</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14</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10</w:t>
            </w:r>
          </w:p>
        </w:tc>
        <w:tc>
          <w:tcPr>
            <w:tcW w:w="112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4,6 %</w:t>
            </w:r>
          </w:p>
        </w:tc>
      </w:tr>
      <w:tr>
        <w:trPr>
          <w:trHeight w:val="315"/>
          <w:jc w:val="center"/>
        </w:trPr>
        <w:tc>
          <w:tcPr>
            <w:tcW w:w="172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Calibri"/>
                <w:b/>
                <w:bCs/>
                <w:noProof/>
                <w:color w:val="000000"/>
              </w:rPr>
            </w:pPr>
            <w:r>
              <w:rPr>
                <w:b/>
                <w:bCs/>
                <w:noProof/>
              </w:rPr>
              <w:t>Eurofins</w:t>
            </w:r>
          </w:p>
        </w:tc>
        <w:tc>
          <w:tcPr>
            <w:tcW w:w="1316"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Calibri"/>
                <w:noProof/>
                <w:color w:val="000000"/>
              </w:rPr>
            </w:pPr>
            <w:r>
              <w:rPr>
                <w:noProof/>
              </w:rPr>
              <w:t>Suomija</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10</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8</w:t>
            </w:r>
          </w:p>
        </w:tc>
        <w:tc>
          <w:tcPr>
            <w:tcW w:w="112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3,7 %</w:t>
            </w:r>
          </w:p>
        </w:tc>
      </w:tr>
      <w:tr>
        <w:trPr>
          <w:trHeight w:val="300"/>
          <w:jc w:val="center"/>
        </w:trPr>
        <w:tc>
          <w:tcPr>
            <w:tcW w:w="172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Calibri"/>
                <w:b/>
                <w:bCs/>
                <w:noProof/>
                <w:color w:val="000000"/>
              </w:rPr>
            </w:pPr>
            <w:r>
              <w:rPr>
                <w:b/>
                <w:bCs/>
                <w:noProof/>
              </w:rPr>
              <w:t>RISE Certif.</w:t>
            </w:r>
          </w:p>
        </w:tc>
        <w:tc>
          <w:tcPr>
            <w:tcW w:w="1316"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Calibri"/>
                <w:noProof/>
                <w:color w:val="000000"/>
              </w:rPr>
            </w:pPr>
            <w:r>
              <w:rPr>
                <w:noProof/>
              </w:rPr>
              <w:t>Švedija</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6</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6</w:t>
            </w:r>
          </w:p>
        </w:tc>
        <w:tc>
          <w:tcPr>
            <w:tcW w:w="112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2,8 %</w:t>
            </w:r>
          </w:p>
        </w:tc>
      </w:tr>
      <w:tr>
        <w:trPr>
          <w:trHeight w:val="300"/>
          <w:jc w:val="center"/>
        </w:trPr>
        <w:tc>
          <w:tcPr>
            <w:tcW w:w="172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Calibri"/>
                <w:b/>
                <w:bCs/>
                <w:noProof/>
                <w:color w:val="000000"/>
              </w:rPr>
            </w:pPr>
            <w:r>
              <w:rPr>
                <w:b/>
                <w:bCs/>
                <w:noProof/>
              </w:rPr>
              <w:t>CSTB</w:t>
            </w:r>
          </w:p>
        </w:tc>
        <w:tc>
          <w:tcPr>
            <w:tcW w:w="1316"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Calibri"/>
                <w:noProof/>
                <w:color w:val="000000"/>
              </w:rPr>
            </w:pPr>
            <w:r>
              <w:rPr>
                <w:noProof/>
              </w:rPr>
              <w:t>Prancūzija</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10</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5</w:t>
            </w:r>
          </w:p>
        </w:tc>
        <w:tc>
          <w:tcPr>
            <w:tcW w:w="112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2,3 %</w:t>
            </w:r>
          </w:p>
        </w:tc>
      </w:tr>
      <w:tr>
        <w:trPr>
          <w:trHeight w:val="315"/>
          <w:jc w:val="center"/>
        </w:trPr>
        <w:tc>
          <w:tcPr>
            <w:tcW w:w="172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Calibri"/>
                <w:b/>
                <w:bCs/>
                <w:noProof/>
                <w:color w:val="000000"/>
              </w:rPr>
            </w:pPr>
            <w:r>
              <w:rPr>
                <w:b/>
                <w:bCs/>
                <w:noProof/>
              </w:rPr>
              <w:t>BM Trada</w:t>
            </w:r>
          </w:p>
        </w:tc>
        <w:tc>
          <w:tcPr>
            <w:tcW w:w="1316"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Calibri"/>
                <w:noProof/>
                <w:color w:val="000000"/>
              </w:rPr>
            </w:pPr>
            <w:r>
              <w:rPr>
                <w:noProof/>
              </w:rPr>
              <w:t>Jungtinė Karalystė</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8</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5</w:t>
            </w:r>
          </w:p>
        </w:tc>
        <w:tc>
          <w:tcPr>
            <w:tcW w:w="112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2,3 %</w:t>
            </w:r>
          </w:p>
        </w:tc>
      </w:tr>
      <w:tr>
        <w:trPr>
          <w:trHeight w:val="300"/>
          <w:jc w:val="center"/>
        </w:trPr>
        <w:tc>
          <w:tcPr>
            <w:tcW w:w="172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Calibri"/>
                <w:b/>
                <w:bCs/>
                <w:noProof/>
                <w:color w:val="000000"/>
              </w:rPr>
            </w:pPr>
            <w:r>
              <w:rPr>
                <w:b/>
                <w:bCs/>
                <w:noProof/>
              </w:rPr>
              <w:t>UBAtc</w:t>
            </w:r>
          </w:p>
        </w:tc>
        <w:tc>
          <w:tcPr>
            <w:tcW w:w="1316"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Calibri"/>
                <w:noProof/>
                <w:color w:val="000000"/>
              </w:rPr>
            </w:pPr>
            <w:r>
              <w:rPr>
                <w:noProof/>
              </w:rPr>
              <w:t>Belgija</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13</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4</w:t>
            </w:r>
          </w:p>
        </w:tc>
        <w:tc>
          <w:tcPr>
            <w:tcW w:w="112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1,8 %</w:t>
            </w:r>
          </w:p>
        </w:tc>
      </w:tr>
      <w:tr>
        <w:trPr>
          <w:trHeight w:val="300"/>
          <w:jc w:val="center"/>
        </w:trPr>
        <w:tc>
          <w:tcPr>
            <w:tcW w:w="172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Calibri"/>
                <w:b/>
                <w:bCs/>
                <w:noProof/>
                <w:color w:val="000000"/>
              </w:rPr>
            </w:pPr>
            <w:r>
              <w:rPr>
                <w:b/>
                <w:bCs/>
                <w:noProof/>
              </w:rPr>
              <w:t>BBA</w:t>
            </w:r>
          </w:p>
        </w:tc>
        <w:tc>
          <w:tcPr>
            <w:tcW w:w="1316"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Calibri"/>
                <w:noProof/>
                <w:color w:val="000000"/>
              </w:rPr>
            </w:pPr>
            <w:r>
              <w:rPr>
                <w:noProof/>
              </w:rPr>
              <w:t>Jungtinė Karalystė</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6</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4</w:t>
            </w:r>
          </w:p>
        </w:tc>
        <w:tc>
          <w:tcPr>
            <w:tcW w:w="112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1,8 %</w:t>
            </w:r>
          </w:p>
        </w:tc>
      </w:tr>
      <w:tr>
        <w:trPr>
          <w:trHeight w:val="300"/>
          <w:jc w:val="center"/>
        </w:trPr>
        <w:tc>
          <w:tcPr>
            <w:tcW w:w="172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Calibri"/>
                <w:b/>
                <w:bCs/>
                <w:noProof/>
                <w:color w:val="000000"/>
              </w:rPr>
            </w:pPr>
            <w:r>
              <w:rPr>
                <w:b/>
                <w:bCs/>
                <w:noProof/>
              </w:rPr>
              <w:t>LNEC</w:t>
            </w:r>
          </w:p>
        </w:tc>
        <w:tc>
          <w:tcPr>
            <w:tcW w:w="1316"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Calibri"/>
                <w:noProof/>
                <w:color w:val="000000"/>
              </w:rPr>
            </w:pPr>
            <w:r>
              <w:rPr>
                <w:noProof/>
              </w:rPr>
              <w:t>Portugalija</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4</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4</w:t>
            </w:r>
          </w:p>
        </w:tc>
        <w:tc>
          <w:tcPr>
            <w:tcW w:w="112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1,8 %</w:t>
            </w:r>
          </w:p>
        </w:tc>
      </w:tr>
      <w:tr>
        <w:trPr>
          <w:trHeight w:val="300"/>
          <w:jc w:val="center"/>
        </w:trPr>
        <w:tc>
          <w:tcPr>
            <w:tcW w:w="172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Calibri"/>
                <w:b/>
                <w:bCs/>
                <w:noProof/>
                <w:color w:val="000000"/>
              </w:rPr>
            </w:pPr>
            <w:r>
              <w:rPr>
                <w:b/>
                <w:bCs/>
                <w:noProof/>
              </w:rPr>
              <w:t>ITC</w:t>
            </w:r>
          </w:p>
        </w:tc>
        <w:tc>
          <w:tcPr>
            <w:tcW w:w="1316"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Calibri"/>
                <w:noProof/>
                <w:color w:val="000000"/>
              </w:rPr>
            </w:pPr>
            <w:r>
              <w:rPr>
                <w:noProof/>
              </w:rPr>
              <w:t>Italija</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4</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3</w:t>
            </w:r>
          </w:p>
        </w:tc>
        <w:tc>
          <w:tcPr>
            <w:tcW w:w="112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1,4 %</w:t>
            </w:r>
          </w:p>
        </w:tc>
      </w:tr>
      <w:tr>
        <w:trPr>
          <w:trHeight w:val="300"/>
          <w:jc w:val="center"/>
        </w:trPr>
        <w:tc>
          <w:tcPr>
            <w:tcW w:w="172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Calibri"/>
                <w:b/>
                <w:bCs/>
                <w:noProof/>
                <w:color w:val="000000"/>
              </w:rPr>
            </w:pPr>
            <w:r>
              <w:rPr>
                <w:b/>
                <w:bCs/>
                <w:noProof/>
              </w:rPr>
              <w:t>ITB</w:t>
            </w:r>
          </w:p>
        </w:tc>
        <w:tc>
          <w:tcPr>
            <w:tcW w:w="1316"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Calibri"/>
                <w:noProof/>
                <w:color w:val="000000"/>
              </w:rPr>
            </w:pPr>
            <w:r>
              <w:rPr>
                <w:noProof/>
              </w:rPr>
              <w:t>Lenkija</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8</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2</w:t>
            </w:r>
          </w:p>
        </w:tc>
        <w:tc>
          <w:tcPr>
            <w:tcW w:w="112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1,4 %</w:t>
            </w:r>
          </w:p>
        </w:tc>
      </w:tr>
      <w:tr>
        <w:trPr>
          <w:trHeight w:val="300"/>
          <w:jc w:val="center"/>
        </w:trPr>
        <w:tc>
          <w:tcPr>
            <w:tcW w:w="172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Calibri"/>
                <w:b/>
                <w:bCs/>
                <w:noProof/>
                <w:color w:val="000000"/>
              </w:rPr>
            </w:pPr>
            <w:r>
              <w:rPr>
                <w:b/>
                <w:bCs/>
                <w:noProof/>
              </w:rPr>
              <w:t>KIWA</w:t>
            </w:r>
          </w:p>
        </w:tc>
        <w:tc>
          <w:tcPr>
            <w:tcW w:w="1316"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Calibri"/>
                <w:noProof/>
                <w:color w:val="000000"/>
              </w:rPr>
            </w:pPr>
            <w:r>
              <w:rPr>
                <w:noProof/>
              </w:rPr>
              <w:t>Nyderlandai</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7</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2</w:t>
            </w:r>
          </w:p>
        </w:tc>
        <w:tc>
          <w:tcPr>
            <w:tcW w:w="112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1,4 %</w:t>
            </w:r>
          </w:p>
        </w:tc>
      </w:tr>
      <w:tr>
        <w:trPr>
          <w:trHeight w:val="300"/>
          <w:jc w:val="center"/>
        </w:trPr>
        <w:tc>
          <w:tcPr>
            <w:tcW w:w="172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Calibri"/>
                <w:b/>
                <w:bCs/>
                <w:noProof/>
                <w:color w:val="000000"/>
              </w:rPr>
            </w:pPr>
            <w:r>
              <w:rPr>
                <w:b/>
                <w:bCs/>
                <w:noProof/>
              </w:rPr>
              <w:t>ZAG</w:t>
            </w:r>
          </w:p>
        </w:tc>
        <w:tc>
          <w:tcPr>
            <w:tcW w:w="1316"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Calibri"/>
                <w:noProof/>
                <w:color w:val="000000"/>
              </w:rPr>
            </w:pPr>
            <w:r>
              <w:rPr>
                <w:noProof/>
              </w:rPr>
              <w:t>Slovėnija</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3</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2</w:t>
            </w:r>
          </w:p>
        </w:tc>
        <w:tc>
          <w:tcPr>
            <w:tcW w:w="112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1,4 %</w:t>
            </w:r>
          </w:p>
        </w:tc>
      </w:tr>
      <w:tr>
        <w:trPr>
          <w:trHeight w:val="300"/>
          <w:jc w:val="center"/>
        </w:trPr>
        <w:tc>
          <w:tcPr>
            <w:tcW w:w="172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Calibri"/>
                <w:b/>
                <w:bCs/>
                <w:noProof/>
                <w:color w:val="000000"/>
              </w:rPr>
            </w:pPr>
            <w:r>
              <w:rPr>
                <w:b/>
                <w:bCs/>
                <w:noProof/>
              </w:rPr>
              <w:t>CEREMA</w:t>
            </w:r>
          </w:p>
        </w:tc>
        <w:tc>
          <w:tcPr>
            <w:tcW w:w="1316"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Calibri"/>
                <w:noProof/>
                <w:color w:val="000000"/>
              </w:rPr>
            </w:pPr>
            <w:r>
              <w:rPr>
                <w:noProof/>
              </w:rPr>
              <w:t>Prancūzija</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2</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2</w:t>
            </w:r>
          </w:p>
        </w:tc>
        <w:tc>
          <w:tcPr>
            <w:tcW w:w="112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1,4 %</w:t>
            </w:r>
          </w:p>
        </w:tc>
      </w:tr>
      <w:tr>
        <w:trPr>
          <w:trHeight w:val="300"/>
          <w:jc w:val="center"/>
        </w:trPr>
        <w:tc>
          <w:tcPr>
            <w:tcW w:w="172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Calibri"/>
                <w:b/>
                <w:bCs/>
                <w:noProof/>
                <w:color w:val="000000"/>
              </w:rPr>
            </w:pPr>
            <w:r>
              <w:rPr>
                <w:b/>
                <w:bCs/>
                <w:noProof/>
              </w:rPr>
              <w:t>IETcc</w:t>
            </w:r>
          </w:p>
        </w:tc>
        <w:tc>
          <w:tcPr>
            <w:tcW w:w="1316"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Calibri"/>
                <w:noProof/>
                <w:color w:val="000000"/>
              </w:rPr>
            </w:pPr>
            <w:r>
              <w:rPr>
                <w:noProof/>
              </w:rPr>
              <w:t>Ispanija</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2</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2</w:t>
            </w:r>
          </w:p>
        </w:tc>
        <w:tc>
          <w:tcPr>
            <w:tcW w:w="112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1,4 %</w:t>
            </w:r>
          </w:p>
        </w:tc>
      </w:tr>
      <w:tr>
        <w:trPr>
          <w:trHeight w:val="300"/>
          <w:jc w:val="center"/>
        </w:trPr>
        <w:tc>
          <w:tcPr>
            <w:tcW w:w="172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Calibri"/>
                <w:b/>
                <w:bCs/>
                <w:noProof/>
                <w:color w:val="000000"/>
              </w:rPr>
            </w:pPr>
            <w:r>
              <w:rPr>
                <w:b/>
                <w:bCs/>
                <w:noProof/>
              </w:rPr>
              <w:t>SINTEF</w:t>
            </w:r>
          </w:p>
        </w:tc>
        <w:tc>
          <w:tcPr>
            <w:tcW w:w="1316"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Calibri"/>
                <w:noProof/>
                <w:color w:val="000000"/>
              </w:rPr>
            </w:pPr>
            <w:r>
              <w:rPr>
                <w:noProof/>
              </w:rPr>
              <w:t>Norvegija</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2</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2</w:t>
            </w:r>
          </w:p>
        </w:tc>
        <w:tc>
          <w:tcPr>
            <w:tcW w:w="112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1,4 %</w:t>
            </w:r>
          </w:p>
        </w:tc>
      </w:tr>
      <w:tr>
        <w:trPr>
          <w:trHeight w:val="300"/>
          <w:jc w:val="center"/>
        </w:trPr>
        <w:tc>
          <w:tcPr>
            <w:tcW w:w="172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Calibri"/>
                <w:b/>
                <w:bCs/>
                <w:noProof/>
                <w:color w:val="000000"/>
              </w:rPr>
            </w:pPr>
            <w:r>
              <w:rPr>
                <w:b/>
                <w:bCs/>
                <w:noProof/>
              </w:rPr>
              <w:t>SKG-IKOB</w:t>
            </w:r>
          </w:p>
        </w:tc>
        <w:tc>
          <w:tcPr>
            <w:tcW w:w="1316"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Calibri"/>
                <w:noProof/>
                <w:color w:val="000000"/>
              </w:rPr>
            </w:pPr>
            <w:r>
              <w:rPr>
                <w:noProof/>
              </w:rPr>
              <w:t>Nyderlandai</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2</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1</w:t>
            </w:r>
          </w:p>
        </w:tc>
        <w:tc>
          <w:tcPr>
            <w:tcW w:w="112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0,5 %</w:t>
            </w:r>
          </w:p>
        </w:tc>
      </w:tr>
      <w:tr>
        <w:trPr>
          <w:trHeight w:val="300"/>
          <w:jc w:val="center"/>
        </w:trPr>
        <w:tc>
          <w:tcPr>
            <w:tcW w:w="172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Calibri"/>
                <w:b/>
                <w:bCs/>
                <w:noProof/>
                <w:color w:val="000000"/>
              </w:rPr>
            </w:pPr>
            <w:r>
              <w:rPr>
                <w:b/>
                <w:bCs/>
                <w:noProof/>
              </w:rPr>
              <w:t>TECNALIA</w:t>
            </w:r>
          </w:p>
        </w:tc>
        <w:tc>
          <w:tcPr>
            <w:tcW w:w="1316"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Calibri"/>
                <w:noProof/>
                <w:color w:val="000000"/>
              </w:rPr>
            </w:pPr>
            <w:r>
              <w:rPr>
                <w:noProof/>
              </w:rPr>
              <w:t>Ispanija</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2</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1</w:t>
            </w:r>
          </w:p>
        </w:tc>
        <w:tc>
          <w:tcPr>
            <w:tcW w:w="112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0,5 %</w:t>
            </w:r>
          </w:p>
        </w:tc>
      </w:tr>
      <w:tr>
        <w:trPr>
          <w:trHeight w:val="300"/>
          <w:jc w:val="center"/>
        </w:trPr>
        <w:tc>
          <w:tcPr>
            <w:tcW w:w="172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Calibri"/>
                <w:b/>
                <w:bCs/>
                <w:noProof/>
                <w:color w:val="000000"/>
              </w:rPr>
            </w:pPr>
            <w:r>
              <w:rPr>
                <w:b/>
                <w:bCs/>
                <w:noProof/>
              </w:rPr>
              <w:t>ICECON</w:t>
            </w:r>
          </w:p>
        </w:tc>
        <w:tc>
          <w:tcPr>
            <w:tcW w:w="1316"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Calibri"/>
                <w:noProof/>
                <w:color w:val="000000"/>
              </w:rPr>
            </w:pPr>
            <w:r>
              <w:rPr>
                <w:noProof/>
              </w:rPr>
              <w:t>Rumunija</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1</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1</w:t>
            </w:r>
          </w:p>
        </w:tc>
        <w:tc>
          <w:tcPr>
            <w:tcW w:w="112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0,5 %</w:t>
            </w:r>
          </w:p>
        </w:tc>
      </w:tr>
      <w:tr>
        <w:trPr>
          <w:trHeight w:val="300"/>
          <w:jc w:val="center"/>
        </w:trPr>
        <w:tc>
          <w:tcPr>
            <w:tcW w:w="172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Calibri"/>
                <w:b/>
                <w:bCs/>
                <w:noProof/>
                <w:color w:val="000000"/>
              </w:rPr>
            </w:pPr>
            <w:r>
              <w:rPr>
                <w:b/>
                <w:bCs/>
                <w:noProof/>
              </w:rPr>
              <w:t>ICiMB</w:t>
            </w:r>
          </w:p>
        </w:tc>
        <w:tc>
          <w:tcPr>
            <w:tcW w:w="1316"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Calibri"/>
                <w:noProof/>
                <w:color w:val="000000"/>
              </w:rPr>
            </w:pPr>
            <w:r>
              <w:rPr>
                <w:noProof/>
              </w:rPr>
              <w:t>Lenkija</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1</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1</w:t>
            </w:r>
          </w:p>
        </w:tc>
        <w:tc>
          <w:tcPr>
            <w:tcW w:w="112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0,5 %</w:t>
            </w:r>
          </w:p>
        </w:tc>
      </w:tr>
      <w:tr>
        <w:trPr>
          <w:trHeight w:val="300"/>
          <w:jc w:val="center"/>
        </w:trPr>
        <w:tc>
          <w:tcPr>
            <w:tcW w:w="172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Calibri"/>
                <w:b/>
                <w:bCs/>
                <w:noProof/>
                <w:color w:val="000000"/>
              </w:rPr>
            </w:pPr>
            <w:r>
              <w:rPr>
                <w:b/>
                <w:bCs/>
                <w:noProof/>
              </w:rPr>
              <w:t>ITECONS</w:t>
            </w:r>
          </w:p>
        </w:tc>
        <w:tc>
          <w:tcPr>
            <w:tcW w:w="1316"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Calibri"/>
                <w:noProof/>
                <w:color w:val="000000"/>
              </w:rPr>
            </w:pPr>
            <w:r>
              <w:rPr>
                <w:noProof/>
              </w:rPr>
              <w:t>Portugalija</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1</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1</w:t>
            </w:r>
          </w:p>
        </w:tc>
        <w:tc>
          <w:tcPr>
            <w:tcW w:w="112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0,5 %</w:t>
            </w:r>
          </w:p>
        </w:tc>
      </w:tr>
      <w:tr>
        <w:trPr>
          <w:trHeight w:val="315"/>
          <w:jc w:val="center"/>
        </w:trPr>
        <w:tc>
          <w:tcPr>
            <w:tcW w:w="172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Calibri"/>
                <w:b/>
                <w:bCs/>
                <w:noProof/>
                <w:color w:val="000000"/>
              </w:rPr>
            </w:pPr>
            <w:r>
              <w:rPr>
                <w:b/>
                <w:bCs/>
                <w:noProof/>
              </w:rPr>
              <w:t>STC</w:t>
            </w:r>
          </w:p>
        </w:tc>
        <w:tc>
          <w:tcPr>
            <w:tcW w:w="1316"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Calibri"/>
                <w:noProof/>
                <w:color w:val="000000"/>
              </w:rPr>
            </w:pPr>
            <w:r>
              <w:rPr>
                <w:noProof/>
              </w:rPr>
              <w:t>Italija</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1</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1</w:t>
            </w:r>
          </w:p>
        </w:tc>
        <w:tc>
          <w:tcPr>
            <w:tcW w:w="112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0,5 %</w:t>
            </w:r>
          </w:p>
        </w:tc>
      </w:tr>
      <w:tr>
        <w:trPr>
          <w:trHeight w:val="315"/>
          <w:jc w:val="center"/>
        </w:trPr>
        <w:tc>
          <w:tcPr>
            <w:tcW w:w="172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Calibri"/>
                <w:b/>
                <w:bCs/>
                <w:noProof/>
                <w:color w:val="000000"/>
              </w:rPr>
            </w:pPr>
            <w:r>
              <w:rPr>
                <w:b/>
                <w:bCs/>
                <w:noProof/>
              </w:rPr>
              <w:t>FM App</w:t>
            </w:r>
          </w:p>
        </w:tc>
        <w:tc>
          <w:tcPr>
            <w:tcW w:w="1316"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Calibri"/>
                <w:noProof/>
                <w:color w:val="000000"/>
              </w:rPr>
            </w:pPr>
            <w:r>
              <w:rPr>
                <w:noProof/>
              </w:rPr>
              <w:t>Jungtinė Karalystė</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2</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0</w:t>
            </w:r>
          </w:p>
        </w:tc>
        <w:tc>
          <w:tcPr>
            <w:tcW w:w="112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0,5 %</w:t>
            </w:r>
          </w:p>
        </w:tc>
      </w:tr>
      <w:tr>
        <w:trPr>
          <w:trHeight w:val="300"/>
          <w:jc w:val="center"/>
        </w:trPr>
        <w:tc>
          <w:tcPr>
            <w:tcW w:w="172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Calibri"/>
                <w:b/>
                <w:bCs/>
                <w:noProof/>
                <w:color w:val="000000"/>
              </w:rPr>
            </w:pPr>
            <w:r>
              <w:rPr>
                <w:b/>
                <w:bCs/>
                <w:noProof/>
              </w:rPr>
              <w:t>CPC</w:t>
            </w:r>
          </w:p>
        </w:tc>
        <w:tc>
          <w:tcPr>
            <w:tcW w:w="1316"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Calibri"/>
                <w:noProof/>
                <w:color w:val="000000"/>
              </w:rPr>
            </w:pPr>
            <w:r>
              <w:rPr>
                <w:noProof/>
              </w:rPr>
              <w:t>Turkija</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2</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0</w:t>
            </w:r>
          </w:p>
        </w:tc>
        <w:tc>
          <w:tcPr>
            <w:tcW w:w="112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0,5 %</w:t>
            </w:r>
          </w:p>
        </w:tc>
      </w:tr>
      <w:tr>
        <w:trPr>
          <w:trHeight w:val="315"/>
          <w:jc w:val="center"/>
        </w:trPr>
        <w:tc>
          <w:tcPr>
            <w:tcW w:w="1720" w:type="dxa"/>
            <w:tcBorders>
              <w:top w:val="nil"/>
              <w:left w:val="single" w:sz="8" w:space="0" w:color="auto"/>
              <w:bottom w:val="single" w:sz="8" w:space="0" w:color="auto"/>
              <w:right w:val="single" w:sz="8" w:space="0" w:color="auto"/>
            </w:tcBorders>
            <w:shd w:val="clear" w:color="auto" w:fill="auto"/>
            <w:noWrap/>
            <w:vAlign w:val="bottom"/>
            <w:hideMark/>
          </w:tcPr>
          <w:p>
            <w:pPr>
              <w:spacing w:after="0" w:line="240" w:lineRule="auto"/>
              <w:rPr>
                <w:rFonts w:eastAsia="Times New Roman" w:cs="Calibri"/>
                <w:b/>
                <w:bCs/>
                <w:noProof/>
                <w:color w:val="000000"/>
              </w:rPr>
            </w:pPr>
            <w:r>
              <w:rPr>
                <w:b/>
                <w:bCs/>
                <w:noProof/>
              </w:rPr>
              <w:t>IBDIM</w:t>
            </w:r>
          </w:p>
        </w:tc>
        <w:tc>
          <w:tcPr>
            <w:tcW w:w="1316" w:type="dxa"/>
            <w:tcBorders>
              <w:top w:val="nil"/>
              <w:left w:val="nil"/>
              <w:bottom w:val="single" w:sz="8" w:space="0" w:color="auto"/>
              <w:right w:val="single" w:sz="4" w:space="0" w:color="auto"/>
            </w:tcBorders>
            <w:shd w:val="clear" w:color="auto" w:fill="auto"/>
            <w:noWrap/>
            <w:vAlign w:val="bottom"/>
            <w:hideMark/>
          </w:tcPr>
          <w:p>
            <w:pPr>
              <w:spacing w:after="0" w:line="240" w:lineRule="auto"/>
              <w:rPr>
                <w:rFonts w:eastAsia="Times New Roman" w:cs="Calibri"/>
                <w:noProof/>
                <w:color w:val="000000"/>
              </w:rPr>
            </w:pPr>
            <w:r>
              <w:rPr>
                <w:noProof/>
              </w:rPr>
              <w:t>Lenkija</w:t>
            </w:r>
          </w:p>
        </w:tc>
        <w:tc>
          <w:tcPr>
            <w:tcW w:w="1120" w:type="dxa"/>
            <w:tcBorders>
              <w:top w:val="nil"/>
              <w:left w:val="nil"/>
              <w:bottom w:val="single" w:sz="8"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1</w:t>
            </w:r>
          </w:p>
        </w:tc>
        <w:tc>
          <w:tcPr>
            <w:tcW w:w="1120" w:type="dxa"/>
            <w:tcBorders>
              <w:top w:val="nil"/>
              <w:left w:val="nil"/>
              <w:bottom w:val="single" w:sz="8"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0</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0,5 %</w:t>
            </w:r>
          </w:p>
        </w:tc>
      </w:tr>
      <w:tr>
        <w:trPr>
          <w:trHeight w:val="315"/>
          <w:jc w:val="center"/>
        </w:trPr>
        <w:tc>
          <w:tcPr>
            <w:tcW w:w="3036"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pPr>
              <w:spacing w:after="0" w:line="240" w:lineRule="auto"/>
              <w:jc w:val="center"/>
              <w:rPr>
                <w:rFonts w:eastAsia="Times New Roman" w:cs="Calibri"/>
                <w:b/>
                <w:bCs/>
                <w:noProof/>
                <w:color w:val="000000"/>
              </w:rPr>
            </w:pPr>
            <w:r>
              <w:rPr>
                <w:b/>
                <w:bCs/>
                <w:noProof/>
              </w:rPr>
              <w:t>Iš viso</w:t>
            </w:r>
          </w:p>
        </w:tc>
        <w:tc>
          <w:tcPr>
            <w:tcW w:w="1120" w:type="dxa"/>
            <w:tcBorders>
              <w:top w:val="nil"/>
              <w:left w:val="nil"/>
              <w:bottom w:val="single" w:sz="8" w:space="0" w:color="auto"/>
              <w:right w:val="single" w:sz="8" w:space="0" w:color="auto"/>
            </w:tcBorders>
            <w:shd w:val="clear" w:color="auto" w:fill="DEEAF6"/>
            <w:noWrap/>
            <w:vAlign w:val="bottom"/>
            <w:hideMark/>
          </w:tcPr>
          <w:p>
            <w:pPr>
              <w:spacing w:after="0" w:line="240" w:lineRule="auto"/>
              <w:jc w:val="center"/>
              <w:rPr>
                <w:rFonts w:eastAsia="Times New Roman" w:cs="Calibri"/>
                <w:b/>
                <w:bCs/>
                <w:noProof/>
                <w:color w:val="000000"/>
              </w:rPr>
            </w:pPr>
            <w:r>
              <w:rPr>
                <w:b/>
                <w:bCs/>
                <w:noProof/>
              </w:rPr>
              <w:t>324</w:t>
            </w:r>
          </w:p>
        </w:tc>
        <w:tc>
          <w:tcPr>
            <w:tcW w:w="1120" w:type="dxa"/>
            <w:tcBorders>
              <w:top w:val="nil"/>
              <w:left w:val="single" w:sz="4" w:space="0" w:color="auto"/>
              <w:bottom w:val="single" w:sz="8" w:space="0" w:color="auto"/>
              <w:right w:val="single" w:sz="8" w:space="0" w:color="auto"/>
            </w:tcBorders>
            <w:shd w:val="clear" w:color="auto" w:fill="DEEAF6"/>
            <w:noWrap/>
            <w:vAlign w:val="bottom"/>
            <w:hideMark/>
          </w:tcPr>
          <w:p>
            <w:pPr>
              <w:spacing w:after="0" w:line="240" w:lineRule="auto"/>
              <w:jc w:val="center"/>
              <w:rPr>
                <w:rFonts w:eastAsia="Times New Roman" w:cs="Calibri"/>
                <w:b/>
                <w:bCs/>
                <w:noProof/>
                <w:color w:val="000000"/>
              </w:rPr>
            </w:pPr>
            <w:r>
              <w:rPr>
                <w:b/>
                <w:bCs/>
                <w:noProof/>
              </w:rPr>
              <w:t>217</w:t>
            </w:r>
          </w:p>
        </w:tc>
        <w:tc>
          <w:tcPr>
            <w:tcW w:w="1120" w:type="dxa"/>
            <w:tcBorders>
              <w:top w:val="single" w:sz="4" w:space="0" w:color="auto"/>
              <w:left w:val="nil"/>
            </w:tcBorders>
            <w:shd w:val="clear" w:color="auto" w:fill="auto"/>
            <w:noWrap/>
            <w:vAlign w:val="bottom"/>
            <w:hideMark/>
          </w:tcPr>
          <w:p>
            <w:pPr>
              <w:spacing w:after="0" w:line="240" w:lineRule="auto"/>
              <w:jc w:val="center"/>
              <w:rPr>
                <w:rFonts w:eastAsia="Times New Roman" w:cs="Calibri"/>
                <w:noProof/>
                <w:color w:val="000000"/>
              </w:rPr>
            </w:pPr>
            <w:r>
              <w:rPr>
                <w:noProof/>
              </w:rPr>
              <w:t> </w:t>
            </w:r>
          </w:p>
        </w:tc>
      </w:tr>
    </w:tbl>
    <w:p>
      <w:pPr>
        <w:spacing w:after="120" w:line="240" w:lineRule="auto"/>
        <w:jc w:val="both"/>
        <w:rPr>
          <w:noProof/>
        </w:rPr>
      </w:pPr>
    </w:p>
    <w:p>
      <w:pPr>
        <w:spacing w:after="120" w:line="240" w:lineRule="auto"/>
        <w:jc w:val="both"/>
        <w:rPr>
          <w:rFonts w:ascii="Times New Roman" w:hAnsi="Times New Roman"/>
          <w:noProof/>
          <w:sz w:val="24"/>
          <w:szCs w:val="24"/>
        </w:rPr>
      </w:pPr>
      <w:r>
        <w:rPr>
          <w:rFonts w:ascii="Times New Roman" w:hAnsi="Times New Roman"/>
          <w:noProof/>
          <w:sz w:val="24"/>
          <w:szCs w:val="24"/>
        </w:rPr>
        <w:t>Šešios TVĮ yra parengusios 74 proc. visų EVD, kurių nuorodos yra paskelbtos, o 23 TVĮ – likusius 26 proc.</w:t>
      </w:r>
    </w:p>
    <w:p>
      <w:pPr>
        <w:spacing w:after="360" w:line="240" w:lineRule="auto"/>
        <w:jc w:val="both"/>
        <w:rPr>
          <w:rFonts w:ascii="Times New Roman" w:hAnsi="Times New Roman"/>
          <w:noProof/>
          <w:sz w:val="24"/>
          <w:szCs w:val="24"/>
        </w:rPr>
      </w:pPr>
      <w:r>
        <w:rPr>
          <w:rFonts w:ascii="Times New Roman" w:hAnsi="Times New Roman"/>
          <w:noProof/>
          <w:sz w:val="24"/>
          <w:szCs w:val="24"/>
        </w:rPr>
        <w:t>20 TVĮ (40 proc. visų TVĮ) iš viso nėra parengusios jokių EVD.</w:t>
      </w:r>
      <w:r>
        <w:rPr>
          <w:rFonts w:ascii="Times New Roman" w:hAnsi="Times New Roman"/>
          <w:noProof/>
          <w:sz w:val="24"/>
          <w:szCs w:val="24"/>
        </w:rPr>
        <w:fldChar w:fldCharType="begin"/>
      </w:r>
      <w:r>
        <w:rPr>
          <w:rFonts w:ascii="Times New Roman" w:hAnsi="Times New Roman"/>
          <w:noProof/>
          <w:sz w:val="24"/>
          <w:szCs w:val="24"/>
        </w:rPr>
        <w:instrText xml:space="preserve"> LINK Excel.Sheet.12 "\\\\net1.cec.eu.int\\GROW\\C\\1\\Common\\2. POLICIES\\20. Construction\\01 CPR\\04 EOTA\\EOTA REPORT art 34.2\\SharePoint_Statistics EC request EAD-ETA webpage COM statistics v2.xlsx" "Stampa EAD!R2C18:R33C20" \a \f 4 \h  \* MERGEFORMAT </w:instrText>
      </w:r>
      <w:r>
        <w:rPr>
          <w:rFonts w:ascii="Times New Roman" w:hAnsi="Times New Roman"/>
          <w:noProof/>
          <w:sz w:val="24"/>
          <w:szCs w:val="24"/>
        </w:rPr>
        <w:fldChar w:fldCharType="separate"/>
      </w:r>
    </w:p>
    <w:p>
      <w:pPr>
        <w:pStyle w:val="Heading3"/>
        <w:rPr>
          <w:noProof/>
          <w:sz w:val="24"/>
          <w:szCs w:val="24"/>
        </w:rPr>
      </w:pPr>
      <w:r>
        <w:rPr>
          <w:rFonts w:ascii="Times New Roman" w:hAnsi="Times New Roman"/>
          <w:noProof/>
          <w:sz w:val="24"/>
          <w:szCs w:val="24"/>
        </w:rPr>
        <w:fldChar w:fldCharType="end"/>
      </w:r>
      <w:r>
        <w:rPr>
          <w:rFonts w:ascii="Times New Roman" w:hAnsi="Times New Roman"/>
          <w:noProof/>
          <w:sz w:val="24"/>
          <w:szCs w:val="24"/>
        </w:rPr>
        <w:t>3.1.3.</w:t>
      </w:r>
      <w:r>
        <w:rPr>
          <w:noProof/>
          <w:sz w:val="24"/>
          <w:szCs w:val="24"/>
        </w:rPr>
        <w:tab/>
        <w:t>ETĮ išdavimas</w:t>
      </w:r>
    </w:p>
    <w:p>
      <w:pPr>
        <w:spacing w:after="120" w:line="240" w:lineRule="auto"/>
        <w:jc w:val="both"/>
        <w:rPr>
          <w:rFonts w:ascii="Times New Roman" w:hAnsi="Times New Roman"/>
          <w:noProof/>
          <w:sz w:val="24"/>
          <w:szCs w:val="24"/>
        </w:rPr>
      </w:pPr>
      <w:r>
        <w:rPr>
          <w:rFonts w:ascii="Times New Roman" w:hAnsi="Times New Roman"/>
          <w:noProof/>
          <w:sz w:val="24"/>
          <w:szCs w:val="24"/>
        </w:rPr>
        <w:t>ETĮ išduodami remiantis EVD gamintojų prašymu.</w:t>
      </w:r>
    </w:p>
    <w:p>
      <w:pPr>
        <w:spacing w:after="120" w:line="240" w:lineRule="auto"/>
        <w:jc w:val="both"/>
        <w:rPr>
          <w:rFonts w:ascii="Times New Roman" w:hAnsi="Times New Roman"/>
          <w:noProof/>
          <w:sz w:val="24"/>
          <w:szCs w:val="24"/>
        </w:rPr>
      </w:pPr>
      <w:r>
        <w:rPr>
          <w:rFonts w:ascii="Times New Roman" w:hAnsi="Times New Roman"/>
          <w:noProof/>
          <w:sz w:val="24"/>
          <w:szCs w:val="24"/>
        </w:rPr>
        <w:t>2013–2018 m. TVĮ išdavė 6 240 ETĮ. Išduodamų TVĮ skaičius kasmet didėjo.</w:t>
      </w:r>
    </w:p>
    <w:p>
      <w:pPr>
        <w:spacing w:after="120" w:line="240" w:lineRule="auto"/>
        <w:jc w:val="center"/>
        <w:rPr>
          <w:noProof/>
          <w:sz w:val="24"/>
          <w:szCs w:val="24"/>
        </w:rPr>
      </w:pPr>
      <w:r>
        <w:rPr>
          <w:noProof/>
          <w:sz w:val="24"/>
          <w:szCs w:val="24"/>
        </w:rPr>
        <w:t>5 lentelė. ETĮ skaičius per metus (2013–2018 m.):</w:t>
      </w:r>
      <w:r>
        <w:rPr>
          <w:noProof/>
          <w:sz w:val="24"/>
          <w:szCs w:val="24"/>
        </w:rPr>
        <w:fldChar w:fldCharType="begin"/>
      </w:r>
      <w:r>
        <w:rPr>
          <w:noProof/>
          <w:sz w:val="24"/>
          <w:szCs w:val="24"/>
        </w:rPr>
        <w:instrText xml:space="preserve"> LINK Excel.Sheet.12 "\\\\net1.cec.eu.int\\GROW\\C\\1\\Common\\2. POLICIES\\20. Construction\\01 CPR\\04 EOTA\\EOTA REPORT art 34.2\\SharePoint_Statistics EC request EAD-ETA webpage COM statistics v2.xlsx" "Stampa ETA!R1C3:R8C4" \a \f 4 \h  \* MERGEFORMAT </w:instrText>
      </w:r>
      <w:r>
        <w:rPr>
          <w:noProof/>
          <w:sz w:val="24"/>
          <w:szCs w:val="24"/>
        </w:rPr>
        <w:fldChar w:fldCharType="separate"/>
      </w:r>
    </w:p>
    <w:tbl>
      <w:tblPr>
        <w:tblW w:w="2680" w:type="dxa"/>
        <w:tblInd w:w="3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340"/>
      </w:tblGrid>
      <w:tr>
        <w:trPr>
          <w:trHeight w:val="600"/>
        </w:trPr>
        <w:tc>
          <w:tcPr>
            <w:tcW w:w="1340" w:type="dxa"/>
            <w:shd w:val="clear" w:color="D9E1F2" w:fill="DEEAF6"/>
            <w:vAlign w:val="center"/>
            <w:hideMark/>
          </w:tcPr>
          <w:p>
            <w:pPr>
              <w:spacing w:after="0" w:line="240" w:lineRule="auto"/>
              <w:jc w:val="center"/>
              <w:rPr>
                <w:rFonts w:eastAsia="Times New Roman" w:cs="Calibri"/>
                <w:b/>
                <w:bCs/>
                <w:noProof/>
                <w:color w:val="000000"/>
              </w:rPr>
            </w:pPr>
            <w:r>
              <w:rPr>
                <w:b/>
                <w:bCs/>
                <w:noProof/>
              </w:rPr>
              <w:t>Metai</w:t>
            </w:r>
          </w:p>
        </w:tc>
        <w:tc>
          <w:tcPr>
            <w:tcW w:w="1340" w:type="dxa"/>
            <w:shd w:val="clear" w:color="D9E1F2" w:fill="DEEAF6"/>
            <w:vAlign w:val="center"/>
            <w:hideMark/>
          </w:tcPr>
          <w:p>
            <w:pPr>
              <w:spacing w:after="0" w:line="240" w:lineRule="auto"/>
              <w:jc w:val="center"/>
              <w:rPr>
                <w:rFonts w:eastAsia="Times New Roman" w:cs="Calibri"/>
                <w:b/>
                <w:bCs/>
                <w:noProof/>
                <w:color w:val="000000"/>
              </w:rPr>
            </w:pPr>
            <w:r>
              <w:rPr>
                <w:b/>
                <w:bCs/>
                <w:noProof/>
              </w:rPr>
              <w:t xml:space="preserve">Išduoti ETĮ </w:t>
            </w:r>
          </w:p>
        </w:tc>
      </w:tr>
      <w:tr>
        <w:trPr>
          <w:trHeight w:val="300"/>
        </w:trPr>
        <w:tc>
          <w:tcPr>
            <w:tcW w:w="1340" w:type="dxa"/>
            <w:shd w:val="clear" w:color="auto" w:fill="auto"/>
            <w:noWrap/>
            <w:vAlign w:val="bottom"/>
            <w:hideMark/>
          </w:tcPr>
          <w:p>
            <w:pPr>
              <w:spacing w:after="0" w:line="240" w:lineRule="auto"/>
              <w:jc w:val="center"/>
              <w:rPr>
                <w:rFonts w:eastAsia="Times New Roman" w:cs="Calibri"/>
                <w:noProof/>
                <w:color w:val="000000"/>
              </w:rPr>
            </w:pPr>
            <w:r>
              <w:rPr>
                <w:noProof/>
              </w:rPr>
              <w:t>2013</w:t>
            </w:r>
          </w:p>
        </w:tc>
        <w:tc>
          <w:tcPr>
            <w:tcW w:w="1340" w:type="dxa"/>
            <w:shd w:val="clear" w:color="auto" w:fill="auto"/>
            <w:noWrap/>
            <w:vAlign w:val="bottom"/>
            <w:hideMark/>
          </w:tcPr>
          <w:p>
            <w:pPr>
              <w:spacing w:after="0" w:line="240" w:lineRule="auto"/>
              <w:jc w:val="center"/>
              <w:rPr>
                <w:rFonts w:eastAsia="Times New Roman" w:cs="Calibri"/>
                <w:noProof/>
                <w:color w:val="000000"/>
              </w:rPr>
            </w:pPr>
            <w:r>
              <w:rPr>
                <w:noProof/>
              </w:rPr>
              <w:t>23</w:t>
            </w:r>
          </w:p>
        </w:tc>
      </w:tr>
      <w:tr>
        <w:trPr>
          <w:trHeight w:val="300"/>
        </w:trPr>
        <w:tc>
          <w:tcPr>
            <w:tcW w:w="1340" w:type="dxa"/>
            <w:shd w:val="clear" w:color="auto" w:fill="auto"/>
            <w:noWrap/>
            <w:vAlign w:val="bottom"/>
            <w:hideMark/>
          </w:tcPr>
          <w:p>
            <w:pPr>
              <w:spacing w:after="0" w:line="240" w:lineRule="auto"/>
              <w:jc w:val="center"/>
              <w:rPr>
                <w:rFonts w:eastAsia="Times New Roman" w:cs="Calibri"/>
                <w:noProof/>
                <w:color w:val="000000"/>
              </w:rPr>
            </w:pPr>
            <w:r>
              <w:rPr>
                <w:noProof/>
              </w:rPr>
              <w:t>2014</w:t>
            </w:r>
          </w:p>
        </w:tc>
        <w:tc>
          <w:tcPr>
            <w:tcW w:w="1340" w:type="dxa"/>
            <w:shd w:val="clear" w:color="auto" w:fill="auto"/>
            <w:noWrap/>
            <w:vAlign w:val="bottom"/>
            <w:hideMark/>
          </w:tcPr>
          <w:p>
            <w:pPr>
              <w:spacing w:after="0" w:line="240" w:lineRule="auto"/>
              <w:jc w:val="center"/>
              <w:rPr>
                <w:rFonts w:eastAsia="Times New Roman" w:cs="Calibri"/>
                <w:noProof/>
                <w:color w:val="000000"/>
              </w:rPr>
            </w:pPr>
            <w:r>
              <w:rPr>
                <w:noProof/>
              </w:rPr>
              <w:t>643</w:t>
            </w:r>
          </w:p>
        </w:tc>
      </w:tr>
      <w:tr>
        <w:trPr>
          <w:trHeight w:val="300"/>
        </w:trPr>
        <w:tc>
          <w:tcPr>
            <w:tcW w:w="1340" w:type="dxa"/>
            <w:shd w:val="clear" w:color="auto" w:fill="auto"/>
            <w:noWrap/>
            <w:vAlign w:val="bottom"/>
            <w:hideMark/>
          </w:tcPr>
          <w:p>
            <w:pPr>
              <w:spacing w:after="0" w:line="240" w:lineRule="auto"/>
              <w:jc w:val="center"/>
              <w:rPr>
                <w:rFonts w:eastAsia="Times New Roman" w:cs="Calibri"/>
                <w:noProof/>
                <w:color w:val="000000"/>
              </w:rPr>
            </w:pPr>
            <w:r>
              <w:rPr>
                <w:noProof/>
              </w:rPr>
              <w:t>2015</w:t>
            </w:r>
          </w:p>
        </w:tc>
        <w:tc>
          <w:tcPr>
            <w:tcW w:w="1340" w:type="dxa"/>
            <w:shd w:val="clear" w:color="auto" w:fill="auto"/>
            <w:noWrap/>
            <w:vAlign w:val="bottom"/>
            <w:hideMark/>
          </w:tcPr>
          <w:p>
            <w:pPr>
              <w:spacing w:after="0" w:line="240" w:lineRule="auto"/>
              <w:jc w:val="center"/>
              <w:rPr>
                <w:rFonts w:eastAsia="Times New Roman" w:cs="Calibri"/>
                <w:noProof/>
                <w:color w:val="000000"/>
              </w:rPr>
            </w:pPr>
            <w:r>
              <w:rPr>
                <w:noProof/>
              </w:rPr>
              <w:t>926</w:t>
            </w:r>
          </w:p>
        </w:tc>
      </w:tr>
      <w:tr>
        <w:trPr>
          <w:trHeight w:val="300"/>
        </w:trPr>
        <w:tc>
          <w:tcPr>
            <w:tcW w:w="1340" w:type="dxa"/>
            <w:shd w:val="clear" w:color="auto" w:fill="auto"/>
            <w:noWrap/>
            <w:vAlign w:val="bottom"/>
            <w:hideMark/>
          </w:tcPr>
          <w:p>
            <w:pPr>
              <w:spacing w:after="0" w:line="240" w:lineRule="auto"/>
              <w:jc w:val="center"/>
              <w:rPr>
                <w:rFonts w:eastAsia="Times New Roman" w:cs="Calibri"/>
                <w:noProof/>
                <w:color w:val="000000"/>
              </w:rPr>
            </w:pPr>
            <w:r>
              <w:rPr>
                <w:noProof/>
              </w:rPr>
              <w:t>2016</w:t>
            </w:r>
          </w:p>
        </w:tc>
        <w:tc>
          <w:tcPr>
            <w:tcW w:w="1340" w:type="dxa"/>
            <w:shd w:val="clear" w:color="auto" w:fill="auto"/>
            <w:noWrap/>
            <w:vAlign w:val="bottom"/>
            <w:hideMark/>
          </w:tcPr>
          <w:p>
            <w:pPr>
              <w:spacing w:after="0" w:line="240" w:lineRule="auto"/>
              <w:jc w:val="center"/>
              <w:rPr>
                <w:rFonts w:eastAsia="Times New Roman" w:cs="Calibri"/>
                <w:noProof/>
                <w:color w:val="000000"/>
              </w:rPr>
            </w:pPr>
            <w:r>
              <w:rPr>
                <w:noProof/>
              </w:rPr>
              <w:t>1 262</w:t>
            </w:r>
          </w:p>
        </w:tc>
      </w:tr>
      <w:tr>
        <w:trPr>
          <w:trHeight w:val="300"/>
        </w:trPr>
        <w:tc>
          <w:tcPr>
            <w:tcW w:w="1340" w:type="dxa"/>
            <w:shd w:val="clear" w:color="auto" w:fill="auto"/>
            <w:noWrap/>
            <w:vAlign w:val="bottom"/>
            <w:hideMark/>
          </w:tcPr>
          <w:p>
            <w:pPr>
              <w:spacing w:after="0" w:line="240" w:lineRule="auto"/>
              <w:jc w:val="center"/>
              <w:rPr>
                <w:rFonts w:eastAsia="Times New Roman" w:cs="Calibri"/>
                <w:noProof/>
                <w:color w:val="000000"/>
              </w:rPr>
            </w:pPr>
            <w:r>
              <w:rPr>
                <w:noProof/>
              </w:rPr>
              <w:t>2017</w:t>
            </w:r>
          </w:p>
        </w:tc>
        <w:tc>
          <w:tcPr>
            <w:tcW w:w="1340" w:type="dxa"/>
            <w:shd w:val="clear" w:color="auto" w:fill="auto"/>
            <w:noWrap/>
            <w:vAlign w:val="bottom"/>
            <w:hideMark/>
          </w:tcPr>
          <w:p>
            <w:pPr>
              <w:spacing w:after="0" w:line="240" w:lineRule="auto"/>
              <w:jc w:val="center"/>
              <w:rPr>
                <w:rFonts w:eastAsia="Times New Roman" w:cs="Calibri"/>
                <w:noProof/>
                <w:color w:val="000000"/>
              </w:rPr>
            </w:pPr>
            <w:r>
              <w:rPr>
                <w:noProof/>
              </w:rPr>
              <w:t>1 576</w:t>
            </w:r>
          </w:p>
        </w:tc>
      </w:tr>
      <w:tr>
        <w:trPr>
          <w:trHeight w:val="300"/>
        </w:trPr>
        <w:tc>
          <w:tcPr>
            <w:tcW w:w="1340" w:type="dxa"/>
            <w:shd w:val="clear" w:color="auto" w:fill="auto"/>
            <w:noWrap/>
            <w:vAlign w:val="bottom"/>
            <w:hideMark/>
          </w:tcPr>
          <w:p>
            <w:pPr>
              <w:spacing w:after="0" w:line="240" w:lineRule="auto"/>
              <w:jc w:val="center"/>
              <w:rPr>
                <w:rFonts w:eastAsia="Times New Roman" w:cs="Calibri"/>
                <w:noProof/>
                <w:color w:val="000000"/>
              </w:rPr>
            </w:pPr>
            <w:r>
              <w:rPr>
                <w:noProof/>
              </w:rPr>
              <w:t>2018</w:t>
            </w:r>
          </w:p>
        </w:tc>
        <w:tc>
          <w:tcPr>
            <w:tcW w:w="1340" w:type="dxa"/>
            <w:shd w:val="clear" w:color="auto" w:fill="auto"/>
            <w:noWrap/>
            <w:vAlign w:val="bottom"/>
            <w:hideMark/>
          </w:tcPr>
          <w:p>
            <w:pPr>
              <w:spacing w:after="0" w:line="240" w:lineRule="auto"/>
              <w:jc w:val="center"/>
              <w:rPr>
                <w:rFonts w:eastAsia="Times New Roman" w:cs="Calibri"/>
                <w:noProof/>
                <w:color w:val="000000"/>
              </w:rPr>
            </w:pPr>
            <w:r>
              <w:rPr>
                <w:noProof/>
              </w:rPr>
              <w:t>1 810</w:t>
            </w:r>
          </w:p>
        </w:tc>
      </w:tr>
      <w:tr>
        <w:trPr>
          <w:trHeight w:val="315"/>
        </w:trPr>
        <w:tc>
          <w:tcPr>
            <w:tcW w:w="1340" w:type="dxa"/>
            <w:shd w:val="clear" w:color="D9E1F2" w:fill="D9E1F2"/>
            <w:noWrap/>
            <w:vAlign w:val="bottom"/>
            <w:hideMark/>
          </w:tcPr>
          <w:p>
            <w:pPr>
              <w:spacing w:after="0" w:line="240" w:lineRule="auto"/>
              <w:jc w:val="center"/>
              <w:rPr>
                <w:rFonts w:eastAsia="Times New Roman" w:cs="Calibri"/>
                <w:b/>
                <w:bCs/>
                <w:noProof/>
                <w:color w:val="000000"/>
              </w:rPr>
            </w:pPr>
            <w:r>
              <w:rPr>
                <w:rFonts w:eastAsia="Times New Roman" w:cs="Calibri"/>
                <w:b/>
                <w:bCs/>
                <w:noProof/>
                <w:color w:val="000000"/>
              </w:rPr>
              <w:t>Iš viso</w:t>
            </w:r>
          </w:p>
        </w:tc>
        <w:tc>
          <w:tcPr>
            <w:tcW w:w="1340" w:type="dxa"/>
            <w:shd w:val="clear" w:color="D9E1F2" w:fill="D9E1F2"/>
            <w:noWrap/>
            <w:vAlign w:val="bottom"/>
            <w:hideMark/>
          </w:tcPr>
          <w:p>
            <w:pPr>
              <w:spacing w:after="0" w:line="240" w:lineRule="auto"/>
              <w:jc w:val="center"/>
              <w:rPr>
                <w:rFonts w:eastAsia="Times New Roman" w:cs="Calibri"/>
                <w:b/>
                <w:bCs/>
                <w:noProof/>
                <w:color w:val="000000"/>
              </w:rPr>
            </w:pPr>
            <w:r>
              <w:rPr>
                <w:b/>
                <w:bCs/>
                <w:noProof/>
              </w:rPr>
              <w:t>6 240</w:t>
            </w:r>
          </w:p>
        </w:tc>
      </w:tr>
    </w:tbl>
    <w:p>
      <w:pPr>
        <w:jc w:val="center"/>
        <w:rPr>
          <w:rFonts w:ascii="Times New Roman" w:hAnsi="Times New Roman"/>
          <w:noProof/>
          <w:sz w:val="24"/>
          <w:szCs w:val="24"/>
        </w:rPr>
      </w:pPr>
      <w:r>
        <w:rPr>
          <w:rFonts w:ascii="Times New Roman" w:hAnsi="Times New Roman"/>
          <w:noProof/>
        </w:rPr>
        <w:fldChar w:fldCharType="end"/>
      </w:r>
    </w:p>
    <w:p>
      <w:pPr>
        <w:spacing w:after="120" w:line="240" w:lineRule="auto"/>
        <w:jc w:val="both"/>
        <w:rPr>
          <w:rFonts w:ascii="Times New Roman" w:hAnsi="Times New Roman"/>
          <w:noProof/>
          <w:sz w:val="24"/>
          <w:szCs w:val="24"/>
        </w:rPr>
      </w:pPr>
      <w:r>
        <w:rPr>
          <w:rFonts w:ascii="Times New Roman" w:hAnsi="Times New Roman"/>
          <w:noProof/>
          <w:sz w:val="24"/>
          <w:szCs w:val="24"/>
        </w:rPr>
        <w:t>Pagal SPR ETĮ iš esmės yra grindžiami EVD. Kaip paaiškinta 2.4.2 skirsnyje, siekiant užtikrinti perėjimą nuo SPD prie SPR, ETĮ taip pat buvo išduoti remiantis rekomendacijomis, kaip suteikti Europos techninį liudijimą, arba EVD, kuriais keičiami ETĮ arba bendri susitarimai dėl patvirtinimo procedūrų.</w:t>
      </w:r>
    </w:p>
    <w:p>
      <w:pPr>
        <w:spacing w:after="120" w:line="240" w:lineRule="auto"/>
        <w:jc w:val="both"/>
        <w:rPr>
          <w:rFonts w:ascii="Times New Roman" w:hAnsi="Times New Roman"/>
          <w:noProof/>
          <w:sz w:val="24"/>
          <w:szCs w:val="24"/>
        </w:rPr>
      </w:pPr>
    </w:p>
    <w:p>
      <w:pPr>
        <w:spacing w:after="0" w:line="240" w:lineRule="auto"/>
        <w:jc w:val="center"/>
        <w:rPr>
          <w:rFonts w:eastAsia="Times New Roman"/>
          <w:noProof/>
          <w:color w:val="000000"/>
          <w:sz w:val="24"/>
          <w:szCs w:val="24"/>
        </w:rPr>
      </w:pPr>
      <w:r>
        <w:rPr>
          <w:noProof/>
        </w:rPr>
        <w:t>6 lentelė. ETĮ skaičius pagal jų išdavimo pagrindą (2013–2018 m.):</w:t>
      </w:r>
    </w:p>
    <w:tbl>
      <w:tblPr>
        <w:tblW w:w="4940" w:type="dxa"/>
        <w:jc w:val="center"/>
        <w:tblLayout w:type="fixed"/>
        <w:tblLook w:val="04A0" w:firstRow="1" w:lastRow="0" w:firstColumn="1" w:lastColumn="0" w:noHBand="0" w:noVBand="1"/>
      </w:tblPr>
      <w:tblGrid>
        <w:gridCol w:w="1809"/>
        <w:gridCol w:w="1560"/>
        <w:gridCol w:w="1571"/>
      </w:tblGrid>
      <w:tr>
        <w:trPr>
          <w:trHeight w:val="300"/>
          <w:jc w:val="center"/>
        </w:trPr>
        <w:tc>
          <w:tcPr>
            <w:tcW w:w="1809" w:type="dxa"/>
            <w:tcBorders>
              <w:top w:val="single" w:sz="8" w:space="0" w:color="auto"/>
              <w:left w:val="single" w:sz="8" w:space="0" w:color="auto"/>
              <w:bottom w:val="single" w:sz="4" w:space="0" w:color="auto"/>
              <w:right w:val="single" w:sz="8" w:space="0" w:color="auto"/>
            </w:tcBorders>
            <w:shd w:val="clear" w:color="D9E1F2" w:fill="DEEAF6"/>
            <w:noWrap/>
            <w:vAlign w:val="center"/>
            <w:hideMark/>
          </w:tcPr>
          <w:p>
            <w:pPr>
              <w:spacing w:after="0" w:line="240" w:lineRule="auto"/>
              <w:rPr>
                <w:rFonts w:eastAsia="Times New Roman"/>
                <w:b/>
                <w:bCs/>
                <w:noProof/>
                <w:color w:val="000000"/>
              </w:rPr>
            </w:pPr>
            <w:r>
              <w:rPr>
                <w:b/>
                <w:bCs/>
                <w:noProof/>
              </w:rPr>
              <w:t>ETĮ, išduoti remiantis</w:t>
            </w:r>
          </w:p>
        </w:tc>
        <w:tc>
          <w:tcPr>
            <w:tcW w:w="1560" w:type="dxa"/>
            <w:tcBorders>
              <w:top w:val="single" w:sz="8" w:space="0" w:color="auto"/>
              <w:left w:val="nil"/>
              <w:bottom w:val="single" w:sz="4" w:space="0" w:color="auto"/>
              <w:right w:val="single" w:sz="4" w:space="0" w:color="auto"/>
            </w:tcBorders>
            <w:shd w:val="clear" w:color="D9E1F2" w:fill="DEEAF6"/>
            <w:noWrap/>
            <w:vAlign w:val="center"/>
            <w:hideMark/>
          </w:tcPr>
          <w:p>
            <w:pPr>
              <w:spacing w:after="0" w:line="240" w:lineRule="auto"/>
              <w:rPr>
                <w:rFonts w:eastAsia="Times New Roman"/>
                <w:b/>
                <w:bCs/>
                <w:noProof/>
                <w:color w:val="000000"/>
              </w:rPr>
            </w:pPr>
            <w:r>
              <w:rPr>
                <w:b/>
                <w:bCs/>
                <w:noProof/>
              </w:rPr>
              <w:t>Išduotų ETĮ skaičius</w:t>
            </w:r>
          </w:p>
        </w:tc>
        <w:tc>
          <w:tcPr>
            <w:tcW w:w="1571" w:type="dxa"/>
            <w:tcBorders>
              <w:top w:val="single" w:sz="8" w:space="0" w:color="auto"/>
              <w:left w:val="single" w:sz="4" w:space="0" w:color="auto"/>
              <w:bottom w:val="single" w:sz="4" w:space="0" w:color="auto"/>
              <w:right w:val="single" w:sz="8" w:space="0" w:color="auto"/>
            </w:tcBorders>
            <w:shd w:val="clear" w:color="D9E1F2" w:fill="DEEAF6"/>
            <w:noWrap/>
            <w:vAlign w:val="center"/>
            <w:hideMark/>
          </w:tcPr>
          <w:p>
            <w:pPr>
              <w:spacing w:after="0" w:line="240" w:lineRule="auto"/>
              <w:rPr>
                <w:rFonts w:eastAsia="Times New Roman"/>
                <w:b/>
                <w:bCs/>
                <w:noProof/>
                <w:color w:val="000000"/>
              </w:rPr>
            </w:pPr>
            <w:r>
              <w:rPr>
                <w:b/>
                <w:bCs/>
                <w:noProof/>
              </w:rPr>
              <w:t>Išduotų ETĮ procentinė dalis</w:t>
            </w:r>
          </w:p>
        </w:tc>
      </w:tr>
      <w:tr>
        <w:trPr>
          <w:trHeight w:val="300"/>
          <w:jc w:val="center"/>
        </w:trPr>
        <w:tc>
          <w:tcPr>
            <w:tcW w:w="1809"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b/>
                <w:bCs/>
                <w:noProof/>
                <w:color w:val="000000"/>
              </w:rPr>
            </w:pPr>
            <w:r>
              <w:rPr>
                <w:b/>
                <w:bCs/>
                <w:noProof/>
              </w:rPr>
              <w:t>rekomendacijomis, kaip suteikti Europos techninį liudijimą, arba EVD, kuriais rekomendacijos keičiamos</w:t>
            </w:r>
          </w:p>
        </w:tc>
        <w:tc>
          <w:tcPr>
            <w:tcW w:w="15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noProof/>
                <w:color w:val="000000"/>
              </w:rPr>
            </w:pPr>
            <w:r>
              <w:rPr>
                <w:noProof/>
              </w:rPr>
              <w:t>4 873</w:t>
            </w:r>
          </w:p>
        </w:tc>
        <w:tc>
          <w:tcPr>
            <w:tcW w:w="157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noProof/>
                <w:color w:val="000000"/>
              </w:rPr>
            </w:pPr>
            <w:r>
              <w:rPr>
                <w:noProof/>
              </w:rPr>
              <w:t>78 %</w:t>
            </w:r>
          </w:p>
        </w:tc>
      </w:tr>
      <w:tr>
        <w:trPr>
          <w:trHeight w:val="300"/>
          <w:jc w:val="center"/>
        </w:trPr>
        <w:tc>
          <w:tcPr>
            <w:tcW w:w="1809"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b/>
                <w:bCs/>
                <w:noProof/>
                <w:color w:val="000000"/>
              </w:rPr>
            </w:pPr>
            <w:r>
              <w:rPr>
                <w:b/>
                <w:bCs/>
                <w:noProof/>
              </w:rPr>
              <w:t>EVD, kuriais keičiami bendri susitarimai dėl patvirtinimo procedūrų</w:t>
            </w:r>
          </w:p>
        </w:tc>
        <w:tc>
          <w:tcPr>
            <w:tcW w:w="15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noProof/>
                <w:color w:val="000000"/>
              </w:rPr>
            </w:pPr>
            <w:r>
              <w:rPr>
                <w:noProof/>
              </w:rPr>
              <w:t>817</w:t>
            </w:r>
          </w:p>
        </w:tc>
        <w:tc>
          <w:tcPr>
            <w:tcW w:w="157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noProof/>
                <w:color w:val="000000"/>
              </w:rPr>
            </w:pPr>
            <w:r>
              <w:rPr>
                <w:noProof/>
              </w:rPr>
              <w:t>13 %</w:t>
            </w:r>
          </w:p>
        </w:tc>
      </w:tr>
      <w:tr>
        <w:trPr>
          <w:trHeight w:val="300"/>
          <w:jc w:val="center"/>
        </w:trPr>
        <w:tc>
          <w:tcPr>
            <w:tcW w:w="1809"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b/>
                <w:bCs/>
                <w:noProof/>
                <w:color w:val="000000"/>
              </w:rPr>
            </w:pPr>
            <w:r>
              <w:rPr>
                <w:b/>
                <w:bCs/>
                <w:noProof/>
              </w:rPr>
              <w:t>naujais EVD</w:t>
            </w:r>
          </w:p>
        </w:tc>
        <w:tc>
          <w:tcPr>
            <w:tcW w:w="15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noProof/>
                <w:color w:val="000000"/>
              </w:rPr>
            </w:pPr>
            <w:r>
              <w:rPr>
                <w:noProof/>
              </w:rPr>
              <w:t>550</w:t>
            </w:r>
          </w:p>
        </w:tc>
        <w:tc>
          <w:tcPr>
            <w:tcW w:w="157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noProof/>
                <w:color w:val="000000"/>
              </w:rPr>
            </w:pPr>
            <w:r>
              <w:rPr>
                <w:noProof/>
              </w:rPr>
              <w:t>9 %</w:t>
            </w:r>
          </w:p>
        </w:tc>
      </w:tr>
      <w:tr>
        <w:trPr>
          <w:trHeight w:val="315"/>
          <w:jc w:val="center"/>
        </w:trPr>
        <w:tc>
          <w:tcPr>
            <w:tcW w:w="1809" w:type="dxa"/>
            <w:tcBorders>
              <w:top w:val="single" w:sz="4" w:space="0" w:color="auto"/>
              <w:left w:val="single" w:sz="8" w:space="0" w:color="auto"/>
              <w:bottom w:val="single" w:sz="8" w:space="0" w:color="auto"/>
              <w:right w:val="single" w:sz="8" w:space="0" w:color="auto"/>
            </w:tcBorders>
            <w:shd w:val="clear" w:color="D9E1F2" w:fill="DEEAF6"/>
            <w:noWrap/>
            <w:vAlign w:val="bottom"/>
            <w:hideMark/>
          </w:tcPr>
          <w:p>
            <w:pPr>
              <w:spacing w:after="0" w:line="240" w:lineRule="auto"/>
              <w:rPr>
                <w:rFonts w:eastAsia="Times New Roman"/>
                <w:b/>
                <w:bCs/>
                <w:noProof/>
                <w:color w:val="000000"/>
              </w:rPr>
            </w:pPr>
            <w:r>
              <w:rPr>
                <w:b/>
                <w:bCs/>
                <w:noProof/>
              </w:rPr>
              <w:t>Iš viso</w:t>
            </w:r>
          </w:p>
        </w:tc>
        <w:tc>
          <w:tcPr>
            <w:tcW w:w="1560" w:type="dxa"/>
            <w:tcBorders>
              <w:top w:val="single" w:sz="4" w:space="0" w:color="auto"/>
              <w:left w:val="nil"/>
              <w:bottom w:val="single" w:sz="8" w:space="0" w:color="auto"/>
              <w:right w:val="single" w:sz="4" w:space="0" w:color="auto"/>
            </w:tcBorders>
            <w:shd w:val="clear" w:color="D9E1F2" w:fill="DEEAF6"/>
            <w:noWrap/>
            <w:vAlign w:val="bottom"/>
            <w:hideMark/>
          </w:tcPr>
          <w:p>
            <w:pPr>
              <w:spacing w:after="0" w:line="240" w:lineRule="auto"/>
              <w:jc w:val="center"/>
              <w:rPr>
                <w:rFonts w:eastAsia="Times New Roman"/>
                <w:b/>
                <w:bCs/>
                <w:noProof/>
                <w:color w:val="000000"/>
              </w:rPr>
            </w:pPr>
            <w:r>
              <w:rPr>
                <w:b/>
                <w:bCs/>
                <w:noProof/>
              </w:rPr>
              <w:t>6 240</w:t>
            </w:r>
          </w:p>
        </w:tc>
        <w:tc>
          <w:tcPr>
            <w:tcW w:w="1571" w:type="dxa"/>
            <w:tcBorders>
              <w:top w:val="single" w:sz="4" w:space="0" w:color="auto"/>
              <w:left w:val="single" w:sz="4" w:space="0" w:color="auto"/>
              <w:bottom w:val="single" w:sz="8" w:space="0" w:color="auto"/>
              <w:right w:val="single" w:sz="8" w:space="0" w:color="auto"/>
            </w:tcBorders>
            <w:shd w:val="clear" w:color="D9E1F2" w:fill="DEEAF6"/>
            <w:noWrap/>
            <w:vAlign w:val="bottom"/>
            <w:hideMark/>
          </w:tcPr>
          <w:p>
            <w:pPr>
              <w:spacing w:after="0" w:line="240" w:lineRule="auto"/>
              <w:jc w:val="center"/>
              <w:rPr>
                <w:rFonts w:eastAsia="Times New Roman"/>
                <w:b/>
                <w:bCs/>
                <w:noProof/>
                <w:color w:val="000000"/>
              </w:rPr>
            </w:pPr>
            <w:r>
              <w:rPr>
                <w:b/>
                <w:bCs/>
                <w:noProof/>
              </w:rPr>
              <w:t>100 %</w:t>
            </w:r>
          </w:p>
        </w:tc>
      </w:tr>
    </w:tbl>
    <w:p>
      <w:pPr>
        <w:spacing w:after="120" w:line="240" w:lineRule="auto"/>
        <w:jc w:val="both"/>
        <w:rPr>
          <w:rFonts w:ascii="Times New Roman" w:hAnsi="Times New Roman"/>
          <w:noProof/>
          <w:sz w:val="24"/>
          <w:szCs w:val="24"/>
        </w:rPr>
      </w:pPr>
    </w:p>
    <w:p>
      <w:pPr>
        <w:spacing w:after="120" w:line="240" w:lineRule="auto"/>
        <w:jc w:val="both"/>
        <w:rPr>
          <w:rFonts w:ascii="Times New Roman" w:hAnsi="Times New Roman"/>
          <w:noProof/>
          <w:sz w:val="24"/>
          <w:szCs w:val="24"/>
        </w:rPr>
      </w:pPr>
      <w:r>
        <w:rPr>
          <w:rFonts w:ascii="Times New Roman" w:hAnsi="Times New Roman"/>
          <w:noProof/>
          <w:sz w:val="24"/>
          <w:szCs w:val="24"/>
        </w:rPr>
        <w:t>Kaip matoma iš pirmiau pateiktos lentelės, 91 proc. visų išduotų ETĮ yra grindžiami dokumentais, kurių turinys buvo parengtas dar SPD taikymo laikotarpiu, ir tik 9 proc. ETĮ yra parengti remiantis naujais EVD. Kaip minėta pirmiau, akivaizdi dauguma ETĮ, grindžiamų naujais EVD, yra susiję ne su rinkoje atsiradusiais naujais produktais, o veikiau su nedideliais nukrypimais nuo suderintųjų standartų (arba kitų EVD).</w:t>
      </w:r>
    </w:p>
    <w:p>
      <w:pPr>
        <w:spacing w:after="120" w:line="240" w:lineRule="auto"/>
        <w:jc w:val="both"/>
        <w:rPr>
          <w:rFonts w:ascii="Times New Roman" w:hAnsi="Times New Roman"/>
          <w:noProof/>
          <w:sz w:val="24"/>
          <w:szCs w:val="24"/>
        </w:rPr>
      </w:pPr>
      <w:r>
        <w:rPr>
          <w:rFonts w:ascii="Times New Roman" w:hAnsi="Times New Roman"/>
          <w:noProof/>
          <w:sz w:val="24"/>
          <w:szCs w:val="24"/>
        </w:rPr>
        <w:t>Daugiau kaip trečdalis visų ETĮ yra parengti remiantis trimis dokumentais (Rekomendacija Nr. 001, kaip suteikti betone naudojamų metalo inkarų Europos techninį liudijimą, Rekomendacija Nr. 004, kaip suteikti tinkuotų išorinių sudėtinių termoizoliacijos sistemų Europos techninį liudijimą, ir Rekomendacija Nr. 026, kaip suteikti gaisrą stabdančių ir priešgaisrinių sandarinimo produktų Europos techninį liudijimą). Pridėjus EVD Nr. 330232 (vienas iš trijų EVD, kuriais keičiama Rekomendacija Nr. 001, kaip suteikti Europos techninį liudijimą), Rekomendaciją Nr. 005, kaip suteikti skystų tepamų stogo hidroizoliacijos komplektų Europos techninį liudijimą, ir Rekomendaciją Nr. 015, kaip suteikti trimačių kalamųjų lakštų Europos techninį liudijimą, šie šeši dokumentai apima 50 proc. išduotų ETĮ.</w:t>
      </w:r>
    </w:p>
    <w:p>
      <w:pPr>
        <w:pStyle w:val="Caption"/>
        <w:jc w:val="center"/>
        <w:rPr>
          <w:rFonts w:eastAsia="Times New Roman"/>
          <w:b w:val="0"/>
          <w:bCs w:val="0"/>
          <w:noProof/>
          <w:color w:val="000000"/>
          <w:sz w:val="24"/>
          <w:szCs w:val="24"/>
        </w:rPr>
      </w:pPr>
      <w:r>
        <w:rPr>
          <w:b w:val="0"/>
          <w:bCs w:val="0"/>
          <w:noProof/>
          <w:sz w:val="24"/>
          <w:szCs w:val="24"/>
        </w:rPr>
        <w:t>2 diagrama. ETĮ pagal dokumentus, kuriais remiantis jie išduoti (2013–2018 m.):</w:t>
      </w:r>
    </w:p>
    <w:p>
      <w:pPr>
        <w:spacing w:after="120" w:line="240" w:lineRule="auto"/>
        <w:jc w:val="center"/>
        <w:rPr>
          <w:noProof/>
        </w:rPr>
      </w:pPr>
      <w:r>
        <w:rPr>
          <w:noProof/>
        </w:rPr>
        <w:t xml:space="preserve"> </w:t>
      </w:r>
      <w:r>
        <w:rPr>
          <w:noProof/>
          <w:lang w:val="en-GB" w:eastAsia="en-GB"/>
        </w:rPr>
        <w:drawing>
          <wp:inline distT="0" distB="0" distL="0" distR="0">
            <wp:extent cx="2981325" cy="243137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90708" cy="2439024"/>
                    </a:xfrm>
                    <a:prstGeom prst="rect">
                      <a:avLst/>
                    </a:prstGeom>
                    <a:noFill/>
                    <a:ln>
                      <a:noFill/>
                    </a:ln>
                  </pic:spPr>
                </pic:pic>
              </a:graphicData>
            </a:graphic>
          </wp:inline>
        </w:drawing>
      </w:r>
    </w:p>
    <w:p>
      <w:pPr>
        <w:spacing w:after="120" w:line="240" w:lineRule="auto"/>
        <w:jc w:val="both"/>
        <w:rPr>
          <w:rFonts w:ascii="Times New Roman" w:hAnsi="Times New Roman"/>
          <w:noProof/>
          <w:sz w:val="24"/>
          <w:szCs w:val="24"/>
        </w:rPr>
      </w:pPr>
      <w:r>
        <w:rPr>
          <w:rFonts w:ascii="Times New Roman" w:hAnsi="Times New Roman"/>
          <w:noProof/>
          <w:sz w:val="24"/>
          <w:szCs w:val="24"/>
        </w:rPr>
        <w:t>Kadangi produktai, kuriems šie šeši dokumentai taikomi, yra plačiai naudojami ir yra stabilūs, nes yra nuolat taikomi nuo praeito amžiaus paskutinio dešimtmečio, Komisija galėjo taikyti SPR 19 straipsnio 1 dalį, kuri suteikia galimybę naudoti EVD kaip pagrindą teikti standartizavimo prašymus.</w:t>
      </w:r>
    </w:p>
    <w:p>
      <w:pPr>
        <w:spacing w:after="120" w:line="240" w:lineRule="auto"/>
        <w:jc w:val="both"/>
        <w:rPr>
          <w:rFonts w:ascii="Times New Roman" w:hAnsi="Times New Roman"/>
          <w:b/>
          <w:noProof/>
          <w:sz w:val="24"/>
          <w:szCs w:val="24"/>
        </w:rPr>
      </w:pPr>
    </w:p>
    <w:p>
      <w:pPr>
        <w:spacing w:after="120" w:line="240" w:lineRule="auto"/>
        <w:jc w:val="both"/>
        <w:rPr>
          <w:rFonts w:ascii="Times New Roman" w:hAnsi="Times New Roman"/>
          <w:b/>
          <w:noProof/>
          <w:sz w:val="24"/>
          <w:szCs w:val="24"/>
        </w:rPr>
      </w:pPr>
      <w:r>
        <w:rPr>
          <w:rFonts w:ascii="Times New Roman" w:hAnsi="Times New Roman"/>
          <w:b/>
          <w:noProof/>
          <w:sz w:val="24"/>
          <w:szCs w:val="24"/>
        </w:rPr>
        <w:t>ETĮ pagal produktų sritis</w:t>
      </w:r>
    </w:p>
    <w:p>
      <w:pPr>
        <w:spacing w:after="120" w:line="240" w:lineRule="auto"/>
        <w:jc w:val="both"/>
        <w:rPr>
          <w:rFonts w:ascii="Times New Roman" w:hAnsi="Times New Roman"/>
          <w:noProof/>
          <w:sz w:val="24"/>
          <w:szCs w:val="24"/>
        </w:rPr>
      </w:pPr>
      <w:r>
        <w:rPr>
          <w:rFonts w:ascii="Times New Roman" w:hAnsi="Times New Roman"/>
          <w:noProof/>
          <w:sz w:val="24"/>
          <w:szCs w:val="24"/>
        </w:rPr>
        <w:t>Gamintojai yra labiausiai suinteresuoti ETĮ keliose produktų srityse. Iš esmės, du trečdaliai visų 6 240 ETĮ yra susiję tik su trimis sritimis iš SPR IV priede pateikto produktų sričių sąrašo:</w:t>
      </w:r>
    </w:p>
    <w:p>
      <w:pPr>
        <w:numPr>
          <w:ilvl w:val="0"/>
          <w:numId w:val="30"/>
        </w:numPr>
        <w:spacing w:after="120" w:line="240" w:lineRule="auto"/>
        <w:jc w:val="both"/>
        <w:rPr>
          <w:rFonts w:ascii="Times New Roman" w:hAnsi="Times New Roman"/>
          <w:noProof/>
          <w:sz w:val="24"/>
          <w:szCs w:val="24"/>
        </w:rPr>
      </w:pPr>
      <w:r>
        <w:rPr>
          <w:rFonts w:ascii="Times New Roman" w:hAnsi="Times New Roman"/>
          <w:noProof/>
          <w:sz w:val="24"/>
          <w:szCs w:val="24"/>
        </w:rPr>
        <w:t>33 sritimi: tvirtinimo detalės (36 proc.);</w:t>
      </w:r>
    </w:p>
    <w:p>
      <w:pPr>
        <w:numPr>
          <w:ilvl w:val="0"/>
          <w:numId w:val="30"/>
        </w:numPr>
        <w:spacing w:after="120" w:line="240" w:lineRule="auto"/>
        <w:jc w:val="both"/>
        <w:rPr>
          <w:rFonts w:ascii="Times New Roman" w:hAnsi="Times New Roman"/>
          <w:noProof/>
          <w:sz w:val="24"/>
          <w:szCs w:val="24"/>
        </w:rPr>
      </w:pPr>
      <w:r>
        <w:rPr>
          <w:rFonts w:ascii="Times New Roman" w:hAnsi="Times New Roman"/>
          <w:noProof/>
          <w:sz w:val="24"/>
          <w:szCs w:val="24"/>
        </w:rPr>
        <w:t>35 sritimi: gaisrą stabdantys, priešgaisriniai sandarinimo ir apsaugos produktai, degimą lėtinantys produktai (17 proc.) ir</w:t>
      </w:r>
    </w:p>
    <w:p>
      <w:pPr>
        <w:numPr>
          <w:ilvl w:val="0"/>
          <w:numId w:val="30"/>
        </w:numPr>
        <w:spacing w:after="120" w:line="240" w:lineRule="auto"/>
        <w:jc w:val="both"/>
        <w:rPr>
          <w:rFonts w:ascii="Times New Roman" w:hAnsi="Times New Roman"/>
          <w:noProof/>
          <w:sz w:val="24"/>
          <w:szCs w:val="24"/>
        </w:rPr>
      </w:pPr>
      <w:r>
        <w:rPr>
          <w:rFonts w:ascii="Times New Roman" w:hAnsi="Times New Roman"/>
          <w:noProof/>
          <w:sz w:val="24"/>
          <w:szCs w:val="24"/>
        </w:rPr>
        <w:t>4 sritimi: termoizoliaciniai produktai, sudėtiniai izoliacijos komplektai/sistemos (15 proc.).</w:t>
      </w:r>
    </w:p>
    <w:p>
      <w:pPr>
        <w:spacing w:after="120" w:line="240" w:lineRule="auto"/>
        <w:jc w:val="both"/>
        <w:rPr>
          <w:rFonts w:ascii="Times New Roman" w:hAnsi="Times New Roman"/>
          <w:noProof/>
          <w:sz w:val="24"/>
          <w:szCs w:val="24"/>
        </w:rPr>
      </w:pPr>
      <w:r>
        <w:rPr>
          <w:rFonts w:ascii="Times New Roman" w:hAnsi="Times New Roman"/>
          <w:noProof/>
          <w:sz w:val="24"/>
          <w:szCs w:val="24"/>
        </w:rPr>
        <w:t>Be to, daugiau kaip 85 proc. šiose trijose produktų srityse išduotų ETĮ yra grindžiami rekomendacijomis, kaip suteikti Europos techninį liudijimą, arba EVD, kuriais šios rekomendacijos keičiamos.</w:t>
      </w:r>
    </w:p>
    <w:p>
      <w:pPr>
        <w:spacing w:after="120" w:line="240" w:lineRule="auto"/>
        <w:jc w:val="center"/>
        <w:rPr>
          <w:rFonts w:cs="Calibri"/>
          <w:noProof/>
          <w:sz w:val="24"/>
          <w:szCs w:val="24"/>
        </w:rPr>
      </w:pPr>
      <w:r>
        <w:rPr>
          <w:noProof/>
          <w:sz w:val="24"/>
          <w:szCs w:val="24"/>
        </w:rPr>
        <w:t>3 diagrama. ETĮ pagal produktų sritis (2013–2018 m.):</w:t>
      </w:r>
    </w:p>
    <w:p>
      <w:pPr>
        <w:spacing w:after="120" w:line="240" w:lineRule="auto"/>
        <w:jc w:val="center"/>
        <w:rPr>
          <w:rFonts w:ascii="Times New Roman" w:hAnsi="Times New Roman"/>
          <w:noProof/>
          <w:sz w:val="24"/>
          <w:szCs w:val="24"/>
        </w:rPr>
      </w:pPr>
      <w:r>
        <w:rPr>
          <w:noProof/>
          <w:lang w:val="en-GB" w:eastAsia="en-GB"/>
        </w:rPr>
        <w:drawing>
          <wp:inline distT="0" distB="0" distL="0" distR="0">
            <wp:extent cx="3209925" cy="241843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19609" cy="2425732"/>
                    </a:xfrm>
                    <a:prstGeom prst="rect">
                      <a:avLst/>
                    </a:prstGeom>
                    <a:noFill/>
                    <a:ln>
                      <a:noFill/>
                    </a:ln>
                  </pic:spPr>
                </pic:pic>
              </a:graphicData>
            </a:graphic>
          </wp:inline>
        </w:drawing>
      </w:r>
      <w:r>
        <w:rPr>
          <w:noProof/>
        </w:rPr>
        <w:t xml:space="preserve"> </w:t>
      </w:r>
    </w:p>
    <w:p>
      <w:pPr>
        <w:spacing w:after="120" w:line="240" w:lineRule="auto"/>
        <w:jc w:val="both"/>
        <w:rPr>
          <w:rFonts w:ascii="Times New Roman" w:hAnsi="Times New Roman"/>
          <w:noProof/>
          <w:sz w:val="24"/>
          <w:szCs w:val="24"/>
        </w:rPr>
      </w:pPr>
      <w:r>
        <w:rPr>
          <w:rFonts w:ascii="Times New Roman" w:hAnsi="Times New Roman"/>
          <w:noProof/>
          <w:sz w:val="24"/>
          <w:szCs w:val="24"/>
        </w:rPr>
        <w:t>Įtraukus 3 sritį (membranos, įskaitant skystą tepamą membraną ir komplektus), 34 sritį (konstrukcijų komplektai, dalys, surenkamieji elementai) ir 13 sritį (statybinės medienos produktai/elementai ir pagalbiniai įrenginiai), pirmiau pateiktoje lentelėje nurodytose šešiose srityse yra išleista iki 86 proc. ETĮ. Palyginti su jomis, 30 kitų sričių išleista tik 14 proc. ETĮ.</w:t>
      </w:r>
    </w:p>
    <w:p>
      <w:pPr>
        <w:spacing w:after="120" w:line="240" w:lineRule="auto"/>
        <w:jc w:val="both"/>
        <w:rPr>
          <w:rFonts w:ascii="Times New Roman" w:hAnsi="Times New Roman"/>
          <w:noProof/>
          <w:sz w:val="24"/>
          <w:szCs w:val="24"/>
        </w:rPr>
      </w:pPr>
      <w:r>
        <w:rPr>
          <w:rFonts w:ascii="Times New Roman" w:hAnsi="Times New Roman"/>
          <w:noProof/>
          <w:sz w:val="24"/>
          <w:szCs w:val="24"/>
        </w:rPr>
        <w:t>Tai galėtų sustiprinti argumentus dėl galimybės taikyti SPR 19 straipsnio 4 dalį ir parengti standartizavimo prašymą.</w:t>
      </w:r>
    </w:p>
    <w:p>
      <w:pPr>
        <w:spacing w:after="120" w:line="240" w:lineRule="auto"/>
        <w:jc w:val="both"/>
        <w:rPr>
          <w:rFonts w:ascii="Times New Roman" w:hAnsi="Times New Roman"/>
          <w:noProof/>
          <w:sz w:val="24"/>
          <w:szCs w:val="24"/>
        </w:rPr>
      </w:pPr>
      <w:r>
        <w:rPr>
          <w:rFonts w:ascii="Times New Roman" w:hAnsi="Times New Roman"/>
          <w:noProof/>
          <w:sz w:val="24"/>
          <w:szCs w:val="24"/>
        </w:rPr>
        <w:t>Produktų sritys, kuriose neišduota jokių ETĮ (taigi ir nėra jokių EVD, kurių nuorodos būtų paskelbtos Oficialiajame leidinyje): 11 sritis (santechnikos įtaisai); 24 sritis (užpildai); 27 sritis (patalpų šildymo prietaisai) ir 31 sritis (galios, valdymo ir ryšio kabeliai).</w:t>
      </w:r>
    </w:p>
    <w:p>
      <w:pPr>
        <w:spacing w:after="120" w:line="240" w:lineRule="auto"/>
        <w:jc w:val="both"/>
        <w:rPr>
          <w:rFonts w:ascii="Times New Roman" w:hAnsi="Times New Roman"/>
          <w:b/>
          <w:noProof/>
          <w:sz w:val="24"/>
          <w:szCs w:val="24"/>
        </w:rPr>
      </w:pPr>
    </w:p>
    <w:p>
      <w:pPr>
        <w:spacing w:after="120" w:line="240" w:lineRule="auto"/>
        <w:jc w:val="both"/>
        <w:rPr>
          <w:rFonts w:ascii="Times New Roman" w:hAnsi="Times New Roman"/>
          <w:b/>
          <w:noProof/>
          <w:sz w:val="24"/>
          <w:szCs w:val="24"/>
        </w:rPr>
      </w:pPr>
      <w:r>
        <w:rPr>
          <w:rFonts w:ascii="Times New Roman" w:hAnsi="Times New Roman"/>
          <w:b/>
          <w:noProof/>
          <w:sz w:val="24"/>
          <w:szCs w:val="24"/>
        </w:rPr>
        <w:t>ETĮ pagal šalis</w:t>
      </w:r>
    </w:p>
    <w:p>
      <w:pPr>
        <w:spacing w:after="120" w:line="240" w:lineRule="auto"/>
        <w:jc w:val="both"/>
        <w:rPr>
          <w:rFonts w:ascii="Times New Roman" w:hAnsi="Times New Roman"/>
          <w:noProof/>
          <w:sz w:val="24"/>
          <w:szCs w:val="24"/>
        </w:rPr>
      </w:pPr>
      <w:r>
        <w:rPr>
          <w:rFonts w:ascii="Times New Roman" w:hAnsi="Times New Roman"/>
          <w:noProof/>
          <w:sz w:val="24"/>
          <w:szCs w:val="24"/>
        </w:rPr>
        <w:t>Nuo 2013 m. TVĮ, esančios Vokietijoje, yra išdavusios 26 proc. ETĮ, Čekijoje – 14 proc. ir Jungtinėje Karalystėje – 12 proc. Šios trys šalys yra išdavusios pusę visų ETĮ.</w:t>
      </w:r>
    </w:p>
    <w:p>
      <w:pPr>
        <w:spacing w:after="120" w:line="240" w:lineRule="auto"/>
        <w:jc w:val="both"/>
        <w:rPr>
          <w:rFonts w:ascii="Times New Roman" w:hAnsi="Times New Roman"/>
          <w:noProof/>
          <w:sz w:val="24"/>
          <w:szCs w:val="24"/>
        </w:rPr>
      </w:pPr>
      <w:r>
        <w:rPr>
          <w:rFonts w:ascii="Times New Roman" w:hAnsi="Times New Roman"/>
          <w:noProof/>
          <w:sz w:val="24"/>
          <w:szCs w:val="24"/>
        </w:rPr>
        <w:t>Vokietijoje šią veiklą vykdo vienintelė TVĮ (DIBt). Čekijoje pagrindinė šios veiklos vykdytoja yra TVĮ TZUS</w:t>
      </w:r>
      <w:r>
        <w:rPr>
          <w:rStyle w:val="FootnoteReference"/>
          <w:rFonts w:ascii="Times New Roman" w:hAnsi="Times New Roman"/>
          <w:noProof/>
          <w:sz w:val="24"/>
          <w:szCs w:val="24"/>
        </w:rPr>
        <w:footnoteReference w:id="19"/>
      </w:r>
      <w:r>
        <w:rPr>
          <w:rFonts w:ascii="Times New Roman" w:hAnsi="Times New Roman"/>
          <w:noProof/>
          <w:sz w:val="24"/>
          <w:szCs w:val="24"/>
        </w:rPr>
        <w:t>. Kitokia padėtis yra Jungtinėje Karalystėje, kur šią veiklą vykdo visos aštuonios TVĮ.</w:t>
      </w:r>
    </w:p>
    <w:p>
      <w:pPr>
        <w:spacing w:after="120" w:line="240" w:lineRule="auto"/>
        <w:jc w:val="center"/>
        <w:rPr>
          <w:b/>
          <w:bCs/>
          <w:noProof/>
          <w:sz w:val="20"/>
          <w:szCs w:val="20"/>
        </w:rPr>
      </w:pPr>
      <w:r>
        <w:rPr>
          <w:noProof/>
          <w:sz w:val="24"/>
          <w:szCs w:val="24"/>
        </w:rPr>
        <w:t>4 diagrama. Išduotų ETĮ skaičius pagal TVĮ (daugiau kaip 50 ETĮ, tenkančių vienai TVĮ):</w:t>
      </w:r>
      <w:r>
        <w:rPr>
          <w:noProof/>
          <w:lang w:eastAsia="en-GB"/>
        </w:rPr>
        <w:t xml:space="preserve"> </w:t>
      </w:r>
      <w:r>
        <w:rPr>
          <w:noProof/>
          <w:lang w:val="en-GB" w:eastAsia="en-GB"/>
        </w:rPr>
        <w:drawing>
          <wp:inline distT="0" distB="0" distL="0" distR="0">
            <wp:extent cx="5760720" cy="203862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2038627"/>
                    </a:xfrm>
                    <a:prstGeom prst="rect">
                      <a:avLst/>
                    </a:prstGeom>
                    <a:noFill/>
                    <a:ln>
                      <a:noFill/>
                    </a:ln>
                  </pic:spPr>
                </pic:pic>
              </a:graphicData>
            </a:graphic>
          </wp:inline>
        </w:drawing>
      </w:r>
    </w:p>
    <w:p>
      <w:pPr>
        <w:spacing w:after="120" w:line="240" w:lineRule="auto"/>
        <w:jc w:val="both"/>
        <w:rPr>
          <w:rFonts w:ascii="Times New Roman" w:hAnsi="Times New Roman"/>
          <w:noProof/>
          <w:sz w:val="24"/>
          <w:szCs w:val="24"/>
        </w:rPr>
      </w:pPr>
    </w:p>
    <w:p>
      <w:pPr>
        <w:spacing w:after="120" w:line="240" w:lineRule="auto"/>
        <w:jc w:val="both"/>
        <w:rPr>
          <w:rFonts w:ascii="Times New Roman" w:hAnsi="Times New Roman"/>
          <w:noProof/>
          <w:sz w:val="24"/>
          <w:szCs w:val="24"/>
        </w:rPr>
      </w:pPr>
      <w:r>
        <w:rPr>
          <w:rFonts w:ascii="Times New Roman" w:hAnsi="Times New Roman"/>
          <w:noProof/>
          <w:sz w:val="24"/>
          <w:szCs w:val="24"/>
        </w:rPr>
        <w:t>ETĮ turi gamintojai iš 66 skirtingų pasaulio šalių. Pagrindiniai ETĮ turėtojai iš trečiųjų šalių yra Kanadoje (34), Indijoje (24), Taivane (24), JAV (21) ir Jungtiniuose Arabų Emyratuose (20). Kiekviena iš visų kitų 29 šalių turi mažiau kaip po 15 ETĮ.</w:t>
      </w:r>
    </w:p>
    <w:p>
      <w:pPr>
        <w:spacing w:after="120" w:line="240" w:lineRule="auto"/>
        <w:jc w:val="both"/>
        <w:rPr>
          <w:rFonts w:ascii="Times New Roman" w:hAnsi="Times New Roman"/>
          <w:noProof/>
          <w:sz w:val="24"/>
          <w:szCs w:val="24"/>
        </w:rPr>
      </w:pPr>
      <w:r>
        <w:rPr>
          <w:rFonts w:ascii="Times New Roman" w:hAnsi="Times New Roman"/>
          <w:noProof/>
          <w:sz w:val="24"/>
          <w:szCs w:val="24"/>
        </w:rPr>
        <w:t>Pačioje ES duomenys apie ETĮ turinčią šalį (gamintoją) nebūtinai atitinka duomenis apie ETĮ išdavusią šalį (TVĮ). Pavyzdžiui, Čekijos įmonės turi 3 proc. ETĮ, nors Čekijos TVĮ yra išdavusios 14 proc. ETĮ. Panašiai yra Jungtinėje Karalystėje, kurios įmonės turi 7 proc. ETĮ, o TVĮ yra išdavusios 12 proc. ETĮ, ir Danijoje, kurios įmonės turi 2 proc. ETĮ, o TVĮ yra išdavusios 8 proc. ETĮ. Italijoje, priešingai, įmonės turi 8 proc. ETĮ, o TVĮ yra išdavusios 2 proc.</w:t>
      </w:r>
    </w:p>
    <w:p>
      <w:pPr>
        <w:spacing w:after="120" w:line="240" w:lineRule="auto"/>
        <w:jc w:val="both"/>
        <w:rPr>
          <w:rFonts w:ascii="Times New Roman" w:hAnsi="Times New Roman"/>
          <w:noProof/>
          <w:sz w:val="24"/>
          <w:szCs w:val="24"/>
        </w:rPr>
      </w:pPr>
    </w:p>
    <w:p>
      <w:pPr>
        <w:tabs>
          <w:tab w:val="left" w:pos="5245"/>
        </w:tabs>
        <w:spacing w:after="120" w:line="240" w:lineRule="auto"/>
        <w:rPr>
          <w:rFonts w:cs="Calibri"/>
          <w:noProof/>
          <w:sz w:val="24"/>
          <w:szCs w:val="24"/>
        </w:rPr>
      </w:pPr>
    </w:p>
    <w:p>
      <w:pPr>
        <w:spacing w:after="120" w:line="240" w:lineRule="auto"/>
        <w:rPr>
          <w:rFonts w:cs="Calibri"/>
          <w:noProof/>
          <w:sz w:val="24"/>
          <w:szCs w:val="24"/>
        </w:rPr>
      </w:pPr>
      <w:r>
        <w:rPr>
          <w:noProof/>
          <w:sz w:val="24"/>
          <w:szCs w:val="24"/>
        </w:rPr>
        <w:t xml:space="preserve">    5 diagrama. ETĮ pagal išduodančios TVĮ šalį: </w:t>
      </w:r>
      <w:r>
        <w:rPr>
          <w:noProof/>
          <w:sz w:val="24"/>
          <w:szCs w:val="24"/>
        </w:rPr>
        <w:tab/>
        <w:t xml:space="preserve">            6 diagrama. ETĮ pagal turėtojų šalį:</w:t>
      </w:r>
    </w:p>
    <w:p>
      <w:pPr>
        <w:spacing w:after="120" w:line="240" w:lineRule="auto"/>
        <w:rPr>
          <w:rFonts w:ascii="Times New Roman" w:hAnsi="Times New Roman"/>
          <w:noProof/>
          <w:sz w:val="24"/>
          <w:szCs w:val="24"/>
        </w:rPr>
      </w:pPr>
      <w:r>
        <w:rPr>
          <w:rFonts w:ascii="Times New Roman" w:hAnsi="Times New Roman"/>
          <w:noProof/>
          <w:lang w:val="en-GB" w:eastAsia="en-GB"/>
        </w:rPr>
        <w:drawing>
          <wp:inline distT="0" distB="0" distL="0" distR="0">
            <wp:extent cx="2567940" cy="296804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75233" cy="2976475"/>
                    </a:xfrm>
                    <a:prstGeom prst="rect">
                      <a:avLst/>
                    </a:prstGeom>
                    <a:noFill/>
                  </pic:spPr>
                </pic:pic>
              </a:graphicData>
            </a:graphic>
          </wp:inline>
        </w:drawing>
      </w:r>
      <w:r>
        <w:rPr>
          <w:rFonts w:ascii="Times New Roman" w:hAnsi="Times New Roman"/>
          <w:noProof/>
        </w:rPr>
        <w:t xml:space="preserve">         </w:t>
      </w:r>
      <w:r>
        <w:rPr>
          <w:noProof/>
          <w:lang w:val="en-GB" w:eastAsia="en-GB"/>
        </w:rPr>
        <w:drawing>
          <wp:inline distT="0" distB="0" distL="0" distR="0">
            <wp:extent cx="2653790" cy="296837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657869" cy="2972940"/>
                    </a:xfrm>
                    <a:prstGeom prst="rect">
                      <a:avLst/>
                    </a:prstGeom>
                    <a:noFill/>
                  </pic:spPr>
                </pic:pic>
              </a:graphicData>
            </a:graphic>
          </wp:inline>
        </w:drawing>
      </w:r>
    </w:p>
    <w:p>
      <w:pPr>
        <w:spacing w:after="120" w:line="240" w:lineRule="auto"/>
        <w:jc w:val="both"/>
        <w:rPr>
          <w:rFonts w:ascii="Times New Roman" w:hAnsi="Times New Roman"/>
          <w:b/>
          <w:noProof/>
          <w:sz w:val="24"/>
          <w:szCs w:val="24"/>
        </w:rPr>
      </w:pPr>
    </w:p>
    <w:p>
      <w:pPr>
        <w:spacing w:after="120" w:line="240" w:lineRule="auto"/>
        <w:jc w:val="both"/>
        <w:rPr>
          <w:rFonts w:ascii="Times New Roman" w:hAnsi="Times New Roman"/>
          <w:b/>
          <w:noProof/>
          <w:sz w:val="24"/>
          <w:szCs w:val="24"/>
        </w:rPr>
      </w:pPr>
    </w:p>
    <w:p>
      <w:pPr>
        <w:pStyle w:val="Heading2"/>
        <w:rPr>
          <w:noProof/>
        </w:rPr>
      </w:pPr>
      <w:r>
        <w:rPr>
          <w:noProof/>
        </w:rPr>
        <w:t>3.2.</w:t>
      </w:r>
      <w:r>
        <w:rPr>
          <w:noProof/>
        </w:rPr>
        <w:tab/>
        <w:t>Biudžetas</w:t>
      </w:r>
    </w:p>
    <w:p>
      <w:pPr>
        <w:pStyle w:val="Heading3"/>
        <w:rPr>
          <w:noProof/>
        </w:rPr>
      </w:pPr>
      <w:r>
        <w:rPr>
          <w:noProof/>
        </w:rPr>
        <w:t>3.2.1 EOTA finansavimo ištekliai</w:t>
      </w:r>
    </w:p>
    <w:p>
      <w:pPr>
        <w:spacing w:after="120" w:line="240" w:lineRule="auto"/>
        <w:jc w:val="both"/>
        <w:rPr>
          <w:rFonts w:ascii="Times New Roman" w:hAnsi="Times New Roman"/>
          <w:noProof/>
          <w:sz w:val="24"/>
          <w:szCs w:val="24"/>
        </w:rPr>
      </w:pPr>
      <w:r>
        <w:rPr>
          <w:rFonts w:ascii="Times New Roman" w:hAnsi="Times New Roman"/>
          <w:noProof/>
          <w:sz w:val="24"/>
          <w:szCs w:val="24"/>
        </w:rPr>
        <w:t>Pagal SPR 33 straipsnį Europos Komisija suteikė EOTA veiklos dotacijų, kuriomis padengiama didelė jos sąnaudų dalis (40–50 proc.), įskaitant EVD rengimo sąnaudas.</w:t>
      </w:r>
    </w:p>
    <w:p>
      <w:pPr>
        <w:spacing w:after="120" w:line="240" w:lineRule="auto"/>
        <w:jc w:val="both"/>
        <w:rPr>
          <w:rFonts w:ascii="Times New Roman" w:hAnsi="Times New Roman"/>
          <w:noProof/>
          <w:sz w:val="24"/>
          <w:szCs w:val="24"/>
        </w:rPr>
      </w:pPr>
    </w:p>
    <w:p>
      <w:pPr>
        <w:spacing w:after="120" w:line="240" w:lineRule="auto"/>
        <w:jc w:val="center"/>
        <w:rPr>
          <w:rFonts w:cs="Calibri"/>
          <w:i/>
          <w:noProof/>
          <w:color w:val="FF0000"/>
          <w:sz w:val="24"/>
          <w:szCs w:val="24"/>
        </w:rPr>
      </w:pPr>
      <w:r>
        <w:rPr>
          <w:noProof/>
          <w:sz w:val="24"/>
          <w:szCs w:val="24"/>
        </w:rPr>
        <w:t>7 lentelė. EOTA finansavimo šaltiniai, 2013–2018 m. (suma EUR ir ES finansavimo dalis):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984"/>
        <w:gridCol w:w="1158"/>
        <w:gridCol w:w="1454"/>
        <w:gridCol w:w="1454"/>
        <w:gridCol w:w="1454"/>
        <w:gridCol w:w="1374"/>
      </w:tblGrid>
      <w:tr>
        <w:tc>
          <w:tcPr>
            <w:tcW w:w="1424" w:type="dxa"/>
            <w:shd w:val="clear" w:color="auto" w:fill="DEEAF6"/>
          </w:tcPr>
          <w:p>
            <w:pPr>
              <w:spacing w:after="120" w:line="240" w:lineRule="auto"/>
              <w:rPr>
                <w:rFonts w:cs="Calibri"/>
                <w:noProof/>
              </w:rPr>
            </w:pPr>
            <w:r>
              <w:rPr>
                <w:noProof/>
              </w:rPr>
              <w:t>Šaltinis</w:t>
            </w:r>
          </w:p>
        </w:tc>
        <w:tc>
          <w:tcPr>
            <w:tcW w:w="992" w:type="dxa"/>
            <w:shd w:val="clear" w:color="auto" w:fill="DEEAF6"/>
          </w:tcPr>
          <w:p>
            <w:pPr>
              <w:spacing w:after="120" w:line="240" w:lineRule="auto"/>
              <w:jc w:val="center"/>
              <w:rPr>
                <w:rFonts w:cs="Calibri"/>
                <w:noProof/>
              </w:rPr>
            </w:pPr>
            <w:r>
              <w:rPr>
                <w:noProof/>
              </w:rPr>
              <w:t>2013 m.</w:t>
            </w:r>
          </w:p>
        </w:tc>
        <w:tc>
          <w:tcPr>
            <w:tcW w:w="1171" w:type="dxa"/>
            <w:shd w:val="clear" w:color="auto" w:fill="DEEAF6"/>
          </w:tcPr>
          <w:p>
            <w:pPr>
              <w:spacing w:after="120" w:line="240" w:lineRule="auto"/>
              <w:jc w:val="center"/>
              <w:rPr>
                <w:rFonts w:cs="Calibri"/>
                <w:noProof/>
              </w:rPr>
            </w:pPr>
            <w:r>
              <w:rPr>
                <w:noProof/>
              </w:rPr>
              <w:t>2014 m.</w:t>
            </w:r>
          </w:p>
        </w:tc>
        <w:tc>
          <w:tcPr>
            <w:tcW w:w="1470" w:type="dxa"/>
            <w:shd w:val="clear" w:color="auto" w:fill="DEEAF6"/>
          </w:tcPr>
          <w:p>
            <w:pPr>
              <w:spacing w:after="120" w:line="240" w:lineRule="auto"/>
              <w:jc w:val="center"/>
              <w:rPr>
                <w:rFonts w:cs="Calibri"/>
                <w:noProof/>
              </w:rPr>
            </w:pPr>
            <w:r>
              <w:rPr>
                <w:noProof/>
              </w:rPr>
              <w:t>2015 m.</w:t>
            </w:r>
          </w:p>
        </w:tc>
        <w:tc>
          <w:tcPr>
            <w:tcW w:w="1470" w:type="dxa"/>
            <w:shd w:val="clear" w:color="auto" w:fill="DEEAF6"/>
          </w:tcPr>
          <w:p>
            <w:pPr>
              <w:spacing w:after="120" w:line="240" w:lineRule="auto"/>
              <w:jc w:val="center"/>
              <w:rPr>
                <w:rFonts w:cs="Calibri"/>
                <w:noProof/>
              </w:rPr>
            </w:pPr>
            <w:r>
              <w:rPr>
                <w:noProof/>
              </w:rPr>
              <w:t>2016 m.</w:t>
            </w:r>
          </w:p>
        </w:tc>
        <w:tc>
          <w:tcPr>
            <w:tcW w:w="1470" w:type="dxa"/>
            <w:shd w:val="clear" w:color="auto" w:fill="DEEAF6"/>
          </w:tcPr>
          <w:p>
            <w:pPr>
              <w:spacing w:after="120" w:line="240" w:lineRule="auto"/>
              <w:jc w:val="center"/>
              <w:rPr>
                <w:rFonts w:cs="Calibri"/>
                <w:noProof/>
              </w:rPr>
            </w:pPr>
            <w:r>
              <w:rPr>
                <w:noProof/>
              </w:rPr>
              <w:t>2017 m.</w:t>
            </w:r>
          </w:p>
        </w:tc>
        <w:tc>
          <w:tcPr>
            <w:tcW w:w="1291" w:type="dxa"/>
            <w:shd w:val="clear" w:color="auto" w:fill="DEEAF6"/>
          </w:tcPr>
          <w:p>
            <w:pPr>
              <w:spacing w:after="120" w:line="240" w:lineRule="auto"/>
              <w:jc w:val="center"/>
              <w:rPr>
                <w:rFonts w:cs="Calibri"/>
                <w:noProof/>
              </w:rPr>
            </w:pPr>
            <w:r>
              <w:rPr>
                <w:noProof/>
              </w:rPr>
              <w:t>2018 m.</w:t>
            </w:r>
          </w:p>
        </w:tc>
      </w:tr>
      <w:tr>
        <w:tc>
          <w:tcPr>
            <w:tcW w:w="1424" w:type="dxa"/>
            <w:shd w:val="clear" w:color="auto" w:fill="auto"/>
          </w:tcPr>
          <w:p>
            <w:pPr>
              <w:spacing w:after="120" w:line="240" w:lineRule="auto"/>
              <w:jc w:val="both"/>
              <w:rPr>
                <w:rFonts w:cs="Calibri"/>
                <w:noProof/>
              </w:rPr>
            </w:pPr>
            <w:r>
              <w:rPr>
                <w:noProof/>
              </w:rPr>
              <w:t>Gauti narystės mokesčiai</w:t>
            </w:r>
          </w:p>
        </w:tc>
        <w:tc>
          <w:tcPr>
            <w:tcW w:w="992" w:type="dxa"/>
            <w:shd w:val="clear" w:color="auto" w:fill="auto"/>
          </w:tcPr>
          <w:p>
            <w:pPr>
              <w:spacing w:after="120" w:line="240" w:lineRule="auto"/>
              <w:jc w:val="center"/>
              <w:rPr>
                <w:rFonts w:cs="Calibri"/>
                <w:noProof/>
              </w:rPr>
            </w:pPr>
            <w:r>
              <w:rPr>
                <w:noProof/>
              </w:rPr>
              <w:t>487 321</w:t>
            </w:r>
          </w:p>
        </w:tc>
        <w:tc>
          <w:tcPr>
            <w:tcW w:w="1171" w:type="dxa"/>
            <w:shd w:val="clear" w:color="auto" w:fill="auto"/>
          </w:tcPr>
          <w:p>
            <w:pPr>
              <w:spacing w:after="120" w:line="240" w:lineRule="auto"/>
              <w:jc w:val="center"/>
              <w:rPr>
                <w:rFonts w:cs="Calibri"/>
                <w:noProof/>
              </w:rPr>
            </w:pPr>
            <w:r>
              <w:rPr>
                <w:noProof/>
              </w:rPr>
              <w:t>757 308</w:t>
            </w:r>
          </w:p>
        </w:tc>
        <w:tc>
          <w:tcPr>
            <w:tcW w:w="1470" w:type="dxa"/>
            <w:shd w:val="clear" w:color="auto" w:fill="auto"/>
          </w:tcPr>
          <w:p>
            <w:pPr>
              <w:spacing w:after="120" w:line="240" w:lineRule="auto"/>
              <w:jc w:val="center"/>
              <w:rPr>
                <w:rFonts w:cs="Calibri"/>
                <w:noProof/>
              </w:rPr>
            </w:pPr>
            <w:r>
              <w:rPr>
                <w:noProof/>
              </w:rPr>
              <w:t>760 681,80</w:t>
            </w:r>
          </w:p>
        </w:tc>
        <w:tc>
          <w:tcPr>
            <w:tcW w:w="1470" w:type="dxa"/>
            <w:shd w:val="clear" w:color="auto" w:fill="auto"/>
          </w:tcPr>
          <w:p>
            <w:pPr>
              <w:spacing w:after="120" w:line="240" w:lineRule="auto"/>
              <w:jc w:val="center"/>
              <w:rPr>
                <w:rFonts w:cs="Calibri"/>
                <w:noProof/>
              </w:rPr>
            </w:pPr>
            <w:r>
              <w:rPr>
                <w:noProof/>
              </w:rPr>
              <w:t>665 047,14</w:t>
            </w:r>
          </w:p>
        </w:tc>
        <w:tc>
          <w:tcPr>
            <w:tcW w:w="1470" w:type="dxa"/>
            <w:shd w:val="clear" w:color="auto" w:fill="auto"/>
          </w:tcPr>
          <w:p>
            <w:pPr>
              <w:spacing w:after="120" w:line="240" w:lineRule="auto"/>
              <w:jc w:val="center"/>
              <w:rPr>
                <w:rFonts w:cs="Calibri"/>
                <w:noProof/>
              </w:rPr>
            </w:pPr>
            <w:r>
              <w:rPr>
                <w:noProof/>
              </w:rPr>
              <w:t>879 917,69</w:t>
            </w:r>
          </w:p>
        </w:tc>
        <w:tc>
          <w:tcPr>
            <w:tcW w:w="1291" w:type="dxa"/>
            <w:shd w:val="clear" w:color="auto" w:fill="auto"/>
          </w:tcPr>
          <w:p>
            <w:pPr>
              <w:spacing w:after="120" w:line="240" w:lineRule="auto"/>
              <w:jc w:val="center"/>
              <w:rPr>
                <w:rFonts w:cs="Calibri"/>
                <w:noProof/>
              </w:rPr>
            </w:pPr>
            <w:r>
              <w:rPr>
                <w:noProof/>
              </w:rPr>
              <w:t>886 483,01</w:t>
            </w:r>
          </w:p>
        </w:tc>
      </w:tr>
      <w:tr>
        <w:tc>
          <w:tcPr>
            <w:tcW w:w="1424" w:type="dxa"/>
            <w:shd w:val="clear" w:color="auto" w:fill="auto"/>
          </w:tcPr>
          <w:p>
            <w:pPr>
              <w:spacing w:after="120" w:line="240" w:lineRule="auto"/>
              <w:rPr>
                <w:rFonts w:cs="Calibri"/>
                <w:noProof/>
              </w:rPr>
            </w:pPr>
            <w:r>
              <w:rPr>
                <w:noProof/>
              </w:rPr>
              <w:t>Gauta EK dotacija</w:t>
            </w:r>
          </w:p>
        </w:tc>
        <w:tc>
          <w:tcPr>
            <w:tcW w:w="992" w:type="dxa"/>
            <w:shd w:val="clear" w:color="auto" w:fill="auto"/>
          </w:tcPr>
          <w:p>
            <w:pPr>
              <w:spacing w:after="120" w:line="240" w:lineRule="auto"/>
              <w:jc w:val="center"/>
              <w:rPr>
                <w:rFonts w:cs="Calibri"/>
                <w:noProof/>
              </w:rPr>
            </w:pPr>
            <w:r>
              <w:rPr>
                <w:noProof/>
              </w:rPr>
              <w:t>183 790</w:t>
            </w:r>
          </w:p>
        </w:tc>
        <w:tc>
          <w:tcPr>
            <w:tcW w:w="1171" w:type="dxa"/>
            <w:shd w:val="clear" w:color="auto" w:fill="auto"/>
          </w:tcPr>
          <w:p>
            <w:pPr>
              <w:spacing w:after="120" w:line="240" w:lineRule="auto"/>
              <w:jc w:val="center"/>
              <w:rPr>
                <w:rFonts w:cs="Calibri"/>
                <w:noProof/>
              </w:rPr>
            </w:pPr>
            <w:r>
              <w:rPr>
                <w:noProof/>
              </w:rPr>
              <w:t>336 612</w:t>
            </w:r>
          </w:p>
        </w:tc>
        <w:tc>
          <w:tcPr>
            <w:tcW w:w="1470" w:type="dxa"/>
            <w:shd w:val="clear" w:color="auto" w:fill="auto"/>
          </w:tcPr>
          <w:p>
            <w:pPr>
              <w:spacing w:after="120" w:line="240" w:lineRule="auto"/>
              <w:jc w:val="center"/>
              <w:rPr>
                <w:rFonts w:cs="Calibri"/>
                <w:noProof/>
              </w:rPr>
            </w:pPr>
            <w:r>
              <w:rPr>
                <w:noProof/>
              </w:rPr>
              <w:t>440 000</w:t>
            </w:r>
          </w:p>
        </w:tc>
        <w:tc>
          <w:tcPr>
            <w:tcW w:w="1470" w:type="dxa"/>
            <w:shd w:val="clear" w:color="auto" w:fill="auto"/>
          </w:tcPr>
          <w:p>
            <w:pPr>
              <w:spacing w:after="120" w:line="240" w:lineRule="auto"/>
              <w:jc w:val="center"/>
              <w:rPr>
                <w:rFonts w:cs="Calibri"/>
                <w:noProof/>
              </w:rPr>
            </w:pPr>
            <w:r>
              <w:rPr>
                <w:noProof/>
              </w:rPr>
              <w:t>533 133,78</w:t>
            </w:r>
          </w:p>
        </w:tc>
        <w:tc>
          <w:tcPr>
            <w:tcW w:w="1470" w:type="dxa"/>
            <w:shd w:val="clear" w:color="auto" w:fill="auto"/>
          </w:tcPr>
          <w:p>
            <w:pPr>
              <w:spacing w:after="120" w:line="240" w:lineRule="auto"/>
              <w:jc w:val="center"/>
              <w:rPr>
                <w:rFonts w:cs="Calibri"/>
                <w:noProof/>
              </w:rPr>
            </w:pPr>
            <w:r>
              <w:rPr>
                <w:noProof/>
              </w:rPr>
              <w:t>570 000</w:t>
            </w:r>
          </w:p>
        </w:tc>
        <w:tc>
          <w:tcPr>
            <w:tcW w:w="1291" w:type="dxa"/>
            <w:shd w:val="clear" w:color="auto" w:fill="auto"/>
          </w:tcPr>
          <w:p>
            <w:pPr>
              <w:spacing w:after="120" w:line="240" w:lineRule="auto"/>
              <w:jc w:val="center"/>
              <w:rPr>
                <w:rFonts w:cs="Calibri"/>
                <w:noProof/>
              </w:rPr>
            </w:pPr>
            <w:r>
              <w:rPr>
                <w:noProof/>
              </w:rPr>
              <w:t>550 000</w:t>
            </w:r>
          </w:p>
        </w:tc>
      </w:tr>
      <w:tr>
        <w:tc>
          <w:tcPr>
            <w:tcW w:w="1424" w:type="dxa"/>
            <w:tcBorders>
              <w:bottom w:val="single" w:sz="4" w:space="0" w:color="auto"/>
            </w:tcBorders>
            <w:shd w:val="clear" w:color="auto" w:fill="auto"/>
          </w:tcPr>
          <w:p>
            <w:pPr>
              <w:spacing w:after="120" w:line="240" w:lineRule="auto"/>
              <w:jc w:val="both"/>
              <w:rPr>
                <w:rFonts w:cs="Calibri"/>
                <w:noProof/>
              </w:rPr>
            </w:pPr>
            <w:r>
              <w:rPr>
                <w:noProof/>
              </w:rPr>
              <w:t>Iš viso</w:t>
            </w:r>
          </w:p>
        </w:tc>
        <w:tc>
          <w:tcPr>
            <w:tcW w:w="992" w:type="dxa"/>
            <w:tcBorders>
              <w:bottom w:val="single" w:sz="4" w:space="0" w:color="auto"/>
            </w:tcBorders>
            <w:shd w:val="clear" w:color="auto" w:fill="auto"/>
          </w:tcPr>
          <w:p>
            <w:pPr>
              <w:spacing w:after="120" w:line="240" w:lineRule="auto"/>
              <w:jc w:val="center"/>
              <w:rPr>
                <w:rFonts w:cs="Calibri"/>
                <w:noProof/>
              </w:rPr>
            </w:pPr>
            <w:r>
              <w:rPr>
                <w:noProof/>
              </w:rPr>
              <w:t>671 111</w:t>
            </w:r>
          </w:p>
        </w:tc>
        <w:tc>
          <w:tcPr>
            <w:tcW w:w="1171" w:type="dxa"/>
            <w:tcBorders>
              <w:bottom w:val="single" w:sz="4" w:space="0" w:color="auto"/>
            </w:tcBorders>
            <w:shd w:val="clear" w:color="auto" w:fill="auto"/>
          </w:tcPr>
          <w:p>
            <w:pPr>
              <w:spacing w:after="120" w:line="240" w:lineRule="auto"/>
              <w:jc w:val="center"/>
              <w:rPr>
                <w:rFonts w:cs="Calibri"/>
                <w:noProof/>
              </w:rPr>
            </w:pPr>
            <w:r>
              <w:rPr>
                <w:noProof/>
              </w:rPr>
              <w:t>1 093 920</w:t>
            </w:r>
          </w:p>
        </w:tc>
        <w:tc>
          <w:tcPr>
            <w:tcW w:w="1470" w:type="dxa"/>
            <w:tcBorders>
              <w:bottom w:val="single" w:sz="4" w:space="0" w:color="auto"/>
            </w:tcBorders>
            <w:shd w:val="clear" w:color="auto" w:fill="auto"/>
          </w:tcPr>
          <w:p>
            <w:pPr>
              <w:spacing w:after="120" w:line="240" w:lineRule="auto"/>
              <w:jc w:val="center"/>
              <w:rPr>
                <w:rFonts w:cs="Calibri"/>
                <w:noProof/>
              </w:rPr>
            </w:pPr>
            <w:r>
              <w:rPr>
                <w:noProof/>
              </w:rPr>
              <w:t>1 200 681,80</w:t>
            </w:r>
          </w:p>
        </w:tc>
        <w:tc>
          <w:tcPr>
            <w:tcW w:w="1470" w:type="dxa"/>
            <w:tcBorders>
              <w:bottom w:val="single" w:sz="4" w:space="0" w:color="auto"/>
            </w:tcBorders>
            <w:shd w:val="clear" w:color="auto" w:fill="auto"/>
          </w:tcPr>
          <w:p>
            <w:pPr>
              <w:spacing w:after="120" w:line="240" w:lineRule="auto"/>
              <w:jc w:val="center"/>
              <w:rPr>
                <w:rFonts w:cs="Calibri"/>
                <w:noProof/>
              </w:rPr>
            </w:pPr>
            <w:r>
              <w:rPr>
                <w:noProof/>
              </w:rPr>
              <w:t>1 198 190,92</w:t>
            </w:r>
          </w:p>
        </w:tc>
        <w:tc>
          <w:tcPr>
            <w:tcW w:w="1470" w:type="dxa"/>
            <w:tcBorders>
              <w:bottom w:val="single" w:sz="4" w:space="0" w:color="auto"/>
            </w:tcBorders>
            <w:shd w:val="clear" w:color="auto" w:fill="auto"/>
          </w:tcPr>
          <w:p>
            <w:pPr>
              <w:spacing w:after="120" w:line="240" w:lineRule="auto"/>
              <w:jc w:val="center"/>
              <w:rPr>
                <w:rFonts w:cs="Calibri"/>
                <w:noProof/>
              </w:rPr>
            </w:pPr>
            <w:r>
              <w:rPr>
                <w:noProof/>
              </w:rPr>
              <w:t>1 449 917,69</w:t>
            </w:r>
          </w:p>
        </w:tc>
        <w:tc>
          <w:tcPr>
            <w:tcW w:w="1291" w:type="dxa"/>
            <w:tcBorders>
              <w:bottom w:val="single" w:sz="4" w:space="0" w:color="auto"/>
            </w:tcBorders>
            <w:shd w:val="clear" w:color="auto" w:fill="auto"/>
          </w:tcPr>
          <w:p>
            <w:pPr>
              <w:spacing w:after="120" w:line="240" w:lineRule="auto"/>
              <w:jc w:val="center"/>
              <w:rPr>
                <w:rFonts w:cs="Calibri"/>
                <w:noProof/>
              </w:rPr>
            </w:pPr>
            <w:r>
              <w:rPr>
                <w:noProof/>
              </w:rPr>
              <w:t>1 436 483,01</w:t>
            </w:r>
          </w:p>
        </w:tc>
      </w:tr>
      <w:tr>
        <w:tc>
          <w:tcPr>
            <w:tcW w:w="1424" w:type="dxa"/>
            <w:shd w:val="clear" w:color="auto" w:fill="DEEAF6"/>
          </w:tcPr>
          <w:p>
            <w:pPr>
              <w:spacing w:after="120" w:line="240" w:lineRule="auto"/>
              <w:rPr>
                <w:rFonts w:cs="Calibri"/>
                <w:b/>
                <w:noProof/>
              </w:rPr>
            </w:pPr>
            <w:r>
              <w:rPr>
                <w:b/>
                <w:noProof/>
              </w:rPr>
              <w:t>EK finansavimo dalis</w:t>
            </w:r>
          </w:p>
        </w:tc>
        <w:tc>
          <w:tcPr>
            <w:tcW w:w="992" w:type="dxa"/>
            <w:shd w:val="clear" w:color="auto" w:fill="DEEAF6"/>
          </w:tcPr>
          <w:p>
            <w:pPr>
              <w:spacing w:after="120" w:line="240" w:lineRule="auto"/>
              <w:jc w:val="center"/>
              <w:rPr>
                <w:rFonts w:cs="Calibri"/>
                <w:b/>
                <w:noProof/>
              </w:rPr>
            </w:pPr>
            <w:r>
              <w:rPr>
                <w:b/>
                <w:noProof/>
              </w:rPr>
              <w:t>27 %</w:t>
            </w:r>
          </w:p>
        </w:tc>
        <w:tc>
          <w:tcPr>
            <w:tcW w:w="1171" w:type="dxa"/>
            <w:shd w:val="clear" w:color="auto" w:fill="DEEAF6"/>
          </w:tcPr>
          <w:p>
            <w:pPr>
              <w:spacing w:after="120" w:line="240" w:lineRule="auto"/>
              <w:jc w:val="center"/>
              <w:rPr>
                <w:rFonts w:cs="Calibri"/>
                <w:b/>
                <w:noProof/>
              </w:rPr>
            </w:pPr>
            <w:r>
              <w:rPr>
                <w:b/>
                <w:noProof/>
              </w:rPr>
              <w:t>31 %</w:t>
            </w:r>
          </w:p>
        </w:tc>
        <w:tc>
          <w:tcPr>
            <w:tcW w:w="1470" w:type="dxa"/>
            <w:shd w:val="clear" w:color="auto" w:fill="DEEAF6"/>
          </w:tcPr>
          <w:p>
            <w:pPr>
              <w:spacing w:after="120" w:line="240" w:lineRule="auto"/>
              <w:jc w:val="center"/>
              <w:rPr>
                <w:rFonts w:cs="Calibri"/>
                <w:b/>
                <w:noProof/>
              </w:rPr>
            </w:pPr>
            <w:r>
              <w:rPr>
                <w:b/>
                <w:noProof/>
              </w:rPr>
              <w:t>37 %</w:t>
            </w:r>
          </w:p>
        </w:tc>
        <w:tc>
          <w:tcPr>
            <w:tcW w:w="1470" w:type="dxa"/>
            <w:shd w:val="clear" w:color="auto" w:fill="DEEAF6"/>
          </w:tcPr>
          <w:p>
            <w:pPr>
              <w:spacing w:after="120" w:line="240" w:lineRule="auto"/>
              <w:jc w:val="center"/>
              <w:rPr>
                <w:rFonts w:cs="Calibri"/>
                <w:b/>
                <w:noProof/>
              </w:rPr>
            </w:pPr>
            <w:r>
              <w:rPr>
                <w:b/>
                <w:noProof/>
              </w:rPr>
              <w:t>44 %</w:t>
            </w:r>
          </w:p>
        </w:tc>
        <w:tc>
          <w:tcPr>
            <w:tcW w:w="1470" w:type="dxa"/>
            <w:shd w:val="clear" w:color="auto" w:fill="DEEAF6"/>
          </w:tcPr>
          <w:p>
            <w:pPr>
              <w:spacing w:after="120" w:line="240" w:lineRule="auto"/>
              <w:jc w:val="center"/>
              <w:rPr>
                <w:rFonts w:cs="Calibri"/>
                <w:b/>
                <w:noProof/>
              </w:rPr>
            </w:pPr>
            <w:r>
              <w:rPr>
                <w:b/>
                <w:noProof/>
              </w:rPr>
              <w:t>39,31 %</w:t>
            </w:r>
          </w:p>
        </w:tc>
        <w:tc>
          <w:tcPr>
            <w:tcW w:w="1291" w:type="dxa"/>
            <w:shd w:val="clear" w:color="auto" w:fill="DEEAF6"/>
          </w:tcPr>
          <w:p>
            <w:pPr>
              <w:spacing w:after="120" w:line="240" w:lineRule="auto"/>
              <w:jc w:val="center"/>
              <w:rPr>
                <w:rFonts w:cs="Calibri"/>
                <w:b/>
                <w:noProof/>
              </w:rPr>
            </w:pPr>
            <w:r>
              <w:rPr>
                <w:b/>
                <w:noProof/>
              </w:rPr>
              <w:t>38,29 %</w:t>
            </w:r>
          </w:p>
        </w:tc>
      </w:tr>
    </w:tbl>
    <w:p>
      <w:pPr>
        <w:spacing w:before="120" w:after="120" w:line="240" w:lineRule="auto"/>
        <w:ind w:left="284"/>
        <w:jc w:val="both"/>
        <w:rPr>
          <w:rFonts w:cs="Calibri"/>
          <w:i/>
          <w:noProof/>
          <w:color w:val="FF0000"/>
          <w:sz w:val="18"/>
          <w:szCs w:val="18"/>
        </w:rPr>
      </w:pPr>
    </w:p>
    <w:p>
      <w:pPr>
        <w:pStyle w:val="Heading3"/>
        <w:rPr>
          <w:noProof/>
        </w:rPr>
      </w:pPr>
      <w:r>
        <w:rPr>
          <w:noProof/>
        </w:rPr>
        <w:t>3.2.2. EVD rengimo sąnaudų kompensavimas</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Pagrindinė EOTA veikla yra EVD rengimas, kuriam skirtą finansavimą EOTA teikia kiekvienai atsakingai TVĮ. EOTA priėmus EVD, atsakinga TVĮ patvirtina EOTA sekretoriatui, kurios TVĮ dalyvavo jį rengiant. Atsakinga TVĮ ir dalyvaujančios TVĮ užpildo lentelę, nurodydamos šiai veiklai skirtą laiką ir informaciją apie keliones kaip veiklos, kurios sąnaudos gali būti kompensuotos EOTA lėšomis, įrodymą. Dėl EVD parengti reikiamo vidutinio vieno žmogaus darbo dienų skaičiaus susitariama pačiose TVĮ ir jis gali skirtis, priklausomai nuo to, ar TVĮ buvo atsakinga TVĮ, ar dalyvaujanti TVĮ. Vis dėlto šis vidutinis vieno žmogaus darbo dienų skaičius neatitinka realių laiko sąnaudų, kurias TVĮ patiria rengdamos naują EVD pagal jau esamus EVD, kurio atveju naujų vertinimo metodų nereikia.</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Visi už šaukimą į posėdžius atsakingi nariai, projekto grupių (PG)</w:t>
      </w:r>
      <w:r>
        <w:rPr>
          <w:rStyle w:val="FootnoteReference"/>
          <w:rFonts w:ascii="Times New Roman" w:hAnsi="Times New Roman"/>
          <w:noProof/>
          <w:sz w:val="24"/>
          <w:szCs w:val="24"/>
        </w:rPr>
        <w:footnoteReference w:id="20"/>
      </w:r>
      <w:r>
        <w:rPr>
          <w:rFonts w:ascii="Times New Roman" w:hAnsi="Times New Roman"/>
          <w:noProof/>
          <w:sz w:val="24"/>
          <w:szCs w:val="24"/>
        </w:rPr>
        <w:t xml:space="preserve"> ir kitų dalyvaujančių grupių nariai pateikia EOTA sekretoriatui lentelę, kurioje nurodomas vieno žmogaus darbo dienų skaičius ir informacija apie keliones. Už šaukimą į posėdžius atsakingi nariai pateikia sekretoriatui per ataskaitinį ketvirtį surengtų posėdžių dalyvių sąrašą.</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EOTA taikomas vieno žmogaus darbo dienos mokestis apskaičiuojamas atsižvelgiant į atitinkamų TVĮ kilmės šalį ir Eurostato paskelbtus lyginamųjų kainų lygius 2013 m.</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Kelionių išlaidos kompensuojamos:</w:t>
      </w:r>
    </w:p>
    <w:p>
      <w:pPr>
        <w:numPr>
          <w:ilvl w:val="0"/>
          <w:numId w:val="25"/>
        </w:numPr>
        <w:spacing w:before="120" w:after="120" w:line="240" w:lineRule="auto"/>
        <w:ind w:left="714" w:hanging="357"/>
        <w:jc w:val="both"/>
        <w:rPr>
          <w:rFonts w:ascii="Times New Roman" w:hAnsi="Times New Roman"/>
          <w:noProof/>
          <w:sz w:val="24"/>
          <w:szCs w:val="24"/>
        </w:rPr>
      </w:pPr>
      <w:r>
        <w:rPr>
          <w:rFonts w:ascii="Times New Roman" w:hAnsi="Times New Roman"/>
          <w:noProof/>
          <w:sz w:val="24"/>
          <w:szCs w:val="24"/>
        </w:rPr>
        <w:t>EOTA PG, darbo grupių ir kitų EOTA grupių posėdžių dalyviams;</w:t>
      </w:r>
    </w:p>
    <w:p>
      <w:pPr>
        <w:numPr>
          <w:ilvl w:val="0"/>
          <w:numId w:val="25"/>
        </w:numPr>
        <w:spacing w:before="120" w:after="120" w:line="240" w:lineRule="auto"/>
        <w:ind w:left="714" w:hanging="357"/>
        <w:jc w:val="both"/>
        <w:rPr>
          <w:rFonts w:ascii="Times New Roman" w:hAnsi="Times New Roman"/>
          <w:noProof/>
          <w:sz w:val="24"/>
          <w:szCs w:val="24"/>
        </w:rPr>
      </w:pPr>
      <w:r>
        <w:rPr>
          <w:rFonts w:ascii="Times New Roman" w:hAnsi="Times New Roman"/>
          <w:noProof/>
          <w:sz w:val="24"/>
          <w:szCs w:val="24"/>
        </w:rPr>
        <w:t>EOTA pareigūnams, dalyvaujantiems EOTA struktūrinių padalinių posėdžiuose;</w:t>
      </w:r>
    </w:p>
    <w:p>
      <w:pPr>
        <w:numPr>
          <w:ilvl w:val="0"/>
          <w:numId w:val="25"/>
        </w:numPr>
        <w:spacing w:before="120" w:after="120" w:line="240" w:lineRule="auto"/>
        <w:ind w:left="714" w:hanging="357"/>
        <w:jc w:val="both"/>
        <w:rPr>
          <w:rFonts w:ascii="Times New Roman" w:hAnsi="Times New Roman"/>
          <w:noProof/>
          <w:sz w:val="24"/>
          <w:szCs w:val="24"/>
        </w:rPr>
      </w:pPr>
      <w:r>
        <w:rPr>
          <w:rFonts w:ascii="Times New Roman" w:hAnsi="Times New Roman"/>
          <w:noProof/>
          <w:sz w:val="24"/>
          <w:szCs w:val="24"/>
        </w:rPr>
        <w:t>vykdomosios valdybos posėdžiuose dalyvaujantiems jos nariams ir</w:t>
      </w:r>
    </w:p>
    <w:p>
      <w:pPr>
        <w:numPr>
          <w:ilvl w:val="0"/>
          <w:numId w:val="25"/>
        </w:numPr>
        <w:spacing w:before="120" w:after="120" w:line="240" w:lineRule="auto"/>
        <w:ind w:left="714" w:hanging="357"/>
        <w:jc w:val="both"/>
        <w:rPr>
          <w:rFonts w:ascii="Times New Roman" w:hAnsi="Times New Roman"/>
          <w:noProof/>
          <w:sz w:val="24"/>
          <w:szCs w:val="24"/>
        </w:rPr>
      </w:pPr>
      <w:r>
        <w:rPr>
          <w:rFonts w:ascii="Times New Roman" w:hAnsi="Times New Roman"/>
          <w:noProof/>
          <w:sz w:val="24"/>
          <w:szCs w:val="24"/>
        </w:rPr>
        <w:t>kitų posėdžių, kurie yra rengiami EOTA interesais (gavus iš anksto pateikiamą vykdomosios valdybos sutikimą), dalyviams.</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PG ar darbo grupės posėdžio atveju teisę gauti kelionės išlaidų kompensaciją turi tik vienas asmuo iš kiekvienos TVĮ, įskaitant bet kokius ekspertus, dalyvaujančius posėdyje tos TVĮ vardu.</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Dengiant išlaidas, susijusias su apgyvendinimu ir vietos transportu posėdžio vietoje, taikoma vienodo 150 EUR už naktį dydžio kompensacija. Kelionių lėktuvais ir traukiniais bilietų kainos kompensuojamos pagal faktines išlaidas.</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Sąskaitos faktūros tarp TVĮ labai skiriasi pagal jose pateikiamą informaciją apie darbo valandas rengiant EAD. Todėl negalima atlikti tikslaus vykdyto darbo ir TVĮ prašymų kompensuoti sąnaudas palyginimo, o tai lemia nepakankamą skaidrumą, nes EVD rengimo sąnaudas, kurias įvairios atsakingos TVĮ prašo padengti, sudėtinga palyginti ir išanalizuoti. Komisija dirba kartu su EOTA, siekdama užtikrinti didesnį skaidrumą ir atskaitomybę, susijusius su šių sąnaudų kompensavimu pagal realias laiko sąnaudas rengiant (arba iš dalies keičiant) kiekvieną EVD.</w:t>
      </w:r>
    </w:p>
    <w:p>
      <w:pPr>
        <w:autoSpaceDE w:val="0"/>
        <w:autoSpaceDN w:val="0"/>
        <w:adjustRightInd w:val="0"/>
        <w:spacing w:after="0" w:line="240" w:lineRule="auto"/>
        <w:rPr>
          <w:rFonts w:ascii="Times New Roman" w:hAnsi="Times New Roman"/>
          <w:noProof/>
        </w:rPr>
      </w:pPr>
    </w:p>
    <w:p>
      <w:pPr>
        <w:rPr>
          <w:rFonts w:ascii="Times New Roman" w:hAnsi="Times New Roman"/>
          <w:noProof/>
        </w:rPr>
      </w:pPr>
    </w:p>
    <w:p>
      <w:pPr>
        <w:pStyle w:val="Heading1"/>
        <w:rPr>
          <w:noProof/>
        </w:rPr>
      </w:pPr>
      <w:r>
        <w:rPr>
          <w:noProof/>
        </w:rPr>
        <w:t>4.</w:t>
      </w:r>
      <w:r>
        <w:rPr>
          <w:noProof/>
        </w:rPr>
        <w:tab/>
        <w:t>Vertinimas, kaip EOTA vykdo savo užduotis</w:t>
      </w:r>
    </w:p>
    <w:p>
      <w:pPr>
        <w:rPr>
          <w:noProof/>
        </w:rPr>
      </w:pPr>
    </w:p>
    <w:p>
      <w:pPr>
        <w:keepNext/>
        <w:spacing w:before="120" w:after="120" w:line="240" w:lineRule="auto"/>
        <w:outlineLvl w:val="1"/>
        <w:rPr>
          <w:rFonts w:ascii="Cambria" w:eastAsia="Times New Roman" w:hAnsi="Cambria"/>
          <w:b/>
          <w:bCs/>
          <w:i/>
          <w:iCs/>
          <w:noProof/>
          <w:sz w:val="28"/>
          <w:szCs w:val="28"/>
        </w:rPr>
      </w:pPr>
      <w:r>
        <w:rPr>
          <w:rFonts w:ascii="Cambria" w:hAnsi="Cambria"/>
          <w:b/>
          <w:bCs/>
          <w:i/>
          <w:iCs/>
          <w:noProof/>
          <w:sz w:val="28"/>
          <w:szCs w:val="28"/>
        </w:rPr>
        <w:t>4.1.</w:t>
      </w:r>
      <w:r>
        <w:rPr>
          <w:rFonts w:ascii="Cambria" w:hAnsi="Cambria"/>
          <w:b/>
          <w:bCs/>
          <w:i/>
          <w:iCs/>
          <w:noProof/>
          <w:sz w:val="28"/>
          <w:szCs w:val="28"/>
        </w:rPr>
        <w:tab/>
        <w:t>Veiksmingumas</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Šiame skirsnyje nagrinėjama, kokiu mastu EOTA savo veikla prisidėjo prie statybos produktų vidaus rinkos ir kokiu mastu ji įgyvendino savo tikslus. Jame taip pat nustatytas numatytas ir nenumatytas poveikis.</w:t>
      </w:r>
    </w:p>
    <w:p>
      <w:pPr>
        <w:spacing w:before="120" w:after="120" w:line="240" w:lineRule="auto"/>
        <w:jc w:val="both"/>
        <w:rPr>
          <w:rFonts w:ascii="Times New Roman" w:hAnsi="Times New Roman"/>
          <w:noProof/>
          <w:sz w:val="24"/>
          <w:szCs w:val="24"/>
        </w:rPr>
      </w:pPr>
      <w:r>
        <w:rPr>
          <w:rFonts w:ascii="Times New Roman" w:hAnsi="Times New Roman"/>
          <w:b/>
          <w:noProof/>
          <w:sz w:val="24"/>
          <w:szCs w:val="24"/>
        </w:rPr>
        <w:t>4.1.1.</w:t>
      </w:r>
      <w:r>
        <w:rPr>
          <w:rFonts w:ascii="Times New Roman" w:hAnsi="Times New Roman"/>
          <w:b/>
          <w:noProof/>
          <w:sz w:val="24"/>
          <w:szCs w:val="24"/>
        </w:rPr>
        <w:tab/>
        <w:t>SPR 29 straipsnio dėl TVĮ paskyrimo, stebėsenos ir vertinimo ir 30 straipsnio dėl reikalavimų, taikomų TVĮ, įgyvendinimas</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Įsteigti TVĮ prisireikė šiek tiek laiko po to, kai SPR visiškai įsigaliojo. 2018 m. gruodžio 31 d. TVĮ buvo paskyrusi 21 valstybė narė ir trys ES nepriklausančios šalys (Šveicarija, Norvegija ir Turkija). TVĮ nėra paskirtos Bulgarijoje, Estijoje, Graikijoje, Vengrijoje, Latvijoje, Maltoje ir Liuksemburge, todėl gamintojai iš šių šalių turi teikti savo prašymus kitose šalyse esančioms TVĮ. Vien kalbos požiūriu tai gali turėti akivaizdų poveikį jų galimybei pasinaudoti EOTA alternatyviu metodu. Vis dėlto šios septynios šalys turi 150 ETĮ, išskyrus Maltą, kurį neturi jokio ETĮ</w:t>
      </w:r>
      <w:r>
        <w:rPr>
          <w:rStyle w:val="FootnoteReference"/>
          <w:rFonts w:ascii="Times New Roman" w:hAnsi="Times New Roman"/>
          <w:noProof/>
          <w:sz w:val="24"/>
          <w:szCs w:val="24"/>
        </w:rPr>
        <w:footnoteReference w:id="21"/>
      </w:r>
      <w:r>
        <w:rPr>
          <w:rFonts w:ascii="Times New Roman" w:hAnsi="Times New Roman"/>
          <w:noProof/>
          <w:sz w:val="24"/>
          <w:szCs w:val="24"/>
        </w:rPr>
        <w:t>.</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Visos TVĮ turėtų laikytis IV priedo 2 lentelėje nustatytų reikalavimų, susijusių su jų kompetencija analizuoti riziką, nustatyti techninius kriterijus, vertinimo metodus, specifinę vidinę gamybos kontrolę, atlikti produkto vertinimą ir vykdyti bendrą administravimą. Dalyvaujančiai šaliai paskyrus TVĮ, Komisija patikrina jos kompetenciją, nagrinėdama informaciją, kurią ši šalis pateikia dešimties klausimų sąraše, įtrauktame į TVĮ vertinimo gaires, patvirtintas 2015 m.</w:t>
      </w:r>
      <w:r>
        <w:rPr>
          <w:rStyle w:val="FootnoteReference"/>
          <w:rFonts w:ascii="Times New Roman" w:hAnsi="Times New Roman"/>
          <w:noProof/>
          <w:sz w:val="24"/>
          <w:szCs w:val="24"/>
        </w:rPr>
        <w:footnoteReference w:id="22"/>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Svarbu pažymėti, kad pagrindinės aktyvios TVĮ (išskyrus Vokietijos DIBt ir Austrijos OIB) pagal SPR taip pat yra notifikuotosios įstaigos. Todėl jų padėtis rinkoje yra tvirtesnė, nes jos gali pasiūlyti gamintojui vieno langelio principu teikiamą paslaugą (išduoti ETĮ ir vėliau toliau atlikti produkto eksploatacinių savybių pastovumo vertinimo ir tikrinimo užduotis).</w:t>
      </w:r>
    </w:p>
    <w:p>
      <w:pPr>
        <w:spacing w:before="120" w:after="120" w:line="240" w:lineRule="auto"/>
        <w:jc w:val="both"/>
        <w:rPr>
          <w:rFonts w:ascii="Times New Roman" w:hAnsi="Times New Roman"/>
          <w:noProof/>
          <w:sz w:val="24"/>
          <w:szCs w:val="24"/>
        </w:rPr>
      </w:pPr>
    </w:p>
    <w:p>
      <w:pPr>
        <w:spacing w:before="120" w:after="120" w:line="240" w:lineRule="auto"/>
        <w:jc w:val="both"/>
        <w:rPr>
          <w:rFonts w:ascii="Times New Roman" w:hAnsi="Times New Roman"/>
          <w:b/>
          <w:noProof/>
          <w:sz w:val="24"/>
          <w:szCs w:val="24"/>
        </w:rPr>
      </w:pPr>
      <w:r>
        <w:rPr>
          <w:rFonts w:ascii="Times New Roman" w:hAnsi="Times New Roman"/>
          <w:b/>
          <w:noProof/>
          <w:sz w:val="24"/>
          <w:szCs w:val="24"/>
        </w:rPr>
        <w:t>4.1.2.</w:t>
      </w:r>
      <w:r>
        <w:rPr>
          <w:rFonts w:ascii="Times New Roman" w:hAnsi="Times New Roman"/>
          <w:b/>
          <w:noProof/>
          <w:sz w:val="24"/>
          <w:szCs w:val="24"/>
        </w:rPr>
        <w:tab/>
        <w:t>SPR 31 straipsnio dėl TVĮ koordinavimo įgyvendinimas</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Tyrime prieita prie išvados, daugiausia remiantis savo produktų ETĮ gavusių TVĮ atstovų ir gamintojų apklausomis, kad EOTA įgyvendina tikslus, nustatytus SPR 31 straipsnio 1 dalyje, ir vykdo visas užduotis, nustatytas 31 straipsnio 4 dalyje. Tyrimas vis dėlto parodė, kad yra galimybių patobulinti veiklą, visų pirma kalbant apie TVĮ tarpusavio bendravimo ir bendradarbiavimo lygį. TVĮ koordinavimo ir konkurencijos srityje, regis, atsirado tam tikros įtampos, lemiančios tai, kad TVĮ veiklos rezultatai šiek tiek sutampa ir dubliuojasi. Tyrime taip rekomenduojama užtikrinti geresnę terminų (rezultatų pateikimo laiko) laikymosi stebėseną ir patikslinti vaidmenis EOTA sistemoje.</w:t>
      </w:r>
    </w:p>
    <w:p>
      <w:pPr>
        <w:spacing w:before="120" w:after="120" w:line="240" w:lineRule="auto"/>
        <w:jc w:val="both"/>
        <w:rPr>
          <w:rFonts w:ascii="Times New Roman" w:hAnsi="Times New Roman"/>
          <w:noProof/>
          <w:sz w:val="24"/>
          <w:szCs w:val="24"/>
        </w:rPr>
      </w:pPr>
      <w:r>
        <w:rPr>
          <w:rFonts w:ascii="Times New Roman" w:hAnsi="Times New Roman"/>
          <w:b/>
          <w:noProof/>
          <w:sz w:val="24"/>
          <w:szCs w:val="24"/>
        </w:rPr>
        <w:br/>
        <w:t>4.1.3.</w:t>
      </w:r>
      <w:r>
        <w:rPr>
          <w:rFonts w:ascii="Times New Roman" w:hAnsi="Times New Roman"/>
          <w:b/>
          <w:noProof/>
          <w:sz w:val="24"/>
          <w:szCs w:val="24"/>
        </w:rPr>
        <w:tab/>
        <w:t>EVD kokybė</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EVD turinys apibrėžtas 24 straipsnyje.</w:t>
      </w:r>
    </w:p>
    <w:p>
      <w:pPr>
        <w:pStyle w:val="ListParagraph"/>
        <w:spacing w:after="120" w:line="240" w:lineRule="auto"/>
        <w:ind w:left="0"/>
        <w:contextualSpacing w:val="0"/>
        <w:jc w:val="both"/>
        <w:rPr>
          <w:rFonts w:ascii="Times New Roman" w:hAnsi="Times New Roman"/>
          <w:noProof/>
          <w:sz w:val="24"/>
          <w:szCs w:val="24"/>
        </w:rPr>
      </w:pPr>
      <w:r>
        <w:rPr>
          <w:rFonts w:ascii="Times New Roman" w:hAnsi="Times New Roman"/>
          <w:noProof/>
          <w:sz w:val="24"/>
          <w:szCs w:val="24"/>
        </w:rPr>
        <w:t>EOTA pakeitė ankstesnę Europos techninio įteisinimo įstaigų organizaciją (įsteigtą pagal SPD) ir, kaip nurodyta 2016 m. SPR įgyvendinimo ataskaitoje</w:t>
      </w:r>
      <w:r>
        <w:rPr>
          <w:rStyle w:val="FootnoteReference"/>
          <w:rFonts w:ascii="Times New Roman" w:hAnsi="Times New Roman"/>
          <w:noProof/>
          <w:sz w:val="24"/>
          <w:szCs w:val="24"/>
        </w:rPr>
        <w:footnoteReference w:id="23"/>
      </w:r>
      <w:r>
        <w:rPr>
          <w:rFonts w:ascii="Times New Roman" w:hAnsi="Times New Roman"/>
          <w:noProof/>
          <w:sz w:val="24"/>
          <w:szCs w:val="24"/>
        </w:rPr>
        <w:t>, jos pagrindinis uždavinys buvo pereiti nuo SPD prie SPR, t. y. pakeisti nusistovėjusią tvarką pereinant nuo „produktų liudijimų“ prie „eksploatacinių savybių vertinimo“, siekiant užtikrinti, kad būtų rengiami ir priimami EVD.</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Po to, kai Komisija 2013 m.</w:t>
      </w:r>
      <w:r>
        <w:rPr>
          <w:rStyle w:val="FootnoteReference"/>
          <w:noProof/>
          <w:sz w:val="24"/>
          <w:szCs w:val="24"/>
        </w:rPr>
        <w:footnoteReference w:id="24"/>
      </w:r>
      <w:r>
        <w:rPr>
          <w:rFonts w:ascii="Times New Roman" w:hAnsi="Times New Roman"/>
          <w:noProof/>
          <w:sz w:val="24"/>
          <w:szCs w:val="24"/>
        </w:rPr>
        <w:t xml:space="preserve"> patvirtino Europos techninio įvertinimo formą, 2015 m. EOTA ir Komisija susitarė dėl EVD formos. Todėl 2015 m. liepos mėn. EVD nuorodas buvo galima pirmą kartą paskelbti </w:t>
      </w:r>
      <w:r>
        <w:rPr>
          <w:rFonts w:ascii="Times New Roman" w:hAnsi="Times New Roman"/>
          <w:i/>
          <w:noProof/>
          <w:sz w:val="24"/>
          <w:szCs w:val="24"/>
        </w:rPr>
        <w:t>Europos Sąjungos oficialiajame leidinyje</w:t>
      </w:r>
      <w:r>
        <w:rPr>
          <w:rFonts w:ascii="Times New Roman" w:hAnsi="Times New Roman"/>
          <w:noProof/>
          <w:sz w:val="24"/>
          <w:szCs w:val="24"/>
        </w:rPr>
        <w:t>. 2016 m. Komisija, remdamasi šiuose procesuose įgyta patirtimi, parengė išsamias gaires dėl EVD formos. Todėl kiekvienais metais parengiamų EVD, kurių nuorodos galiausiai yra paskelbiamos Oficialiajame leidinyje, skaičius laipsniškai smarkiai išaugo nuo 14 2015 m. iki 63 2018 m.</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Pagal šiuo metu galiojančią sistemą Komisija teikia pastabas dėl EVD turinio tik po to, kai EOTA techninė valdyba juos patvirtina (žr. 2.4.1 skirsnį). Komisija nustato vidutiniškai 30 klausimų, kuriuos reikia patikslinti konkrečiame EOTA pasiūlytame EVD projekte. EOTA (konkrečiau kalbant, EVD rengiančios TVĮ) pritaria 90 proc. Komisijos pastabų, o tai reiškia, kad pirmesnė Komisijai pateikiamų dokumentų kokybės kontrolė yra ribota. Esant tokiai padėčiai, dažniau vėluojama paskelbti EVD nuorodas, ypač todėl, kad koreguojant kai kuriuos klausimus (pvz., dėl tikslios taikymo srities, nereikalingų produkto identifikavimo sąlygų EVD, vidinės gamybos kontrolės ar notifikuotųjų įstaigų užduočių) reikia daugiau laiko analizei atlikti.</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Siekdama pagerinti EOTA 7 etape priimamų EVD kokybę, Komisija parengė kontrolinį sąrašą, kurį TVĮ naudoja nuo 2019 m. birželio mėn.</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Vis dėlto Komisijos pastabos ne visada yra sistemingai įtraukiamos prieš išduodant pirmąjį ETĮ, todėl tais atvejais, kai galutiniame EVD reikia papildomų pakeitimų, vėl vėluojama paskelbti jo nuorodą.</w:t>
      </w:r>
    </w:p>
    <w:p>
      <w:pPr>
        <w:spacing w:before="120" w:after="120" w:line="240" w:lineRule="auto"/>
        <w:jc w:val="both"/>
        <w:rPr>
          <w:rFonts w:ascii="Times New Roman" w:hAnsi="Times New Roman"/>
          <w:noProof/>
          <w:sz w:val="24"/>
          <w:szCs w:val="24"/>
        </w:rPr>
      </w:pPr>
    </w:p>
    <w:p>
      <w:pPr>
        <w:spacing w:before="120" w:after="120" w:line="240" w:lineRule="auto"/>
        <w:jc w:val="both"/>
        <w:rPr>
          <w:rFonts w:ascii="Times New Roman" w:hAnsi="Times New Roman"/>
          <w:b/>
          <w:noProof/>
          <w:sz w:val="24"/>
          <w:szCs w:val="24"/>
        </w:rPr>
      </w:pPr>
      <w:r>
        <w:rPr>
          <w:rFonts w:ascii="Times New Roman" w:hAnsi="Times New Roman"/>
          <w:b/>
          <w:noProof/>
          <w:sz w:val="24"/>
          <w:szCs w:val="24"/>
        </w:rPr>
        <w:t>4.1.4.</w:t>
      </w:r>
      <w:r>
        <w:rPr>
          <w:rFonts w:ascii="Times New Roman" w:hAnsi="Times New Roman"/>
          <w:b/>
          <w:noProof/>
          <w:sz w:val="24"/>
          <w:szCs w:val="24"/>
        </w:rPr>
        <w:tab/>
        <w:t>Koncentracija pagal konkrečias produktų sritis</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Daugiausia EVD rengiama šiose produktų srityse:</w:t>
      </w:r>
    </w:p>
    <w:p>
      <w:pPr>
        <w:numPr>
          <w:ilvl w:val="0"/>
          <w:numId w:val="16"/>
        </w:numPr>
        <w:autoSpaceDE w:val="0"/>
        <w:autoSpaceDN w:val="0"/>
        <w:adjustRightInd w:val="0"/>
        <w:spacing w:before="120" w:after="120" w:line="240" w:lineRule="auto"/>
        <w:ind w:left="714" w:hanging="357"/>
        <w:jc w:val="both"/>
        <w:rPr>
          <w:rFonts w:ascii="Times New Roman" w:hAnsi="Times New Roman"/>
          <w:noProof/>
          <w:color w:val="000000"/>
          <w:sz w:val="24"/>
          <w:szCs w:val="24"/>
        </w:rPr>
      </w:pPr>
      <w:r>
        <w:rPr>
          <w:rFonts w:ascii="Times New Roman" w:hAnsi="Times New Roman"/>
          <w:noProof/>
          <w:sz w:val="24"/>
          <w:szCs w:val="24"/>
        </w:rPr>
        <w:t>33 srityje: tvirtinimo detalės (29 EVD, kurių nuorodos yra paskelbtos);</w:t>
      </w:r>
    </w:p>
    <w:p>
      <w:pPr>
        <w:numPr>
          <w:ilvl w:val="0"/>
          <w:numId w:val="16"/>
        </w:numPr>
        <w:autoSpaceDE w:val="0"/>
        <w:autoSpaceDN w:val="0"/>
        <w:adjustRightInd w:val="0"/>
        <w:spacing w:before="120" w:after="120" w:line="240" w:lineRule="auto"/>
        <w:jc w:val="both"/>
        <w:rPr>
          <w:rFonts w:ascii="Times New Roman" w:hAnsi="Times New Roman"/>
          <w:noProof/>
          <w:color w:val="000000"/>
          <w:sz w:val="24"/>
          <w:szCs w:val="24"/>
        </w:rPr>
      </w:pPr>
      <w:r>
        <w:rPr>
          <w:rFonts w:ascii="Times New Roman" w:hAnsi="Times New Roman"/>
          <w:noProof/>
          <w:sz w:val="24"/>
          <w:szCs w:val="24"/>
        </w:rPr>
        <w:t>04 srityje: termoizoliaciniai produktai ir komplektai (26 EVD, kurių nuorodos yra paskelbtos);</w:t>
      </w:r>
    </w:p>
    <w:p>
      <w:pPr>
        <w:numPr>
          <w:ilvl w:val="0"/>
          <w:numId w:val="16"/>
        </w:numPr>
        <w:autoSpaceDE w:val="0"/>
        <w:autoSpaceDN w:val="0"/>
        <w:adjustRightInd w:val="0"/>
        <w:spacing w:before="120" w:after="120" w:line="240" w:lineRule="auto"/>
        <w:jc w:val="both"/>
        <w:rPr>
          <w:rFonts w:ascii="Times New Roman" w:hAnsi="Times New Roman"/>
          <w:noProof/>
          <w:color w:val="000000"/>
          <w:sz w:val="24"/>
          <w:szCs w:val="24"/>
        </w:rPr>
      </w:pPr>
      <w:r>
        <w:rPr>
          <w:rFonts w:ascii="Times New Roman" w:hAnsi="Times New Roman"/>
          <w:noProof/>
          <w:sz w:val="24"/>
          <w:szCs w:val="24"/>
        </w:rPr>
        <w:t>20 srityje: konstrukciniai metalo produktai ir pagalbiniai komplektai (21 EVD, kurių nuorodos yra paskelbtos);</w:t>
      </w:r>
    </w:p>
    <w:p>
      <w:pPr>
        <w:numPr>
          <w:ilvl w:val="0"/>
          <w:numId w:val="16"/>
        </w:numPr>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noProof/>
          <w:sz w:val="24"/>
          <w:szCs w:val="24"/>
        </w:rPr>
        <w:t>13 srityje: statybinės medienos produktai ir pagalbiniai įrenginiai (19 EVD, kurių nuorodos yra paskelbtos);</w:t>
      </w:r>
    </w:p>
    <w:p>
      <w:pPr>
        <w:numPr>
          <w:ilvl w:val="0"/>
          <w:numId w:val="16"/>
        </w:numPr>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noProof/>
          <w:sz w:val="24"/>
          <w:szCs w:val="24"/>
        </w:rPr>
        <w:t>22 srityje: stogo dangos, švieslangiai, stoglangiai, susiję komplektai ir pagalbiniai produktai (14 EVD, kurių nuorodos yra paskelbtos) ir</w:t>
      </w:r>
    </w:p>
    <w:p>
      <w:pPr>
        <w:numPr>
          <w:ilvl w:val="0"/>
          <w:numId w:val="16"/>
        </w:numPr>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noProof/>
          <w:sz w:val="24"/>
          <w:szCs w:val="24"/>
        </w:rPr>
        <w:t>9 srityje: apdarinės sienos, apdarai, konstrukcinis sandarusis įstiklinimas (12 EVD, kurių nuorodos yra paskelbtos).</w:t>
      </w:r>
    </w:p>
    <w:p>
      <w:pPr>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noProof/>
          <w:sz w:val="24"/>
          <w:szCs w:val="24"/>
        </w:rPr>
        <w:t>Derėtų pažymėti, kad visos šios produktų sritys nebūtinai yra susijusios su naujoviškiausiais produktais. Taip pat yra sričių, kuriose pagal SPD buvo parengtos atitinkamos rekomendacijos, kaip suteikti Europos techninį liudijimą, tad daugelis šių EVD yra šių rekomendacijų variantai.</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Kitose produktų srityse priimta mažiau kaip 10 EVD, kurių nuorodos yra paskelbtos Oficialiajame leidinyje, o septynių produktų grupių atžvilgiu nėra priimta jokių EVD, kurių nuorodos būtų paskelbtos.</w:t>
      </w:r>
    </w:p>
    <w:p>
      <w:pPr>
        <w:spacing w:before="120" w:after="120" w:line="240" w:lineRule="auto"/>
        <w:jc w:val="both"/>
        <w:rPr>
          <w:rFonts w:ascii="Times New Roman" w:hAnsi="Times New Roman"/>
          <w:noProof/>
          <w:sz w:val="24"/>
          <w:szCs w:val="24"/>
        </w:rPr>
      </w:pPr>
    </w:p>
    <w:p>
      <w:pPr>
        <w:spacing w:before="120" w:after="120" w:line="240" w:lineRule="auto"/>
        <w:jc w:val="both"/>
        <w:rPr>
          <w:rFonts w:ascii="Times New Roman" w:hAnsi="Times New Roman"/>
          <w:b/>
          <w:noProof/>
          <w:sz w:val="24"/>
          <w:szCs w:val="24"/>
        </w:rPr>
      </w:pPr>
      <w:r>
        <w:rPr>
          <w:rFonts w:ascii="Times New Roman" w:hAnsi="Times New Roman"/>
          <w:b/>
          <w:noProof/>
          <w:sz w:val="24"/>
          <w:szCs w:val="24"/>
        </w:rPr>
        <w:t>4.1.5.</w:t>
      </w:r>
      <w:r>
        <w:rPr>
          <w:rFonts w:ascii="Times New Roman" w:hAnsi="Times New Roman"/>
          <w:b/>
          <w:noProof/>
          <w:sz w:val="24"/>
          <w:szCs w:val="24"/>
        </w:rPr>
        <w:tab/>
        <w:t>Koncentracija pagal konkrečias TVĮ</w:t>
      </w:r>
    </w:p>
    <w:p>
      <w:pPr>
        <w:widowControl w:val="0"/>
        <w:spacing w:before="120" w:after="120" w:line="240" w:lineRule="auto"/>
        <w:jc w:val="both"/>
        <w:rPr>
          <w:rFonts w:ascii="Times New Roman" w:hAnsi="Times New Roman"/>
          <w:noProof/>
          <w:sz w:val="24"/>
          <w:szCs w:val="24"/>
        </w:rPr>
      </w:pPr>
      <w:r>
        <w:rPr>
          <w:rFonts w:ascii="Times New Roman" w:hAnsi="Times New Roman"/>
          <w:noProof/>
          <w:sz w:val="24"/>
          <w:szCs w:val="24"/>
        </w:rPr>
        <w:t>Iš 49 TVĮ tik 29 gavo gamintojų prašymus pradėti rengti EVD.</w:t>
      </w:r>
    </w:p>
    <w:p>
      <w:pPr>
        <w:widowControl w:val="0"/>
        <w:spacing w:before="120" w:after="120" w:line="240" w:lineRule="auto"/>
        <w:jc w:val="both"/>
        <w:rPr>
          <w:rFonts w:ascii="Times New Roman" w:hAnsi="Times New Roman"/>
          <w:noProof/>
          <w:sz w:val="24"/>
          <w:szCs w:val="24"/>
        </w:rPr>
      </w:pPr>
      <w:r>
        <w:rPr>
          <w:rFonts w:ascii="Times New Roman" w:hAnsi="Times New Roman"/>
          <w:noProof/>
          <w:sz w:val="24"/>
          <w:szCs w:val="24"/>
        </w:rPr>
        <w:t>Kai minėta pirmiau, yra vos keletas TVĮ, vykdančių labai aktyvią EVD rengimo veiklą. Tai DIBt, OIB ir ETA-DK</w:t>
      </w:r>
      <w:r>
        <w:rPr>
          <w:rStyle w:val="FootnoteReference"/>
          <w:rFonts w:ascii="Times New Roman" w:hAnsi="Times New Roman"/>
          <w:noProof/>
          <w:sz w:val="24"/>
          <w:szCs w:val="24"/>
        </w:rPr>
        <w:footnoteReference w:id="25"/>
      </w:r>
      <w:r>
        <w:rPr>
          <w:rFonts w:ascii="Times New Roman" w:hAnsi="Times New Roman"/>
          <w:noProof/>
          <w:sz w:val="24"/>
          <w:szCs w:val="24"/>
        </w:rPr>
        <w:t xml:space="preserve"> (vienintelės TVĮ Vokietijoje, Austrijoje ir Danijoje), kurios yra parengusios 59 proc. visų EVD, kurių nuorodos yra paskelbtos.</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Tačiau 40 proc. TVĮ nėra gavusios jokių prašymų iš gamintojų.</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Susiformavo tam tikras specializacijos lygis. Tam tikrose produktų srityse konkreti pagrindinė TVĮ, regis, pritraukia didžiąją gamintojų prašymų dalį. Pavyzdžiui, 33 produktų srityje (tvirtinimo detalės) 25 iš 40 EVD parengė DIBt (63 proc.), o kitos šešios TVĮ parengė tik 37 proc. EVD šioje produktų srityje.</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Gamintojai, regis, taip pat yra labiau linkę teikti savo prašymus parengti ETĮ tai TVĮ, kuri parengė atitinkamą EVD, galbūt dėl priežasčių, susijusių su pasitikėjimu. Todėl specializacija EVD lygmeniu yra atspindėta ETĮ lygmeniu, pavyzdžiui, DIBt, OIB ir ETA-DK yra išleidusios 39 proc. visų ETĮ. Danijos TVĮ ETA-DK yra parengusi 8 proc. EVD ir išleidusi 8 proc. ETĮ, o Austrijos TVĮ OIB – 6 proc. EVD ir ETĮ.</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Tai galėtų reikšti, kad EVD rengiančios TVĮ turi konkurencinį pranašumą ETĮ rinkoje.</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Tačiau kitokia padėtis yra Vokietijoje ir Čekijoje. Vokietijos DIBt yra parengusi 38 proc. EVD, tačiau Vokietijos gamintojai turi tik 26 proc. ETĮ ir trečdalį jų yra išleidusios TVĮ iš kitų šalių, o tai gali reikšti, kad DIBt klientai labiau linkę teikti savo prašymus kitoms TVĮ, kai jie turi patvirtinti išlaidas. Priešingai yra Čekijoje, kurios TVĮ TZUS tenka 5,6 proc. EVD, palyginti su 14 proc. ETĮ, o tai rodo, kad TZUS gali pritraukti kitų klientų iš kitų šalių, prašančių išleisti ETĮ.</w:t>
      </w:r>
    </w:p>
    <w:p>
      <w:pPr>
        <w:spacing w:before="120" w:after="120" w:line="240" w:lineRule="auto"/>
        <w:jc w:val="both"/>
        <w:rPr>
          <w:rFonts w:ascii="Times New Roman" w:hAnsi="Times New Roman"/>
          <w:b/>
          <w:noProof/>
          <w:sz w:val="24"/>
          <w:szCs w:val="24"/>
        </w:rPr>
      </w:pPr>
      <w:r>
        <w:rPr>
          <w:rFonts w:ascii="Times New Roman" w:hAnsi="Times New Roman"/>
          <w:b/>
          <w:noProof/>
          <w:sz w:val="24"/>
          <w:szCs w:val="24"/>
        </w:rPr>
        <w:br/>
        <w:t>4.1.6.</w:t>
      </w:r>
      <w:r>
        <w:rPr>
          <w:rFonts w:ascii="Times New Roman" w:hAnsi="Times New Roman"/>
          <w:b/>
          <w:noProof/>
          <w:sz w:val="24"/>
          <w:szCs w:val="24"/>
        </w:rPr>
        <w:tab/>
        <w:t>Ankstesnėmis rekomendacijomis, kaip suteikti Europos techninį liudijimą, grindžiamų EVD ir ETĮ koncentracija</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Kaip minėta 3.1.3 skirsnyje, išduoti ETĮ yra koncentruoti vos keliose produktų srityse ir du trečdaliai iš 6 240 ETĮ priklauso tik trims sritims. Daugiau kaip 85 proc. šiose trijose produktų srityse išduotų ETĮ yra grindžiami rekomendacijomis, kaip suteikti Europos techninį liudijimą, parengtomis kaip EVD, arba EVD, kuriais rekomendacijos keičiamos. Be to, remiantis šešiomis rekomendacijomis, kaip suteikti Europos techninį liudijimą</w:t>
      </w:r>
      <w:r>
        <w:rPr>
          <w:rStyle w:val="FootnoteReference"/>
          <w:rFonts w:ascii="Times New Roman" w:hAnsi="Times New Roman"/>
          <w:noProof/>
          <w:sz w:val="24"/>
          <w:szCs w:val="24"/>
        </w:rPr>
        <w:footnoteReference w:id="26"/>
      </w:r>
      <w:r>
        <w:rPr>
          <w:rFonts w:ascii="Times New Roman" w:hAnsi="Times New Roman"/>
          <w:noProof/>
          <w:sz w:val="24"/>
          <w:szCs w:val="24"/>
        </w:rPr>
        <w:t>, ir jas keičiančiais EVD, yra išduota apytikriai 60 proc. visų ETĮ.</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Kaip minėta 2.4.2 skirsnyje, pereinant nuo SPD prie SPR ir kartu diegiant technines vertinimo metodų naujoves, rekomendacijas, kaip suteikti Europos techninį liudijimą, ir bendrus susitarimus dėl patvirtinimo procedūrų reikėjo pakeisti į EVD. Šiuo metu 91 proc. pagal SPR išduotų ETĮ yra grindžiami dokumentais, parengtais SPD galiojimo laikotarpiu.</w:t>
      </w:r>
    </w:p>
    <w:p>
      <w:pPr>
        <w:spacing w:before="120" w:after="120" w:line="240" w:lineRule="auto"/>
        <w:jc w:val="both"/>
        <w:rPr>
          <w:rFonts w:ascii="Times New Roman" w:hAnsi="Times New Roman"/>
          <w:noProof/>
          <w:sz w:val="24"/>
          <w:szCs w:val="24"/>
        </w:rPr>
      </w:pPr>
    </w:p>
    <w:p>
      <w:pPr>
        <w:spacing w:before="120" w:after="120" w:line="240" w:lineRule="auto"/>
        <w:jc w:val="both"/>
        <w:rPr>
          <w:rFonts w:ascii="Times New Roman" w:hAnsi="Times New Roman"/>
          <w:b/>
          <w:noProof/>
          <w:sz w:val="24"/>
          <w:szCs w:val="24"/>
        </w:rPr>
      </w:pPr>
      <w:r>
        <w:rPr>
          <w:rFonts w:ascii="Times New Roman" w:hAnsi="Times New Roman"/>
          <w:b/>
          <w:noProof/>
          <w:sz w:val="24"/>
          <w:szCs w:val="24"/>
        </w:rPr>
        <w:t>4.1.7.</w:t>
      </w:r>
      <w:r>
        <w:rPr>
          <w:rFonts w:ascii="Times New Roman" w:hAnsi="Times New Roman"/>
          <w:b/>
          <w:noProof/>
          <w:sz w:val="24"/>
          <w:szCs w:val="24"/>
        </w:rPr>
        <w:tab/>
        <w:t>EVD ir ETĮ gausa</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Kai kuriais atvejais tų pačių rūšių produktams (pvz., sujungtoms tvirtinimo detalėms) kartu yra rengiama keletas EVD. Jeigu būtų leista priimti šiuos panašius EVD, kiltų didelių sunkumų konkuruojantiems produktams, atsirastų painiavos dėl deklaruojamų eksploatacinių savybių ir painiavos produktų naudotojams. Dėl šios EVD gausos taip pat skatinamas mažesnis nei optimalus EOTA ir Komisijos finansinių ir žmogiškųjų išteklių naudojimas.</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Šis požiūris kartais yra pateisinamas remiantis konfidencialumo taisyklėmis, numatytomis SPR 20 straipsnio 1 dalies c punkte ir II priede, kuriomis siekiama užtikrinti „</w:t>
      </w:r>
      <w:r>
        <w:rPr>
          <w:rFonts w:ascii="Times New Roman" w:hAnsi="Times New Roman"/>
          <w:i/>
          <w:noProof/>
          <w:sz w:val="24"/>
          <w:szCs w:val="24"/>
        </w:rPr>
        <w:t>komercinės paslapties ir konfidencialumo apsaugą</w:t>
      </w:r>
      <w:r>
        <w:rPr>
          <w:rFonts w:ascii="Times New Roman" w:hAnsi="Times New Roman"/>
          <w:noProof/>
          <w:sz w:val="24"/>
          <w:szCs w:val="24"/>
        </w:rPr>
        <w:t>“. Vis dėlto priimti EVD tampa darniosiomis techninėmis specifikacijomis, turinčiomis tiesioginių padarinių atitinkamų statybos produktų konkurencijai ir rinkodarai visos Europos mastu. Todėl atsižvelgiant į konfidencialumo nuostatas kartu paisoma kitų pagrindinių principų, kuriems aklas tų nuostatų taikymas galėtų kelti pavojų. Šiuo metu su valstybėmis narėmis ir EOTA yra aptariamos rekomendacijos dėl EVD rengimo procedūrų, kurios padėtų išvengti nepagrįstos EVD gausos, kartu užtikrinant konfidencialumo apsaugą.</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Viena atskira rekomendacija, kaip suteikti Europos techninį liudijimą, sudaro 24 proc. visų išduotų ETĮ (1 490) (Rekomendacija Nr. 001, kaip suteikti Europos techninį liudijimą, naudojama kaip EVD ir susiję EVD keitimai). Yra trylika EVD (arba rekomendacijų, kaip suteikti Europos techninį liudijimą, naudojamų kaip EVD), kurių kiekvienas yra daugiau kaip 100 ETĮ pagrindas, 49 EVD, kurių kiekvienas yra mažiau kaip 100 ETĮ pagrindas, ir likę EVD, kurių kiekvienas yra mažiau kaip 10 ETĮ pagrindas.</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Be to, kai kuriems šiuo metu rinkoje esantiems produktams taikomi du ETĮ, kaip yra 33 produktų grupei (tvirtinimo detalės) priklausančios įpurškimo sistemos atveju – jai skirtas pirmasis ETĮ išduotas remiantis Rekomendacija Nr. 001-5, kaip suteikti Europos techninį liudijimą, naudota kaip EVD, o antrasis – EVD Nr. 331522-00-0601 (tik priimtas), kurio taikymo sritis šiek tiek skiriasi.</w:t>
      </w:r>
    </w:p>
    <w:p>
      <w:pPr>
        <w:spacing w:before="120" w:after="120" w:line="240" w:lineRule="auto"/>
        <w:jc w:val="both"/>
        <w:rPr>
          <w:rFonts w:ascii="Times New Roman" w:hAnsi="Times New Roman"/>
          <w:noProof/>
          <w:sz w:val="24"/>
          <w:szCs w:val="24"/>
        </w:rPr>
      </w:pPr>
    </w:p>
    <w:p>
      <w:pPr>
        <w:spacing w:before="120" w:after="120" w:line="240" w:lineRule="auto"/>
        <w:jc w:val="both"/>
        <w:rPr>
          <w:rFonts w:ascii="Times New Roman" w:hAnsi="Times New Roman"/>
          <w:b/>
          <w:noProof/>
          <w:sz w:val="24"/>
          <w:szCs w:val="24"/>
        </w:rPr>
      </w:pPr>
      <w:r>
        <w:rPr>
          <w:rFonts w:ascii="Times New Roman" w:hAnsi="Times New Roman"/>
          <w:b/>
          <w:noProof/>
          <w:sz w:val="24"/>
          <w:szCs w:val="24"/>
        </w:rPr>
        <w:t>4.1.8.</w:t>
      </w:r>
      <w:r>
        <w:rPr>
          <w:rFonts w:ascii="Times New Roman" w:hAnsi="Times New Roman"/>
          <w:b/>
          <w:noProof/>
          <w:sz w:val="24"/>
          <w:szCs w:val="24"/>
        </w:rPr>
        <w:tab/>
        <w:t>Kliūtys MVĮ</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Gamintojams siūlomas EOTA metodas gauti CE ženklą kainuoja. Nors įmonės nemoka už EVD parengimą, jos moka mokesčius TVĮ už ETĮ išleidimą. Šie mokesčiai gali būti dideli (24 000–36 000 EUR – dėl išsamesnės informacijos žr. 4.2.3 skirsnį „Efektyvumas“), o išaugusi paklausa rinkoje kartais negali kompensuoti investicijų. Be to, gamintojas neturi jokios garantijos, kad EVD, kuriuo grindžiamas ETĮ, bet kuriuo metu nebus pakeistas naujesne versija, kitam gamintojui paprašius padaryti kai kuriuos pakeitimus, o tai gali reikšti papildomas išlaidas.</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MVĮ yra sunku padengti šias išlaidas ir prisiimti tokią riziką, ypač EVD, kuriais keičiamos rekomendacijos, kaip suteikti Europos techninį liudijimą, srityje, nes jie sudaro didžiausią ETĮ, taigi ir atitinkamų gamintojų dalį.</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Keletas gamintojų, dalyvavusių tyrimo apklausoje, savo atsakymuose nurodė, kad didesni gamintojai gali pasinaudoti EOTA taikomu CE ženklo gavimo metodu tokiu būdu, kuris suteikia jiems konkurencinį pranašumą jų konkurentų atžvilgiu</w:t>
      </w:r>
      <w:r>
        <w:rPr>
          <w:rStyle w:val="FootnoteReference"/>
          <w:rFonts w:ascii="Times New Roman" w:hAnsi="Times New Roman"/>
          <w:noProof/>
          <w:sz w:val="24"/>
          <w:szCs w:val="24"/>
        </w:rPr>
        <w:footnoteReference w:id="27"/>
      </w:r>
      <w:r>
        <w:rPr>
          <w:rFonts w:ascii="Times New Roman" w:hAnsi="Times New Roman"/>
          <w:noProof/>
          <w:sz w:val="24"/>
          <w:szCs w:val="24"/>
        </w:rPr>
        <w:t>.</w:t>
      </w:r>
    </w:p>
    <w:p>
      <w:pPr>
        <w:spacing w:before="120" w:after="120" w:line="240" w:lineRule="auto"/>
        <w:jc w:val="both"/>
        <w:rPr>
          <w:rFonts w:ascii="Times New Roman" w:hAnsi="Times New Roman"/>
          <w:noProof/>
          <w:sz w:val="24"/>
          <w:szCs w:val="24"/>
        </w:rPr>
      </w:pPr>
    </w:p>
    <w:p>
      <w:pPr>
        <w:spacing w:before="120" w:after="120" w:line="240" w:lineRule="auto"/>
        <w:jc w:val="both"/>
        <w:rPr>
          <w:rFonts w:ascii="Times New Roman" w:hAnsi="Times New Roman"/>
          <w:noProof/>
          <w:sz w:val="24"/>
          <w:szCs w:val="24"/>
        </w:rPr>
      </w:pPr>
      <w:r>
        <w:rPr>
          <w:rFonts w:ascii="Times New Roman" w:hAnsi="Times New Roman"/>
          <w:b/>
          <w:noProof/>
          <w:sz w:val="24"/>
          <w:szCs w:val="24"/>
        </w:rPr>
        <w:t>4.1.9.</w:t>
      </w:r>
      <w:r>
        <w:rPr>
          <w:rFonts w:ascii="Times New Roman" w:hAnsi="Times New Roman"/>
          <w:b/>
          <w:noProof/>
          <w:sz w:val="24"/>
          <w:szCs w:val="24"/>
        </w:rPr>
        <w:tab/>
        <w:t>EOTA ir TVĮ veiklos išduodant EVD ir ETĮ rezultatai</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Europos techninių įvertinimų forma buvo patvirtinta 2013 m. spalio mėn., o galutinė EVD forma buvo parengta 2015 m. kovo mėn. Nepaisant šių ankstyvųjų teigiamų rezultatų, didžioji dauguma EAD nebuvo galutinai parengti iki II priede nustatytų terminų.</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Yra kuriama IT priemonė, siekiant pagerinti EOTA ir Komisijos keitimąsi informacija (kad būtų informuojama apie terminus, registruojami visi EVD rengimo etapai, pranešama apie galimą vėlavimą ir t. t.) ir užtikrinti, kad paskelbus EVD nuorodą NANDO duomenų bazė</w:t>
      </w:r>
      <w:r>
        <w:rPr>
          <w:rStyle w:val="FootnoteReference"/>
          <w:rFonts w:ascii="Times New Roman" w:hAnsi="Times New Roman"/>
          <w:noProof/>
          <w:sz w:val="24"/>
          <w:szCs w:val="24"/>
        </w:rPr>
        <w:footnoteReference w:id="28"/>
      </w:r>
      <w:r>
        <w:rPr>
          <w:rFonts w:ascii="Times New Roman" w:hAnsi="Times New Roman"/>
          <w:noProof/>
          <w:sz w:val="24"/>
          <w:szCs w:val="24"/>
        </w:rPr>
        <w:t xml:space="preserve"> būtų automatiškai atnaujinama.</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Pagal SPR II priede apibrėžtą procedūrą CE ženklo suteikimas produktui remiantis EVD, kurio nuoroda dar nėra paskelbta, galėtų būti pagrįstas dėl besąlyginės prievolės, nustatytos 4 straipsnio 1 dalyje. Teisėkūros institucijos siekė suteikti galimybę tikslinti EVD po to, kai buvo išduotas ETĮ, ir išvengti paskesnio kitiems gamintojams skirto ETĮ rengimo proceso vilkinimo. Vis dėlto tais atvejais, kai EVD yra atmetamas ir jo nuoroda nėra paskelbiama, gali kilti abejonių dėl eksploatacinių savybių deklaracijos ir CE ženklo, suteikto remiantis ETĮ, galiojimo. Tai susiję su 70 ETĮ ir 31 EVD (įskaitant, visų pirma, 18 ETĮ, kuriuos išleido šešios skirtingos TVĮ, remdamosi vienu priimtu EAD, kuriuo keičiamas bendras susitarimas dėl patvirtinimo procedūrų). Tai reiškia, kad produktams buvo suteiktas CE ženklas ir jie buvo pateikti rinkai remiantis EVD, kurį dar reikia toliau tobulinti, siekiant paskelbti jo nuorodą Oficialiajame leidinyje.</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Reikėtų pridurti, kad, nors gamintojai nėra tiesiogiai teisiškai įpareigoti atnaujinti savo ETĮ ir CE ženklą po EVD peržiūros, spaudžiami rinkos jie dažniausiai yra priversti tai padaryti. Be to, jeigu į naują EVD, kuriuo pakeičiamas ankstesnysis (arba rekomendacija, kaip suteikti Europos techninį liudijimą), yra įtraukti smarkiai pakeisti vertinimo metodai, privaloma išleisti naują ETĮ.</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Tyrimas suteikia pagrindą manyti, kad reikia peržiūrėti II priedą, siekiant atspindėti faktines pareigas ir laiką, kurio reikia EVD parengti ir jo nuorodoms paskelbti Oficialiajame leidinyje</w:t>
      </w:r>
      <w:r>
        <w:rPr>
          <w:rStyle w:val="FootnoteReference"/>
          <w:rFonts w:ascii="Times New Roman" w:hAnsi="Times New Roman"/>
          <w:noProof/>
          <w:sz w:val="24"/>
          <w:szCs w:val="24"/>
        </w:rPr>
        <w:footnoteReference w:id="29"/>
      </w:r>
      <w:r>
        <w:rPr>
          <w:rFonts w:ascii="Times New Roman" w:hAnsi="Times New Roman"/>
          <w:noProof/>
          <w:sz w:val="24"/>
          <w:szCs w:val="24"/>
        </w:rPr>
        <w:t>.</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Tačiau palyginti didelį atmestų EVD arba EVD, kurių nuorodos dar nepaskelbtos, skaičių iš esmės lemia tai, kad EOTA nevykdo tinkamos kokybės kontrolės. Tikimasi, kad vidiniai techniniai ir teisiniai pajėgumai, kuriuos EOTA įsipareigojo sutelkti, ir neseniai parengtas kontrolinis sąrašas, pagal kurį tikrinama EVD kokybė 7 etape, padės smarkiai pagerinti EVD projektų kokybę bei padidinti EVD, kurių nuorodos paskelbtos, skaičių, taigi ir sutrumpinti terminus. Tai taip pat būtų naudinga mažinant EVD gausą (žr. pirmesnį 4.1.7 skirsnį).</w:t>
      </w:r>
    </w:p>
    <w:p>
      <w:pPr>
        <w:spacing w:before="120" w:after="120" w:line="240" w:lineRule="auto"/>
        <w:jc w:val="both"/>
        <w:rPr>
          <w:rFonts w:ascii="Times New Roman" w:hAnsi="Times New Roman"/>
          <w:noProof/>
          <w:sz w:val="24"/>
          <w:szCs w:val="24"/>
          <w:highlight w:val="yellow"/>
        </w:rPr>
      </w:pPr>
    </w:p>
    <w:p>
      <w:pPr>
        <w:keepNext/>
        <w:spacing w:before="120" w:after="120" w:line="240" w:lineRule="auto"/>
        <w:outlineLvl w:val="1"/>
        <w:rPr>
          <w:rFonts w:ascii="Cambria" w:eastAsia="Times New Roman" w:hAnsi="Cambria"/>
          <w:b/>
          <w:bCs/>
          <w:i/>
          <w:iCs/>
          <w:noProof/>
          <w:sz w:val="24"/>
          <w:szCs w:val="24"/>
        </w:rPr>
      </w:pPr>
      <w:r>
        <w:rPr>
          <w:rFonts w:ascii="Cambria" w:hAnsi="Cambria"/>
          <w:b/>
          <w:bCs/>
          <w:i/>
          <w:iCs/>
          <w:noProof/>
          <w:sz w:val="24"/>
          <w:szCs w:val="24"/>
        </w:rPr>
        <w:t>4.2.</w:t>
      </w:r>
      <w:r>
        <w:rPr>
          <w:rFonts w:ascii="Cambria" w:hAnsi="Cambria"/>
          <w:b/>
          <w:bCs/>
          <w:i/>
          <w:iCs/>
          <w:noProof/>
          <w:sz w:val="24"/>
          <w:szCs w:val="24"/>
        </w:rPr>
        <w:tab/>
        <w:t>Efektyvumas</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Šiame skirsnyje vertinama, ar numatyti rezultatai ir poveikis pasiekti pagrįstomis arba proporcingomis sąnaudomis.</w:t>
      </w:r>
    </w:p>
    <w:p>
      <w:pPr>
        <w:spacing w:before="120" w:after="120" w:line="240" w:lineRule="auto"/>
        <w:jc w:val="both"/>
        <w:rPr>
          <w:rFonts w:ascii="Times New Roman" w:hAnsi="Times New Roman"/>
          <w:b/>
          <w:noProof/>
          <w:sz w:val="24"/>
          <w:szCs w:val="24"/>
        </w:rPr>
      </w:pPr>
      <w:r>
        <w:rPr>
          <w:rFonts w:ascii="Times New Roman" w:hAnsi="Times New Roman"/>
          <w:b/>
          <w:noProof/>
          <w:sz w:val="24"/>
          <w:szCs w:val="24"/>
        </w:rPr>
        <w:br/>
        <w:t>4.2.1.</w:t>
      </w:r>
      <w:r>
        <w:rPr>
          <w:rFonts w:ascii="Times New Roman" w:hAnsi="Times New Roman"/>
          <w:b/>
          <w:noProof/>
          <w:sz w:val="24"/>
          <w:szCs w:val="24"/>
        </w:rPr>
        <w:tab/>
        <w:t>Komisijos išlaidos</w:t>
      </w:r>
    </w:p>
    <w:p>
      <w:pPr>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noProof/>
          <w:sz w:val="24"/>
          <w:szCs w:val="24"/>
        </w:rPr>
        <w:t>Komisijos išlaidos apima metinę dotaciją, skiriamą EOTA, ir išlaidas, susijusias su Komisijos padalinių indėliu rengiant EVD, t. y. personalo ir paramos išlaidas (specialieji konsultantai). Šios išlaidos yra būdingos tik SPR, nes kituose vidaus rinkos teisės aktuose tokie alternatyvūs standartizavimo metodai nesiūlomi.</w:t>
      </w:r>
    </w:p>
    <w:p>
      <w:pPr>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noProof/>
          <w:sz w:val="24"/>
          <w:szCs w:val="24"/>
        </w:rPr>
        <w:t>EOTA dotacijos dydis nuo 2016 m. išliko palyginti stabilus: 550 000 EUR 2016 m., 570 000 EUR 2017 m.</w:t>
      </w:r>
      <w:r>
        <w:rPr>
          <w:rStyle w:val="FootnoteReference"/>
          <w:rFonts w:ascii="Times New Roman" w:hAnsi="Times New Roman"/>
          <w:noProof/>
          <w:sz w:val="24"/>
          <w:szCs w:val="24"/>
        </w:rPr>
        <w:footnoteReference w:id="30"/>
      </w:r>
      <w:r>
        <w:rPr>
          <w:rFonts w:ascii="Times New Roman" w:hAnsi="Times New Roman"/>
          <w:noProof/>
          <w:sz w:val="24"/>
          <w:szCs w:val="24"/>
        </w:rPr>
        <w:t xml:space="preserve"> ir 550 000 EUR 2018 m. 2016 m. buvo paskelbtos 65 EVD nuorodos, 2017 m. – 70 ir 2018 – 63, taigi vienam EVD tenkanti orientacinė dotacijos dalis buvo apytikriai 8 143 EUR 2017 m. ir 8 730 EUR 2018 m. Kaip jau minėta, EOTA biudžetas apima keturias skirtingas darbo dalis, kurių brangiausia yra sekretoriato veikla, po jos eina EVD rengimas (34–49 proc. biudžeto 2016–2018 m.) ir posėdžiai bei paramos veikla.</w:t>
      </w:r>
    </w:p>
    <w:p>
      <w:pPr>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noProof/>
          <w:sz w:val="24"/>
          <w:szCs w:val="24"/>
        </w:rPr>
        <w:t>EOTA veiklos stebėsenai naudojami Komisijos žmogiškieji ištekliai sudaro apytikriai 1,5 visos darbo dienos ekvivalento. Šis rodiklis išliko stabilus, nepaisant to, kad EOTA priimamų EVD skaičius nuo 2014 m. išaugo (nuo 24 EVD 2014 m. iki 93 EVD 2018 m.), ir nepaisant to, kad dėl EOTA priimtų EVD Komisijai ir toliau reikia teikti daug techninių ir teisinių pastabų.</w:t>
      </w:r>
    </w:p>
    <w:p>
      <w:pPr>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noProof/>
          <w:sz w:val="24"/>
          <w:szCs w:val="24"/>
        </w:rPr>
        <w:t>Atitinkamas Komisijos padalinys taip pat yra pasamdęs konsultantą, kuris peržiūri EOTA siūlomų EVD projektų kokybę, todėl vidinių pastangų sumažėjo (nuo 2014 m. su šia paramos veikla susijusios išlaidos siekė 120 000 EUR per metus).</w:t>
      </w:r>
    </w:p>
    <w:p>
      <w:pPr>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noProof/>
          <w:sz w:val="24"/>
          <w:szCs w:val="24"/>
        </w:rPr>
        <w:t>Pagalbinis tyrimas parodė, kad reikia geriau susieti dotacijų susitarimą su SPR tikslais ir sustiprinti EOTA finansavimo, EVD rengimo finansavimo ir TVĮ finansavimo kontrolės sistemas.</w:t>
      </w:r>
    </w:p>
    <w:p>
      <w:pPr>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noProof/>
          <w:sz w:val="24"/>
          <w:szCs w:val="24"/>
        </w:rPr>
        <w:t>Komisija paprašė EOTA sukurti TVĮ taikytiną bendrą sąskaitų faktūrų išrašymo sistemą, kad tikrosios EVD rengimo sąnaudos būtų atspindėtos EOTA pateikiamose TVĮ sąskaitose faktūrose. EOTA taip pat įsipareigojo taikyti realistiškesnę ir tikslesnę su EVD rengimu ir (arba) daliniu keitimu susijusių TVĮ sąnaudų kompensavimo schemą, grindžiamą kiekvienu konkrečiu atveju patirtomis darbo sąnaudomis.</w:t>
      </w:r>
    </w:p>
    <w:p>
      <w:pPr>
        <w:autoSpaceDE w:val="0"/>
        <w:autoSpaceDN w:val="0"/>
        <w:adjustRightInd w:val="0"/>
        <w:spacing w:before="120" w:after="120" w:line="240" w:lineRule="auto"/>
        <w:jc w:val="both"/>
        <w:rPr>
          <w:rFonts w:ascii="Times New Roman" w:hAnsi="Times New Roman"/>
          <w:b/>
          <w:noProof/>
          <w:sz w:val="24"/>
          <w:szCs w:val="24"/>
        </w:rPr>
      </w:pPr>
      <w:r>
        <w:rPr>
          <w:rFonts w:ascii="Times New Roman" w:hAnsi="Times New Roman"/>
          <w:b/>
          <w:noProof/>
          <w:sz w:val="24"/>
          <w:szCs w:val="24"/>
        </w:rPr>
        <w:br/>
        <w:t>4.2.2.</w:t>
      </w:r>
      <w:r>
        <w:rPr>
          <w:rFonts w:ascii="Times New Roman" w:hAnsi="Times New Roman"/>
          <w:b/>
          <w:noProof/>
          <w:sz w:val="24"/>
          <w:szCs w:val="24"/>
        </w:rPr>
        <w:tab/>
        <w:t>Išorinis efektyvumas</w:t>
      </w:r>
    </w:p>
    <w:p>
      <w:pPr>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noProof/>
          <w:sz w:val="24"/>
          <w:szCs w:val="24"/>
        </w:rPr>
        <w:t>Kalbant apie ekonominį efektyvumą gamintojams, gaunantiems EOTA paramą, 22 iš 26 (visi EOTA klientai) tyrime apklaustų gamintojų nurodė, kad komercinė nauda nusveria reikalavimų laikymosi išlaidas dideliu arba labai dideliu mastu (12 gamintojų atveju), vidutiniu mastu (keturių gamintojų atveju) arba nedideliu arba labai nedideliu mastu (keturių gamintojų atveju)</w:t>
      </w:r>
      <w:r>
        <w:rPr>
          <w:rStyle w:val="FootnoteReference"/>
          <w:rFonts w:ascii="Times New Roman" w:hAnsi="Times New Roman"/>
          <w:noProof/>
          <w:sz w:val="24"/>
          <w:szCs w:val="24"/>
        </w:rPr>
        <w:footnoteReference w:id="31"/>
      </w:r>
      <w:r>
        <w:rPr>
          <w:rFonts w:ascii="Times New Roman" w:hAnsi="Times New Roman"/>
          <w:noProof/>
          <w:sz w:val="24"/>
          <w:szCs w:val="24"/>
        </w:rPr>
        <w:t>. Apskritai EOTA klientai mano, kad laikas, per kurį išduodami EVD ir ETĮ, galėtų būti sutrumpintas (remiantis atsakymais, EVD yra priimami vidutiniškai per 16,3 mėnesio), jie taip pat skundžiasi dėl „vėlavimo pateikti produktus rinkai“, nepaisant šioje srityje padarytos pažangos nuo tada, kai buvo taikoma SPD. Vis dėlto pirmiau nurodytas laikotarpis atitinka laiką, kurio reikia darniajam Europos standartui parengti.</w:t>
      </w:r>
    </w:p>
    <w:p>
      <w:pPr>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noProof/>
          <w:sz w:val="24"/>
          <w:szCs w:val="24"/>
        </w:rPr>
        <w:t>Remiantis prekybos produktais apyvartos duomenimis, kuriuos EOTA pateikė devyni jos klientai, tyrime nustatyta, kad finansinė prekybos produktais vidaus rinkoje grąža nusveria su ETĮ susijusias reikalavimų laikymosi išlaidas naudos ir sąnaudų santykiu 443:1. Šis santykis apskaičiuotas remiantis devynių gamintojų nustatytu bendrų prekybos produktais pajamų įverčiu, kuris yra 157 mln. EUR. Tačiau šiuo atveju dėl mažo imties dydžio kyla didelių abejonių dėl tokių kiekybinių rezultatų reprezentatyvumo, nes jokių kitų duomenų nėra.</w:t>
      </w:r>
    </w:p>
    <w:p>
      <w:pPr>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noProof/>
          <w:sz w:val="24"/>
          <w:szCs w:val="24"/>
        </w:rPr>
        <w:t>Kalbant apie gamintojų bendras ETĮ gavimo išlaidas, tyrime nustatyta, kad jos siekia 40 000–52 000 EUR</w:t>
      </w:r>
      <w:r>
        <w:rPr>
          <w:rStyle w:val="FootnoteReference"/>
          <w:noProof/>
          <w:sz w:val="24"/>
          <w:szCs w:val="24"/>
        </w:rPr>
        <w:footnoteReference w:id="32"/>
      </w:r>
      <w:r>
        <w:rPr>
          <w:rFonts w:ascii="Times New Roman" w:hAnsi="Times New Roman"/>
          <w:noProof/>
          <w:sz w:val="24"/>
          <w:szCs w:val="24"/>
        </w:rPr>
        <w:t>, o jų didžiausią dalį sudaro TVĮ mokamas mokestis, siekiantis 24 500–36 000 EUR (dvi įmonės nurodė 150 000 EUR arba didesnę mokesčių sumą)</w:t>
      </w:r>
      <w:r>
        <w:rPr>
          <w:rStyle w:val="FootnoteReference"/>
          <w:rFonts w:ascii="Times New Roman" w:hAnsi="Times New Roman"/>
          <w:noProof/>
          <w:sz w:val="24"/>
          <w:szCs w:val="24"/>
        </w:rPr>
        <w:footnoteReference w:id="33"/>
      </w:r>
      <w:r>
        <w:rPr>
          <w:rFonts w:ascii="Times New Roman" w:hAnsi="Times New Roman"/>
          <w:noProof/>
          <w:sz w:val="24"/>
          <w:szCs w:val="24"/>
        </w:rPr>
        <w:t>.</w:t>
      </w:r>
    </w:p>
    <w:p>
      <w:pPr>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noProof/>
          <w:sz w:val="24"/>
          <w:szCs w:val="24"/>
        </w:rPr>
        <w:t>Iš 35 gamintojų (visi EOTA klientai), kurių tyrime buvo klausta apie tai, ar jie ateityje vėl prašytų išduoti ETĮ, 26 pateikė teigiamą atsakymą.</w:t>
      </w:r>
    </w:p>
    <w:p>
      <w:pPr>
        <w:autoSpaceDE w:val="0"/>
        <w:autoSpaceDN w:val="0"/>
        <w:adjustRightInd w:val="0"/>
        <w:spacing w:before="120" w:after="120" w:line="240" w:lineRule="auto"/>
        <w:jc w:val="both"/>
        <w:rPr>
          <w:rFonts w:ascii="Times New Roman" w:hAnsi="Times New Roman"/>
          <w:noProof/>
          <w:sz w:val="24"/>
          <w:szCs w:val="24"/>
        </w:rPr>
      </w:pPr>
    </w:p>
    <w:p>
      <w:pPr>
        <w:keepNext/>
        <w:spacing w:before="120" w:after="120" w:line="240" w:lineRule="auto"/>
        <w:outlineLvl w:val="1"/>
        <w:rPr>
          <w:rFonts w:ascii="Cambria" w:eastAsia="Times New Roman" w:hAnsi="Cambria"/>
          <w:b/>
          <w:bCs/>
          <w:i/>
          <w:iCs/>
          <w:noProof/>
          <w:sz w:val="28"/>
          <w:szCs w:val="28"/>
        </w:rPr>
      </w:pPr>
      <w:r>
        <w:rPr>
          <w:rFonts w:ascii="Cambria" w:hAnsi="Cambria"/>
          <w:b/>
          <w:bCs/>
          <w:i/>
          <w:iCs/>
          <w:noProof/>
          <w:sz w:val="28"/>
          <w:szCs w:val="28"/>
        </w:rPr>
        <w:t>4.3.</w:t>
      </w:r>
      <w:r>
        <w:rPr>
          <w:rFonts w:ascii="Cambria" w:hAnsi="Cambria"/>
          <w:b/>
          <w:bCs/>
          <w:i/>
          <w:iCs/>
          <w:noProof/>
          <w:sz w:val="28"/>
          <w:szCs w:val="28"/>
        </w:rPr>
        <w:tab/>
        <w:t>Aktualumas</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Aktualumas reiškia EOTA metodo (ir EOTA bei TVĮ) tikslų ir gamintojų bei rinkos poreikių atitiktį.</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Nors SPR inovacijos nėra aiškiai įvardijamos kaip EOTA tikslas, EVD procedūra yra skirta naujoviškiems produktams, kuriems dėl standartizavimo proceso trukmės negali būti taikomi darnieji standartai. Komisijos dotacijų susitarime numatyta gamintojų galimybė, kaip numatomas EVD procedūros poveikis, ženklinti CE ženklu „naujus ir dažnai naujoviškus statybos produktus“. EOTA statute nurodoma, kad jos pareigos apima platesnio masto veiklą, susijusią su „statybos produktų pateikimu ir naudojimu ir palankesnių sąlygų sudarymu diegti inovacijas statybos srityje“.</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Remiantis pagalbiniu tyrimu, TVĮ ir jų klientai mano, kad EOTA veikla yra aktuali. Jie mano, kad, kadangi standartizacija nėra taikoma ir tinkama visiems produktams, EOTA metodas yra tinkamas, visų pirma visiškai naujiems ir tikrai naujoviškiems produktams, ir dažnai laikomas pagrindine EOTA veiklos dalimi. Iš 26 TVĮ, kurių buvo klausta apie tai, kokiu mastu EOTA tikslai atitinka jų poreikius, 19 atsakė „visiškai“, o keturios – „dideliu mastu“. Iš 37 gamintojų, kuriems buvo pateiktas tas pats klausimas, 20 atsakė „visiškai“, o 11 – „dideliu mastu“.</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Vis dėlto nebuvo galima rasti jokių duomenų, kurie parodytų, kokį poveikį EOTA turėtų inovacijoms statybos sektoriuje.</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Santykinai kalbant, EOTA metodas taikomas mažesniam statybos produktų skaičiui, palyginti su statybos produktų, kuriems taikoma standartizacija, skaičiumi. Išduotų ETĮ skaičius gerokai mažesnis, palyginti su tuo pačiu laikotarpiu remiantis darniaisiais standartais išduotų sertifikatų skaičiumi. 2018 m. gruodžio 31 d. buvo 6 240 išduotų ETĮ, o kasmet išduodami sertifikatai gali būti skaičiuojami milijonais.</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Kaip ir ETĮ atveju, didžioji parengtų EVD dalis nėra skirta visiškai naujiems ir tikrai naujoviškiems produktams. Net tyrime dalyvavusios TVĮ išreiškė abejones dėl tikrai naujoviškų produktų skaičiaus ir mano, kad jie sudaro ne daugiau kaip 9 proc. EVD, parengtų „naujiems“ produktams, o ne remiantis dokumentais, parengtais dar SPD taikymo laikotarpiu (EVD, kuriais keičiamos rekomendacijos, kaip suteikti Europos techninį liudijimą, arba bendri susitarimai dėl patvirtinimo procedūrų).</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Tikrovėje gamintojai dažniausiai prašo išduoti ETĮ tam, kad būtų galima EC ženklu ženklinti produktus, kurie dažnai naudojami statybos darbe ir kurių esmines charakteristikas gamintojas nori deklaruoti, nepaisant to, kad yra darnusis standartas, arba kuriuos jie ketina naudoti pagal paskirtį, kuri nėra numatyta darniajame standarte. Todėl EOTA metodas galėtų būti vertinamas kaip būdas gamintojams įgyti pranašumą rinkoje dėl to, kad jų produktai yra paženklinti CE ženklu.</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Kaip pažymėta pirmiau, yra tendencija rengti naujus EVD, o ne iš dalies keisti esamus, taip parengiant daug EVD, kurie pagal savo taikymo sritį yra labai panašūs. Tokiu atveju produktai rinkai pateikiami su dviem eksploatacinių savybių deklaracijomis, parengtomis remiantis dviem ETĮ (pvz., nes juose numatytos dvi skirtingos naudojimo paskirtys), o tai, žinoma, nėra EOTA alternatyvaus būdo tikslas.</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Galiausiai tyrime nustatyta, kad EOTA neskiria pakankamai dėmesio naujoviškų produktų CE ženklo rėmimui, ir pažymima, kad reikia teikti paramą TVĮ ir kad gamintojams turi būti pateiktos aiškios gairės dėl EVD ir inovacijų per Europos prekybos asociacijas.</w:t>
      </w:r>
    </w:p>
    <w:p>
      <w:pPr>
        <w:spacing w:before="120" w:after="120" w:line="240" w:lineRule="auto"/>
        <w:jc w:val="both"/>
        <w:rPr>
          <w:rFonts w:ascii="Times New Roman" w:hAnsi="Times New Roman"/>
          <w:noProof/>
          <w:sz w:val="24"/>
          <w:szCs w:val="24"/>
        </w:rPr>
      </w:pPr>
    </w:p>
    <w:p>
      <w:pPr>
        <w:keepNext/>
        <w:spacing w:before="120" w:after="120" w:line="240" w:lineRule="auto"/>
        <w:outlineLvl w:val="1"/>
        <w:rPr>
          <w:rFonts w:ascii="Cambria" w:eastAsia="Times New Roman" w:hAnsi="Cambria"/>
          <w:b/>
          <w:bCs/>
          <w:i/>
          <w:iCs/>
          <w:noProof/>
          <w:sz w:val="28"/>
          <w:szCs w:val="28"/>
        </w:rPr>
      </w:pPr>
      <w:r>
        <w:rPr>
          <w:rFonts w:ascii="Cambria" w:hAnsi="Cambria"/>
          <w:b/>
          <w:bCs/>
          <w:i/>
          <w:iCs/>
          <w:noProof/>
          <w:sz w:val="28"/>
          <w:szCs w:val="28"/>
        </w:rPr>
        <w:t>4.4.</w:t>
      </w:r>
      <w:r>
        <w:rPr>
          <w:rFonts w:ascii="Cambria" w:hAnsi="Cambria"/>
          <w:b/>
          <w:bCs/>
          <w:i/>
          <w:iCs/>
          <w:noProof/>
          <w:sz w:val="28"/>
          <w:szCs w:val="28"/>
        </w:rPr>
        <w:tab/>
        <w:t>Suderinamumas</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Šiame skirsnyje vertinamas vidinis EOTA sistemos suderinamumas ir jos suderinamumas su visa SPR sistema.</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EOTA remia TVĮ veiklos koordinavimą, o rengdama standartinius EVD ir ETĮ ji visų pirma padėjo užtikrinti vidinį nuoseklumą.</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Vis dėlto veiklos lygis labai skiriasi tarp TVĮ, tad tyrime prieita prie išvados, kad plėtojant geriausią praktiką būtų galima užtikrinti didesnį suderinamumą. Kaip pažymėta pirmiau, nepakankamas TVĮ tarpusavio bendradarbiavimas yra vienas iš veiksnių, lemiančių nepagrįstą EVD ir ETĮ gausą, kuri yra žalinga daugeliui gamintojų ir paini produktų naudotojams.</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Kalbant apie visos SPR sistemos vidinį suderinamumą, EOTA metodu papildomi Europos standartizacijos komiteto (CEN) rengiami darnieji Europos standartai. Tačiau, siekiant papildyti šią analizę, reikia atsižvelgti į kitus papildomus aspektus.</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Pirma, remiantis netiesioginiais įrodymais, aukštą naudojimosi EOTA metodu lygį lemia prasti pagrindinio standartizavimo metodo taikymo rodikliai, visų pirma todėl, kad EOTA metodas padeda sumažinti spragą, atsiradusią dėl to, kad, kaip nustatyta tyrime, nėra išsamių darniųjų standartų, visų pirma skirtų statybos produktams, kuriems tenka nedidelė rinkos dalis, arba vadinamiesiems nestandartiniams produktams, arba tie standartai nėra visiškai išsamūs. Nuolatinis EVD ir ETĮ skaičiaus didėjimas ir visų pirma kartais labai didelis kai kuriose konkrečiose produktų srityse pagal tą patį EVD išleidžiamų ETĮ skaičius, regis, šią išvadą patvirtina.</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Antra, viena iš pagrindinių priežasčių, kodėl ši standartizacijos alternatyva buvo nustatyta, buvo siekis užtikrinti galimybę greičiau pateikti rinkai naujoviškus statybos produktus. Vyraujantis bazinių dokumentų, kurių turinys buvo įtrauktas SPD taikymo laikotarpiu, naudojimas, ETĮ koncentracija vos keliose produktų srityse ir nustatytas ardomųjų naujoviškų produktų trūkumas tarp produktų, kuriems yra išleisti ETĮ, rodo, kad EOTA metodas nėra naudojamas (arba yra naudojamas tik labai ribotu mastu) siekiant tai remti.</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Galiausiai EVD ir jų pagrindu išleista daugybė ETĮ, kurie taip pat naudojami rinkoje ilgus laikotarpius (kaip rekomendacijos, kaip suteikti Europos techninį liudijimą, ir EVD), byloja apie stabilumą, kuris turėtų paskatinti parengti atitinkamą svarstomą darnųjį standartą.</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Pagalbiniame tyrime iš 26 TVĮ, kurių buvo klausta apie tai, ar būtų naudos, jei kai kurie EVD būtų išplėtoti į darniuosius standartus, 12 atsakė „ne“, keturi atsakė „taip“, o 10 atsakė „nežinau“. Iš 39 gamintojų, kuriems buvo pateiktas tas pats klausimas (visi EOTA klientai ir gamintojai, turintys arba prašantys išduoti ETĮ), 11 atsakė „taip“, 12 atsakė „ne“, o 16 atsakė „nežinau“</w:t>
      </w:r>
      <w:r>
        <w:rPr>
          <w:rStyle w:val="FootnoteReference"/>
          <w:rFonts w:ascii="Times New Roman" w:hAnsi="Times New Roman"/>
          <w:noProof/>
          <w:sz w:val="24"/>
          <w:szCs w:val="24"/>
        </w:rPr>
        <w:footnoteReference w:id="34"/>
      </w:r>
      <w:r>
        <w:rPr>
          <w:rFonts w:ascii="Times New Roman" w:hAnsi="Times New Roman"/>
          <w:noProof/>
          <w:sz w:val="24"/>
          <w:szCs w:val="24"/>
        </w:rPr>
        <w:t>.</w:t>
      </w:r>
    </w:p>
    <w:p>
      <w:pPr>
        <w:spacing w:before="120" w:after="120" w:line="240" w:lineRule="auto"/>
        <w:jc w:val="both"/>
        <w:rPr>
          <w:rFonts w:ascii="Times New Roman" w:hAnsi="Times New Roman"/>
          <w:noProof/>
          <w:sz w:val="24"/>
          <w:szCs w:val="24"/>
        </w:rPr>
      </w:pPr>
    </w:p>
    <w:p>
      <w:pPr>
        <w:keepNext/>
        <w:spacing w:before="120" w:after="120" w:line="240" w:lineRule="auto"/>
        <w:jc w:val="both"/>
        <w:outlineLvl w:val="1"/>
        <w:rPr>
          <w:rFonts w:ascii="Cambria" w:eastAsia="Times New Roman" w:hAnsi="Cambria"/>
          <w:b/>
          <w:bCs/>
          <w:i/>
          <w:iCs/>
          <w:noProof/>
          <w:sz w:val="28"/>
          <w:szCs w:val="28"/>
        </w:rPr>
      </w:pPr>
      <w:r>
        <w:rPr>
          <w:rFonts w:ascii="Cambria" w:hAnsi="Cambria"/>
          <w:b/>
          <w:bCs/>
          <w:i/>
          <w:iCs/>
          <w:noProof/>
          <w:sz w:val="28"/>
          <w:szCs w:val="28"/>
        </w:rPr>
        <w:t>4.5.</w:t>
      </w:r>
      <w:r>
        <w:rPr>
          <w:rFonts w:ascii="Cambria" w:hAnsi="Cambria"/>
          <w:b/>
          <w:bCs/>
          <w:i/>
          <w:iCs/>
          <w:noProof/>
          <w:sz w:val="28"/>
          <w:szCs w:val="28"/>
        </w:rPr>
        <w:tab/>
        <w:t>ES pridėtinė vertė</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Vertinant EOTA metodo ES pridėtinę vertę, reikia atsižvelgti į tai, ar veikiant valstybių narių lygmeniu būtų buvę galima pasiekti panašių ar geresnių rezultatų ir užtikrinti panašų ar didesnį poveikį.</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Tyrimas rodo, kad TVĮ apskritai pripažįsta EOTA pridėtinę vertę jų veiksmams, nors ir mano, kad ši pridėtinė vertė galėtų būti padidinta, užtikrinant didesnį efektyvumą ir veiksmingumą.</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Kalbant apie EOTA metodo ES pridėtinę vertę SPR sistemai, atliekant tyrimą apklausti gamintojai negalėjo pateikti įrodomosios informacijos apie išlaidas ir terminus tuo atveju, jei būtų taikomos alternatyvios nacionalinės procedūros. Tačiau jei šio metodo nebūtų, būtų taikoma tarpusavio pripažinimo procedūra. Taikant šią procedūrą, statybos produktų, kuriais turėtų būti prekiaujama keliose valstybėse narėse, atveju kaip tik galėtų būti vėlavimų ir galėtų išaugti išlaidos, o dėl to jiems būtų sudėtinga patekti į vidaus rinką. Pagrindinis EOTA metodo pranašumas – galimybė suteikti produktams CE ženklus net ir tuo atveju, kai nėra darniųjų standartų.</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Gamintojai taip pat pranešė apie netikėtą naudą išorės prekybos srityje, kurioje CE ženklas, nesvarbu ar jis būtų grindžiamas darniaisiais standartais, ar EVD, pasirodo, yra laikomas kokybės ženklu. Taip yra, pvz., Europoje pagamintų tvirtinimo detalių (33 produktų sritis) atveju, tad jų gamintojai turi konkurencinį pranašumą savo konkurentų iš trečiųjų šalių atžvilgiu.</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Galiausiai keletas trečiųjų šalių yra priėmusios kai kurias rekomendacijas, kaip suteikti Europos techninį liudijimą, arba kai kuriuos EVD</w:t>
      </w:r>
      <w:r>
        <w:rPr>
          <w:rStyle w:val="FootnoteReference"/>
          <w:rFonts w:ascii="Times New Roman" w:hAnsi="Times New Roman"/>
          <w:noProof/>
          <w:sz w:val="24"/>
          <w:szCs w:val="24"/>
        </w:rPr>
        <w:footnoteReference w:id="35"/>
      </w:r>
      <w:r>
        <w:rPr>
          <w:rFonts w:ascii="Times New Roman" w:hAnsi="Times New Roman"/>
          <w:noProof/>
          <w:sz w:val="24"/>
          <w:szCs w:val="24"/>
        </w:rPr>
        <w:t xml:space="preserve"> kaip savo techninius reglamentus, o tai suteikia Europos įmonėms svarbų konkurencinį pranašumą tarptautinėje rinkoje.</w:t>
      </w:r>
    </w:p>
    <w:p>
      <w:pPr>
        <w:keepNext/>
        <w:spacing w:before="120" w:after="120" w:line="240" w:lineRule="auto"/>
        <w:outlineLvl w:val="0"/>
        <w:rPr>
          <w:rFonts w:ascii="Cambria" w:eastAsia="Times New Roman" w:hAnsi="Cambria"/>
          <w:b/>
          <w:bCs/>
          <w:noProof/>
          <w:kern w:val="32"/>
          <w:sz w:val="32"/>
          <w:szCs w:val="32"/>
        </w:rPr>
      </w:pPr>
      <w:r>
        <w:rPr>
          <w:rFonts w:ascii="Cambria" w:hAnsi="Cambria"/>
          <w:b/>
          <w:bCs/>
          <w:noProof/>
          <w:color w:val="FF0000"/>
          <w:sz w:val="28"/>
          <w:szCs w:val="28"/>
        </w:rPr>
        <w:br/>
      </w:r>
      <w:r>
        <w:rPr>
          <w:rFonts w:ascii="Cambria" w:hAnsi="Cambria"/>
          <w:b/>
          <w:bCs/>
          <w:noProof/>
          <w:sz w:val="32"/>
          <w:szCs w:val="32"/>
        </w:rPr>
        <w:t>5. Išvados</w:t>
      </w:r>
    </w:p>
    <w:p>
      <w:pPr>
        <w:spacing w:before="120" w:after="120" w:line="240" w:lineRule="auto"/>
        <w:rPr>
          <w:rFonts w:ascii="Times New Roman" w:eastAsia="Times New Roman" w:hAnsi="Times New Roman"/>
          <w:noProof/>
          <w:sz w:val="24"/>
          <w:szCs w:val="24"/>
        </w:rPr>
      </w:pP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Kalbant apie šioje ataskaitoje aptariamas septynias užduotis, nustatytas SPR 31 straipsnio 4 dalyje,</w:t>
      </w:r>
      <w:r>
        <w:rPr>
          <w:rFonts w:ascii="Times New Roman" w:hAnsi="Times New Roman"/>
          <w:noProof/>
        </w:rPr>
        <w:t xml:space="preserve"> </w:t>
      </w:r>
      <w:r>
        <w:rPr>
          <w:rFonts w:ascii="Times New Roman" w:hAnsi="Times New Roman"/>
          <w:noProof/>
          <w:sz w:val="24"/>
          <w:szCs w:val="24"/>
        </w:rPr>
        <w:t>faktai rodo, kad nėra nė vienos užduoties, kuri liktų neįvykdyta</w:t>
      </w:r>
      <w:r>
        <w:rPr>
          <w:rStyle w:val="FootnoteReference"/>
          <w:rFonts w:ascii="Times New Roman" w:eastAsia="Times New Roman" w:hAnsi="Times New Roman"/>
          <w:noProof/>
          <w:sz w:val="24"/>
          <w:szCs w:val="24"/>
        </w:rPr>
        <w:footnoteReference w:id="36"/>
      </w:r>
      <w:r>
        <w:rPr>
          <w:rFonts w:ascii="Times New Roman" w:hAnsi="Times New Roman"/>
          <w:noProof/>
          <w:sz w:val="24"/>
          <w:szCs w:val="24"/>
        </w:rPr>
        <w:t>, ir kad ES finansinė parama yra pagrįsta.</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Nagrinėjamu laikotarpiu EOTA metodas, suteikiantis reikiamą lankstumą, padėjo pereiti nuo SPD prie SPR.</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Nepaisant to, taip pat nustatyta keletas struktūrinių problemų:</w:t>
      </w:r>
    </w:p>
    <w:p>
      <w:pPr>
        <w:numPr>
          <w:ilvl w:val="0"/>
          <w:numId w:val="33"/>
        </w:numPr>
        <w:spacing w:before="120" w:after="120" w:line="240" w:lineRule="auto"/>
        <w:jc w:val="both"/>
        <w:rPr>
          <w:rFonts w:ascii="Times New Roman" w:hAnsi="Times New Roman"/>
          <w:noProof/>
          <w:sz w:val="24"/>
          <w:szCs w:val="24"/>
        </w:rPr>
      </w:pPr>
      <w:r>
        <w:rPr>
          <w:rFonts w:ascii="Times New Roman" w:hAnsi="Times New Roman"/>
          <w:noProof/>
          <w:sz w:val="24"/>
          <w:szCs w:val="24"/>
        </w:rPr>
        <w:t>EOTA metodu naudojasi nedaug įmonių, gaminančių statybos produktus. Be to, EOTA veiklos aprėptis bet kurioje iš trijų galimų sričių (produktų sritys, geografinis pasiskirstymas ir dalyvaujančios TVĮ) yra labai siaura ir nėra jokių požymių, kad padėtis gerėtų;</w:t>
      </w:r>
    </w:p>
    <w:p>
      <w:pPr>
        <w:numPr>
          <w:ilvl w:val="0"/>
          <w:numId w:val="33"/>
        </w:numPr>
        <w:spacing w:before="120" w:after="120" w:line="240" w:lineRule="auto"/>
        <w:jc w:val="both"/>
        <w:rPr>
          <w:rFonts w:ascii="Times New Roman" w:hAnsi="Times New Roman"/>
          <w:noProof/>
          <w:sz w:val="24"/>
          <w:szCs w:val="24"/>
        </w:rPr>
      </w:pPr>
      <w:r>
        <w:rPr>
          <w:rFonts w:ascii="Times New Roman" w:hAnsi="Times New Roman"/>
          <w:noProof/>
          <w:sz w:val="24"/>
          <w:szCs w:val="24"/>
        </w:rPr>
        <w:t>kadangi taikant EVD metodą pirmiausia siekta sudaryti palankesnes sąlygas naujoviškiems produktams greičiau patekti į rinką, didžioji dauguma ETĮ yra susiję ne su naujoviškais produktais, o su produktais, kuriais jau prekiaujama rinkoje;</w:t>
      </w:r>
    </w:p>
    <w:p>
      <w:pPr>
        <w:numPr>
          <w:ilvl w:val="0"/>
          <w:numId w:val="33"/>
        </w:numPr>
        <w:spacing w:before="120" w:after="120" w:line="240" w:lineRule="auto"/>
        <w:jc w:val="both"/>
        <w:rPr>
          <w:rFonts w:ascii="Times New Roman" w:hAnsi="Times New Roman"/>
          <w:noProof/>
          <w:sz w:val="24"/>
          <w:szCs w:val="24"/>
        </w:rPr>
      </w:pPr>
      <w:r>
        <w:rPr>
          <w:rFonts w:ascii="Times New Roman" w:hAnsi="Times New Roman"/>
          <w:noProof/>
          <w:sz w:val="24"/>
          <w:szCs w:val="24"/>
        </w:rPr>
        <w:t>netiesioginiai įrodymai taip pat suteikia tvirtą pagrindą manyti, kad EOTA metodo atžvilgiu pirmiausia buvo naudinga tai, kad standartizacijos sistemos rodikliai yra prasti. Kai kurie EVD net gali būti laikomi alternatyviais būdais parengtais standartais. Tai ypač akivaizdu tvirtinimo detalių srityje, kurioje viena rekomendacija, kaip suteikti Europos techninį liudijimą (dabar ji pakeista į EVD), yra 25 proc. visų ETĮ pagrindas;</w:t>
      </w:r>
    </w:p>
    <w:p>
      <w:pPr>
        <w:numPr>
          <w:ilvl w:val="0"/>
          <w:numId w:val="33"/>
        </w:numPr>
        <w:spacing w:before="120" w:after="120" w:line="240" w:lineRule="auto"/>
        <w:jc w:val="both"/>
        <w:rPr>
          <w:rFonts w:ascii="Times New Roman" w:hAnsi="Times New Roman"/>
          <w:noProof/>
          <w:sz w:val="24"/>
          <w:szCs w:val="24"/>
        </w:rPr>
      </w:pPr>
      <w:r>
        <w:rPr>
          <w:rFonts w:ascii="Times New Roman" w:hAnsi="Times New Roman"/>
          <w:noProof/>
          <w:sz w:val="24"/>
          <w:szCs w:val="24"/>
        </w:rPr>
        <w:t>EVD rengimo sąnaudos yra didelės, kaip ir gamintojams taikomi mokesčiai už ETĮ išdavimą. Šis metodas tebėra brangus ir nėra palankus MVĮ.</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Kitos sritys, kuriose EOTA valdymas turėtų būti pagerintas:</w:t>
      </w:r>
    </w:p>
    <w:p>
      <w:pPr>
        <w:numPr>
          <w:ilvl w:val="0"/>
          <w:numId w:val="32"/>
        </w:numPr>
        <w:spacing w:before="120" w:after="120" w:line="240" w:lineRule="auto"/>
        <w:jc w:val="both"/>
        <w:rPr>
          <w:rFonts w:ascii="Times New Roman" w:hAnsi="Times New Roman"/>
          <w:noProof/>
          <w:sz w:val="24"/>
          <w:szCs w:val="24"/>
        </w:rPr>
      </w:pPr>
      <w:r>
        <w:rPr>
          <w:rFonts w:ascii="Times New Roman" w:hAnsi="Times New Roman"/>
          <w:noProof/>
          <w:sz w:val="24"/>
          <w:szCs w:val="24"/>
        </w:rPr>
        <w:t>TVĮ tarpusavio konkurencija yra ribota, nes nėra perduodamos vertinimo srities žinios arba nėra keičiamasi geriausia patirtimi, o tai šiek tiek riboja galimybę užtikrinti, kad dalyvautų daugiau TVĮ;</w:t>
      </w:r>
    </w:p>
    <w:p>
      <w:pPr>
        <w:numPr>
          <w:ilvl w:val="0"/>
          <w:numId w:val="32"/>
        </w:numPr>
        <w:spacing w:before="120" w:after="120" w:line="240" w:lineRule="auto"/>
        <w:jc w:val="both"/>
        <w:rPr>
          <w:rFonts w:ascii="Times New Roman" w:hAnsi="Times New Roman"/>
          <w:noProof/>
          <w:sz w:val="24"/>
          <w:szCs w:val="24"/>
        </w:rPr>
      </w:pPr>
      <w:r>
        <w:rPr>
          <w:rFonts w:ascii="Times New Roman" w:hAnsi="Times New Roman"/>
          <w:noProof/>
          <w:sz w:val="24"/>
          <w:szCs w:val="24"/>
        </w:rPr>
        <w:t>procedūrų koordinavimas, susijęs su EVD ir ETĮ gausa, ir nepakankama vidinė EVD projektų kokybės kontrolė lėmė daugybę patikrinimo procesų tarp Komisijos ir EOTA ir smarkiai prisideda prie vėlavimo galutinai priimti EVD ir paskelbti jų nuorodas Oficialiajame leidinyje.</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Jei bus pasiūlyta atlikti bet kokią SPR ir statybos produktams taikomos suderinimo sistemos peržiūrą, reikėtų nuodugniai išnagrinėti EOTA vaidmenį ir EOTA metodą kaip darniųjų techninių specifikacijų, kurioms SPR teikiamas didžiausias dėmesys, dalį ir suderinti juos su išvadomis, pateiktomis SPR vertinime</w:t>
      </w:r>
      <w:r>
        <w:rPr>
          <w:rStyle w:val="FootnoteReference"/>
          <w:rFonts w:ascii="Times New Roman" w:hAnsi="Times New Roman"/>
          <w:noProof/>
          <w:sz w:val="24"/>
          <w:szCs w:val="24"/>
        </w:rPr>
        <w:footnoteReference w:id="37"/>
      </w:r>
      <w:r>
        <w:rPr>
          <w:rFonts w:ascii="Times New Roman" w:hAnsi="Times New Roman"/>
          <w:noProof/>
          <w:sz w:val="24"/>
          <w:szCs w:val="24"/>
        </w:rPr>
        <w:t>.</w:t>
      </w:r>
    </w:p>
    <w:p>
      <w:pPr>
        <w:spacing w:before="120" w:after="120" w:line="240" w:lineRule="auto"/>
        <w:jc w:val="both"/>
        <w:rPr>
          <w:rFonts w:ascii="Times New Roman" w:hAnsi="Times New Roman"/>
          <w:noProof/>
          <w:sz w:val="24"/>
          <w:szCs w:val="24"/>
        </w:rPr>
      </w:pPr>
    </w:p>
    <w:p>
      <w:pPr>
        <w:spacing w:before="120" w:after="120" w:line="240" w:lineRule="auto"/>
        <w:jc w:val="both"/>
        <w:rPr>
          <w:rFonts w:ascii="Times New Roman" w:hAnsi="Times New Roman"/>
          <w:noProof/>
          <w:color w:val="002060"/>
          <w:sz w:val="24"/>
          <w:szCs w:val="24"/>
        </w:rPr>
      </w:pPr>
    </w:p>
    <w:p>
      <w:pPr>
        <w:spacing w:before="120" w:after="120" w:line="240" w:lineRule="auto"/>
        <w:jc w:val="both"/>
        <w:rPr>
          <w:rFonts w:ascii="Times New Roman" w:hAnsi="Times New Roman"/>
          <w:noProof/>
          <w:sz w:val="24"/>
          <w:szCs w:val="24"/>
        </w:rPr>
      </w:pPr>
    </w:p>
    <w:p>
      <w:pPr>
        <w:pStyle w:val="Heading1"/>
        <w:rPr>
          <w:noProof/>
          <w:color w:val="002060"/>
          <w:sz w:val="24"/>
          <w:szCs w:val="24"/>
        </w:rPr>
      </w:pPr>
    </w:p>
    <w:p>
      <w:pPr>
        <w:rPr>
          <w:rFonts w:ascii="Times New Roman" w:hAnsi="Times New Roman"/>
          <w:b/>
          <w:noProof/>
          <w:sz w:val="24"/>
          <w:szCs w:val="24"/>
        </w:rPr>
      </w:pPr>
      <w:r>
        <w:rPr>
          <w:noProof/>
        </w:rPr>
        <w:br w:type="page"/>
      </w:r>
      <w:r>
        <w:rPr>
          <w:rFonts w:ascii="Times New Roman" w:hAnsi="Times New Roman"/>
          <w:b/>
          <w:noProof/>
          <w:sz w:val="24"/>
          <w:szCs w:val="24"/>
        </w:rPr>
        <w:t xml:space="preserve">Priedas </w:t>
      </w:r>
      <w:r>
        <w:rPr>
          <w:rFonts w:ascii="Times New Roman" w:hAnsi="Times New Roman"/>
          <w:b/>
          <w:noProof/>
          <w:sz w:val="24"/>
          <w:szCs w:val="24"/>
        </w:rPr>
        <w:tab/>
      </w:r>
      <w:r>
        <w:rPr>
          <w:rFonts w:ascii="Times New Roman" w:hAnsi="Times New Roman"/>
          <w:b/>
          <w:noProof/>
          <w:sz w:val="24"/>
          <w:szCs w:val="24"/>
        </w:rPr>
        <w:tab/>
        <w:t>Produktų sritys (šaltinis: SPR IV priedas)</w:t>
      </w:r>
    </w:p>
    <w:tbl>
      <w:tblPr>
        <w:tblW w:w="5000" w:type="pct"/>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278"/>
        <w:gridCol w:w="7814"/>
      </w:tblGrid>
      <w:tr>
        <w:trPr>
          <w:tblHeader/>
          <w:tblCellSpacing w:w="0" w:type="dxa"/>
        </w:trPr>
        <w:tc>
          <w:tcPr>
            <w:tcW w:w="703" w:type="pct"/>
            <w:tcBorders>
              <w:top w:val="single" w:sz="4" w:space="0" w:color="auto"/>
              <w:left w:val="single" w:sz="4" w:space="0" w:color="auto"/>
              <w:bottom w:val="single" w:sz="4" w:space="0" w:color="auto"/>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sz w:val="24"/>
                <w:szCs w:val="24"/>
              </w:rPr>
              <w:t>Srities kodas</w:t>
            </w:r>
          </w:p>
        </w:tc>
        <w:tc>
          <w:tcPr>
            <w:tcW w:w="4297" w:type="pct"/>
            <w:tcBorders>
              <w:top w:val="single" w:sz="4" w:space="0" w:color="auto"/>
              <w:left w:val="nil"/>
              <w:bottom w:val="single" w:sz="4" w:space="0" w:color="auto"/>
              <w:right w:val="single" w:sz="4" w:space="0" w:color="auto"/>
            </w:tcBorders>
            <w:shd w:val="clear" w:color="auto" w:fill="DEEAF6"/>
            <w:hideMark/>
          </w:tcPr>
          <w:p>
            <w:pPr>
              <w:spacing w:before="40" w:after="0" w:line="240" w:lineRule="auto"/>
              <w:ind w:left="142" w:right="145"/>
              <w:contextualSpacing/>
              <w:rPr>
                <w:rFonts w:ascii="Times New Roman" w:hAnsi="Times New Roman"/>
                <w:noProof/>
                <w:sz w:val="24"/>
                <w:szCs w:val="24"/>
              </w:rPr>
            </w:pPr>
            <w:r>
              <w:rPr>
                <w:rFonts w:ascii="Times New Roman" w:hAnsi="Times New Roman"/>
                <w:noProof/>
                <w:sz w:val="24"/>
                <w:szCs w:val="24"/>
              </w:rPr>
              <w:t>Produktų sritys</w:t>
            </w:r>
          </w:p>
        </w:tc>
      </w:tr>
      <w:tr>
        <w:trPr>
          <w:tblCellSpacing w:w="0" w:type="dxa"/>
        </w:trPr>
        <w:tc>
          <w:tcPr>
            <w:tcW w:w="703" w:type="pct"/>
            <w:tcBorders>
              <w:top w:val="nil"/>
              <w:bottom w:val="nil"/>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sz w:val="24"/>
                <w:szCs w:val="24"/>
              </w:rPr>
              <w:t>1</w:t>
            </w:r>
          </w:p>
        </w:tc>
        <w:tc>
          <w:tcPr>
            <w:tcW w:w="4297" w:type="pct"/>
            <w:tcBorders>
              <w:top w:val="nil"/>
              <w:left w:val="nil"/>
              <w:bottom w:val="nil"/>
            </w:tcBorders>
            <w:hideMark/>
          </w:tcPr>
          <w:p>
            <w:pPr>
              <w:spacing w:before="40" w:after="0" w:line="240" w:lineRule="auto"/>
              <w:ind w:left="142" w:right="145"/>
              <w:contextualSpacing/>
              <w:rPr>
                <w:rFonts w:ascii="Times New Roman" w:hAnsi="Times New Roman"/>
                <w:noProof/>
                <w:sz w:val="24"/>
                <w:szCs w:val="24"/>
              </w:rPr>
            </w:pPr>
            <w:r>
              <w:rPr>
                <w:rFonts w:ascii="Times New Roman" w:hAnsi="Times New Roman"/>
                <w:noProof/>
                <w:sz w:val="24"/>
                <w:szCs w:val="24"/>
              </w:rPr>
              <w:t>Surenkamieji įprastinio/lengvojo/autoklavinio akytojo betono produktai.</w:t>
            </w:r>
          </w:p>
        </w:tc>
      </w:tr>
      <w:tr>
        <w:trPr>
          <w:tblCellSpacing w:w="0" w:type="dxa"/>
        </w:trPr>
        <w:tc>
          <w:tcPr>
            <w:tcW w:w="703" w:type="pct"/>
            <w:tcBorders>
              <w:top w:val="nil"/>
              <w:bottom w:val="nil"/>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sz w:val="24"/>
                <w:szCs w:val="24"/>
              </w:rPr>
              <w:t>2</w:t>
            </w:r>
          </w:p>
        </w:tc>
        <w:tc>
          <w:tcPr>
            <w:tcW w:w="4297" w:type="pct"/>
            <w:tcBorders>
              <w:top w:val="nil"/>
              <w:left w:val="nil"/>
              <w:bottom w:val="nil"/>
            </w:tcBorders>
            <w:hideMark/>
          </w:tcPr>
          <w:p>
            <w:pPr>
              <w:spacing w:before="40" w:after="0" w:line="240" w:lineRule="auto"/>
              <w:ind w:left="142" w:right="145"/>
              <w:contextualSpacing/>
              <w:rPr>
                <w:rFonts w:ascii="Times New Roman" w:hAnsi="Times New Roman"/>
                <w:noProof/>
                <w:sz w:val="24"/>
                <w:szCs w:val="24"/>
              </w:rPr>
            </w:pPr>
            <w:r>
              <w:rPr>
                <w:rFonts w:ascii="Times New Roman" w:hAnsi="Times New Roman"/>
                <w:noProof/>
                <w:sz w:val="24"/>
                <w:szCs w:val="24"/>
              </w:rPr>
              <w:t>Durys, langai, langinės, vartai ir atitinkami apkaustai.</w:t>
            </w:r>
          </w:p>
        </w:tc>
      </w:tr>
      <w:tr>
        <w:trPr>
          <w:tblCellSpacing w:w="0" w:type="dxa"/>
        </w:trPr>
        <w:tc>
          <w:tcPr>
            <w:tcW w:w="703" w:type="pct"/>
            <w:tcBorders>
              <w:top w:val="nil"/>
              <w:bottom w:val="nil"/>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sz w:val="24"/>
                <w:szCs w:val="24"/>
              </w:rPr>
              <w:t>3</w:t>
            </w:r>
          </w:p>
        </w:tc>
        <w:tc>
          <w:tcPr>
            <w:tcW w:w="4297" w:type="pct"/>
            <w:tcBorders>
              <w:top w:val="nil"/>
              <w:left w:val="nil"/>
              <w:bottom w:val="nil"/>
            </w:tcBorders>
            <w:hideMark/>
          </w:tcPr>
          <w:p>
            <w:pPr>
              <w:spacing w:before="40" w:after="0" w:line="240" w:lineRule="auto"/>
              <w:ind w:left="142" w:right="145"/>
              <w:contextualSpacing/>
              <w:rPr>
                <w:rFonts w:ascii="Times New Roman" w:hAnsi="Times New Roman"/>
                <w:noProof/>
                <w:sz w:val="24"/>
                <w:szCs w:val="24"/>
              </w:rPr>
            </w:pPr>
            <w:r>
              <w:rPr>
                <w:rFonts w:ascii="Times New Roman" w:hAnsi="Times New Roman"/>
                <w:noProof/>
                <w:sz w:val="24"/>
                <w:szCs w:val="24"/>
              </w:rPr>
              <w:t>Membranos, įskaitant skystą tepamą membraną ir komplektus (hidroizoliacijai ir (arba) vandens garų sulaikymui).</w:t>
            </w:r>
          </w:p>
        </w:tc>
      </w:tr>
      <w:tr>
        <w:trPr>
          <w:tblCellSpacing w:w="0" w:type="dxa"/>
        </w:trPr>
        <w:tc>
          <w:tcPr>
            <w:tcW w:w="703" w:type="pct"/>
            <w:tcBorders>
              <w:top w:val="nil"/>
              <w:bottom w:val="nil"/>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sz w:val="24"/>
                <w:szCs w:val="24"/>
              </w:rPr>
              <w:t>4</w:t>
            </w:r>
          </w:p>
        </w:tc>
        <w:tc>
          <w:tcPr>
            <w:tcW w:w="4297" w:type="pct"/>
            <w:tcBorders>
              <w:top w:val="nil"/>
              <w:left w:val="nil"/>
              <w:bottom w:val="nil"/>
            </w:tcBorders>
            <w:hideMark/>
          </w:tcPr>
          <w:p>
            <w:pPr>
              <w:spacing w:before="40" w:after="0" w:line="240" w:lineRule="auto"/>
              <w:ind w:left="142" w:right="145"/>
              <w:contextualSpacing/>
              <w:rPr>
                <w:rFonts w:ascii="Times New Roman" w:hAnsi="Times New Roman"/>
                <w:noProof/>
                <w:sz w:val="24"/>
                <w:szCs w:val="24"/>
              </w:rPr>
            </w:pPr>
            <w:r>
              <w:rPr>
                <w:rFonts w:ascii="Times New Roman" w:hAnsi="Times New Roman"/>
                <w:noProof/>
                <w:sz w:val="24"/>
                <w:szCs w:val="24"/>
              </w:rPr>
              <w:t>Termoizoliaciniai produktai. Sudėtiniai izoliacijos komplektai/sistemos.</w:t>
            </w:r>
          </w:p>
        </w:tc>
      </w:tr>
      <w:tr>
        <w:trPr>
          <w:tblCellSpacing w:w="0" w:type="dxa"/>
        </w:trPr>
        <w:tc>
          <w:tcPr>
            <w:tcW w:w="703" w:type="pct"/>
            <w:tcBorders>
              <w:top w:val="nil"/>
              <w:bottom w:val="nil"/>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sz w:val="24"/>
                <w:szCs w:val="24"/>
              </w:rPr>
              <w:t>5</w:t>
            </w:r>
          </w:p>
        </w:tc>
        <w:tc>
          <w:tcPr>
            <w:tcW w:w="4297" w:type="pct"/>
            <w:tcBorders>
              <w:top w:val="nil"/>
              <w:left w:val="nil"/>
              <w:bottom w:val="nil"/>
            </w:tcBorders>
            <w:hideMark/>
          </w:tcPr>
          <w:p>
            <w:pPr>
              <w:spacing w:before="40" w:after="0" w:line="240" w:lineRule="auto"/>
              <w:ind w:left="142" w:right="145"/>
              <w:contextualSpacing/>
              <w:rPr>
                <w:rFonts w:ascii="Times New Roman" w:hAnsi="Times New Roman"/>
                <w:noProof/>
                <w:sz w:val="24"/>
                <w:szCs w:val="24"/>
              </w:rPr>
            </w:pPr>
            <w:r>
              <w:rPr>
                <w:rFonts w:ascii="Times New Roman" w:hAnsi="Times New Roman"/>
                <w:noProof/>
                <w:sz w:val="24"/>
                <w:szCs w:val="24"/>
              </w:rPr>
              <w:t>Konstrukcinės atramos. Konstrukcinių jungčių kaiščiai.</w:t>
            </w:r>
          </w:p>
        </w:tc>
      </w:tr>
      <w:tr>
        <w:trPr>
          <w:tblCellSpacing w:w="0" w:type="dxa"/>
        </w:trPr>
        <w:tc>
          <w:tcPr>
            <w:tcW w:w="703" w:type="pct"/>
            <w:tcBorders>
              <w:top w:val="nil"/>
              <w:bottom w:val="nil"/>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sz w:val="24"/>
                <w:szCs w:val="24"/>
              </w:rPr>
              <w:t>6</w:t>
            </w:r>
          </w:p>
        </w:tc>
        <w:tc>
          <w:tcPr>
            <w:tcW w:w="4297" w:type="pct"/>
            <w:tcBorders>
              <w:top w:val="nil"/>
              <w:left w:val="nil"/>
              <w:bottom w:val="nil"/>
            </w:tcBorders>
            <w:hideMark/>
          </w:tcPr>
          <w:p>
            <w:pPr>
              <w:spacing w:before="40" w:after="0" w:line="240" w:lineRule="auto"/>
              <w:ind w:left="142" w:right="145"/>
              <w:contextualSpacing/>
              <w:rPr>
                <w:rFonts w:ascii="Times New Roman" w:hAnsi="Times New Roman"/>
                <w:noProof/>
                <w:sz w:val="24"/>
                <w:szCs w:val="24"/>
              </w:rPr>
            </w:pPr>
            <w:r>
              <w:rPr>
                <w:rFonts w:ascii="Times New Roman" w:hAnsi="Times New Roman"/>
                <w:noProof/>
                <w:sz w:val="24"/>
                <w:szCs w:val="24"/>
              </w:rPr>
              <w:t>Dūmtraukiai, dūmtakiai ir specialūs produktai.</w:t>
            </w:r>
          </w:p>
        </w:tc>
      </w:tr>
      <w:tr>
        <w:trPr>
          <w:tblCellSpacing w:w="0" w:type="dxa"/>
        </w:trPr>
        <w:tc>
          <w:tcPr>
            <w:tcW w:w="703" w:type="pct"/>
            <w:tcBorders>
              <w:top w:val="nil"/>
              <w:bottom w:val="nil"/>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sz w:val="24"/>
                <w:szCs w:val="24"/>
              </w:rPr>
              <w:t>7</w:t>
            </w:r>
          </w:p>
        </w:tc>
        <w:tc>
          <w:tcPr>
            <w:tcW w:w="4297" w:type="pct"/>
            <w:tcBorders>
              <w:top w:val="nil"/>
              <w:left w:val="nil"/>
              <w:bottom w:val="nil"/>
            </w:tcBorders>
            <w:hideMark/>
          </w:tcPr>
          <w:p>
            <w:pPr>
              <w:spacing w:before="40" w:after="0" w:line="240" w:lineRule="auto"/>
              <w:ind w:left="142" w:right="145"/>
              <w:contextualSpacing/>
              <w:rPr>
                <w:rFonts w:ascii="Times New Roman" w:hAnsi="Times New Roman"/>
                <w:noProof/>
                <w:sz w:val="24"/>
                <w:szCs w:val="24"/>
              </w:rPr>
            </w:pPr>
            <w:r>
              <w:rPr>
                <w:rFonts w:ascii="Times New Roman" w:hAnsi="Times New Roman"/>
                <w:noProof/>
                <w:sz w:val="24"/>
                <w:szCs w:val="24"/>
              </w:rPr>
              <w:t>Gipso produktai.</w:t>
            </w:r>
          </w:p>
        </w:tc>
      </w:tr>
      <w:tr>
        <w:trPr>
          <w:tblCellSpacing w:w="0" w:type="dxa"/>
        </w:trPr>
        <w:tc>
          <w:tcPr>
            <w:tcW w:w="703" w:type="pct"/>
            <w:tcBorders>
              <w:top w:val="nil"/>
              <w:bottom w:val="nil"/>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sz w:val="24"/>
                <w:szCs w:val="24"/>
              </w:rPr>
              <w:t>8</w:t>
            </w:r>
          </w:p>
        </w:tc>
        <w:tc>
          <w:tcPr>
            <w:tcW w:w="4297" w:type="pct"/>
            <w:tcBorders>
              <w:top w:val="nil"/>
              <w:left w:val="nil"/>
              <w:bottom w:val="nil"/>
            </w:tcBorders>
            <w:hideMark/>
          </w:tcPr>
          <w:p>
            <w:pPr>
              <w:spacing w:before="40" w:after="0" w:line="240" w:lineRule="auto"/>
              <w:ind w:left="142" w:right="145"/>
              <w:contextualSpacing/>
              <w:rPr>
                <w:rFonts w:ascii="Times New Roman" w:hAnsi="Times New Roman"/>
                <w:noProof/>
                <w:sz w:val="24"/>
                <w:szCs w:val="24"/>
              </w:rPr>
            </w:pPr>
            <w:r>
              <w:rPr>
                <w:rFonts w:ascii="Times New Roman" w:hAnsi="Times New Roman"/>
                <w:noProof/>
                <w:sz w:val="24"/>
                <w:szCs w:val="24"/>
              </w:rPr>
              <w:t>Geotekstilė, geomembranos ir kiti susiję produktai.</w:t>
            </w:r>
          </w:p>
        </w:tc>
      </w:tr>
      <w:tr>
        <w:trPr>
          <w:tblCellSpacing w:w="0" w:type="dxa"/>
        </w:trPr>
        <w:tc>
          <w:tcPr>
            <w:tcW w:w="703" w:type="pct"/>
            <w:tcBorders>
              <w:top w:val="nil"/>
              <w:bottom w:val="nil"/>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sz w:val="24"/>
                <w:szCs w:val="24"/>
              </w:rPr>
              <w:t>9</w:t>
            </w:r>
          </w:p>
        </w:tc>
        <w:tc>
          <w:tcPr>
            <w:tcW w:w="4297" w:type="pct"/>
            <w:tcBorders>
              <w:top w:val="nil"/>
              <w:left w:val="nil"/>
              <w:bottom w:val="nil"/>
            </w:tcBorders>
            <w:hideMark/>
          </w:tcPr>
          <w:p>
            <w:pPr>
              <w:spacing w:before="40" w:after="0" w:line="240" w:lineRule="auto"/>
              <w:ind w:left="142" w:right="145"/>
              <w:contextualSpacing/>
              <w:rPr>
                <w:rFonts w:ascii="Times New Roman" w:hAnsi="Times New Roman"/>
                <w:noProof/>
                <w:sz w:val="24"/>
                <w:szCs w:val="24"/>
              </w:rPr>
            </w:pPr>
            <w:r>
              <w:rPr>
                <w:rFonts w:ascii="Times New Roman" w:hAnsi="Times New Roman"/>
                <w:noProof/>
                <w:sz w:val="24"/>
                <w:szCs w:val="24"/>
              </w:rPr>
              <w:t>Apdarinės sienos/apdarai/konstrukcinis sandarusis įstiklinimas.</w:t>
            </w:r>
          </w:p>
        </w:tc>
      </w:tr>
      <w:tr>
        <w:trPr>
          <w:tblCellSpacing w:w="0" w:type="dxa"/>
        </w:trPr>
        <w:tc>
          <w:tcPr>
            <w:tcW w:w="703" w:type="pct"/>
            <w:tcBorders>
              <w:top w:val="nil"/>
              <w:bottom w:val="nil"/>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sz w:val="24"/>
                <w:szCs w:val="24"/>
              </w:rPr>
              <w:t>10</w:t>
            </w:r>
          </w:p>
        </w:tc>
        <w:tc>
          <w:tcPr>
            <w:tcW w:w="4297" w:type="pct"/>
            <w:tcBorders>
              <w:top w:val="nil"/>
              <w:left w:val="nil"/>
              <w:bottom w:val="nil"/>
            </w:tcBorders>
            <w:hideMark/>
          </w:tcPr>
          <w:p>
            <w:pPr>
              <w:spacing w:before="40" w:after="0" w:line="240" w:lineRule="auto"/>
              <w:ind w:left="142" w:right="145"/>
              <w:contextualSpacing/>
              <w:rPr>
                <w:rFonts w:ascii="Times New Roman" w:hAnsi="Times New Roman"/>
                <w:noProof/>
                <w:sz w:val="24"/>
                <w:szCs w:val="24"/>
              </w:rPr>
            </w:pPr>
            <w:r>
              <w:rPr>
                <w:rFonts w:ascii="Times New Roman" w:hAnsi="Times New Roman"/>
                <w:noProof/>
                <w:sz w:val="24"/>
                <w:szCs w:val="24"/>
              </w:rPr>
              <w:t>Stacionari gaisrų gesinimo įranga (gaisro signalizavimo, gaisro aptikimo, stacionaraus gaisro gesinimo, gaisro ir dūmų kontrolės bei sprogimo slopinimo produktai).</w:t>
            </w:r>
          </w:p>
        </w:tc>
      </w:tr>
      <w:tr>
        <w:trPr>
          <w:tblCellSpacing w:w="0" w:type="dxa"/>
        </w:trPr>
        <w:tc>
          <w:tcPr>
            <w:tcW w:w="703" w:type="pct"/>
            <w:tcBorders>
              <w:top w:val="nil"/>
              <w:bottom w:val="nil"/>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sz w:val="24"/>
                <w:szCs w:val="24"/>
              </w:rPr>
              <w:t>11</w:t>
            </w:r>
          </w:p>
        </w:tc>
        <w:tc>
          <w:tcPr>
            <w:tcW w:w="4297" w:type="pct"/>
            <w:tcBorders>
              <w:top w:val="nil"/>
              <w:left w:val="nil"/>
              <w:bottom w:val="nil"/>
            </w:tcBorders>
            <w:hideMark/>
          </w:tcPr>
          <w:p>
            <w:pPr>
              <w:spacing w:before="40" w:after="0" w:line="240" w:lineRule="auto"/>
              <w:ind w:left="142" w:right="145"/>
              <w:contextualSpacing/>
              <w:rPr>
                <w:rFonts w:ascii="Times New Roman" w:hAnsi="Times New Roman"/>
                <w:noProof/>
                <w:sz w:val="24"/>
                <w:szCs w:val="24"/>
              </w:rPr>
            </w:pPr>
            <w:r>
              <w:rPr>
                <w:rFonts w:ascii="Times New Roman" w:hAnsi="Times New Roman"/>
                <w:noProof/>
                <w:sz w:val="24"/>
                <w:szCs w:val="24"/>
              </w:rPr>
              <w:t>Santechnikos įtaisai.</w:t>
            </w:r>
          </w:p>
        </w:tc>
      </w:tr>
      <w:tr>
        <w:trPr>
          <w:tblCellSpacing w:w="0" w:type="dxa"/>
        </w:trPr>
        <w:tc>
          <w:tcPr>
            <w:tcW w:w="703" w:type="pct"/>
            <w:tcBorders>
              <w:top w:val="nil"/>
              <w:bottom w:val="nil"/>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sz w:val="24"/>
                <w:szCs w:val="24"/>
              </w:rPr>
              <w:t>12</w:t>
            </w:r>
          </w:p>
        </w:tc>
        <w:tc>
          <w:tcPr>
            <w:tcW w:w="4297" w:type="pct"/>
            <w:tcBorders>
              <w:top w:val="nil"/>
              <w:left w:val="nil"/>
              <w:bottom w:val="nil"/>
            </w:tcBorders>
            <w:hideMark/>
          </w:tcPr>
          <w:p>
            <w:pPr>
              <w:spacing w:before="40" w:after="0" w:line="240" w:lineRule="auto"/>
              <w:ind w:left="142" w:right="145"/>
              <w:contextualSpacing/>
              <w:rPr>
                <w:rFonts w:ascii="Times New Roman" w:hAnsi="Times New Roman"/>
                <w:noProof/>
                <w:sz w:val="24"/>
                <w:szCs w:val="24"/>
              </w:rPr>
            </w:pPr>
            <w:r>
              <w:rPr>
                <w:rFonts w:ascii="Times New Roman" w:hAnsi="Times New Roman"/>
                <w:noProof/>
                <w:sz w:val="24"/>
                <w:szCs w:val="24"/>
              </w:rPr>
              <w:t>Transporto organizavimo priemonės: kelių įranga.</w:t>
            </w:r>
          </w:p>
        </w:tc>
      </w:tr>
      <w:tr>
        <w:trPr>
          <w:tblCellSpacing w:w="0" w:type="dxa"/>
        </w:trPr>
        <w:tc>
          <w:tcPr>
            <w:tcW w:w="703" w:type="pct"/>
            <w:tcBorders>
              <w:top w:val="nil"/>
              <w:bottom w:val="nil"/>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sz w:val="24"/>
                <w:szCs w:val="24"/>
              </w:rPr>
              <w:t>13</w:t>
            </w:r>
          </w:p>
        </w:tc>
        <w:tc>
          <w:tcPr>
            <w:tcW w:w="4297" w:type="pct"/>
            <w:tcBorders>
              <w:top w:val="nil"/>
              <w:left w:val="nil"/>
              <w:bottom w:val="nil"/>
            </w:tcBorders>
            <w:hideMark/>
          </w:tcPr>
          <w:p>
            <w:pPr>
              <w:spacing w:before="40" w:after="0" w:line="240" w:lineRule="auto"/>
              <w:ind w:left="142" w:right="145"/>
              <w:contextualSpacing/>
              <w:rPr>
                <w:rFonts w:ascii="Times New Roman" w:hAnsi="Times New Roman"/>
                <w:noProof/>
                <w:sz w:val="24"/>
                <w:szCs w:val="24"/>
              </w:rPr>
            </w:pPr>
            <w:r>
              <w:rPr>
                <w:rFonts w:ascii="Times New Roman" w:hAnsi="Times New Roman"/>
                <w:noProof/>
                <w:sz w:val="24"/>
                <w:szCs w:val="24"/>
              </w:rPr>
              <w:t>Statybinės medienos produktai/elementai ir pagalbiniai įrenginiai.</w:t>
            </w:r>
          </w:p>
        </w:tc>
      </w:tr>
      <w:tr>
        <w:trPr>
          <w:tblCellSpacing w:w="0" w:type="dxa"/>
        </w:trPr>
        <w:tc>
          <w:tcPr>
            <w:tcW w:w="703" w:type="pct"/>
            <w:tcBorders>
              <w:top w:val="nil"/>
              <w:bottom w:val="nil"/>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sz w:val="24"/>
                <w:szCs w:val="24"/>
              </w:rPr>
              <w:t>14</w:t>
            </w:r>
          </w:p>
        </w:tc>
        <w:tc>
          <w:tcPr>
            <w:tcW w:w="4297" w:type="pct"/>
            <w:tcBorders>
              <w:top w:val="nil"/>
              <w:left w:val="nil"/>
              <w:bottom w:val="nil"/>
            </w:tcBorders>
            <w:hideMark/>
          </w:tcPr>
          <w:p>
            <w:pPr>
              <w:spacing w:before="40" w:after="0" w:line="240" w:lineRule="auto"/>
              <w:ind w:left="142" w:right="145"/>
              <w:contextualSpacing/>
              <w:rPr>
                <w:rFonts w:ascii="Times New Roman" w:hAnsi="Times New Roman"/>
                <w:noProof/>
                <w:sz w:val="24"/>
                <w:szCs w:val="24"/>
              </w:rPr>
            </w:pPr>
            <w:r>
              <w:rPr>
                <w:rFonts w:ascii="Times New Roman" w:hAnsi="Times New Roman"/>
                <w:noProof/>
                <w:sz w:val="24"/>
                <w:szCs w:val="24"/>
              </w:rPr>
              <w:t>Medienos skydai ir elementai.</w:t>
            </w:r>
          </w:p>
        </w:tc>
      </w:tr>
      <w:tr>
        <w:trPr>
          <w:tblCellSpacing w:w="0" w:type="dxa"/>
        </w:trPr>
        <w:tc>
          <w:tcPr>
            <w:tcW w:w="703" w:type="pct"/>
            <w:tcBorders>
              <w:top w:val="nil"/>
              <w:bottom w:val="nil"/>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sz w:val="24"/>
                <w:szCs w:val="24"/>
              </w:rPr>
              <w:t>15</w:t>
            </w:r>
          </w:p>
        </w:tc>
        <w:tc>
          <w:tcPr>
            <w:tcW w:w="4297" w:type="pct"/>
            <w:tcBorders>
              <w:top w:val="nil"/>
              <w:left w:val="nil"/>
              <w:bottom w:val="nil"/>
            </w:tcBorders>
            <w:hideMark/>
          </w:tcPr>
          <w:p>
            <w:pPr>
              <w:spacing w:before="40" w:after="0" w:line="240" w:lineRule="auto"/>
              <w:ind w:left="142" w:right="145"/>
              <w:contextualSpacing/>
              <w:rPr>
                <w:rFonts w:ascii="Times New Roman" w:hAnsi="Times New Roman"/>
                <w:noProof/>
                <w:sz w:val="24"/>
                <w:szCs w:val="24"/>
              </w:rPr>
            </w:pPr>
            <w:r>
              <w:rPr>
                <w:rFonts w:ascii="Times New Roman" w:hAnsi="Times New Roman"/>
                <w:noProof/>
                <w:sz w:val="24"/>
                <w:szCs w:val="24"/>
              </w:rPr>
              <w:t>Cementas, statybinės kalkės ir kitos hidraulinės rišamosios medžiagos.</w:t>
            </w:r>
          </w:p>
        </w:tc>
      </w:tr>
      <w:tr>
        <w:trPr>
          <w:tblCellSpacing w:w="0" w:type="dxa"/>
        </w:trPr>
        <w:tc>
          <w:tcPr>
            <w:tcW w:w="703" w:type="pct"/>
            <w:tcBorders>
              <w:top w:val="nil"/>
              <w:bottom w:val="nil"/>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sz w:val="24"/>
                <w:szCs w:val="24"/>
              </w:rPr>
              <w:t>16</w:t>
            </w:r>
          </w:p>
        </w:tc>
        <w:tc>
          <w:tcPr>
            <w:tcW w:w="4297" w:type="pct"/>
            <w:tcBorders>
              <w:top w:val="nil"/>
              <w:left w:val="nil"/>
              <w:bottom w:val="nil"/>
            </w:tcBorders>
            <w:hideMark/>
          </w:tcPr>
          <w:p>
            <w:pPr>
              <w:spacing w:before="40" w:after="0" w:line="240" w:lineRule="auto"/>
              <w:ind w:left="142" w:right="145"/>
              <w:contextualSpacing/>
              <w:rPr>
                <w:rFonts w:ascii="Times New Roman" w:hAnsi="Times New Roman"/>
                <w:noProof/>
                <w:sz w:val="24"/>
                <w:szCs w:val="24"/>
              </w:rPr>
            </w:pPr>
            <w:r>
              <w:rPr>
                <w:rFonts w:ascii="Times New Roman" w:hAnsi="Times New Roman"/>
                <w:noProof/>
                <w:sz w:val="24"/>
                <w:szCs w:val="24"/>
              </w:rPr>
              <w:t>Betonui skirtas armatūrinis plienas ir įtempiamoji armatūra (ir pagalbiniai įrenginiai). Išankstinio konstrukcijų įtempimo komplektai.</w:t>
            </w:r>
          </w:p>
        </w:tc>
      </w:tr>
      <w:tr>
        <w:trPr>
          <w:tblCellSpacing w:w="0" w:type="dxa"/>
        </w:trPr>
        <w:tc>
          <w:tcPr>
            <w:tcW w:w="703" w:type="pct"/>
            <w:tcBorders>
              <w:top w:val="nil"/>
              <w:bottom w:val="nil"/>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sz w:val="24"/>
                <w:szCs w:val="24"/>
              </w:rPr>
              <w:t>17</w:t>
            </w:r>
          </w:p>
        </w:tc>
        <w:tc>
          <w:tcPr>
            <w:tcW w:w="4297" w:type="pct"/>
            <w:tcBorders>
              <w:top w:val="nil"/>
              <w:left w:val="nil"/>
              <w:bottom w:val="nil"/>
            </w:tcBorders>
            <w:hideMark/>
          </w:tcPr>
          <w:p>
            <w:pPr>
              <w:spacing w:before="40" w:after="0" w:line="240" w:lineRule="auto"/>
              <w:ind w:left="142" w:right="145"/>
              <w:contextualSpacing/>
              <w:rPr>
                <w:rFonts w:ascii="Times New Roman" w:hAnsi="Times New Roman"/>
                <w:noProof/>
                <w:sz w:val="24"/>
                <w:szCs w:val="24"/>
              </w:rPr>
            </w:pPr>
            <w:r>
              <w:rPr>
                <w:rFonts w:ascii="Times New Roman" w:hAnsi="Times New Roman"/>
                <w:noProof/>
                <w:sz w:val="24"/>
                <w:szCs w:val="24"/>
              </w:rPr>
              <w:t>Mūro ir kiti panašūs produktai. Mūro dirbiniai, statybiniai skiediniai, pagalbiniai įrenginiai.</w:t>
            </w:r>
          </w:p>
        </w:tc>
      </w:tr>
      <w:tr>
        <w:trPr>
          <w:tblCellSpacing w:w="0" w:type="dxa"/>
        </w:trPr>
        <w:tc>
          <w:tcPr>
            <w:tcW w:w="703" w:type="pct"/>
            <w:tcBorders>
              <w:top w:val="nil"/>
              <w:bottom w:val="nil"/>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sz w:val="24"/>
                <w:szCs w:val="24"/>
              </w:rPr>
              <w:t>18</w:t>
            </w:r>
          </w:p>
        </w:tc>
        <w:tc>
          <w:tcPr>
            <w:tcW w:w="4297" w:type="pct"/>
            <w:tcBorders>
              <w:top w:val="nil"/>
              <w:left w:val="nil"/>
              <w:bottom w:val="nil"/>
            </w:tcBorders>
            <w:hideMark/>
          </w:tcPr>
          <w:p>
            <w:pPr>
              <w:spacing w:before="40" w:after="0" w:line="240" w:lineRule="auto"/>
              <w:ind w:left="142" w:right="145"/>
              <w:contextualSpacing/>
              <w:rPr>
                <w:rFonts w:ascii="Times New Roman" w:hAnsi="Times New Roman"/>
                <w:noProof/>
                <w:sz w:val="24"/>
                <w:szCs w:val="24"/>
              </w:rPr>
            </w:pPr>
            <w:r>
              <w:rPr>
                <w:rFonts w:ascii="Times New Roman" w:hAnsi="Times New Roman"/>
                <w:noProof/>
                <w:sz w:val="24"/>
                <w:szCs w:val="24"/>
              </w:rPr>
              <w:t>Nuotekų tvarkymo inžinerijos produktai.</w:t>
            </w:r>
          </w:p>
        </w:tc>
      </w:tr>
      <w:tr>
        <w:trPr>
          <w:tblCellSpacing w:w="0" w:type="dxa"/>
        </w:trPr>
        <w:tc>
          <w:tcPr>
            <w:tcW w:w="703" w:type="pct"/>
            <w:tcBorders>
              <w:top w:val="nil"/>
              <w:bottom w:val="nil"/>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sz w:val="24"/>
                <w:szCs w:val="24"/>
              </w:rPr>
              <w:t>19</w:t>
            </w:r>
          </w:p>
        </w:tc>
        <w:tc>
          <w:tcPr>
            <w:tcW w:w="4297" w:type="pct"/>
            <w:tcBorders>
              <w:top w:val="nil"/>
              <w:left w:val="nil"/>
              <w:bottom w:val="nil"/>
            </w:tcBorders>
            <w:hideMark/>
          </w:tcPr>
          <w:p>
            <w:pPr>
              <w:spacing w:before="40" w:after="0" w:line="240" w:lineRule="auto"/>
              <w:ind w:left="142" w:right="145"/>
              <w:contextualSpacing/>
              <w:rPr>
                <w:rFonts w:ascii="Times New Roman" w:hAnsi="Times New Roman"/>
                <w:noProof/>
                <w:sz w:val="24"/>
                <w:szCs w:val="24"/>
              </w:rPr>
            </w:pPr>
            <w:r>
              <w:rPr>
                <w:rFonts w:ascii="Times New Roman" w:hAnsi="Times New Roman"/>
                <w:noProof/>
                <w:sz w:val="24"/>
                <w:szCs w:val="24"/>
              </w:rPr>
              <w:t>Grindų dangos.</w:t>
            </w:r>
          </w:p>
        </w:tc>
      </w:tr>
      <w:tr>
        <w:trPr>
          <w:tblCellSpacing w:w="0" w:type="dxa"/>
        </w:trPr>
        <w:tc>
          <w:tcPr>
            <w:tcW w:w="703" w:type="pct"/>
            <w:tcBorders>
              <w:top w:val="nil"/>
              <w:bottom w:val="nil"/>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sz w:val="24"/>
                <w:szCs w:val="24"/>
              </w:rPr>
              <w:t>20</w:t>
            </w:r>
          </w:p>
        </w:tc>
        <w:tc>
          <w:tcPr>
            <w:tcW w:w="4297" w:type="pct"/>
            <w:tcBorders>
              <w:top w:val="nil"/>
              <w:left w:val="nil"/>
              <w:bottom w:val="nil"/>
            </w:tcBorders>
            <w:hideMark/>
          </w:tcPr>
          <w:p>
            <w:pPr>
              <w:spacing w:before="40" w:after="0" w:line="240" w:lineRule="auto"/>
              <w:ind w:left="142" w:right="145"/>
              <w:contextualSpacing/>
              <w:rPr>
                <w:rFonts w:ascii="Times New Roman" w:hAnsi="Times New Roman"/>
                <w:noProof/>
                <w:sz w:val="24"/>
                <w:szCs w:val="24"/>
              </w:rPr>
            </w:pPr>
            <w:r>
              <w:rPr>
                <w:rFonts w:ascii="Times New Roman" w:hAnsi="Times New Roman"/>
                <w:noProof/>
                <w:sz w:val="24"/>
                <w:szCs w:val="24"/>
              </w:rPr>
              <w:t>Konstrukciniai metalo produktai ir pagalbiniai komplektai.</w:t>
            </w:r>
          </w:p>
        </w:tc>
      </w:tr>
      <w:tr>
        <w:trPr>
          <w:tblCellSpacing w:w="0" w:type="dxa"/>
        </w:trPr>
        <w:tc>
          <w:tcPr>
            <w:tcW w:w="703" w:type="pct"/>
            <w:tcBorders>
              <w:top w:val="nil"/>
              <w:bottom w:val="nil"/>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sz w:val="24"/>
                <w:szCs w:val="24"/>
              </w:rPr>
              <w:t>21</w:t>
            </w:r>
          </w:p>
        </w:tc>
        <w:tc>
          <w:tcPr>
            <w:tcW w:w="4297" w:type="pct"/>
            <w:tcBorders>
              <w:top w:val="nil"/>
              <w:left w:val="nil"/>
              <w:bottom w:val="nil"/>
            </w:tcBorders>
            <w:hideMark/>
          </w:tcPr>
          <w:p>
            <w:pPr>
              <w:spacing w:before="40" w:after="0" w:line="240" w:lineRule="auto"/>
              <w:ind w:left="142" w:right="145"/>
              <w:contextualSpacing/>
              <w:rPr>
                <w:rFonts w:ascii="Times New Roman" w:hAnsi="Times New Roman"/>
                <w:noProof/>
                <w:sz w:val="24"/>
                <w:szCs w:val="24"/>
              </w:rPr>
            </w:pPr>
            <w:r>
              <w:rPr>
                <w:rFonts w:ascii="Times New Roman" w:hAnsi="Times New Roman"/>
                <w:noProof/>
                <w:sz w:val="24"/>
                <w:szCs w:val="24"/>
              </w:rPr>
              <w:t>Vidaus ir išorės sienų ir lubų apdaila. Vidaus pertvarų komplektai.</w:t>
            </w:r>
          </w:p>
        </w:tc>
      </w:tr>
      <w:tr>
        <w:trPr>
          <w:tblCellSpacing w:w="0" w:type="dxa"/>
        </w:trPr>
        <w:tc>
          <w:tcPr>
            <w:tcW w:w="703" w:type="pct"/>
            <w:tcBorders>
              <w:top w:val="nil"/>
              <w:bottom w:val="nil"/>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sz w:val="24"/>
                <w:szCs w:val="24"/>
              </w:rPr>
              <w:t>22</w:t>
            </w:r>
          </w:p>
        </w:tc>
        <w:tc>
          <w:tcPr>
            <w:tcW w:w="4297" w:type="pct"/>
            <w:tcBorders>
              <w:top w:val="nil"/>
              <w:left w:val="nil"/>
              <w:bottom w:val="nil"/>
            </w:tcBorders>
            <w:hideMark/>
          </w:tcPr>
          <w:p>
            <w:pPr>
              <w:spacing w:before="40" w:after="0" w:line="240" w:lineRule="auto"/>
              <w:ind w:left="142" w:right="145"/>
              <w:contextualSpacing/>
              <w:rPr>
                <w:rFonts w:ascii="Times New Roman" w:hAnsi="Times New Roman"/>
                <w:noProof/>
                <w:sz w:val="24"/>
                <w:szCs w:val="24"/>
              </w:rPr>
            </w:pPr>
            <w:r>
              <w:rPr>
                <w:rFonts w:ascii="Times New Roman" w:hAnsi="Times New Roman"/>
                <w:noProof/>
                <w:sz w:val="24"/>
                <w:szCs w:val="24"/>
              </w:rPr>
              <w:t>Stogo dangos, švieslangiai, stoglangiai ir pagalbiniai produktai. Stogų komplektai.</w:t>
            </w:r>
          </w:p>
        </w:tc>
      </w:tr>
      <w:tr>
        <w:trPr>
          <w:tblCellSpacing w:w="0" w:type="dxa"/>
        </w:trPr>
        <w:tc>
          <w:tcPr>
            <w:tcW w:w="703" w:type="pct"/>
            <w:tcBorders>
              <w:top w:val="nil"/>
              <w:bottom w:val="nil"/>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sz w:val="24"/>
                <w:szCs w:val="24"/>
              </w:rPr>
              <w:t>23</w:t>
            </w:r>
          </w:p>
        </w:tc>
        <w:tc>
          <w:tcPr>
            <w:tcW w:w="4297" w:type="pct"/>
            <w:tcBorders>
              <w:top w:val="nil"/>
              <w:left w:val="nil"/>
              <w:bottom w:val="nil"/>
            </w:tcBorders>
            <w:hideMark/>
          </w:tcPr>
          <w:p>
            <w:pPr>
              <w:spacing w:before="40" w:after="0" w:line="240" w:lineRule="auto"/>
              <w:ind w:left="142" w:right="145"/>
              <w:contextualSpacing/>
              <w:rPr>
                <w:rFonts w:ascii="Times New Roman" w:hAnsi="Times New Roman"/>
                <w:noProof/>
                <w:sz w:val="24"/>
                <w:szCs w:val="24"/>
              </w:rPr>
            </w:pPr>
            <w:r>
              <w:rPr>
                <w:rFonts w:ascii="Times New Roman" w:hAnsi="Times New Roman"/>
                <w:noProof/>
                <w:sz w:val="24"/>
                <w:szCs w:val="24"/>
              </w:rPr>
              <w:t>Kelių statybos produktai.</w:t>
            </w:r>
          </w:p>
        </w:tc>
      </w:tr>
      <w:tr>
        <w:trPr>
          <w:tblCellSpacing w:w="0" w:type="dxa"/>
        </w:trPr>
        <w:tc>
          <w:tcPr>
            <w:tcW w:w="703" w:type="pct"/>
            <w:tcBorders>
              <w:top w:val="nil"/>
              <w:bottom w:val="nil"/>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sz w:val="24"/>
                <w:szCs w:val="24"/>
              </w:rPr>
              <w:t>24</w:t>
            </w:r>
          </w:p>
        </w:tc>
        <w:tc>
          <w:tcPr>
            <w:tcW w:w="4297" w:type="pct"/>
            <w:tcBorders>
              <w:top w:val="nil"/>
              <w:left w:val="nil"/>
              <w:bottom w:val="nil"/>
            </w:tcBorders>
            <w:hideMark/>
          </w:tcPr>
          <w:p>
            <w:pPr>
              <w:spacing w:before="40" w:after="0" w:line="240" w:lineRule="auto"/>
              <w:ind w:left="142" w:right="145"/>
              <w:contextualSpacing/>
              <w:rPr>
                <w:rFonts w:ascii="Times New Roman" w:hAnsi="Times New Roman"/>
                <w:noProof/>
                <w:sz w:val="24"/>
                <w:szCs w:val="24"/>
              </w:rPr>
            </w:pPr>
            <w:r>
              <w:rPr>
                <w:rFonts w:ascii="Times New Roman" w:hAnsi="Times New Roman"/>
                <w:noProof/>
                <w:sz w:val="24"/>
                <w:szCs w:val="24"/>
              </w:rPr>
              <w:t>Užpildai.</w:t>
            </w:r>
          </w:p>
        </w:tc>
      </w:tr>
      <w:tr>
        <w:trPr>
          <w:tblCellSpacing w:w="0" w:type="dxa"/>
        </w:trPr>
        <w:tc>
          <w:tcPr>
            <w:tcW w:w="703" w:type="pct"/>
            <w:tcBorders>
              <w:top w:val="nil"/>
              <w:bottom w:val="nil"/>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sz w:val="24"/>
                <w:szCs w:val="24"/>
              </w:rPr>
              <w:t>25</w:t>
            </w:r>
          </w:p>
        </w:tc>
        <w:tc>
          <w:tcPr>
            <w:tcW w:w="4297" w:type="pct"/>
            <w:tcBorders>
              <w:top w:val="nil"/>
              <w:left w:val="nil"/>
              <w:bottom w:val="nil"/>
            </w:tcBorders>
            <w:hideMark/>
          </w:tcPr>
          <w:p>
            <w:pPr>
              <w:spacing w:before="40" w:after="0" w:line="240" w:lineRule="auto"/>
              <w:ind w:left="142" w:right="145"/>
              <w:contextualSpacing/>
              <w:rPr>
                <w:rFonts w:ascii="Times New Roman" w:hAnsi="Times New Roman"/>
                <w:noProof/>
                <w:sz w:val="24"/>
                <w:szCs w:val="24"/>
              </w:rPr>
            </w:pPr>
            <w:r>
              <w:rPr>
                <w:rFonts w:ascii="Times New Roman" w:hAnsi="Times New Roman"/>
                <w:noProof/>
                <w:sz w:val="24"/>
                <w:szCs w:val="24"/>
              </w:rPr>
              <w:t>Statybiniai klijai.</w:t>
            </w:r>
          </w:p>
        </w:tc>
      </w:tr>
      <w:tr>
        <w:trPr>
          <w:tblCellSpacing w:w="0" w:type="dxa"/>
        </w:trPr>
        <w:tc>
          <w:tcPr>
            <w:tcW w:w="703" w:type="pct"/>
            <w:tcBorders>
              <w:top w:val="nil"/>
              <w:bottom w:val="nil"/>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sz w:val="24"/>
                <w:szCs w:val="24"/>
              </w:rPr>
              <w:t>26</w:t>
            </w:r>
          </w:p>
        </w:tc>
        <w:tc>
          <w:tcPr>
            <w:tcW w:w="4297" w:type="pct"/>
            <w:tcBorders>
              <w:top w:val="nil"/>
              <w:left w:val="nil"/>
              <w:bottom w:val="nil"/>
            </w:tcBorders>
            <w:hideMark/>
          </w:tcPr>
          <w:p>
            <w:pPr>
              <w:spacing w:before="40" w:after="0" w:line="240" w:lineRule="auto"/>
              <w:ind w:left="142" w:right="145"/>
              <w:contextualSpacing/>
              <w:rPr>
                <w:rFonts w:ascii="Times New Roman" w:hAnsi="Times New Roman"/>
                <w:noProof/>
                <w:sz w:val="24"/>
                <w:szCs w:val="24"/>
              </w:rPr>
            </w:pPr>
            <w:r>
              <w:rPr>
                <w:rFonts w:ascii="Times New Roman" w:hAnsi="Times New Roman"/>
                <w:noProof/>
                <w:sz w:val="24"/>
                <w:szCs w:val="24"/>
              </w:rPr>
              <w:t>Produktai, susiję su betonu, skiediniu ir glaistu.</w:t>
            </w:r>
          </w:p>
        </w:tc>
      </w:tr>
      <w:tr>
        <w:trPr>
          <w:tblCellSpacing w:w="0" w:type="dxa"/>
        </w:trPr>
        <w:tc>
          <w:tcPr>
            <w:tcW w:w="703" w:type="pct"/>
            <w:tcBorders>
              <w:top w:val="nil"/>
              <w:bottom w:val="nil"/>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sz w:val="24"/>
                <w:szCs w:val="24"/>
              </w:rPr>
              <w:t>27</w:t>
            </w:r>
          </w:p>
        </w:tc>
        <w:tc>
          <w:tcPr>
            <w:tcW w:w="4297" w:type="pct"/>
            <w:tcBorders>
              <w:top w:val="nil"/>
              <w:left w:val="nil"/>
              <w:bottom w:val="nil"/>
            </w:tcBorders>
            <w:hideMark/>
          </w:tcPr>
          <w:p>
            <w:pPr>
              <w:spacing w:before="40" w:after="0" w:line="240" w:lineRule="auto"/>
              <w:ind w:left="142" w:right="145"/>
              <w:contextualSpacing/>
              <w:rPr>
                <w:rFonts w:ascii="Times New Roman" w:hAnsi="Times New Roman"/>
                <w:noProof/>
                <w:sz w:val="24"/>
                <w:szCs w:val="24"/>
              </w:rPr>
            </w:pPr>
            <w:r>
              <w:rPr>
                <w:rFonts w:ascii="Times New Roman" w:hAnsi="Times New Roman"/>
                <w:noProof/>
                <w:sz w:val="24"/>
                <w:szCs w:val="24"/>
              </w:rPr>
              <w:t>Patalpų šildymo prietaisai.</w:t>
            </w:r>
          </w:p>
        </w:tc>
      </w:tr>
      <w:tr>
        <w:trPr>
          <w:tblCellSpacing w:w="0" w:type="dxa"/>
        </w:trPr>
        <w:tc>
          <w:tcPr>
            <w:tcW w:w="703" w:type="pct"/>
            <w:tcBorders>
              <w:top w:val="nil"/>
              <w:bottom w:val="nil"/>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sz w:val="24"/>
                <w:szCs w:val="24"/>
              </w:rPr>
              <w:t>28</w:t>
            </w:r>
          </w:p>
        </w:tc>
        <w:tc>
          <w:tcPr>
            <w:tcW w:w="4297" w:type="pct"/>
            <w:tcBorders>
              <w:top w:val="nil"/>
              <w:left w:val="nil"/>
              <w:bottom w:val="nil"/>
            </w:tcBorders>
            <w:hideMark/>
          </w:tcPr>
          <w:p>
            <w:pPr>
              <w:spacing w:before="40" w:after="0" w:line="240" w:lineRule="auto"/>
              <w:ind w:left="142" w:right="145"/>
              <w:contextualSpacing/>
              <w:rPr>
                <w:rFonts w:ascii="Times New Roman" w:hAnsi="Times New Roman"/>
                <w:noProof/>
                <w:sz w:val="24"/>
                <w:szCs w:val="24"/>
              </w:rPr>
            </w:pPr>
            <w:r>
              <w:rPr>
                <w:rFonts w:ascii="Times New Roman" w:hAnsi="Times New Roman"/>
                <w:noProof/>
                <w:sz w:val="24"/>
                <w:szCs w:val="24"/>
              </w:rPr>
              <w:t>Vamzdžiai, talpyklos ir pagalbiniai įrenginiai, nesiliečiantys su žmonėms vartoti skirtu vandeniu.</w:t>
            </w:r>
          </w:p>
        </w:tc>
      </w:tr>
      <w:tr>
        <w:trPr>
          <w:tblCellSpacing w:w="0" w:type="dxa"/>
        </w:trPr>
        <w:tc>
          <w:tcPr>
            <w:tcW w:w="703" w:type="pct"/>
            <w:tcBorders>
              <w:top w:val="nil"/>
              <w:bottom w:val="nil"/>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sz w:val="24"/>
                <w:szCs w:val="24"/>
              </w:rPr>
              <w:t>29</w:t>
            </w:r>
          </w:p>
        </w:tc>
        <w:tc>
          <w:tcPr>
            <w:tcW w:w="4297" w:type="pct"/>
            <w:tcBorders>
              <w:top w:val="nil"/>
              <w:left w:val="nil"/>
              <w:bottom w:val="nil"/>
            </w:tcBorders>
            <w:hideMark/>
          </w:tcPr>
          <w:p>
            <w:pPr>
              <w:spacing w:before="40" w:after="0" w:line="240" w:lineRule="auto"/>
              <w:ind w:left="142" w:right="145"/>
              <w:contextualSpacing/>
              <w:rPr>
                <w:rFonts w:ascii="Times New Roman" w:hAnsi="Times New Roman"/>
                <w:noProof/>
                <w:sz w:val="24"/>
                <w:szCs w:val="24"/>
              </w:rPr>
            </w:pPr>
            <w:r>
              <w:rPr>
                <w:rFonts w:ascii="Times New Roman" w:hAnsi="Times New Roman"/>
                <w:noProof/>
                <w:sz w:val="24"/>
                <w:szCs w:val="24"/>
              </w:rPr>
              <w:t>Statybos produktai, besiliečiantys su žmonėms vartoti skirtu vandeniu.</w:t>
            </w:r>
          </w:p>
        </w:tc>
      </w:tr>
      <w:tr>
        <w:trPr>
          <w:tblCellSpacing w:w="0" w:type="dxa"/>
        </w:trPr>
        <w:tc>
          <w:tcPr>
            <w:tcW w:w="703" w:type="pct"/>
            <w:tcBorders>
              <w:top w:val="nil"/>
              <w:bottom w:val="nil"/>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sz w:val="24"/>
                <w:szCs w:val="24"/>
              </w:rPr>
              <w:t>30</w:t>
            </w:r>
          </w:p>
        </w:tc>
        <w:tc>
          <w:tcPr>
            <w:tcW w:w="4297" w:type="pct"/>
            <w:tcBorders>
              <w:top w:val="nil"/>
              <w:left w:val="nil"/>
              <w:bottom w:val="nil"/>
            </w:tcBorders>
            <w:hideMark/>
          </w:tcPr>
          <w:p>
            <w:pPr>
              <w:spacing w:before="40" w:after="0" w:line="240" w:lineRule="auto"/>
              <w:ind w:left="142" w:right="145"/>
              <w:contextualSpacing/>
              <w:rPr>
                <w:rFonts w:ascii="Times New Roman" w:hAnsi="Times New Roman"/>
                <w:noProof/>
                <w:sz w:val="24"/>
                <w:szCs w:val="24"/>
              </w:rPr>
            </w:pPr>
            <w:r>
              <w:rPr>
                <w:rFonts w:ascii="Times New Roman" w:hAnsi="Times New Roman"/>
                <w:noProof/>
                <w:sz w:val="24"/>
                <w:szCs w:val="24"/>
              </w:rPr>
              <w:t>Plokščiojo stiklo, profilinio stiklo ir stiklinių blokų produktai.</w:t>
            </w:r>
          </w:p>
        </w:tc>
      </w:tr>
      <w:tr>
        <w:trPr>
          <w:tblCellSpacing w:w="0" w:type="dxa"/>
        </w:trPr>
        <w:tc>
          <w:tcPr>
            <w:tcW w:w="703" w:type="pct"/>
            <w:tcBorders>
              <w:top w:val="nil"/>
              <w:bottom w:val="nil"/>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sz w:val="24"/>
                <w:szCs w:val="24"/>
              </w:rPr>
              <w:t>31</w:t>
            </w:r>
          </w:p>
        </w:tc>
        <w:tc>
          <w:tcPr>
            <w:tcW w:w="4297" w:type="pct"/>
            <w:tcBorders>
              <w:top w:val="nil"/>
              <w:left w:val="nil"/>
              <w:bottom w:val="nil"/>
            </w:tcBorders>
            <w:hideMark/>
          </w:tcPr>
          <w:p>
            <w:pPr>
              <w:spacing w:before="40" w:after="0" w:line="240" w:lineRule="auto"/>
              <w:ind w:left="142" w:right="145"/>
              <w:contextualSpacing/>
              <w:rPr>
                <w:rFonts w:ascii="Times New Roman" w:hAnsi="Times New Roman"/>
                <w:noProof/>
                <w:sz w:val="24"/>
                <w:szCs w:val="24"/>
              </w:rPr>
            </w:pPr>
            <w:r>
              <w:rPr>
                <w:rFonts w:ascii="Times New Roman" w:hAnsi="Times New Roman"/>
                <w:noProof/>
                <w:sz w:val="24"/>
                <w:szCs w:val="24"/>
              </w:rPr>
              <w:t>Galios, valdymo ir ryšio kabeliai.</w:t>
            </w:r>
          </w:p>
        </w:tc>
      </w:tr>
      <w:tr>
        <w:trPr>
          <w:tblCellSpacing w:w="0" w:type="dxa"/>
        </w:trPr>
        <w:tc>
          <w:tcPr>
            <w:tcW w:w="703" w:type="pct"/>
            <w:tcBorders>
              <w:top w:val="nil"/>
              <w:bottom w:val="nil"/>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sz w:val="24"/>
                <w:szCs w:val="24"/>
              </w:rPr>
              <w:t>32</w:t>
            </w:r>
          </w:p>
        </w:tc>
        <w:tc>
          <w:tcPr>
            <w:tcW w:w="4297" w:type="pct"/>
            <w:tcBorders>
              <w:top w:val="nil"/>
              <w:left w:val="nil"/>
              <w:bottom w:val="nil"/>
            </w:tcBorders>
            <w:hideMark/>
          </w:tcPr>
          <w:p>
            <w:pPr>
              <w:spacing w:before="40" w:after="0" w:line="240" w:lineRule="auto"/>
              <w:ind w:left="142" w:right="145"/>
              <w:contextualSpacing/>
              <w:rPr>
                <w:rFonts w:ascii="Times New Roman" w:hAnsi="Times New Roman"/>
                <w:noProof/>
                <w:sz w:val="24"/>
                <w:szCs w:val="24"/>
              </w:rPr>
            </w:pPr>
            <w:r>
              <w:rPr>
                <w:rFonts w:ascii="Times New Roman" w:hAnsi="Times New Roman"/>
                <w:noProof/>
                <w:sz w:val="24"/>
                <w:szCs w:val="24"/>
              </w:rPr>
              <w:t>Jungčių sandarikliai.</w:t>
            </w:r>
          </w:p>
        </w:tc>
      </w:tr>
      <w:tr>
        <w:trPr>
          <w:tblCellSpacing w:w="0" w:type="dxa"/>
        </w:trPr>
        <w:tc>
          <w:tcPr>
            <w:tcW w:w="703" w:type="pct"/>
            <w:tcBorders>
              <w:top w:val="nil"/>
              <w:bottom w:val="nil"/>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sz w:val="24"/>
                <w:szCs w:val="24"/>
              </w:rPr>
              <w:t>33</w:t>
            </w:r>
          </w:p>
        </w:tc>
        <w:tc>
          <w:tcPr>
            <w:tcW w:w="4297" w:type="pct"/>
            <w:tcBorders>
              <w:top w:val="nil"/>
              <w:left w:val="nil"/>
              <w:bottom w:val="nil"/>
            </w:tcBorders>
            <w:hideMark/>
          </w:tcPr>
          <w:p>
            <w:pPr>
              <w:spacing w:before="40" w:after="0" w:line="240" w:lineRule="auto"/>
              <w:ind w:left="142" w:right="145"/>
              <w:contextualSpacing/>
              <w:rPr>
                <w:rFonts w:ascii="Times New Roman" w:hAnsi="Times New Roman"/>
                <w:noProof/>
                <w:sz w:val="24"/>
                <w:szCs w:val="24"/>
              </w:rPr>
            </w:pPr>
            <w:r>
              <w:rPr>
                <w:rFonts w:ascii="Times New Roman" w:hAnsi="Times New Roman"/>
                <w:noProof/>
                <w:sz w:val="24"/>
                <w:szCs w:val="24"/>
              </w:rPr>
              <w:t>Tvirtinimo detalės.</w:t>
            </w:r>
          </w:p>
        </w:tc>
      </w:tr>
      <w:tr>
        <w:trPr>
          <w:tblCellSpacing w:w="0" w:type="dxa"/>
        </w:trPr>
        <w:tc>
          <w:tcPr>
            <w:tcW w:w="703" w:type="pct"/>
            <w:tcBorders>
              <w:top w:val="nil"/>
              <w:bottom w:val="nil"/>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sz w:val="24"/>
                <w:szCs w:val="24"/>
              </w:rPr>
              <w:t>34</w:t>
            </w:r>
          </w:p>
        </w:tc>
        <w:tc>
          <w:tcPr>
            <w:tcW w:w="4297" w:type="pct"/>
            <w:tcBorders>
              <w:top w:val="nil"/>
              <w:left w:val="nil"/>
              <w:bottom w:val="nil"/>
            </w:tcBorders>
            <w:hideMark/>
          </w:tcPr>
          <w:p>
            <w:pPr>
              <w:spacing w:before="40" w:after="0" w:line="240" w:lineRule="auto"/>
              <w:ind w:left="142" w:right="145"/>
              <w:contextualSpacing/>
              <w:rPr>
                <w:rFonts w:ascii="Times New Roman" w:hAnsi="Times New Roman"/>
                <w:noProof/>
                <w:sz w:val="24"/>
                <w:szCs w:val="24"/>
              </w:rPr>
            </w:pPr>
            <w:r>
              <w:rPr>
                <w:rFonts w:ascii="Times New Roman" w:hAnsi="Times New Roman"/>
                <w:noProof/>
                <w:sz w:val="24"/>
                <w:szCs w:val="24"/>
              </w:rPr>
              <w:t>Konstrukcijų komplektai, dalys, surenkamieji elementai.</w:t>
            </w:r>
          </w:p>
        </w:tc>
      </w:tr>
      <w:tr>
        <w:trPr>
          <w:tblCellSpacing w:w="0" w:type="dxa"/>
        </w:trPr>
        <w:tc>
          <w:tcPr>
            <w:tcW w:w="703" w:type="pct"/>
            <w:tcBorders>
              <w:top w:val="nil"/>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sz w:val="24"/>
                <w:szCs w:val="24"/>
              </w:rPr>
              <w:t>35</w:t>
            </w:r>
          </w:p>
        </w:tc>
        <w:tc>
          <w:tcPr>
            <w:tcW w:w="4297" w:type="pct"/>
            <w:tcBorders>
              <w:top w:val="nil"/>
              <w:left w:val="nil"/>
            </w:tcBorders>
            <w:hideMark/>
          </w:tcPr>
          <w:p>
            <w:pPr>
              <w:spacing w:before="40" w:after="0" w:line="240" w:lineRule="auto"/>
              <w:ind w:left="142" w:right="145"/>
              <w:contextualSpacing/>
              <w:rPr>
                <w:rFonts w:ascii="Times New Roman" w:hAnsi="Times New Roman"/>
                <w:noProof/>
                <w:sz w:val="24"/>
                <w:szCs w:val="24"/>
              </w:rPr>
            </w:pPr>
            <w:r>
              <w:rPr>
                <w:rFonts w:ascii="Times New Roman" w:hAnsi="Times New Roman"/>
                <w:noProof/>
                <w:sz w:val="24"/>
                <w:szCs w:val="24"/>
              </w:rPr>
              <w:t>Gaisrą sustabdantys, priešgaisriniai sandarinimo ir apsaugos produktai. Degimą lėtinantys produktai.</w:t>
            </w:r>
          </w:p>
        </w:tc>
      </w:tr>
    </w:tbl>
    <w:p>
      <w:pPr>
        <w:rPr>
          <w:noProof/>
          <w:sz w:val="24"/>
          <w:szCs w:val="24"/>
        </w:rPr>
      </w:pPr>
    </w:p>
    <w:sectPr>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EUAlbertina">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LT</w:t>
    </w:r>
    <w:r>
      <w:rPr>
        <w:rFonts w:ascii="Arial" w:hAnsi="Arial" w:cs="Arial"/>
        <w:b/>
        <w:sz w:val="48"/>
      </w:rPr>
      <w:tab/>
    </w:r>
    <w:r>
      <w:rPr>
        <w:rFonts w:ascii="Arial" w:hAnsi="Arial" w:cs="Arial"/>
        <w:b/>
        <w:sz w:val="48"/>
      </w:rPr>
      <w:tab/>
    </w:r>
    <w:r>
      <w:tab/>
    </w:r>
    <w:r>
      <w:rPr>
        <w:rFonts w:ascii="Arial" w:hAnsi="Arial" w:cs="Arial"/>
        <w:b/>
        <w:sz w:val="48"/>
      </w:rPr>
      <w:t>LT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fldChar w:fldCharType="begin"/>
    </w:r>
    <w:r>
      <w:instrText xml:space="preserve"> PAGE   \* MERGEFORMAT </w:instrText>
    </w:r>
    <w:r>
      <w:fldChar w:fldCharType="separate"/>
    </w:r>
    <w:r>
      <w:rPr>
        <w:noProof/>
      </w:rPr>
      <w:t>2</w:t>
    </w:r>
    <w: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198" w:hanging="198"/>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ab/>
        <w:t>2011 m. kovo 9 d. Europos Parlamento ir Tarybos reglamentas (ES) Nr. 305/2011, kuriuo nustatomos suderintos statybos produktų rinkodaros sąlygos ir panaikinama Tarybos direktyva 89/106/EEB (OL L 88, 2011 4 4, p. 5).</w:t>
      </w:r>
    </w:p>
  </w:footnote>
  <w:footnote w:id="3">
    <w:p>
      <w:pPr>
        <w:pStyle w:val="FootnoteText"/>
        <w:ind w:left="198" w:hanging="198"/>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ab/>
        <w:t xml:space="preserve">Konsultacinių įmonių BRE, ECORYS ir „Vito“ atliktas tyrimas, paskelbtas svetainėje </w:t>
      </w:r>
      <w:hyperlink r:id="rId1" w:history="1">
        <w:r>
          <w:rPr>
            <w:rStyle w:val="Hyperlink"/>
            <w:rFonts w:ascii="Times New Roman" w:hAnsi="Times New Roman"/>
            <w:sz w:val="18"/>
            <w:szCs w:val="18"/>
          </w:rPr>
          <w:t>https://bookshop.europa.eu/en/supporting-study-for-the-evaluation-of-the-relevance-of-eota-tasks-pbET0115714/</w:t>
        </w:r>
      </w:hyperlink>
      <w:r>
        <w:rPr>
          <w:rStyle w:val="Hyperlink"/>
          <w:rFonts w:ascii="Times New Roman" w:hAnsi="Times New Roman"/>
          <w:sz w:val="18"/>
          <w:szCs w:val="18"/>
          <w:u w:val="none"/>
        </w:rPr>
        <w:t>.</w:t>
      </w:r>
    </w:p>
  </w:footnote>
  <w:footnote w:id="4">
    <w:p>
      <w:pPr>
        <w:pStyle w:val="FootnoteText"/>
        <w:ind w:left="198" w:hanging="198"/>
        <w:jc w:val="both"/>
        <w:rPr>
          <w:rStyle w:val="FootnoteReference"/>
        </w:rPr>
      </w:pPr>
      <w:r>
        <w:rPr>
          <w:rStyle w:val="FootnoteReference"/>
          <w:rFonts w:ascii="Times New Roman" w:hAnsi="Times New Roman"/>
          <w:sz w:val="18"/>
          <w:szCs w:val="18"/>
        </w:rPr>
        <w:footnoteRef/>
      </w:r>
      <w:r>
        <w:rPr>
          <w:rFonts w:ascii="Times New Roman" w:hAnsi="Times New Roman"/>
          <w:sz w:val="18"/>
          <w:szCs w:val="18"/>
        </w:rPr>
        <w:tab/>
        <w:t>11 atstovų, 26 techninio vertinimo įstaigų (TVĮ) ir 45 įmonių (įskaitant 29 MVĮ) apklausa ir 2016 m. spalio mėn. surengtas praktinis rezultatų patikimumo vertinimo seminaras, kuriame dalyvavo gamintojai, gamintojų asociacijos, TVĮ, valstybės narės ir EOTA.</w:t>
      </w:r>
    </w:p>
  </w:footnote>
  <w:footnote w:id="5">
    <w:p>
      <w:pPr>
        <w:pStyle w:val="FootnoteText"/>
        <w:ind w:left="198" w:hanging="198"/>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ab/>
        <w:t>1988 m. gruodžio 21 d. Tarybos direktyva 89/106/EEB dėl valstybių narių įstatymų ir kitų teisės aktų, susijusių su statybos produktais, derinimo, OL L 40, 1989 2 11, p. 12–26.</w:t>
      </w:r>
    </w:p>
  </w:footnote>
  <w:footnote w:id="6">
    <w:p>
      <w:pPr>
        <w:pStyle w:val="FootnoteText"/>
        <w:ind w:left="198" w:hanging="198"/>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ab/>
        <w:t xml:space="preserve">Šaltinis: Sistemos NANDO duomenų bazė, 2018 m. gruodžio 31 d. duomenys. Sąrašą galima rasti svetainėje </w:t>
      </w:r>
      <w:hyperlink r:id="rId2" w:history="1">
        <w:r>
          <w:rPr>
            <w:rStyle w:val="Hyperlink"/>
            <w:rFonts w:ascii="Times New Roman" w:hAnsi="Times New Roman"/>
            <w:sz w:val="18"/>
            <w:szCs w:val="18"/>
          </w:rPr>
          <w:t>http://ec.europa.eu/growth/tools-databases/nando/index.cfm?fuseaction=directive.notifiedbody&amp;dir_id=33</w:t>
        </w:r>
      </w:hyperlink>
      <w:r>
        <w:rPr>
          <w:rFonts w:ascii="Times New Roman" w:hAnsi="Times New Roman"/>
          <w:sz w:val="18"/>
          <w:szCs w:val="18"/>
        </w:rPr>
        <w:t>.</w:t>
      </w:r>
    </w:p>
  </w:footnote>
  <w:footnote w:id="7">
    <w:p>
      <w:pPr>
        <w:pStyle w:val="FootnoteText"/>
        <w:ind w:left="198" w:hanging="198"/>
        <w:jc w:val="both"/>
      </w:pPr>
      <w:r>
        <w:rPr>
          <w:rStyle w:val="FootnoteReference"/>
          <w:rFonts w:ascii="Times New Roman" w:hAnsi="Times New Roman"/>
          <w:sz w:val="18"/>
          <w:szCs w:val="18"/>
        </w:rPr>
        <w:footnoteRef/>
      </w:r>
      <w:r>
        <w:rPr>
          <w:rFonts w:ascii="Times New Roman" w:hAnsi="Times New Roman"/>
          <w:sz w:val="18"/>
          <w:szCs w:val="18"/>
        </w:rPr>
        <w:tab/>
        <w:t>Sekretoriate dirba darbuotojai, užimantys keturis viso etato ekvivalentus: generalinis sekretorius, projekto vadovas, techninis pagalbininkas ir sekretorius.</w:t>
      </w:r>
    </w:p>
  </w:footnote>
  <w:footnote w:id="8">
    <w:p>
      <w:pPr>
        <w:pStyle w:val="FootnoteText"/>
        <w:ind w:left="198" w:hanging="198"/>
        <w:jc w:val="both"/>
        <w:rPr>
          <w:rFonts w:ascii="Times New Roman" w:hAnsi="Times New Roman"/>
          <w:sz w:val="18"/>
          <w:szCs w:val="18"/>
        </w:rPr>
      </w:pPr>
      <w:r>
        <w:rPr>
          <w:rStyle w:val="FootnoteReference"/>
        </w:rPr>
        <w:footnoteRef/>
      </w:r>
      <w:r>
        <w:tab/>
      </w:r>
      <w:r>
        <w:rPr>
          <w:rFonts w:ascii="Times New Roman" w:hAnsi="Times New Roman"/>
          <w:sz w:val="18"/>
          <w:szCs w:val="18"/>
        </w:rPr>
        <w:t>Suinteresuotųjų subjektų patariamoji grupė posėdžiauja kartą per metus ar, prireikus, bet kuriuo kitu metu ir teikia rekomendacijas vykdomajai valdybai klausimais, susijusiais su: EOTA vaidmeniu įgyvendinant SPR, EVD ir ETĮ procesais, kokybės sistemomis ir procedūromis, padedančiomis skatinti didesnį veiksmingumą ir teikti pramonei geresnę paslaugą, grįžtamąja informacija apie TVĮ atliktas užduotis, tarptautiniu ir suinteresuotųjų subjektų pripažinimu, partneryste su kitomis organizacijomis ir konsultacijomis teisinio gyvybingumo ir finansinio stabilumo klausimais.</w:t>
      </w:r>
    </w:p>
  </w:footnote>
  <w:footnote w:id="9">
    <w:p>
      <w:pPr>
        <w:pStyle w:val="FootnoteText"/>
        <w:ind w:left="198" w:hanging="198"/>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ab/>
        <w:t>Šios TVĮ yra dalyvaujančios TVĮ.</w:t>
      </w:r>
    </w:p>
  </w:footnote>
  <w:footnote w:id="10">
    <w:p>
      <w:pPr>
        <w:pStyle w:val="FootnoteText"/>
        <w:ind w:left="198" w:hanging="198"/>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ab/>
        <w:t>Bendrų susitarimų dėl patvirtinimo procedūrų koncepcija buvo sukurta pagal SPD pačioje EOTA, siekiant suteikti aiškų pagrindą išduoti Europos techninius liudijimus SPD 9 straipsnio 2 dalyje numatytais atvejais, kai to nebuvo galima padaryti taikant rekomendacijas, kaip suteikti Europos techninį liudijimą.</w:t>
      </w:r>
    </w:p>
  </w:footnote>
  <w:footnote w:id="11">
    <w:p>
      <w:pPr>
        <w:pStyle w:val="FootnoteText"/>
        <w:ind w:left="198" w:hanging="198"/>
      </w:pPr>
      <w:r>
        <w:rPr>
          <w:rStyle w:val="FootnoteReference"/>
          <w:rFonts w:ascii="Times New Roman" w:hAnsi="Times New Roman"/>
          <w:sz w:val="18"/>
          <w:szCs w:val="18"/>
        </w:rPr>
        <w:footnoteRef/>
      </w:r>
      <w:r>
        <w:rPr>
          <w:rFonts w:ascii="Times New Roman" w:hAnsi="Times New Roman"/>
          <w:sz w:val="18"/>
          <w:szCs w:val="18"/>
        </w:rPr>
        <w:t xml:space="preserve"> Remiantis SPD 8 straipsnio 4 dalimi.</w:t>
      </w:r>
    </w:p>
  </w:footnote>
  <w:footnote w:id="12">
    <w:p>
      <w:pPr>
        <w:pStyle w:val="FootnoteText"/>
        <w:ind w:left="198" w:hanging="198"/>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ab/>
        <w:t>Bendri susitarimai dėl patvirtinimo procedūrų. Šios koncepcijos SPD nebuvo, ji buvo sukurta EOTA siekiant suteikti aiškų pagrindą išduoti Europos techninius liudijimus SPD 9 straipsnio 2 dalyje numatytais atvejais, kai to nebuvo galima padaryti taikant rekomendacijas, kaip suteikti Europos techninį liudijimą.</w:t>
      </w:r>
    </w:p>
  </w:footnote>
  <w:footnote w:id="13">
    <w:p>
      <w:pPr>
        <w:pStyle w:val="FootnoteText"/>
        <w:ind w:left="198" w:hanging="198"/>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ab/>
        <w:t>Šis klausimas konkrečiai nagrinėjamas aptariant aktualumo klausimą (žr. 4.3 skirsnį).</w:t>
      </w:r>
    </w:p>
  </w:footnote>
  <w:footnote w:id="14">
    <w:p>
      <w:pPr>
        <w:pStyle w:val="FootnoteText"/>
        <w:ind w:left="198" w:hanging="198"/>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ab/>
        <w:t>II priede nustatytos procedūros etapas, nurodytas 7 dalies c punkte arba 8 dalyje.</w:t>
      </w:r>
    </w:p>
  </w:footnote>
  <w:footnote w:id="15">
    <w:p>
      <w:pPr>
        <w:pStyle w:val="FootnoteText"/>
        <w:ind w:left="198" w:hanging="198"/>
        <w:jc w:val="both"/>
      </w:pPr>
      <w:r>
        <w:rPr>
          <w:rStyle w:val="FootnoteReference"/>
          <w:rFonts w:ascii="Times New Roman" w:hAnsi="Times New Roman"/>
          <w:sz w:val="18"/>
          <w:szCs w:val="18"/>
        </w:rPr>
        <w:footnoteRef/>
      </w:r>
      <w:r>
        <w:rPr>
          <w:rFonts w:ascii="Times New Roman" w:hAnsi="Times New Roman"/>
          <w:sz w:val="18"/>
          <w:szCs w:val="18"/>
        </w:rPr>
        <w:tab/>
        <w:t>8 dalyje nurodytas etapas, kuriuo dažnai paaiškėja, kad 7 dalies c punkte nurodytu etapu į Komisijos pastabas nebuvo atsižvelgta ir kad reikia papildomo įvertinimo.</w:t>
      </w:r>
    </w:p>
  </w:footnote>
  <w:footnote w:id="16">
    <w:p>
      <w:pPr>
        <w:pStyle w:val="FootnoteText"/>
        <w:ind w:left="198" w:hanging="198"/>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ab/>
        <w:t>SPR IV priede nurodytų produktų sričių sąrašas pateiktas šio dokumento priede.</w:t>
      </w:r>
    </w:p>
  </w:footnote>
  <w:footnote w:id="17">
    <w:p>
      <w:pPr>
        <w:pStyle w:val="FootnoteText"/>
        <w:ind w:left="198" w:hanging="198"/>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ab/>
      </w:r>
      <w:r>
        <w:rPr>
          <w:rFonts w:ascii="Times New Roman" w:hAnsi="Times New Roman"/>
          <w:i/>
          <w:sz w:val="18"/>
          <w:szCs w:val="18"/>
        </w:rPr>
        <w:t>Deutsches Institut für Bautechnik.</w:t>
      </w:r>
    </w:p>
  </w:footnote>
  <w:footnote w:id="18">
    <w:p>
      <w:pPr>
        <w:pStyle w:val="FootnoteText"/>
        <w:ind w:left="198" w:hanging="198"/>
        <w:jc w:val="both"/>
      </w:pPr>
      <w:r>
        <w:rPr>
          <w:rStyle w:val="FootnoteReference"/>
          <w:rFonts w:ascii="Times New Roman" w:hAnsi="Times New Roman"/>
          <w:sz w:val="18"/>
          <w:szCs w:val="18"/>
        </w:rPr>
        <w:footnoteRef/>
      </w:r>
      <w:r>
        <w:rPr>
          <w:rFonts w:ascii="Times New Roman" w:hAnsi="Times New Roman"/>
          <w:sz w:val="18"/>
          <w:szCs w:val="18"/>
        </w:rPr>
        <w:tab/>
      </w:r>
      <w:r>
        <w:rPr>
          <w:rFonts w:ascii="Times New Roman" w:hAnsi="Times New Roman"/>
          <w:i/>
          <w:sz w:val="18"/>
          <w:szCs w:val="18"/>
        </w:rPr>
        <w:t>Österreichisches Institut für Bautechnik</w:t>
      </w:r>
      <w:r>
        <w:rPr>
          <w:rFonts w:ascii="Times New Roman" w:hAnsi="Times New Roman"/>
          <w:sz w:val="18"/>
          <w:szCs w:val="18"/>
        </w:rPr>
        <w:t>.</w:t>
      </w:r>
    </w:p>
  </w:footnote>
  <w:footnote w:id="19">
    <w:p>
      <w:pPr>
        <w:pStyle w:val="FootnoteText"/>
        <w:ind w:left="198" w:hanging="198"/>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ab/>
      </w:r>
      <w:r>
        <w:rPr>
          <w:rFonts w:ascii="Times New Roman" w:hAnsi="Times New Roman"/>
          <w:i/>
          <w:sz w:val="18"/>
          <w:szCs w:val="18"/>
        </w:rPr>
        <w:t>Technický a zkušební ústav stavební Praha</w:t>
      </w:r>
      <w:r>
        <w:rPr>
          <w:rFonts w:ascii="Times New Roman" w:hAnsi="Times New Roman"/>
          <w:sz w:val="18"/>
          <w:szCs w:val="18"/>
        </w:rPr>
        <w:t>.</w:t>
      </w:r>
    </w:p>
  </w:footnote>
  <w:footnote w:id="20">
    <w:p>
      <w:pPr>
        <w:pStyle w:val="FootnoteText"/>
        <w:ind w:left="198" w:hanging="198"/>
      </w:pPr>
      <w:r>
        <w:rPr>
          <w:rStyle w:val="FootnoteReference"/>
          <w:rFonts w:ascii="Times New Roman" w:hAnsi="Times New Roman"/>
          <w:sz w:val="18"/>
          <w:szCs w:val="18"/>
        </w:rPr>
        <w:footnoteRef/>
      </w:r>
      <w:r>
        <w:rPr>
          <w:rStyle w:val="FootnoteReference"/>
          <w:rFonts w:ascii="Times New Roman" w:hAnsi="Times New Roman"/>
          <w:sz w:val="18"/>
          <w:szCs w:val="18"/>
        </w:rPr>
        <w:t xml:space="preserve"> </w:t>
      </w:r>
      <w:r>
        <w:t>Jos yra darbo grupių veiklos lygmuo.</w:t>
      </w:r>
    </w:p>
  </w:footnote>
  <w:footnote w:id="21">
    <w:p>
      <w:pPr>
        <w:pStyle w:val="FootnoteText"/>
        <w:ind w:left="198" w:hanging="198"/>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ab/>
        <w:t>Graikija: 63; Vengrija: 31; Latvija: 21; Estija: 20; Bulgarija: 11 ir Liuksemburgas: 4.</w:t>
      </w:r>
    </w:p>
  </w:footnote>
  <w:footnote w:id="22">
    <w:p>
      <w:pPr>
        <w:pStyle w:val="FootnoteText"/>
        <w:ind w:left="198" w:hanging="198"/>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ab/>
        <w:t xml:space="preserve">Gaires galima rasti tinklalapyje </w:t>
      </w:r>
      <w:hyperlink r:id="rId3" w:history="1">
        <w:r>
          <w:rPr>
            <w:rStyle w:val="Hyperlink"/>
            <w:rFonts w:ascii="Times New Roman" w:hAnsi="Times New Roman"/>
            <w:sz w:val="18"/>
            <w:szCs w:val="18"/>
          </w:rPr>
          <w:t>https://www.eota.eu/ckfinder/userfiles/files/CPR%20Guidelines%20for%20the%20evaluation%20of%20TABs.pdf</w:t>
        </w:r>
      </w:hyperlink>
      <w:r>
        <w:rPr>
          <w:rFonts w:ascii="Times New Roman" w:hAnsi="Times New Roman"/>
          <w:sz w:val="18"/>
          <w:szCs w:val="18"/>
        </w:rPr>
        <w:t>.</w:t>
      </w:r>
    </w:p>
  </w:footnote>
  <w:footnote w:id="23">
    <w:p>
      <w:pPr>
        <w:pStyle w:val="FootnoteText"/>
        <w:ind w:left="198" w:hanging="198"/>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ab/>
        <w:t xml:space="preserve">Komisijos ataskaita Europos Parlamentui ir Tarybai dėl 2011 m. kovo 9 d. Europos Parlamento ir Tarybos reglamento (ES) Nr. 305/2011, kuriuo nustatomos suderintos statybos produktų rinkodaros sąlygos ir panaikinama Tarybos direktyva 89/106/EEB, įgyvendinimo, COM(2016) 0445 </w:t>
      </w:r>
      <w:r>
        <w:rPr>
          <w:i/>
        </w:rPr>
        <w:t>final</w:t>
      </w:r>
      <w:r>
        <w:rPr>
          <w:rFonts w:ascii="Times New Roman" w:hAnsi="Times New Roman"/>
          <w:sz w:val="18"/>
          <w:szCs w:val="18"/>
        </w:rPr>
        <w:t>, 2016 7 7.</w:t>
      </w:r>
    </w:p>
  </w:footnote>
  <w:footnote w:id="24">
    <w:p>
      <w:pPr>
        <w:pStyle w:val="FootnoteText"/>
        <w:ind w:left="198" w:hanging="198"/>
        <w:jc w:val="both"/>
        <w:rPr>
          <w:i/>
        </w:rPr>
      </w:pPr>
      <w:r>
        <w:rPr>
          <w:rStyle w:val="FootnoteReference"/>
          <w:rFonts w:ascii="Times New Roman" w:hAnsi="Times New Roman"/>
          <w:sz w:val="18"/>
          <w:szCs w:val="18"/>
        </w:rPr>
        <w:footnoteRef/>
      </w:r>
      <w:r>
        <w:rPr>
          <w:rFonts w:ascii="Times New Roman" w:hAnsi="Times New Roman"/>
          <w:sz w:val="18"/>
          <w:szCs w:val="18"/>
        </w:rPr>
        <w:tab/>
        <w:t>Komisijos įgyvendinimo reglamentas (ES) Nr. 1062/2013, OL L 289, 2013 10 31, p. 42–43; šis teisės aktas priimtas remiantis SPR 26 straipsnio 3 dalimi.</w:t>
      </w:r>
    </w:p>
  </w:footnote>
  <w:footnote w:id="25">
    <w:p>
      <w:pPr>
        <w:pStyle w:val="FootnoteText"/>
        <w:ind w:left="198" w:hanging="198"/>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ab/>
        <w:t>ETA – Danija.</w:t>
      </w:r>
    </w:p>
  </w:footnote>
  <w:footnote w:id="26">
    <w:p>
      <w:pPr>
        <w:pStyle w:val="FootnoteText"/>
        <w:ind w:left="198" w:hanging="198"/>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ab/>
        <w:t>Rekomendacijos Nr. 001, 004, 026, 005, 015, 029, kaip suteikti Europos techninį liudijimą.</w:t>
      </w:r>
    </w:p>
  </w:footnote>
  <w:footnote w:id="27">
    <w:p>
      <w:pPr>
        <w:pStyle w:val="FootnoteText"/>
        <w:ind w:left="198" w:hanging="198"/>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ab/>
        <w:t>Žr. tyrimą, 44 p.</w:t>
      </w:r>
    </w:p>
  </w:footnote>
  <w:footnote w:id="28">
    <w:p>
      <w:pPr>
        <w:pStyle w:val="FootnoteText"/>
        <w:ind w:left="198" w:hanging="198"/>
        <w:jc w:val="both"/>
      </w:pPr>
      <w:r>
        <w:rPr>
          <w:rStyle w:val="FootnoteReference"/>
          <w:rFonts w:ascii="Times New Roman" w:hAnsi="Times New Roman"/>
          <w:sz w:val="18"/>
          <w:szCs w:val="18"/>
        </w:rPr>
        <w:footnoteRef/>
      </w:r>
      <w:r>
        <w:rPr>
          <w:rFonts w:ascii="Times New Roman" w:hAnsi="Times New Roman"/>
          <w:sz w:val="18"/>
          <w:szCs w:val="18"/>
        </w:rPr>
        <w:tab/>
        <w:t>NANDO yra informacinė sistema „Naujojo požiūrio paskelbtos ir paskirtos organizacijos“, veikianti kaip interneto svetainė, kurioje gamintojai gali atlikti paiešką siekiant rasti notifikuotąją įstaigą savo produktams. NANDO taip pat yra naudojama EOTA tikslais, t. y. joje pateikiamas EVD, kurių nuorodos yra paskelbtos Oficialiajame leidinyje, sąrašas ir valstybių narių paskirtų TVĮ sąrašas.</w:t>
      </w:r>
    </w:p>
  </w:footnote>
  <w:footnote w:id="29">
    <w:p>
      <w:pPr>
        <w:pStyle w:val="FootnoteText"/>
        <w:ind w:left="198" w:hanging="198"/>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ab/>
        <w:t>Žr. tyrimą, 82 psl.</w:t>
      </w:r>
    </w:p>
  </w:footnote>
  <w:footnote w:id="30">
    <w:p>
      <w:pPr>
        <w:pStyle w:val="FootnoteText"/>
        <w:ind w:left="198" w:hanging="198"/>
        <w:jc w:val="both"/>
      </w:pPr>
      <w:r>
        <w:rPr>
          <w:rStyle w:val="FootnoteReference"/>
          <w:rFonts w:ascii="Times New Roman" w:hAnsi="Times New Roman"/>
          <w:sz w:val="18"/>
          <w:szCs w:val="18"/>
        </w:rPr>
        <w:footnoteRef/>
      </w:r>
      <w:r>
        <w:rPr>
          <w:rFonts w:ascii="Times New Roman" w:hAnsi="Times New Roman"/>
          <w:sz w:val="18"/>
          <w:szCs w:val="18"/>
        </w:rPr>
        <w:tab/>
        <w:t xml:space="preserve">Šaltinis: EK finansinio skaidrumo sistema </w:t>
      </w:r>
      <w:hyperlink r:id="rId4" w:history="1">
        <w:r>
          <w:rPr>
            <w:rStyle w:val="Hyperlink"/>
            <w:rFonts w:ascii="Times New Roman" w:hAnsi="Times New Roman"/>
            <w:sz w:val="18"/>
            <w:szCs w:val="18"/>
          </w:rPr>
          <w:t>http://ec.europa.eu/budget/fts/index_en.htm</w:t>
        </w:r>
      </w:hyperlink>
      <w:r>
        <w:rPr>
          <w:rFonts w:ascii="Times New Roman" w:hAnsi="Times New Roman"/>
          <w:sz w:val="18"/>
          <w:szCs w:val="18"/>
        </w:rPr>
        <w:t>.</w:t>
      </w:r>
    </w:p>
  </w:footnote>
  <w:footnote w:id="31">
    <w:p>
      <w:pPr>
        <w:pStyle w:val="FootnoteText"/>
        <w:ind w:left="198" w:hanging="198"/>
        <w:rPr>
          <w:rFonts w:ascii="Times New Roman" w:hAnsi="Times New Roman"/>
          <w:sz w:val="18"/>
          <w:szCs w:val="18"/>
        </w:rPr>
      </w:pPr>
      <w:r>
        <w:rPr>
          <w:rStyle w:val="FootnoteReference"/>
          <w:rFonts w:ascii="Times New Roman" w:hAnsi="Times New Roman"/>
          <w:sz w:val="18"/>
          <w:szCs w:val="18"/>
        </w:rPr>
        <w:footnoteRef/>
      </w:r>
      <w:r>
        <w:t xml:space="preserve"> </w:t>
      </w:r>
      <w:r>
        <w:rPr>
          <w:rFonts w:ascii="Times New Roman" w:hAnsi="Times New Roman"/>
          <w:sz w:val="18"/>
          <w:szCs w:val="18"/>
        </w:rPr>
        <w:t>Kiti du respondentai nenurodė masto.</w:t>
      </w:r>
    </w:p>
  </w:footnote>
  <w:footnote w:id="32">
    <w:p>
      <w:pPr>
        <w:pStyle w:val="FootnoteText"/>
        <w:ind w:left="198" w:hanging="198"/>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ab/>
        <w:t>Mažiausia išlaidų suma apskaičiuota remiantis devynių įmonių, kurios pateikė prekybos produktais apyvartos duomenis ir kurių apyvarta yra didžiausia tarp 45 apklaustų įmonių, imtimi.</w:t>
      </w:r>
    </w:p>
  </w:footnote>
  <w:footnote w:id="33">
    <w:p>
      <w:pPr>
        <w:pStyle w:val="FootnoteText"/>
        <w:ind w:left="198" w:hanging="198"/>
        <w:jc w:val="both"/>
      </w:pPr>
      <w:r>
        <w:rPr>
          <w:rStyle w:val="FootnoteReference"/>
          <w:rFonts w:ascii="Times New Roman" w:hAnsi="Times New Roman"/>
          <w:sz w:val="18"/>
          <w:szCs w:val="18"/>
        </w:rPr>
        <w:footnoteRef/>
      </w:r>
      <w:r>
        <w:rPr>
          <w:rFonts w:ascii="Times New Roman" w:hAnsi="Times New Roman"/>
          <w:sz w:val="18"/>
          <w:szCs w:val="18"/>
        </w:rPr>
        <w:tab/>
        <w:t>Kitos išlaidos yra pirmais metais atlikto vidinio gamybos audito išlaidos (vidutiniškai 11 233 EUR) ir žmogiškųjų išteklių sąnaudos (4 822–6 944 EUR).</w:t>
      </w:r>
    </w:p>
  </w:footnote>
  <w:footnote w:id="34">
    <w:p>
      <w:pPr>
        <w:pStyle w:val="FootnoteText"/>
        <w:ind w:left="198" w:hanging="198"/>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ab/>
        <w:t>Žr. tyrimą, 58 p.</w:t>
      </w:r>
    </w:p>
  </w:footnote>
  <w:footnote w:id="35">
    <w:p>
      <w:pPr>
        <w:pStyle w:val="FootnoteText"/>
        <w:ind w:left="198" w:hanging="198"/>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ab/>
        <w:t>Pavyzdžiui, Rekomendacija Nr. 001, kaip suteikti Europos techninį liudijimą, yra naudojama kaip techninių specifikacijų pagrindas Australijoje, Naujojoje Zelandijoje, Jungtinėse Amerikos Valstijose ir Kanadoje.</w:t>
      </w:r>
    </w:p>
  </w:footnote>
  <w:footnote w:id="36">
    <w:p>
      <w:pPr>
        <w:pStyle w:val="FootnoteText"/>
        <w:ind w:left="198" w:hanging="198"/>
        <w:jc w:val="both"/>
      </w:pPr>
      <w:r>
        <w:rPr>
          <w:rStyle w:val="FootnoteReference"/>
          <w:rFonts w:ascii="Times New Roman" w:hAnsi="Times New Roman"/>
          <w:sz w:val="18"/>
          <w:szCs w:val="18"/>
        </w:rPr>
        <w:footnoteRef/>
      </w:r>
      <w:r>
        <w:rPr>
          <w:rFonts w:ascii="Times New Roman" w:hAnsi="Times New Roman"/>
          <w:sz w:val="18"/>
          <w:szCs w:val="18"/>
        </w:rPr>
        <w:tab/>
        <w:t>EOTA nėra pateikusi pastabų dėl savo užduočių nevykdančios TVĮ, tačiau nėra jokių įrodymų, kad ji turėtų tai padaryti.</w:t>
      </w:r>
    </w:p>
  </w:footnote>
  <w:footnote w:id="37">
    <w:p>
      <w:pPr>
        <w:pStyle w:val="FootnoteText"/>
        <w:ind w:left="198" w:hanging="198"/>
        <w:jc w:val="both"/>
        <w:rPr>
          <w:rFonts w:ascii="Times New Roman" w:hAnsi="Times New Roman"/>
          <w:sz w:val="18"/>
          <w:szCs w:val="18"/>
        </w:rPr>
      </w:pPr>
      <w:r>
        <w:rPr>
          <w:rStyle w:val="FootnoteReference"/>
          <w:rFonts w:ascii="Times New Roman" w:hAnsi="Times New Roman"/>
          <w:sz w:val="18"/>
          <w:szCs w:val="18"/>
        </w:rPr>
        <w:footnoteRef/>
      </w:r>
      <w:r>
        <w:rPr>
          <w:rStyle w:val="FootnoteReference"/>
          <w:rFonts w:ascii="Times New Roman" w:hAnsi="Times New Roman"/>
          <w:sz w:val="18"/>
          <w:szCs w:val="18"/>
        </w:rPr>
        <w:t xml:space="preserve"> </w:t>
      </w:r>
      <w:r>
        <w:rPr>
          <w:rFonts w:ascii="Times New Roman" w:hAnsi="Times New Roman"/>
          <w:sz w:val="18"/>
          <w:szCs w:val="18"/>
        </w:rPr>
        <w:t>2011 m. kovo 9 d. Europos Parlamento ir Tarybos reglamento (ES) Nr. 305/2011, kuriuo nustatomos suderintos statybos produktų rinkodaros sąlygos ir panaikinama Tarybos direktyva 89/106/EEB, vertinimas, SWD(2019) 1770.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83C8E"/>
    <w:multiLevelType w:val="hybridMultilevel"/>
    <w:tmpl w:val="82C8B9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E07454"/>
    <w:multiLevelType w:val="hybridMultilevel"/>
    <w:tmpl w:val="FDE0281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FA464C"/>
    <w:multiLevelType w:val="hybridMultilevel"/>
    <w:tmpl w:val="97783FA4"/>
    <w:lvl w:ilvl="0" w:tplc="D7440E0E">
      <w:numFmt w:val="decimal"/>
      <w:lvlText w:val="%1"/>
      <w:lvlJc w:val="left"/>
      <w:pPr>
        <w:ind w:left="252" w:hanging="360"/>
      </w:pPr>
      <w:rPr>
        <w:rFonts w:hint="default"/>
      </w:rPr>
    </w:lvl>
    <w:lvl w:ilvl="1" w:tplc="18090019" w:tentative="1">
      <w:start w:val="1"/>
      <w:numFmt w:val="lowerLetter"/>
      <w:lvlText w:val="%2."/>
      <w:lvlJc w:val="left"/>
      <w:pPr>
        <w:ind w:left="972" w:hanging="360"/>
      </w:pPr>
    </w:lvl>
    <w:lvl w:ilvl="2" w:tplc="1809001B" w:tentative="1">
      <w:start w:val="1"/>
      <w:numFmt w:val="lowerRoman"/>
      <w:lvlText w:val="%3."/>
      <w:lvlJc w:val="right"/>
      <w:pPr>
        <w:ind w:left="1692" w:hanging="180"/>
      </w:pPr>
    </w:lvl>
    <w:lvl w:ilvl="3" w:tplc="1809000F" w:tentative="1">
      <w:start w:val="1"/>
      <w:numFmt w:val="decimal"/>
      <w:lvlText w:val="%4."/>
      <w:lvlJc w:val="left"/>
      <w:pPr>
        <w:ind w:left="2412" w:hanging="360"/>
      </w:pPr>
    </w:lvl>
    <w:lvl w:ilvl="4" w:tplc="18090019" w:tentative="1">
      <w:start w:val="1"/>
      <w:numFmt w:val="lowerLetter"/>
      <w:lvlText w:val="%5."/>
      <w:lvlJc w:val="left"/>
      <w:pPr>
        <w:ind w:left="3132" w:hanging="360"/>
      </w:pPr>
    </w:lvl>
    <w:lvl w:ilvl="5" w:tplc="1809001B" w:tentative="1">
      <w:start w:val="1"/>
      <w:numFmt w:val="lowerRoman"/>
      <w:lvlText w:val="%6."/>
      <w:lvlJc w:val="right"/>
      <w:pPr>
        <w:ind w:left="3852" w:hanging="180"/>
      </w:pPr>
    </w:lvl>
    <w:lvl w:ilvl="6" w:tplc="1809000F" w:tentative="1">
      <w:start w:val="1"/>
      <w:numFmt w:val="decimal"/>
      <w:lvlText w:val="%7."/>
      <w:lvlJc w:val="left"/>
      <w:pPr>
        <w:ind w:left="4572" w:hanging="360"/>
      </w:pPr>
    </w:lvl>
    <w:lvl w:ilvl="7" w:tplc="18090019" w:tentative="1">
      <w:start w:val="1"/>
      <w:numFmt w:val="lowerLetter"/>
      <w:lvlText w:val="%8."/>
      <w:lvlJc w:val="left"/>
      <w:pPr>
        <w:ind w:left="5292" w:hanging="360"/>
      </w:pPr>
    </w:lvl>
    <w:lvl w:ilvl="8" w:tplc="1809001B" w:tentative="1">
      <w:start w:val="1"/>
      <w:numFmt w:val="lowerRoman"/>
      <w:lvlText w:val="%9."/>
      <w:lvlJc w:val="right"/>
      <w:pPr>
        <w:ind w:left="6012" w:hanging="180"/>
      </w:pPr>
    </w:lvl>
  </w:abstractNum>
  <w:abstractNum w:abstractNumId="3">
    <w:nsid w:val="0481073D"/>
    <w:multiLevelType w:val="hybridMultilevel"/>
    <w:tmpl w:val="C1CC2CB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DC0258E"/>
    <w:multiLevelType w:val="hybridMultilevel"/>
    <w:tmpl w:val="B9403E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0E9670E"/>
    <w:multiLevelType w:val="hybridMultilevel"/>
    <w:tmpl w:val="0B5406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11E76F8E"/>
    <w:multiLevelType w:val="hybridMultilevel"/>
    <w:tmpl w:val="C74E70B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15D11E81"/>
    <w:multiLevelType w:val="hybridMultilevel"/>
    <w:tmpl w:val="C1CC2CB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8EE103C"/>
    <w:multiLevelType w:val="hybridMultilevel"/>
    <w:tmpl w:val="22E63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E155096"/>
    <w:multiLevelType w:val="hybridMultilevel"/>
    <w:tmpl w:val="B11AC5C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20F04139"/>
    <w:multiLevelType w:val="hybridMultilevel"/>
    <w:tmpl w:val="D96C9BE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3023415"/>
    <w:multiLevelType w:val="hybridMultilevel"/>
    <w:tmpl w:val="810E68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2C516072"/>
    <w:multiLevelType w:val="hybridMultilevel"/>
    <w:tmpl w:val="6C5C9AC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F1E5CED"/>
    <w:multiLevelType w:val="hybridMultilevel"/>
    <w:tmpl w:val="792053F2"/>
    <w:lvl w:ilvl="0" w:tplc="A87641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27570A3"/>
    <w:multiLevelType w:val="hybridMultilevel"/>
    <w:tmpl w:val="DF6CDB78"/>
    <w:lvl w:ilvl="0" w:tplc="BB1A4D40">
      <w:numFmt w:val="decimal"/>
      <w:lvlText w:val="%1-"/>
      <w:lvlJc w:val="left"/>
      <w:pPr>
        <w:ind w:left="252" w:hanging="360"/>
      </w:pPr>
      <w:rPr>
        <w:rFonts w:hint="default"/>
      </w:rPr>
    </w:lvl>
    <w:lvl w:ilvl="1" w:tplc="18090019" w:tentative="1">
      <w:start w:val="1"/>
      <w:numFmt w:val="lowerLetter"/>
      <w:lvlText w:val="%2."/>
      <w:lvlJc w:val="left"/>
      <w:pPr>
        <w:ind w:left="972" w:hanging="360"/>
      </w:pPr>
    </w:lvl>
    <w:lvl w:ilvl="2" w:tplc="1809001B" w:tentative="1">
      <w:start w:val="1"/>
      <w:numFmt w:val="lowerRoman"/>
      <w:lvlText w:val="%3."/>
      <w:lvlJc w:val="right"/>
      <w:pPr>
        <w:ind w:left="1692" w:hanging="180"/>
      </w:pPr>
    </w:lvl>
    <w:lvl w:ilvl="3" w:tplc="1809000F" w:tentative="1">
      <w:start w:val="1"/>
      <w:numFmt w:val="decimal"/>
      <w:lvlText w:val="%4."/>
      <w:lvlJc w:val="left"/>
      <w:pPr>
        <w:ind w:left="2412" w:hanging="360"/>
      </w:pPr>
    </w:lvl>
    <w:lvl w:ilvl="4" w:tplc="18090019" w:tentative="1">
      <w:start w:val="1"/>
      <w:numFmt w:val="lowerLetter"/>
      <w:lvlText w:val="%5."/>
      <w:lvlJc w:val="left"/>
      <w:pPr>
        <w:ind w:left="3132" w:hanging="360"/>
      </w:pPr>
    </w:lvl>
    <w:lvl w:ilvl="5" w:tplc="1809001B" w:tentative="1">
      <w:start w:val="1"/>
      <w:numFmt w:val="lowerRoman"/>
      <w:lvlText w:val="%6."/>
      <w:lvlJc w:val="right"/>
      <w:pPr>
        <w:ind w:left="3852" w:hanging="180"/>
      </w:pPr>
    </w:lvl>
    <w:lvl w:ilvl="6" w:tplc="1809000F" w:tentative="1">
      <w:start w:val="1"/>
      <w:numFmt w:val="decimal"/>
      <w:lvlText w:val="%7."/>
      <w:lvlJc w:val="left"/>
      <w:pPr>
        <w:ind w:left="4572" w:hanging="360"/>
      </w:pPr>
    </w:lvl>
    <w:lvl w:ilvl="7" w:tplc="18090019" w:tentative="1">
      <w:start w:val="1"/>
      <w:numFmt w:val="lowerLetter"/>
      <w:lvlText w:val="%8."/>
      <w:lvlJc w:val="left"/>
      <w:pPr>
        <w:ind w:left="5292" w:hanging="360"/>
      </w:pPr>
    </w:lvl>
    <w:lvl w:ilvl="8" w:tplc="1809001B" w:tentative="1">
      <w:start w:val="1"/>
      <w:numFmt w:val="lowerRoman"/>
      <w:lvlText w:val="%9."/>
      <w:lvlJc w:val="right"/>
      <w:pPr>
        <w:ind w:left="6012" w:hanging="180"/>
      </w:pPr>
    </w:lvl>
  </w:abstractNum>
  <w:abstractNum w:abstractNumId="15">
    <w:nsid w:val="33063607"/>
    <w:multiLevelType w:val="hybridMultilevel"/>
    <w:tmpl w:val="75A82A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34DC236F"/>
    <w:multiLevelType w:val="hybridMultilevel"/>
    <w:tmpl w:val="385ECDE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382A5F09"/>
    <w:multiLevelType w:val="hybridMultilevel"/>
    <w:tmpl w:val="3F808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8B54601"/>
    <w:multiLevelType w:val="hybridMultilevel"/>
    <w:tmpl w:val="B46651CC"/>
    <w:lvl w:ilvl="0" w:tplc="18090001">
      <w:start w:val="1"/>
      <w:numFmt w:val="bullet"/>
      <w:lvlText w:val=""/>
      <w:lvlJc w:val="left"/>
      <w:pPr>
        <w:ind w:left="783" w:hanging="360"/>
      </w:pPr>
      <w:rPr>
        <w:rFonts w:ascii="Symbol" w:hAnsi="Symbol" w:hint="default"/>
      </w:rPr>
    </w:lvl>
    <w:lvl w:ilvl="1" w:tplc="18090003" w:tentative="1">
      <w:start w:val="1"/>
      <w:numFmt w:val="bullet"/>
      <w:lvlText w:val="o"/>
      <w:lvlJc w:val="left"/>
      <w:pPr>
        <w:ind w:left="1503" w:hanging="360"/>
      </w:pPr>
      <w:rPr>
        <w:rFonts w:ascii="Courier New" w:hAnsi="Courier New" w:cs="Courier New" w:hint="default"/>
      </w:rPr>
    </w:lvl>
    <w:lvl w:ilvl="2" w:tplc="18090005" w:tentative="1">
      <w:start w:val="1"/>
      <w:numFmt w:val="bullet"/>
      <w:lvlText w:val=""/>
      <w:lvlJc w:val="left"/>
      <w:pPr>
        <w:ind w:left="2223" w:hanging="360"/>
      </w:pPr>
      <w:rPr>
        <w:rFonts w:ascii="Wingdings" w:hAnsi="Wingdings" w:hint="default"/>
      </w:rPr>
    </w:lvl>
    <w:lvl w:ilvl="3" w:tplc="18090001" w:tentative="1">
      <w:start w:val="1"/>
      <w:numFmt w:val="bullet"/>
      <w:lvlText w:val=""/>
      <w:lvlJc w:val="left"/>
      <w:pPr>
        <w:ind w:left="2943" w:hanging="360"/>
      </w:pPr>
      <w:rPr>
        <w:rFonts w:ascii="Symbol" w:hAnsi="Symbol" w:hint="default"/>
      </w:rPr>
    </w:lvl>
    <w:lvl w:ilvl="4" w:tplc="18090003" w:tentative="1">
      <w:start w:val="1"/>
      <w:numFmt w:val="bullet"/>
      <w:lvlText w:val="o"/>
      <w:lvlJc w:val="left"/>
      <w:pPr>
        <w:ind w:left="3663" w:hanging="360"/>
      </w:pPr>
      <w:rPr>
        <w:rFonts w:ascii="Courier New" w:hAnsi="Courier New" w:cs="Courier New" w:hint="default"/>
      </w:rPr>
    </w:lvl>
    <w:lvl w:ilvl="5" w:tplc="18090005" w:tentative="1">
      <w:start w:val="1"/>
      <w:numFmt w:val="bullet"/>
      <w:lvlText w:val=""/>
      <w:lvlJc w:val="left"/>
      <w:pPr>
        <w:ind w:left="4383" w:hanging="360"/>
      </w:pPr>
      <w:rPr>
        <w:rFonts w:ascii="Wingdings" w:hAnsi="Wingdings" w:hint="default"/>
      </w:rPr>
    </w:lvl>
    <w:lvl w:ilvl="6" w:tplc="18090001" w:tentative="1">
      <w:start w:val="1"/>
      <w:numFmt w:val="bullet"/>
      <w:lvlText w:val=""/>
      <w:lvlJc w:val="left"/>
      <w:pPr>
        <w:ind w:left="5103" w:hanging="360"/>
      </w:pPr>
      <w:rPr>
        <w:rFonts w:ascii="Symbol" w:hAnsi="Symbol" w:hint="default"/>
      </w:rPr>
    </w:lvl>
    <w:lvl w:ilvl="7" w:tplc="18090003" w:tentative="1">
      <w:start w:val="1"/>
      <w:numFmt w:val="bullet"/>
      <w:lvlText w:val="o"/>
      <w:lvlJc w:val="left"/>
      <w:pPr>
        <w:ind w:left="5823" w:hanging="360"/>
      </w:pPr>
      <w:rPr>
        <w:rFonts w:ascii="Courier New" w:hAnsi="Courier New" w:cs="Courier New" w:hint="default"/>
      </w:rPr>
    </w:lvl>
    <w:lvl w:ilvl="8" w:tplc="18090005" w:tentative="1">
      <w:start w:val="1"/>
      <w:numFmt w:val="bullet"/>
      <w:lvlText w:val=""/>
      <w:lvlJc w:val="left"/>
      <w:pPr>
        <w:ind w:left="6543" w:hanging="360"/>
      </w:pPr>
      <w:rPr>
        <w:rFonts w:ascii="Wingdings" w:hAnsi="Wingdings" w:hint="default"/>
      </w:rPr>
    </w:lvl>
  </w:abstractNum>
  <w:abstractNum w:abstractNumId="19">
    <w:nsid w:val="424231C9"/>
    <w:multiLevelType w:val="hybridMultilevel"/>
    <w:tmpl w:val="730053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4FD42D97"/>
    <w:multiLevelType w:val="hybridMultilevel"/>
    <w:tmpl w:val="50F42B10"/>
    <w:lvl w:ilvl="0" w:tplc="18090001">
      <w:start w:val="1"/>
      <w:numFmt w:val="bullet"/>
      <w:lvlText w:val=""/>
      <w:lvlJc w:val="left"/>
      <w:pPr>
        <w:ind w:left="1004" w:hanging="360"/>
      </w:pPr>
      <w:rPr>
        <w:rFonts w:ascii="Symbol" w:hAnsi="Symbol" w:hint="default"/>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21">
    <w:nsid w:val="53EE2A18"/>
    <w:multiLevelType w:val="hybridMultilevel"/>
    <w:tmpl w:val="1FDCC6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57970BD9"/>
    <w:multiLevelType w:val="hybridMultilevel"/>
    <w:tmpl w:val="7B9A66D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nsid w:val="59C8191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ED97B29"/>
    <w:multiLevelType w:val="hybridMultilevel"/>
    <w:tmpl w:val="2D98AA4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615D0724"/>
    <w:multiLevelType w:val="hybridMultilevel"/>
    <w:tmpl w:val="3FA642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nsid w:val="67CB2278"/>
    <w:multiLevelType w:val="hybridMultilevel"/>
    <w:tmpl w:val="13D89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A2972D9"/>
    <w:multiLevelType w:val="hybridMultilevel"/>
    <w:tmpl w:val="59268524"/>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28">
    <w:nsid w:val="6C000046"/>
    <w:multiLevelType w:val="hybridMultilevel"/>
    <w:tmpl w:val="690EC4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nsid w:val="6DAB7E9F"/>
    <w:multiLevelType w:val="hybridMultilevel"/>
    <w:tmpl w:val="9CFAA164"/>
    <w:lvl w:ilvl="0" w:tplc="39B2C198">
      <w:start w:val="66"/>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E603A7C"/>
    <w:multiLevelType w:val="hybridMultilevel"/>
    <w:tmpl w:val="E8EA1AA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nsid w:val="72CE1F32"/>
    <w:multiLevelType w:val="hybridMultilevel"/>
    <w:tmpl w:val="CCE4E5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nsid w:val="7A125B92"/>
    <w:multiLevelType w:val="hybridMultilevel"/>
    <w:tmpl w:val="6E2AD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C1466A8"/>
    <w:multiLevelType w:val="hybridMultilevel"/>
    <w:tmpl w:val="F8FC8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E2D698C"/>
    <w:multiLevelType w:val="hybridMultilevel"/>
    <w:tmpl w:val="14A67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21"/>
  </w:num>
  <w:num w:numId="4">
    <w:abstractNumId w:val="9"/>
  </w:num>
  <w:num w:numId="5">
    <w:abstractNumId w:val="24"/>
  </w:num>
  <w:num w:numId="6">
    <w:abstractNumId w:val="31"/>
  </w:num>
  <w:num w:numId="7">
    <w:abstractNumId w:val="30"/>
  </w:num>
  <w:num w:numId="8">
    <w:abstractNumId w:val="10"/>
  </w:num>
  <w:num w:numId="9">
    <w:abstractNumId w:val="4"/>
  </w:num>
  <w:num w:numId="10">
    <w:abstractNumId w:val="13"/>
  </w:num>
  <w:num w:numId="11">
    <w:abstractNumId w:val="7"/>
  </w:num>
  <w:num w:numId="12">
    <w:abstractNumId w:val="0"/>
  </w:num>
  <w:num w:numId="13">
    <w:abstractNumId w:val="3"/>
  </w:num>
  <w:num w:numId="14">
    <w:abstractNumId w:val="17"/>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num>
  <w:num w:numId="17">
    <w:abstractNumId w:val="14"/>
  </w:num>
  <w:num w:numId="18">
    <w:abstractNumId w:val="2"/>
  </w:num>
  <w:num w:numId="19">
    <w:abstractNumId w:val="20"/>
  </w:num>
  <w:num w:numId="20">
    <w:abstractNumId w:val="11"/>
  </w:num>
  <w:num w:numId="21">
    <w:abstractNumId w:val="19"/>
  </w:num>
  <w:num w:numId="22">
    <w:abstractNumId w:val="22"/>
  </w:num>
  <w:num w:numId="23">
    <w:abstractNumId w:val="5"/>
  </w:num>
  <w:num w:numId="24">
    <w:abstractNumId w:val="28"/>
  </w:num>
  <w:num w:numId="25">
    <w:abstractNumId w:val="25"/>
  </w:num>
  <w:num w:numId="26">
    <w:abstractNumId w:val="15"/>
  </w:num>
  <w:num w:numId="27">
    <w:abstractNumId w:val="18"/>
  </w:num>
  <w:num w:numId="28">
    <w:abstractNumId w:val="29"/>
  </w:num>
  <w:num w:numId="29">
    <w:abstractNumId w:val="27"/>
  </w:num>
  <w:num w:numId="30">
    <w:abstractNumId w:val="8"/>
  </w:num>
  <w:num w:numId="31">
    <w:abstractNumId w:val="26"/>
  </w:num>
  <w:num w:numId="32">
    <w:abstractNumId w:val="32"/>
  </w:num>
  <w:num w:numId="33">
    <w:abstractNumId w:val="34"/>
  </w:num>
  <w:num w:numId="34">
    <w:abstractNumId w:val="12"/>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AU" w:vendorID="64" w:dllVersion="131078" w:nlCheck="1" w:checkStyle="1"/>
  <w:activeWritingStyle w:appName="MSWord" w:lang="en-IE" w:vendorID="64" w:dllVersion="131078" w:nlCheck="1" w:checkStyle="1"/>
  <w:revisionView w:markup="0"/>
  <w:doNotTrackMoves/>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DocStatus" w:val="Green"/>
    <w:docVar w:name="LW_CORRIGENDUM" w:val="&lt;UNUSED&gt;"/>
    <w:docVar w:name="LW_COVERPAGE_EXISTS" w:val="True"/>
    <w:docVar w:name="LW_COVERPAGE_GUID" w:val="B43D8922-D818-4951-8C21-F7558C847A05"/>
    <w:docVar w:name="LW_COVERPAGE_TYPE" w:val="1"/>
    <w:docVar w:name="LW_CROSSREFERENCE" w:val="&lt;UNUSED&gt;"/>
    <w:docVar w:name="LW_DocType" w:val="NORMAL"/>
    <w:docVar w:name="LW_EMISSION" w:val="2019 10 24"/>
    <w:docVar w:name="LW_EMISSION_ISODATE" w:val="2019-10-24"/>
    <w:docVar w:name="LW_EMISSION_LOCATION" w:val="BRX"/>
    <w:docVar w:name="LW_EMISSION_PREFIX" w:val="Briuselis, "/>
    <w:docVar w:name="LW_EMISSION_SUFFIX" w:val=" "/>
    <w:docVar w:name="LW_ID_DOCTYPE_NONLW" w:val="CP-006"/>
    <w:docVar w:name="LW_LANGUE" w:val="LT"/>
    <w:docVar w:name="LW_LEVEL_OF_SENSITIVITY" w:val="Standard treatment"/>
    <w:docVar w:name="LW_NOM.INST" w:val="EUROPOS KOMISIJA"/>
    <w:docVar w:name="LW_NOM.INST_JOINTDOC" w:val="&lt;EMPTY&gt;"/>
    <w:docVar w:name="LW_PART_NBR" w:val="1"/>
    <w:docVar w:name="LW_PART_NBR_TOTAL" w:val="1"/>
    <w:docVar w:name="LW_REF.INST.NEW" w:val="COM"/>
    <w:docVar w:name="LW_REF.INST.NEW_ADOPTED" w:val="final"/>
    <w:docVar w:name="LW_REF.INST.NEW_TEXT" w:val="(2019) 80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d\u279?l 31 straipsnio 4 dalyje nustatyt\u371? u\u382?duo\u269?i\u371?, kurioms teikiamas ES finansavimas pagal 2011 m. kovo 9 d. Europos Parlamento ir Tarybos reglamento (ES) Nr. 305/2011, kuriuo nustatomos suderintos statybos produkt\u371? rinkodaros s\u261?lygos ir panaikinama Tarybos direktyva 89/106/EEB, 34 straipsnio 2 dal\u303?, aktualumo vertinimo rezultato&lt;/FMT&gt;"/>
    <w:docVar w:name="LW_TYPE.DOC.CP" w:val="KOMISIJOS ATASKAITA EUROPOS PARLAMENTUI IR TARYBAI"/>
    <w:docVar w:name="Stamp" w:val="\\dossiers.dgt.cec.eu.int\dossiers\GROW\GROW-2019-01916\GROW-2019-01916-00-00-EN-EDT-00.201908061128063098086.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FootnoteText">
    <w:name w:val="footnote text"/>
    <w:basedOn w:val="Normal"/>
    <w:uiPriority w:val="99"/>
    <w:unhideWhenUsed/>
    <w:pPr>
      <w:spacing w:after="0" w:line="240" w:lineRule="auto"/>
    </w:pPr>
    <w:rPr>
      <w:sz w:val="20"/>
      <w:szCs w:val="20"/>
    </w:rPr>
  </w:style>
  <w:style w:type="character" w:customStyle="1" w:styleId="FootnoteTextChar">
    <w:name w:val="Footnote Text Char"/>
    <w:uiPriority w:val="99"/>
    <w:rPr>
      <w:lang w:eastAsia="en-US"/>
    </w:rPr>
  </w:style>
  <w:style w:type="character" w:styleId="FootnoteReference">
    <w:name w:val="footnote reference"/>
    <w:aliases w:val="Footnote Reference Superscript,BVI fnr,Footnote symbol, BVI fnr,Footnote,Voetnootverwijzing,Footnote number,fr,o,Footnotemark,FR,Footnotemark1,Footnotemark2,FR1,Footnotemark3,FR2,Footnotemark4,FR3,Footnotemark5,FR4,Footnotemark6,FR5,F"/>
    <w:uiPriority w:val="99"/>
    <w:unhideWhenUsed/>
    <w:rPr>
      <w:vertAlign w:val="superscript"/>
    </w:rPr>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paragraph" w:customStyle="1" w:styleId="CM1">
    <w:name w:val="CM1"/>
    <w:basedOn w:val="Normal"/>
    <w:next w:val="Normal"/>
    <w:uiPriority w:val="99"/>
    <w:pPr>
      <w:autoSpaceDE w:val="0"/>
      <w:autoSpaceDN w:val="0"/>
      <w:adjustRightInd w:val="0"/>
      <w:spacing w:after="0" w:line="240" w:lineRule="auto"/>
    </w:pPr>
    <w:rPr>
      <w:rFonts w:ascii="EUAlbertina" w:eastAsia="Times New Roman" w:hAnsi="EUAlbertina"/>
      <w:sz w:val="24"/>
      <w:szCs w:val="24"/>
      <w:lang w:eastAsia="fr-FR"/>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en-US"/>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link w:val="EndnoteText"/>
    <w:uiPriority w:val="99"/>
    <w:semiHidden/>
    <w:rPr>
      <w:lang w:eastAsia="en-US"/>
    </w:rPr>
  </w:style>
  <w:style w:type="character" w:styleId="EndnoteReference">
    <w:name w:val="endnote reference"/>
    <w:uiPriority w:val="99"/>
    <w:semiHidden/>
    <w:unhideWhenUsed/>
    <w:rPr>
      <w:vertAlign w:val="superscript"/>
    </w:rPr>
  </w:style>
  <w:style w:type="character" w:customStyle="1" w:styleId="Heading1Char">
    <w:name w:val="Heading 1 Char"/>
    <w:link w:val="Heading1"/>
    <w:uiPriority w:val="9"/>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rPr>
      <w:rFonts w:ascii="Cambria" w:eastAsia="Times New Roman" w:hAnsi="Cambria" w:cs="Times New Roman"/>
      <w:b/>
      <w:bCs/>
      <w:i/>
      <w:iCs/>
      <w:sz w:val="28"/>
      <w:szCs w:val="28"/>
      <w:lang w:eastAsia="en-US"/>
    </w:rPr>
  </w:style>
  <w:style w:type="character" w:customStyle="1" w:styleId="Heading3Char">
    <w:name w:val="Heading 3 Char"/>
    <w:link w:val="Heading3"/>
    <w:uiPriority w:val="9"/>
    <w:rPr>
      <w:rFonts w:ascii="Cambria" w:eastAsia="Times New Roman" w:hAnsi="Cambria" w:cs="Times New Roman"/>
      <w:b/>
      <w:bCs/>
      <w:sz w:val="26"/>
      <w:szCs w:val="26"/>
      <w:lang w:eastAsia="en-US"/>
    </w:rPr>
  </w:style>
  <w:style w:type="paragraph" w:customStyle="1" w:styleId="CM4">
    <w:name w:val="CM4"/>
    <w:basedOn w:val="Normal"/>
    <w:next w:val="Normal"/>
    <w:uiPriority w:val="99"/>
    <w:pPr>
      <w:autoSpaceDE w:val="0"/>
      <w:autoSpaceDN w:val="0"/>
      <w:adjustRightInd w:val="0"/>
      <w:spacing w:after="0" w:line="240" w:lineRule="auto"/>
    </w:pPr>
    <w:rPr>
      <w:rFonts w:ascii="Times New Roman" w:hAnsi="Times New Roman"/>
      <w:sz w:val="24"/>
      <w:szCs w:val="24"/>
      <w:lang w:eastAsia="en-GB"/>
    </w:rPr>
  </w:style>
  <w:style w:type="paragraph" w:styleId="Caption">
    <w:name w:val="caption"/>
    <w:basedOn w:val="Normal"/>
    <w:next w:val="Normal"/>
    <w:uiPriority w:val="35"/>
    <w:unhideWhenUsed/>
    <w:qFormat/>
    <w:rPr>
      <w:b/>
      <w:bCs/>
      <w:sz w:val="20"/>
      <w:szCs w:val="20"/>
    </w:rPr>
  </w:style>
  <w:style w:type="paragraph" w:styleId="Revision">
    <w:name w:val="Revision"/>
    <w:hidden/>
    <w:uiPriority w:val="99"/>
    <w:semiHidden/>
    <w:rPr>
      <w:sz w:val="22"/>
      <w:szCs w:val="22"/>
      <w:lang w:eastAsia="en-US"/>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FooterSensitivityChar">
    <w:name w:val="Footer Sensitivity Char"/>
    <w:link w:val="FooterSensitivity"/>
    <w:rPr>
      <w:rFonts w:ascii="Times New Roman" w:hAnsi="Times New Roman"/>
      <w:b/>
      <w:sz w:val="32"/>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link w:val="HeaderSensitivity"/>
    <w:rPr>
      <w:rFonts w:ascii="Times New Roman" w:hAnsi="Times New Roman"/>
      <w:b/>
      <w:sz w:val="32"/>
      <w:szCs w:val="22"/>
      <w:lang w:eastAsia="en-US"/>
    </w:rPr>
  </w:style>
  <w:style w:type="paragraph" w:customStyle="1" w:styleId="SecurityMarking">
    <w:name w:val="SecurityMarking"/>
    <w:basedOn w:val="Normal"/>
    <w:pPr>
      <w:spacing w:after="0"/>
      <w:ind w:left="5103"/>
    </w:pPr>
    <w:rPr>
      <w:rFonts w:ascii="Times New Roman" w:eastAsiaTheme="minorHAnsi" w:hAnsi="Times New Roman"/>
      <w:sz w:val="28"/>
    </w:rPr>
  </w:style>
  <w:style w:type="paragraph" w:customStyle="1" w:styleId="DateMarking">
    <w:name w:val="DateMarking"/>
    <w:basedOn w:val="Normal"/>
    <w:pPr>
      <w:spacing w:after="0"/>
      <w:ind w:left="5103"/>
    </w:pPr>
    <w:rPr>
      <w:rFonts w:ascii="Times New Roman" w:eastAsiaTheme="minorHAnsi" w:hAnsi="Times New Roman"/>
      <w:i/>
      <w:sz w:val="28"/>
    </w:rPr>
  </w:style>
  <w:style w:type="paragraph" w:customStyle="1" w:styleId="ReleasableTo">
    <w:name w:val="ReleasableTo"/>
    <w:basedOn w:val="Normal"/>
    <w:pPr>
      <w:spacing w:after="0"/>
      <w:ind w:left="5103"/>
    </w:pPr>
    <w:rPr>
      <w:rFonts w:ascii="Times New Roman" w:eastAsiaTheme="minorHAnsi" w:hAnsi="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5967">
      <w:bodyDiv w:val="1"/>
      <w:marLeft w:val="0"/>
      <w:marRight w:val="0"/>
      <w:marTop w:val="0"/>
      <w:marBottom w:val="0"/>
      <w:divBdr>
        <w:top w:val="none" w:sz="0" w:space="0" w:color="auto"/>
        <w:left w:val="none" w:sz="0" w:space="0" w:color="auto"/>
        <w:bottom w:val="none" w:sz="0" w:space="0" w:color="auto"/>
        <w:right w:val="none" w:sz="0" w:space="0" w:color="auto"/>
      </w:divBdr>
    </w:div>
    <w:div w:id="31997771">
      <w:bodyDiv w:val="1"/>
      <w:marLeft w:val="0"/>
      <w:marRight w:val="0"/>
      <w:marTop w:val="0"/>
      <w:marBottom w:val="0"/>
      <w:divBdr>
        <w:top w:val="none" w:sz="0" w:space="0" w:color="auto"/>
        <w:left w:val="none" w:sz="0" w:space="0" w:color="auto"/>
        <w:bottom w:val="none" w:sz="0" w:space="0" w:color="auto"/>
        <w:right w:val="none" w:sz="0" w:space="0" w:color="auto"/>
      </w:divBdr>
    </w:div>
    <w:div w:id="77143634">
      <w:bodyDiv w:val="1"/>
      <w:marLeft w:val="0"/>
      <w:marRight w:val="0"/>
      <w:marTop w:val="0"/>
      <w:marBottom w:val="0"/>
      <w:divBdr>
        <w:top w:val="none" w:sz="0" w:space="0" w:color="auto"/>
        <w:left w:val="none" w:sz="0" w:space="0" w:color="auto"/>
        <w:bottom w:val="none" w:sz="0" w:space="0" w:color="auto"/>
        <w:right w:val="none" w:sz="0" w:space="0" w:color="auto"/>
      </w:divBdr>
    </w:div>
    <w:div w:id="125972458">
      <w:bodyDiv w:val="1"/>
      <w:marLeft w:val="0"/>
      <w:marRight w:val="0"/>
      <w:marTop w:val="0"/>
      <w:marBottom w:val="0"/>
      <w:divBdr>
        <w:top w:val="none" w:sz="0" w:space="0" w:color="auto"/>
        <w:left w:val="none" w:sz="0" w:space="0" w:color="auto"/>
        <w:bottom w:val="none" w:sz="0" w:space="0" w:color="auto"/>
        <w:right w:val="none" w:sz="0" w:space="0" w:color="auto"/>
      </w:divBdr>
    </w:div>
    <w:div w:id="164824115">
      <w:bodyDiv w:val="1"/>
      <w:marLeft w:val="0"/>
      <w:marRight w:val="0"/>
      <w:marTop w:val="0"/>
      <w:marBottom w:val="0"/>
      <w:divBdr>
        <w:top w:val="none" w:sz="0" w:space="0" w:color="auto"/>
        <w:left w:val="none" w:sz="0" w:space="0" w:color="auto"/>
        <w:bottom w:val="none" w:sz="0" w:space="0" w:color="auto"/>
        <w:right w:val="none" w:sz="0" w:space="0" w:color="auto"/>
      </w:divBdr>
    </w:div>
    <w:div w:id="318121215">
      <w:bodyDiv w:val="1"/>
      <w:marLeft w:val="0"/>
      <w:marRight w:val="0"/>
      <w:marTop w:val="0"/>
      <w:marBottom w:val="0"/>
      <w:divBdr>
        <w:top w:val="none" w:sz="0" w:space="0" w:color="auto"/>
        <w:left w:val="none" w:sz="0" w:space="0" w:color="auto"/>
        <w:bottom w:val="none" w:sz="0" w:space="0" w:color="auto"/>
        <w:right w:val="none" w:sz="0" w:space="0" w:color="auto"/>
      </w:divBdr>
    </w:div>
    <w:div w:id="625162697">
      <w:bodyDiv w:val="1"/>
      <w:marLeft w:val="0"/>
      <w:marRight w:val="0"/>
      <w:marTop w:val="0"/>
      <w:marBottom w:val="0"/>
      <w:divBdr>
        <w:top w:val="none" w:sz="0" w:space="0" w:color="auto"/>
        <w:left w:val="none" w:sz="0" w:space="0" w:color="auto"/>
        <w:bottom w:val="none" w:sz="0" w:space="0" w:color="auto"/>
        <w:right w:val="none" w:sz="0" w:space="0" w:color="auto"/>
      </w:divBdr>
    </w:div>
    <w:div w:id="653724368">
      <w:bodyDiv w:val="1"/>
      <w:marLeft w:val="0"/>
      <w:marRight w:val="0"/>
      <w:marTop w:val="0"/>
      <w:marBottom w:val="0"/>
      <w:divBdr>
        <w:top w:val="none" w:sz="0" w:space="0" w:color="auto"/>
        <w:left w:val="none" w:sz="0" w:space="0" w:color="auto"/>
        <w:bottom w:val="none" w:sz="0" w:space="0" w:color="auto"/>
        <w:right w:val="none" w:sz="0" w:space="0" w:color="auto"/>
      </w:divBdr>
    </w:div>
    <w:div w:id="773746252">
      <w:bodyDiv w:val="1"/>
      <w:marLeft w:val="0"/>
      <w:marRight w:val="0"/>
      <w:marTop w:val="0"/>
      <w:marBottom w:val="0"/>
      <w:divBdr>
        <w:top w:val="none" w:sz="0" w:space="0" w:color="auto"/>
        <w:left w:val="none" w:sz="0" w:space="0" w:color="auto"/>
        <w:bottom w:val="none" w:sz="0" w:space="0" w:color="auto"/>
        <w:right w:val="none" w:sz="0" w:space="0" w:color="auto"/>
      </w:divBdr>
      <w:divsChild>
        <w:div w:id="243347030">
          <w:marLeft w:val="0"/>
          <w:marRight w:val="0"/>
          <w:marTop w:val="0"/>
          <w:marBottom w:val="0"/>
          <w:divBdr>
            <w:top w:val="none" w:sz="0" w:space="0" w:color="auto"/>
            <w:left w:val="none" w:sz="0" w:space="0" w:color="auto"/>
            <w:bottom w:val="none" w:sz="0" w:space="0" w:color="auto"/>
            <w:right w:val="none" w:sz="0" w:space="0" w:color="auto"/>
          </w:divBdr>
          <w:divsChild>
            <w:div w:id="911042781">
              <w:marLeft w:val="150"/>
              <w:marRight w:val="150"/>
              <w:marTop w:val="0"/>
              <w:marBottom w:val="0"/>
              <w:divBdr>
                <w:top w:val="none" w:sz="0" w:space="0" w:color="auto"/>
                <w:left w:val="none" w:sz="0" w:space="0" w:color="auto"/>
                <w:bottom w:val="none" w:sz="0" w:space="0" w:color="auto"/>
                <w:right w:val="none" w:sz="0" w:space="0" w:color="auto"/>
              </w:divBdr>
              <w:divsChild>
                <w:div w:id="768281665">
                  <w:marLeft w:val="0"/>
                  <w:marRight w:val="0"/>
                  <w:marTop w:val="300"/>
                  <w:marBottom w:val="300"/>
                  <w:divBdr>
                    <w:top w:val="single" w:sz="6" w:space="18" w:color="CCCCCC"/>
                    <w:left w:val="single" w:sz="6" w:space="18" w:color="CCCCCC"/>
                    <w:bottom w:val="single" w:sz="6" w:space="18" w:color="CCCCCC"/>
                    <w:right w:val="single" w:sz="6" w:space="18" w:color="CCCCCC"/>
                  </w:divBdr>
                  <w:divsChild>
                    <w:div w:id="29906888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787057">
      <w:bodyDiv w:val="1"/>
      <w:marLeft w:val="0"/>
      <w:marRight w:val="0"/>
      <w:marTop w:val="0"/>
      <w:marBottom w:val="0"/>
      <w:divBdr>
        <w:top w:val="none" w:sz="0" w:space="0" w:color="auto"/>
        <w:left w:val="none" w:sz="0" w:space="0" w:color="auto"/>
        <w:bottom w:val="none" w:sz="0" w:space="0" w:color="auto"/>
        <w:right w:val="none" w:sz="0" w:space="0" w:color="auto"/>
      </w:divBdr>
    </w:div>
    <w:div w:id="929120949">
      <w:bodyDiv w:val="1"/>
      <w:marLeft w:val="0"/>
      <w:marRight w:val="0"/>
      <w:marTop w:val="0"/>
      <w:marBottom w:val="0"/>
      <w:divBdr>
        <w:top w:val="none" w:sz="0" w:space="0" w:color="auto"/>
        <w:left w:val="none" w:sz="0" w:space="0" w:color="auto"/>
        <w:bottom w:val="none" w:sz="0" w:space="0" w:color="auto"/>
        <w:right w:val="none" w:sz="0" w:space="0" w:color="auto"/>
      </w:divBdr>
    </w:div>
    <w:div w:id="1091317267">
      <w:bodyDiv w:val="1"/>
      <w:marLeft w:val="0"/>
      <w:marRight w:val="0"/>
      <w:marTop w:val="0"/>
      <w:marBottom w:val="0"/>
      <w:divBdr>
        <w:top w:val="none" w:sz="0" w:space="0" w:color="auto"/>
        <w:left w:val="none" w:sz="0" w:space="0" w:color="auto"/>
        <w:bottom w:val="none" w:sz="0" w:space="0" w:color="auto"/>
        <w:right w:val="none" w:sz="0" w:space="0" w:color="auto"/>
      </w:divBdr>
    </w:div>
    <w:div w:id="1121653929">
      <w:bodyDiv w:val="1"/>
      <w:marLeft w:val="0"/>
      <w:marRight w:val="0"/>
      <w:marTop w:val="0"/>
      <w:marBottom w:val="0"/>
      <w:divBdr>
        <w:top w:val="none" w:sz="0" w:space="0" w:color="auto"/>
        <w:left w:val="none" w:sz="0" w:space="0" w:color="auto"/>
        <w:bottom w:val="none" w:sz="0" w:space="0" w:color="auto"/>
        <w:right w:val="none" w:sz="0" w:space="0" w:color="auto"/>
      </w:divBdr>
    </w:div>
    <w:div w:id="1198274036">
      <w:bodyDiv w:val="1"/>
      <w:marLeft w:val="0"/>
      <w:marRight w:val="0"/>
      <w:marTop w:val="0"/>
      <w:marBottom w:val="0"/>
      <w:divBdr>
        <w:top w:val="none" w:sz="0" w:space="0" w:color="auto"/>
        <w:left w:val="none" w:sz="0" w:space="0" w:color="auto"/>
        <w:bottom w:val="none" w:sz="0" w:space="0" w:color="auto"/>
        <w:right w:val="none" w:sz="0" w:space="0" w:color="auto"/>
      </w:divBdr>
    </w:div>
    <w:div w:id="1221987351">
      <w:bodyDiv w:val="1"/>
      <w:marLeft w:val="0"/>
      <w:marRight w:val="0"/>
      <w:marTop w:val="0"/>
      <w:marBottom w:val="0"/>
      <w:divBdr>
        <w:top w:val="none" w:sz="0" w:space="0" w:color="auto"/>
        <w:left w:val="none" w:sz="0" w:space="0" w:color="auto"/>
        <w:bottom w:val="none" w:sz="0" w:space="0" w:color="auto"/>
        <w:right w:val="none" w:sz="0" w:space="0" w:color="auto"/>
      </w:divBdr>
    </w:div>
    <w:div w:id="1432896551">
      <w:bodyDiv w:val="1"/>
      <w:marLeft w:val="0"/>
      <w:marRight w:val="0"/>
      <w:marTop w:val="0"/>
      <w:marBottom w:val="0"/>
      <w:divBdr>
        <w:top w:val="none" w:sz="0" w:space="0" w:color="auto"/>
        <w:left w:val="none" w:sz="0" w:space="0" w:color="auto"/>
        <w:bottom w:val="none" w:sz="0" w:space="0" w:color="auto"/>
        <w:right w:val="none" w:sz="0" w:space="0" w:color="auto"/>
      </w:divBdr>
    </w:div>
    <w:div w:id="1448701366">
      <w:bodyDiv w:val="1"/>
      <w:marLeft w:val="0"/>
      <w:marRight w:val="0"/>
      <w:marTop w:val="0"/>
      <w:marBottom w:val="0"/>
      <w:divBdr>
        <w:top w:val="none" w:sz="0" w:space="0" w:color="auto"/>
        <w:left w:val="none" w:sz="0" w:space="0" w:color="auto"/>
        <w:bottom w:val="none" w:sz="0" w:space="0" w:color="auto"/>
        <w:right w:val="none" w:sz="0" w:space="0" w:color="auto"/>
      </w:divBdr>
    </w:div>
    <w:div w:id="1467818289">
      <w:bodyDiv w:val="1"/>
      <w:marLeft w:val="0"/>
      <w:marRight w:val="0"/>
      <w:marTop w:val="0"/>
      <w:marBottom w:val="0"/>
      <w:divBdr>
        <w:top w:val="none" w:sz="0" w:space="0" w:color="auto"/>
        <w:left w:val="none" w:sz="0" w:space="0" w:color="auto"/>
        <w:bottom w:val="none" w:sz="0" w:space="0" w:color="auto"/>
        <w:right w:val="none" w:sz="0" w:space="0" w:color="auto"/>
      </w:divBdr>
    </w:div>
    <w:div w:id="1771583985">
      <w:bodyDiv w:val="1"/>
      <w:marLeft w:val="0"/>
      <w:marRight w:val="0"/>
      <w:marTop w:val="0"/>
      <w:marBottom w:val="0"/>
      <w:divBdr>
        <w:top w:val="none" w:sz="0" w:space="0" w:color="auto"/>
        <w:left w:val="none" w:sz="0" w:space="0" w:color="auto"/>
        <w:bottom w:val="none" w:sz="0" w:space="0" w:color="auto"/>
        <w:right w:val="none" w:sz="0" w:space="0" w:color="auto"/>
      </w:divBdr>
    </w:div>
    <w:div w:id="1834180741">
      <w:bodyDiv w:val="1"/>
      <w:marLeft w:val="0"/>
      <w:marRight w:val="0"/>
      <w:marTop w:val="0"/>
      <w:marBottom w:val="0"/>
      <w:divBdr>
        <w:top w:val="none" w:sz="0" w:space="0" w:color="auto"/>
        <w:left w:val="none" w:sz="0" w:space="0" w:color="auto"/>
        <w:bottom w:val="none" w:sz="0" w:space="0" w:color="auto"/>
        <w:right w:val="none" w:sz="0" w:space="0" w:color="auto"/>
      </w:divBdr>
    </w:div>
    <w:div w:id="1851600587">
      <w:bodyDiv w:val="1"/>
      <w:marLeft w:val="0"/>
      <w:marRight w:val="0"/>
      <w:marTop w:val="0"/>
      <w:marBottom w:val="0"/>
      <w:divBdr>
        <w:top w:val="none" w:sz="0" w:space="0" w:color="auto"/>
        <w:left w:val="none" w:sz="0" w:space="0" w:color="auto"/>
        <w:bottom w:val="none" w:sz="0" w:space="0" w:color="auto"/>
        <w:right w:val="none" w:sz="0" w:space="0" w:color="auto"/>
      </w:divBdr>
    </w:div>
    <w:div w:id="1931230411">
      <w:bodyDiv w:val="1"/>
      <w:marLeft w:val="0"/>
      <w:marRight w:val="0"/>
      <w:marTop w:val="0"/>
      <w:marBottom w:val="0"/>
      <w:divBdr>
        <w:top w:val="none" w:sz="0" w:space="0" w:color="auto"/>
        <w:left w:val="none" w:sz="0" w:space="0" w:color="auto"/>
        <w:bottom w:val="none" w:sz="0" w:space="0" w:color="auto"/>
        <w:right w:val="none" w:sz="0" w:space="0" w:color="auto"/>
      </w:divBdr>
    </w:div>
    <w:div w:id="2102220563">
      <w:bodyDiv w:val="1"/>
      <w:marLeft w:val="0"/>
      <w:marRight w:val="0"/>
      <w:marTop w:val="0"/>
      <w:marBottom w:val="0"/>
      <w:divBdr>
        <w:top w:val="none" w:sz="0" w:space="0" w:color="auto"/>
        <w:left w:val="none" w:sz="0" w:space="0" w:color="auto"/>
        <w:bottom w:val="none" w:sz="0" w:space="0" w:color="auto"/>
        <w:right w:val="none" w:sz="0" w:space="0" w:color="auto"/>
      </w:divBdr>
    </w:div>
    <w:div w:id="2131589359">
      <w:bodyDiv w:val="1"/>
      <w:marLeft w:val="0"/>
      <w:marRight w:val="0"/>
      <w:marTop w:val="0"/>
      <w:marBottom w:val="0"/>
      <w:divBdr>
        <w:top w:val="none" w:sz="0" w:space="0" w:color="auto"/>
        <w:left w:val="none" w:sz="0" w:space="0" w:color="auto"/>
        <w:bottom w:val="none" w:sz="0" w:space="0" w:color="auto"/>
        <w:right w:val="none" w:sz="0" w:space="0" w:color="auto"/>
      </w:divBdr>
    </w:div>
    <w:div w:id="214684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5.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4.xml"/><Relationship Id="rId27"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s://www.eota.eu/ckfinder/userfiles/files/CPR%20Guidelines%20for%20the%20evaluation%20of%20TABs.pdf" TargetMode="External"/><Relationship Id="rId2" Type="http://schemas.openxmlformats.org/officeDocument/2006/relationships/hyperlink" Target="http://ec.europa.eu/growth/tools-databases/nando/index.cfm?fuseaction=directive.notifiedbody&amp;dir_id=33" TargetMode="External"/><Relationship Id="rId1" Type="http://schemas.openxmlformats.org/officeDocument/2006/relationships/hyperlink" Target="https://bookshop.europa.eu/en/supporting-study-for-the-evaluation-of-the-relevance-of-eota-tasks-pbET0115714/" TargetMode="External"/><Relationship Id="rId4" Type="http://schemas.openxmlformats.org/officeDocument/2006/relationships/hyperlink" Target="http://ec.europa.eu/budget/fts/index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F7ECF-93B6-46E3-AD27-BCBC47AA2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28</Pages>
  <Words>8277</Words>
  <Characters>50907</Characters>
  <Application>Microsoft Office Word</Application>
  <DocSecurity>0</DocSecurity>
  <Lines>1272</Lines>
  <Paragraphs>758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58426</CharactersWithSpaces>
  <SharedDoc>false</SharedDoc>
  <HLinks>
    <vt:vector size="24" baseType="variant">
      <vt:variant>
        <vt:i4>6815763</vt:i4>
      </vt:variant>
      <vt:variant>
        <vt:i4>9</vt:i4>
      </vt:variant>
      <vt:variant>
        <vt:i4>0</vt:i4>
      </vt:variant>
      <vt:variant>
        <vt:i4>5</vt:i4>
      </vt:variant>
      <vt:variant>
        <vt:lpwstr>http://ec.europa.eu/budget/fts/index_en.htm</vt:lpwstr>
      </vt:variant>
      <vt:variant>
        <vt:lpwstr/>
      </vt:variant>
      <vt:variant>
        <vt:i4>7209071</vt:i4>
      </vt:variant>
      <vt:variant>
        <vt:i4>6</vt:i4>
      </vt:variant>
      <vt:variant>
        <vt:i4>0</vt:i4>
      </vt:variant>
      <vt:variant>
        <vt:i4>5</vt:i4>
      </vt:variant>
      <vt:variant>
        <vt:lpwstr>https://www.eota.eu/ckfinder/userfiles/files/CPR Guidelines for the evaluation of TABs.pdf</vt:lpwstr>
      </vt:variant>
      <vt:variant>
        <vt:lpwstr/>
      </vt:variant>
      <vt:variant>
        <vt:i4>2883587</vt:i4>
      </vt:variant>
      <vt:variant>
        <vt:i4>3</vt:i4>
      </vt:variant>
      <vt:variant>
        <vt:i4>0</vt:i4>
      </vt:variant>
      <vt:variant>
        <vt:i4>5</vt:i4>
      </vt:variant>
      <vt:variant>
        <vt:lpwstr>http://ec.europa.eu/growth/tools-databases/nando/index.cfm?fuseaction=directive.notifiedbody&amp;dir_id=33</vt:lpwstr>
      </vt:variant>
      <vt:variant>
        <vt:lpwstr/>
      </vt:variant>
      <vt:variant>
        <vt:i4>262219</vt:i4>
      </vt:variant>
      <vt:variant>
        <vt:i4>0</vt:i4>
      </vt:variant>
      <vt:variant>
        <vt:i4>0</vt:i4>
      </vt:variant>
      <vt:variant>
        <vt:i4>5</vt:i4>
      </vt:variant>
      <vt:variant>
        <vt:lpwstr>https://bookshop.europa.eu/en/supporting-study-for-the-evaluation-of-the-relevance-of-eota-tasks-pbET0115714/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2019-09-13T10:01:00Z</cp:lastPrinted>
  <dcterms:created xsi:type="dcterms:W3CDTF">2019-10-14T11:50:00Z</dcterms:created>
  <dcterms:modified xsi:type="dcterms:W3CDTF">2019-10-23T11:40:00Z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7.0, Build 20190717</vt:lpwstr>
  </property>
  <property fmtid="{D5CDD505-2E9C-101B-9397-08002B2CF9AE}" pid="8" name="CPTemplateID">
    <vt:lpwstr>CP-006</vt:lpwstr>
  </property>
</Properties>
</file>