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48708F12-E853-4C25-9D5B-6D28A8328596" style="width:450.45pt;height:392.8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tbl>
      <w:tblPr>
        <w:tblW w:w="13420" w:type="dxa"/>
        <w:tblInd w:w="113" w:type="dxa"/>
        <w:tblLook w:val="04A0" w:firstRow="1" w:lastRow="0" w:firstColumn="1" w:lastColumn="0" w:noHBand="0" w:noVBand="1"/>
        <w:tblCaption w:val="Προγραμματισμός αιτημάτων τυποποίησης προς τους ευρωπαϊκούς οργανισμούς τυποποίησης για το 2020"/>
        <w:tblDescription w:val="Προγραμματισμός αιτημάτων τυποποίησης προς τους ευρωπαϊκούς οργανισμούς τυποποίησης για το 2020"/>
      </w:tblPr>
      <w:tblGrid>
        <w:gridCol w:w="1141"/>
        <w:gridCol w:w="2149"/>
        <w:gridCol w:w="3138"/>
        <w:gridCol w:w="3177"/>
        <w:gridCol w:w="3815"/>
      </w:tblGrid>
      <w:tr>
        <w:trPr>
          <w:trHeight w:val="585"/>
          <w:tblHeader/>
        </w:trPr>
        <w:tc>
          <w:tcPr>
            <w:tcW w:w="546" w:type="dxa"/>
            <w:tcBorders>
              <w:top w:val="single" w:sz="4" w:space="0" w:color="auto"/>
              <w:left w:val="single" w:sz="4" w:space="0" w:color="auto"/>
              <w:bottom w:val="single" w:sz="4" w:space="0" w:color="auto"/>
              <w:right w:val="single" w:sz="4" w:space="0" w:color="auto"/>
            </w:tcBorders>
            <w:shd w:val="clear" w:color="000000" w:fill="A6A6A6"/>
            <w:vAlign w:val="center"/>
            <w:hideMark/>
          </w:tcPr>
          <w:p>
            <w:pPr>
              <w:spacing w:after="0" w:line="240" w:lineRule="auto"/>
              <w:jc w:val="center"/>
              <w:rPr>
                <w:rFonts w:ascii="Times New Roman" w:eastAsia="Times New Roman" w:hAnsi="Times New Roman" w:cs="Times New Roman"/>
                <w:b/>
                <w:bCs/>
                <w:noProof/>
                <w:color w:val="000000"/>
              </w:rPr>
            </w:pPr>
            <w:bookmarkStart w:id="1" w:name="_GoBack"/>
            <w:bookmarkEnd w:id="1"/>
            <w:r>
              <w:rPr>
                <w:rFonts w:ascii="Times New Roman" w:hAnsi="Times New Roman"/>
                <w:b/>
                <w:bCs/>
                <w:noProof/>
              </w:rPr>
              <w:lastRenderedPageBreak/>
              <w:t>Αρ. αναφοράς</w:t>
            </w:r>
          </w:p>
        </w:tc>
        <w:tc>
          <w:tcPr>
            <w:tcW w:w="1439" w:type="dxa"/>
            <w:tcBorders>
              <w:top w:val="single" w:sz="4" w:space="0" w:color="auto"/>
              <w:left w:val="nil"/>
              <w:bottom w:val="single" w:sz="4" w:space="0" w:color="auto"/>
              <w:right w:val="single" w:sz="4" w:space="0" w:color="auto"/>
            </w:tcBorders>
            <w:shd w:val="clear" w:color="000000" w:fill="A6A6A6"/>
            <w:vAlign w:val="center"/>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Τίτλος δράσης</w:t>
            </w:r>
          </w:p>
        </w:tc>
        <w:tc>
          <w:tcPr>
            <w:tcW w:w="3553" w:type="dxa"/>
            <w:tcBorders>
              <w:top w:val="single" w:sz="4" w:space="0" w:color="auto"/>
              <w:left w:val="nil"/>
              <w:bottom w:val="single" w:sz="4" w:space="0" w:color="auto"/>
              <w:right w:val="single" w:sz="4" w:space="0" w:color="auto"/>
            </w:tcBorders>
            <w:shd w:val="clear" w:color="000000" w:fill="A6A6A6"/>
            <w:vAlign w:val="center"/>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Πολιτική/νομοθετική αναφορά</w:t>
            </w:r>
          </w:p>
        </w:tc>
        <w:tc>
          <w:tcPr>
            <w:tcW w:w="3479" w:type="dxa"/>
            <w:tcBorders>
              <w:top w:val="single" w:sz="4" w:space="0" w:color="auto"/>
              <w:left w:val="nil"/>
              <w:bottom w:val="single" w:sz="4" w:space="0" w:color="auto"/>
              <w:right w:val="single" w:sz="4" w:space="0" w:color="auto"/>
            </w:tcBorders>
            <w:shd w:val="clear" w:color="000000" w:fill="A6A6A6"/>
            <w:vAlign w:val="center"/>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Στόχος</w:t>
            </w:r>
          </w:p>
        </w:tc>
        <w:tc>
          <w:tcPr>
            <w:tcW w:w="4403" w:type="dxa"/>
            <w:tcBorders>
              <w:top w:val="single" w:sz="4" w:space="0" w:color="auto"/>
              <w:left w:val="nil"/>
              <w:bottom w:val="single" w:sz="4" w:space="0" w:color="auto"/>
              <w:right w:val="single" w:sz="4" w:space="0" w:color="auto"/>
            </w:tcBorders>
            <w:shd w:val="clear" w:color="000000" w:fill="A6A6A6"/>
            <w:vAlign w:val="center"/>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Αντίκτυπος δράσης</w:t>
            </w:r>
          </w:p>
        </w:tc>
      </w:tr>
      <w:tr>
        <w:trPr>
          <w:trHeight w:val="315"/>
        </w:trPr>
        <w:tc>
          <w:tcPr>
            <w:tcW w:w="1342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rPr>
            </w:pPr>
            <w:r>
              <w:rPr>
                <w:rFonts w:ascii="Times New Roman" w:hAnsi="Times New Roman"/>
                <w:b/>
                <w:bCs/>
                <w:noProof/>
              </w:rPr>
              <w:t>Αιτήματα τυποποίησης για την κατάρτιση/αναθεώρηση εναρμονισμένων ευρωπαϊκών προτύπων προς στήριξη της ενωσιακής νομοθεσίας</w:t>
            </w:r>
          </w:p>
        </w:tc>
      </w:tr>
      <w:tr>
        <w:trPr>
          <w:cantSplit/>
          <w:trHeight w:val="15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rPr>
              <w:t>1</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Οικολογικός σχεδιασμός</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Επανεξέταση του κανονισμού (ΕΚ) αριθ. 640/2009 όσον αφορά τις απαιτήσεις οικολογικού σχεδιασμού των ηλεκτροκινητήρων.</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 xml:space="preserve">Αξιολόγηση των ενεργειακών απωλειών που προκαλούνται σε προηγούμενα και επόμενα στάδια του συστήματος μετάδοσης κίνησης μεταβλητής ταχύτητας (VSD), επιπρόσθετα στις απώλειες μετάδοσης κίνησης που καλύπτονται ήδη από το πρότυπο IEC 61800-9-2. </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Αξιολόγηση του αντίκτυπου των VSD βάσει συστημάτων, προκειμένου να προωθηθούν τα VSD που ελαχιστοποιούν τις ενεργειακές απώλειες.</w:t>
            </w:r>
          </w:p>
        </w:tc>
      </w:tr>
      <w:tr>
        <w:trPr>
          <w:cantSplit/>
          <w:trHeight w:val="39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rPr>
              <w:t>2</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Οικολογικός σχεδιασμός</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Κανονισμός για τον οικολογικό σχεδιασμό και την ενεργειακή επισήμανση των θερμαντήρων νερού [επανεξέταση του κατ’ εξουσιοδότηση κανονισμού (ΕΕ) αριθ. 812/2013 της Επιτροπής για τη συμπλήρωση της οδηγίας 2010/30/ΕΕ όσον αφορά την επισήμανση της κατανάλωσης ενέργειας των θερμαντήρων νερού, των δεξαμενών αποθήκευσης ζεστού νερού και των συγκροτημάτων θερμαντήρα νερού και ηλιακής συσκευής, και του κανονισμού (ΕΕ) αριθ. 814/2013 για την εφαρμογή της οδηγίας 2009/125/ΕΚ όσον αφορά τις απαιτήσεις οικολογικού σχεδιασμού των θερμαντήρων νερού και των δεξαμενών αποθήκευσης ζεστού νερού].</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Αξιολόγηση της ενεργειακής απόδοσης των θερμαντήρων νερού, των εκπομπών τους και ενδεχομένως άλλων περιβαλλοντικών επιπτώσεων.</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Βελτίωση των περιβαλλοντικών επιδόσεων των θερμαντήρων νερού και εξασφάλιση ισότιμων όρων ανταγωνισμού για τους κατασκευαστές που πρέπει να συμμορφώνονται με τον κανονισμό.</w:t>
            </w:r>
          </w:p>
        </w:tc>
      </w:tr>
      <w:tr>
        <w:trPr>
          <w:cantSplit/>
          <w:trHeight w:val="24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rPr>
              <w:t>3</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Οικολογικός σχεδιασμός</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Απαιτήσεις οικολογικού σχεδιασμού για τα οικιακά πλυντήρια πιάτων, πλυντήρια ρούχων και πλυντήρια–στεγνωτήρια. Ενεργειακή σήμανση για τα οικιακά πλυντήρια πιάτων, πλυντήρια ρούχων και πλυντήρια–στεγνωτήρια. Έγκριση τεσσάρων κανονισμών της Επιτροπής το 2019.</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Αναθεώρηση των εναρμονισμένων προτύπων δοκιμών για τη μέτρηση της επίδοσης των οικιακών πλυντηρίων πιάτων, πλυντηρίων ρούχων και πλυντηρίων–στεγνωτηρίων, κατόπιν της αναθεώρησης των σχετικών κανονισμών για τον οικολογικό σχεδιασμό και την ενεργειακή επισήμανση.</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Διευκόλυνση της διάθεσης στην αγορά συσκευών που συμμορφώνονται με τους αναθεωρημένους κανονισμούς και, ως εκ τούτου, εξοικονόμηση ενέργειας, νερού και άλλων πόρων με παράλληλη ανταπόκριση στις ανάγκες των καταναλωτών και στην ανταγωνιστικότητα του κλάδου.</w:t>
            </w:r>
          </w:p>
        </w:tc>
      </w:tr>
      <w:tr>
        <w:trPr>
          <w:cantSplit/>
          <w:trHeight w:val="12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rPr>
              <w:t>4</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Καταχώριση, αξιολόγηση, αδειοδότηση και περιορισμοί των χημικών προϊόντων</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 xml:space="preserve">Κανονισμός αριθ. 1907/2006 </w:t>
            </w:r>
          </w:p>
          <w:p>
            <w:pPr>
              <w:spacing w:after="0" w:line="240" w:lineRule="auto"/>
              <w:rPr>
                <w:rFonts w:ascii="Times New Roman" w:eastAsia="Times New Roman" w:hAnsi="Times New Roman" w:cs="Times New Roman"/>
                <w:noProof/>
                <w:color w:val="000000"/>
              </w:rPr>
            </w:pPr>
            <w:r>
              <w:rPr>
                <w:rFonts w:ascii="Times New Roman" w:hAnsi="Times New Roman"/>
                <w:noProof/>
              </w:rPr>
              <w:t>για την καταχώριση, την αξιολόγηση, την αδειοδότηση και</w:t>
            </w:r>
          </w:p>
          <w:p>
            <w:pPr>
              <w:spacing w:after="0" w:line="240" w:lineRule="auto"/>
              <w:rPr>
                <w:rFonts w:ascii="Times New Roman" w:eastAsia="Times New Roman" w:hAnsi="Times New Roman" w:cs="Times New Roman"/>
                <w:noProof/>
                <w:color w:val="000000"/>
              </w:rPr>
            </w:pPr>
            <w:r>
              <w:rPr>
                <w:rFonts w:ascii="Times New Roman" w:hAnsi="Times New Roman"/>
                <w:noProof/>
              </w:rPr>
              <w:t>τους περιορισμούς των χημικών προϊόντων —</w:t>
            </w:r>
            <w:r>
              <w:rPr>
                <w:noProof/>
              </w:rPr>
              <w:t xml:space="preserve"> </w:t>
            </w:r>
            <w:r>
              <w:rPr>
                <w:rFonts w:ascii="Times New Roman" w:hAnsi="Times New Roman"/>
                <w:noProof/>
              </w:rPr>
              <w:t>Παράρτημα XVII — Παράγραφος 50</w:t>
            </w:r>
            <w:r>
              <w:rPr>
                <w:noProof/>
              </w:rPr>
              <w:t>.</w:t>
            </w:r>
            <w:r>
              <w:rPr>
                <w:rFonts w:ascii="Times New Roman" w:hAnsi="Times New Roman"/>
                <w:noProof/>
              </w:rPr>
              <w:t xml:space="preserve"> </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Εφαρμογή του περιορισμού της παραγράφου 50 στοιχεία 5) και 6) [πολυκυκλικοί αρωματικοί υδρογονάνθρακες (PAH)], αναφορικά με τον οποίον μπορεί να εξεταστεί η εισαγωγή ορίου μετανάστευσης στο καουτσούκ και το πλαστικό.</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Διασφάλιση ότι τα καταναλωτικά προϊόντα με καουτσούκ/πλαστικό μπορούν να παράγονται/κυκλοφορούν ελεύθερα στην ενιαία αγορά.</w:t>
            </w:r>
          </w:p>
        </w:tc>
      </w:tr>
      <w:tr>
        <w:trPr>
          <w:cantSplit/>
          <w:trHeight w:val="21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rPr>
              <w:t>5</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Λιπάσματα</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Κανονισμός (ΕΕ) 2019/1009 του Ευρωπαϊκού Κοινοβουλίου και του Συμβουλίου, της 5ης Ιουνίου 2019, για τη θέσπιση κανόνων σχετικά με τη διάθεση προϊόντων λίπανσης της ΕΕ στην αγορά και για την τροποποίηση των κανονισμών (ΕΚ) αριθ. 1069/2009 και (ΕΚ) αριθ. 1107/2009 και την κατάργηση του κανονισμού (ΕΚ) αριθ. 2003/2003.</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Εναρμόνιση των αναλυτικών μεθόδων δοκιμής για την επαλήθευση της συμμόρφωσης των προϊόντων λίπανσης από δευτερογενείς πρώτες ύλες με τις ουσιαστικές απαιτήσεις του νέου κανονισμού για τα προϊόντα λίπανσης.</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 xml:space="preserve">Παροχή δυνατότητας για κοινές πρακτικές επιθεώρησης και δοκιμών της συμμόρφωσης με τις νομικές απαιτήσεις, για τη διευκόλυνση του εμπορίου στην ενιαία αγορά. </w:t>
            </w:r>
          </w:p>
        </w:tc>
      </w:tr>
      <w:tr>
        <w:trPr>
          <w:cantSplit/>
          <w:trHeight w:val="27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rPr>
              <w:t>6</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Εκρήξιμες ατμόσφαιρες</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Οδηγία 2014/34/ΕΕ του Ευρωπαϊκού Κοινοβουλίου και του Συμβουλίου για την εναρμόνιση των νομοθεσιών των κρατών μελών σχετικά με τις συσκευές και τα συστήματα προστασίας που προορίζονται για χρήση σε εκρήξιμες ατμόσφαιρες.</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Κατάρτιση τεχνικών προδιαγραφών που καλύπτουν, σύμφωνα με τις βασικές απαιτήσεις της οδηγίας, την τεχνολογική εξέλιξη των συσκευών και των συστημάτων προστασίας που προορίζονται για χρήση σε εκρήξιμες ατμόσφαιρες.</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 xml:space="preserve">Σχεδιασμός και κατασκευή συσκευών με επικαιροποιημένη τελευταία τεχνολογία στον κλάδο, και παροχή δυνατότητας στους χρήστες να επωφελούνται από το πλέον επικαιροποιημένο επίπεδο ασφάλειας. </w:t>
            </w:r>
          </w:p>
        </w:tc>
      </w:tr>
      <w:tr>
        <w:trPr>
          <w:cantSplit/>
          <w:trHeight w:val="21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rPr>
              <w:t>7</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Ασφάλεια ειδών πυροτεχνίας</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Οδηγία 2013/29/ΕΕ του Ευρωπαϊκού Κοινοβουλίου και του Συμβουλίου, της 12ης Ιουνίου 2013, για την εναρμόνιση των νομοθεσιών των κρατών μελών σχετικά με τη διαθεσιμότητα στην αγορά ειδών πυροτεχνίας (αναδιατύπωση).</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Εργασίες τυποποίησης για την αύξηση της ασφάλειας των ειδών πυροτεχνίας: επικαιροποίηση των υφιστάμενων προτύπων για τα είδη πυροτεχνίας προκειμένου να αντικατοπτρίζουν τις απαιτήσεις της ισχύουσας οδηγίας 2013/29/ΕΕ και τις τελευταίες εξελίξεις στην τεχνολογία.</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Η δράση θα ενισχύσει την ασφάλεια των ειδών πυροτεχνίας και την ποιότητα των αξιολογήσεων της συμμόρφωσης των εν λόγω ειδών, μέσω της ευθυγράμμισης των υφιστάμενων προτύπων στον τομέα αυτόν με τις ισχύουσες νομοθετικές απαιτήσεις και απαιτήσεις ασφάλειας, καθώς και με τις τελευταίες τεχνολογίες.</w:t>
            </w:r>
          </w:p>
        </w:tc>
      </w:tr>
      <w:tr>
        <w:trPr>
          <w:cantSplit/>
          <w:trHeight w:val="21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rPr>
              <w:t>8</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Βαθμονομητές ραδιονουκλεϊδίων</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Κανονισμός για τα ιατροτεχνολογικά προϊόντα, κανονισμός (ΕΕ) 2017/745.· Βασικό πρότυπο ασφάλειας, οδηγία 2013/59/Ευρατόμ του Συμβουλίου.</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Σχεδιασμός, κατασκευή, εγκατάσταση, χρήση και επαλήθευση της απόδοσης των βαθμονομητών ραδιονουκλεϊδίων που χρησιμοποιούνται για τη μέτρηση της δραστικότητας των ραδιοφαρμακευτικών προϊόντων πριν από τη χορήγηση αυτών στον ασθενή.</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Ενίσχυση της βελτιστοποίησης των δόσεων και βελτίωση της διαδικασίας μέσω επαλήθευσης της χορηγούμενης δραστικότητας στους ασθενείς.</w:t>
            </w:r>
          </w:p>
        </w:tc>
      </w:tr>
      <w:tr>
        <w:trPr>
          <w:cantSplit/>
          <w:trHeight w:val="18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rPr>
              <w:t>9</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Δομικά προϊόντα</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Κανονισμός (ΕΕ) αριθ. 305/2011 σχετικά με τα δομικά προϊόντα.</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 xml:space="preserve">Ανάπτυξη μεθόδων αξιολόγησης και κριτηρίων απόδοσης των δομικών προϊόντων. </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Κοινή τεχνική γλώσσα, η οποία απαιτείται για την ορθή λειτουργία του συστήματος εναρμόνισης που δημιουργείται στον κανονισμό ή μέσω αυτού.</w:t>
            </w:r>
          </w:p>
        </w:tc>
      </w:tr>
      <w:tr>
        <w:trPr>
          <w:cantSplit/>
          <w:trHeight w:val="12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rPr>
              <w:t>10</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Σιδηροδρομικό σύστημα</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Οδηγία (ΕΕ) 2016/797 σχετικά με τη διαλειτουργικότητα του σιδηροδρομικού συστήματος της Ευρωπαϊκής Ένωσης (αναδιατύπωση).</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Στήριξη των τεχνικών προδιαγραφών για τη διαλειτουργικότητα και την αρχιτεκτονική του σιδηροδρομικού συστήματος, συμπεριλαμβανομένης της ψηφιοποίησης για αποδοτικές σιδηροδρομικές μεταφορές και οφέλη για τους χρήστες, του αυτοματισμού και της κυβερνοασφάλειας.</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Προετοιμασία της περαιτέρω ολοκλήρωσης και εναρμόνισης του σιδηροδρομικού τομέα στον ενιαίο ευρωπαϊκό σιδηροδρομικό χώρο, ο οποίος θα λειτουργεί ως η ραχοκοκαλιά του μελλοντικού πολυτροπικού και ψηφιακού ευρωπαϊκού δικτύου μεταφορών.</w:t>
            </w:r>
          </w:p>
        </w:tc>
      </w:tr>
      <w:tr>
        <w:trPr>
          <w:cantSplit/>
          <w:trHeight w:val="18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rPr>
              <w:t>11</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Διαπίστευση και αξιολόγηση της συμμόρφωσης</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Κανονισμός (ΕΚ) αριθ. 765/2008 για τον καθορισμό των απαιτήσεων διαπίστευσης και εποπτείας της αγοράς όσον αφορά την εμπορία των προϊόντων και κανονισμός (ΕΚ) αριθ. 1221/2009.</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Εναρμόνιση των κριτηρίων αξιολόγησης από ομοτίμους μεταξύ των εθνικών φορέων διαπίστευσης. Εναρμόνιση των κριτηρίων διαπίστευσης των φορέων αξιολόγησης της συμμόρφωσης από τους εθνικούς φορείς διαπίστευσης στα κράτη μέλη.</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Διασφάλιση του ίδιου επιπέδου αυστηρότητας όσον αφορά τη διαπίστευση και την αξιολόγηση της συμμόρφωσης σε όλα τα κράτη μέλη, με την εξασφάλιση υψηλού επιπέδου ικανοτήτων των φορέων διαπίστευσης και αξιολόγησης της συμμόρφωσης και με τη δημιουργία ισότιμων όρων ανταγωνισμού για τους οικονομικούς φορείς (ιδίως τις ΜΜΕ).</w:t>
            </w:r>
          </w:p>
        </w:tc>
      </w:tr>
      <w:tr>
        <w:trPr>
          <w:cantSplit/>
          <w:trHeight w:val="21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rPr>
              <w:t>12</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Προσβασιμότητα για άτομα με αναπηρίες</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Οδηγία (EE) 2019/882 του Ευρωπαϊκού Κοινοβουλίου και του Συμβουλίου, της 17ης Απριλίου 2019, σχετικά με τις απαιτήσεις προσβασιμότητας προϊόντων και υπηρεσιών.</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Εναρμόνιση των προσεγγίσεων που χρησιμοποιούν, επί του παρόντος, οι κατασκευαστές και οι πάροχοι υπηρεσιών σε όλο τον κόσμο για να συμμορφώνονται με τις απαιτήσεις προσβασιμότητας όταν κατασκευάζουν/παρέχουν προϊόντα και υπηρεσίες με ειδικά χαρακτηριστικά προσβασιμότητας.</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rPr>
            </w:pPr>
            <w:r>
              <w:rPr>
                <w:rFonts w:ascii="Times New Roman" w:hAnsi="Times New Roman"/>
                <w:noProof/>
              </w:rPr>
              <w:t>Διασφάλιση της πρόσβασης των ατόμων με αναπηρίες σε προϊόντα και υπηρεσίες στην εσωτερική αγορά.</w:t>
            </w:r>
          </w:p>
        </w:tc>
      </w:tr>
      <w:tr>
        <w:trPr>
          <w:cantSplit/>
          <w:trHeight w:val="2100"/>
        </w:trPr>
        <w:tc>
          <w:tcPr>
            <w:tcW w:w="546"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noProof/>
                <w:color w:val="000000"/>
              </w:rPr>
            </w:pPr>
            <w:r>
              <w:rPr>
                <w:rFonts w:ascii="Times New Roman" w:hAnsi="Times New Roman"/>
                <w:noProof/>
              </w:rPr>
              <w:t>13</w:t>
            </w:r>
          </w:p>
        </w:tc>
        <w:tc>
          <w:tcPr>
            <w:tcW w:w="1439" w:type="dxa"/>
            <w:tcBorders>
              <w:top w:val="nil"/>
              <w:left w:val="nil"/>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noProof/>
                <w:color w:val="000000"/>
              </w:rPr>
            </w:pPr>
            <w:r>
              <w:rPr>
                <w:rFonts w:ascii="Times New Roman" w:hAnsi="Times New Roman"/>
                <w:noProof/>
              </w:rPr>
              <w:t>Επαναχρησιμοποίηση αλιευτικών εργαλείων</w:t>
            </w:r>
          </w:p>
        </w:tc>
        <w:tc>
          <w:tcPr>
            <w:tcW w:w="3553" w:type="dxa"/>
            <w:tcBorders>
              <w:top w:val="nil"/>
              <w:left w:val="nil"/>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noProof/>
                <w:color w:val="000000"/>
              </w:rPr>
            </w:pPr>
          </w:p>
          <w:p>
            <w:pPr>
              <w:spacing w:after="0" w:line="240" w:lineRule="auto"/>
              <w:rPr>
                <w:rFonts w:ascii="Times New Roman" w:eastAsia="Times New Roman" w:hAnsi="Times New Roman" w:cs="Times New Roman"/>
                <w:noProof/>
                <w:color w:val="000000"/>
              </w:rPr>
            </w:pPr>
            <w:r>
              <w:rPr>
                <w:rFonts w:ascii="Times New Roman" w:hAnsi="Times New Roman"/>
                <w:noProof/>
              </w:rPr>
              <w:t>Οδηγία (ΕΕ) 2019/904 σχετικά με τη μείωση των επιπτώσεων ορισμένων πλαστικών προϊόντων στο περιβάλλον.</w:t>
            </w:r>
          </w:p>
        </w:tc>
        <w:tc>
          <w:tcPr>
            <w:tcW w:w="3479" w:type="dxa"/>
            <w:tcBorders>
              <w:top w:val="nil"/>
              <w:left w:val="nil"/>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noProof/>
                <w:color w:val="000000"/>
              </w:rPr>
            </w:pPr>
            <w:r>
              <w:rPr>
                <w:rFonts w:ascii="Times New Roman" w:hAnsi="Times New Roman"/>
                <w:noProof/>
              </w:rPr>
              <w:t>Κατάρτιση εναρμονισμένων προτύπων σχετικά με τον κυκλικό σχεδιασμό των αλιευτικών εργαλείων προκειμένου να ενθαρρυνθεί η προετοιμασία για επαναχρησιμοποίηση και να διευκολυνθεί η ανακυκλωσιμότητα στο τέλος του κύκλου ζωής αυτών.</w:t>
            </w:r>
          </w:p>
        </w:tc>
        <w:tc>
          <w:tcPr>
            <w:tcW w:w="4403" w:type="dxa"/>
            <w:tcBorders>
              <w:top w:val="nil"/>
              <w:left w:val="nil"/>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noProof/>
                <w:color w:val="000000"/>
              </w:rPr>
            </w:pPr>
            <w:r>
              <w:rPr>
                <w:rFonts w:ascii="Times New Roman" w:hAnsi="Times New Roman"/>
                <w:noProof/>
              </w:rPr>
              <w:t>Ενθάρρυνση της προετοιμασίας για επαναχρησιμοποίηση και διευκόλυνση της ανακυκλωσιμότητας στο τέλος του κύκλου ζωής.</w:t>
            </w:r>
          </w:p>
        </w:tc>
      </w:tr>
    </w:tbl>
    <w:p>
      <w:pPr>
        <w:rPr>
          <w:rFonts w:ascii="Times New Roman" w:hAnsi="Times New Roman" w:cs="Times New Roman"/>
          <w:noProof/>
        </w:rPr>
      </w:pPr>
    </w:p>
    <w:p>
      <w:pPr>
        <w:spacing w:after="0" w:line="240" w:lineRule="auto"/>
        <w:rPr>
          <w:rFonts w:ascii="Arial" w:eastAsia="Times New Roman" w:hAnsi="Arial" w:cs="Arial"/>
          <w:noProof/>
          <w:sz w:val="20"/>
          <w:szCs w:val="20"/>
        </w:rPr>
      </w:pPr>
    </w:p>
    <w:sectPr>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7566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963?\u964?\u951?\u957?"/>
    <w:docVar w:name="LW_ANNEX_NBR_FIRST" w:val="1"/>
    <w:docVar w:name="LW_ANNEX_NBR_LAST" w:val="1"/>
    <w:docVar w:name="LW_ANNEX_UNIQUE" w:val="1"/>
    <w:docVar w:name="LW_CORRIGENDUM" w:val="&lt;UNUSED&gt;"/>
    <w:docVar w:name="LW_COVERPAGE_EXISTS" w:val="True"/>
    <w:docVar w:name="LW_COVERPAGE_GUID" w:val="48708F12-E853-4C25-9D5B-6D28A8328596"/>
    <w:docVar w:name="LW_COVERPAGE_TYPE" w:val="1"/>
    <w:docVar w:name="LW_CROSSREFERENCE" w:val="&lt;UNUSED&gt;"/>
    <w:docVar w:name="LW_DocType" w:val="NORMAL"/>
    <w:docVar w:name="LW_EMISSION" w:val="28.10.2019"/>
    <w:docVar w:name="LW_EMISSION_ISODATE" w:val="2019-10-28"/>
    <w:docVar w:name="LW_EMISSION_LOCATION" w:val="BRX"/>
    <w:docVar w:name="LW_EMISSION_PREFIX" w:val="Βρυξέλλες, "/>
    <w:docVar w:name="LW_EMISSION_SUFFIX" w:val=" "/>
    <w:docVar w:name="LW_ID_DOCTYPE_NONLW" w:val="CP-039"/>
    <w:docVar w:name="LW_LANGUE" w:val="EL"/>
    <w:docVar w:name="LW_LEVEL_OF_SENSITIVITY" w:val="Standard treatment"/>
    <w:docVar w:name="LW_NOM.INST" w:val="\u917?\u933?\u929?\u937?\u928?\u913?\u938?\u922?\u919? \u917?\u928?\u921?\u932?\u929?\u927?\u928?\u919?"/>
    <w:docVar w:name="LW_NOM.INST_JOINTDOC" w:val="&lt;EMPTY&gt;"/>
    <w:docVar w:name="LW_OBJETACTEPRINCIPAL.CP" w:val="\u917?\u964?\u942?\u963?\u953?\u959? \u960?\u961?\u972?\u947?\u961?\u945?\u956?\u956?\u945? \u949?\u961?\u947?\u945?\u963?\u953?\u974?\u957? \u964?\u951?\u962? \u904?\u957?\u969?\u963?\u951?\u962? \u947?\u953?\u945? \u964?\u951?\u957? \u949?\u965?\u961?\u969?\u960?\u945?\u970?\u954?\u942? \u964?\u965?\u960?\u959?\u960?\u959?\u943?\u951?\u963?\u951? \u947?\u953?\u945? \u964?\u959? 2020"/>
    <w:docVar w:name="LW_PART_NBR" w:val="1"/>
    <w:docVar w:name="LW_PART_NBR_TOTAL" w:val="1"/>
    <w:docVar w:name="LW_REF.INST.NEW" w:val="COM"/>
    <w:docVar w:name="LW_REF.INST.NEW_ADOPTED" w:val="final"/>
    <w:docVar w:name="LW_REF.INST.NEW_TEXT" w:val="(2019) 4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928?\u913?\u929?\u913?\u929?\u932?\u919?\u924?\u913?_x000b_"/>
    <w:docVar w:name="LW_TYPEACTEPRINCIPAL.CP" w:val="\u913?\u925?\u913?\u922?\u927?\u921?\u925?\u937?\u931?\u919? \u932?\u919?\u931? \u917?\u928?\u921?\u932?\u929?\u927?\u928?\u919?\u931? \u928?\u929?\u927?\u931? \u932?\u927? \u917?\u933?\u929?\u937?\u928?\u913?\u938?\u922?\u927? \u922?\u927?\u921?\u925?\u927?\u914?\u927?\u933?\u923?\u921?\u927?, \u932?\u927? \u931?\u933?\u924?\u914?\u927?\u933?\u923?\u921?\u927?, \u932?\u919?\u925? \u917?\u933?\u929?\u937?\u928?\u913?\u938?\u922?\u919? \u927?\u921?\u922?\u927?\u925?\u927?\u924?\u921?\u922?\u919? \u922?\u913?\u921? \u922?\u927?\u921?\u925?\u937?\u925?\u921?\u922?\u919? \u917?\u928?\u921?\u932?\u929?\u927?\u928?\u919? \u922?\u913?\u921? \u932?\u919?\u925? \u917?\u928?\u921?\u932?\u929?\u927?\u928?\u919? \u932?\u937?\u925? \u928?\u917?\u929?\u921?\u934?\u917?\u929?\u917?\u921?\u937?\u925?"/>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u w:val="single"/>
    </w:rPr>
  </w:style>
  <w:style w:type="paragraph" w:styleId="TOCHeading">
    <w:name w:val="TOC Heading"/>
    <w:basedOn w:val="Heading1"/>
    <w:next w:val="Normal"/>
    <w:uiPriority w:val="39"/>
    <w:unhideWhenUsed/>
    <w:qFormat/>
    <w:pPr>
      <w:spacing w:line="259" w:lineRule="auto"/>
      <w:outlineLvl w:val="9"/>
    </w:pPr>
  </w:style>
  <w:style w:type="paragraph" w:styleId="TOC1">
    <w:name w:val="toc 1"/>
    <w:basedOn w:val="Normal"/>
    <w:next w:val="Normal"/>
    <w:autoRedefine/>
    <w:uiPriority w:val="39"/>
    <w:unhideWhenUsed/>
    <w:pPr>
      <w:spacing w:after="100"/>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u w:val="single"/>
    </w:rPr>
  </w:style>
  <w:style w:type="paragraph" w:styleId="TOCHeading">
    <w:name w:val="TOC Heading"/>
    <w:basedOn w:val="Heading1"/>
    <w:next w:val="Normal"/>
    <w:uiPriority w:val="39"/>
    <w:unhideWhenUsed/>
    <w:qFormat/>
    <w:pPr>
      <w:spacing w:line="259" w:lineRule="auto"/>
      <w:outlineLvl w:val="9"/>
    </w:pPr>
  </w:style>
  <w:style w:type="paragraph" w:styleId="TOC1">
    <w:name w:val="toc 1"/>
    <w:basedOn w:val="Normal"/>
    <w:next w:val="Normal"/>
    <w:autoRedefine/>
    <w:uiPriority w:val="39"/>
    <w:unhideWhenUsed/>
    <w:pPr>
      <w:spacing w:after="100"/>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0061">
      <w:bodyDiv w:val="1"/>
      <w:marLeft w:val="0"/>
      <w:marRight w:val="0"/>
      <w:marTop w:val="0"/>
      <w:marBottom w:val="0"/>
      <w:divBdr>
        <w:top w:val="none" w:sz="0" w:space="0" w:color="auto"/>
        <w:left w:val="none" w:sz="0" w:space="0" w:color="auto"/>
        <w:bottom w:val="none" w:sz="0" w:space="0" w:color="auto"/>
        <w:right w:val="none" w:sz="0" w:space="0" w:color="auto"/>
      </w:divBdr>
    </w:div>
    <w:div w:id="59257575">
      <w:bodyDiv w:val="1"/>
      <w:marLeft w:val="0"/>
      <w:marRight w:val="0"/>
      <w:marTop w:val="0"/>
      <w:marBottom w:val="0"/>
      <w:divBdr>
        <w:top w:val="none" w:sz="0" w:space="0" w:color="auto"/>
        <w:left w:val="none" w:sz="0" w:space="0" w:color="auto"/>
        <w:bottom w:val="none" w:sz="0" w:space="0" w:color="auto"/>
        <w:right w:val="none" w:sz="0" w:space="0" w:color="auto"/>
      </w:divBdr>
    </w:div>
    <w:div w:id="90123971">
      <w:bodyDiv w:val="1"/>
      <w:marLeft w:val="0"/>
      <w:marRight w:val="0"/>
      <w:marTop w:val="0"/>
      <w:marBottom w:val="0"/>
      <w:divBdr>
        <w:top w:val="none" w:sz="0" w:space="0" w:color="auto"/>
        <w:left w:val="none" w:sz="0" w:space="0" w:color="auto"/>
        <w:bottom w:val="none" w:sz="0" w:space="0" w:color="auto"/>
        <w:right w:val="none" w:sz="0" w:space="0" w:color="auto"/>
      </w:divBdr>
    </w:div>
    <w:div w:id="444227640">
      <w:bodyDiv w:val="1"/>
      <w:marLeft w:val="0"/>
      <w:marRight w:val="0"/>
      <w:marTop w:val="0"/>
      <w:marBottom w:val="0"/>
      <w:divBdr>
        <w:top w:val="none" w:sz="0" w:space="0" w:color="auto"/>
        <w:left w:val="none" w:sz="0" w:space="0" w:color="auto"/>
        <w:bottom w:val="none" w:sz="0" w:space="0" w:color="auto"/>
        <w:right w:val="none" w:sz="0" w:space="0" w:color="auto"/>
      </w:divBdr>
    </w:div>
    <w:div w:id="517886257">
      <w:bodyDiv w:val="1"/>
      <w:marLeft w:val="0"/>
      <w:marRight w:val="0"/>
      <w:marTop w:val="0"/>
      <w:marBottom w:val="0"/>
      <w:divBdr>
        <w:top w:val="none" w:sz="0" w:space="0" w:color="auto"/>
        <w:left w:val="none" w:sz="0" w:space="0" w:color="auto"/>
        <w:bottom w:val="none" w:sz="0" w:space="0" w:color="auto"/>
        <w:right w:val="none" w:sz="0" w:space="0" w:color="auto"/>
      </w:divBdr>
    </w:div>
    <w:div w:id="698046593">
      <w:bodyDiv w:val="1"/>
      <w:marLeft w:val="0"/>
      <w:marRight w:val="0"/>
      <w:marTop w:val="0"/>
      <w:marBottom w:val="0"/>
      <w:divBdr>
        <w:top w:val="none" w:sz="0" w:space="0" w:color="auto"/>
        <w:left w:val="none" w:sz="0" w:space="0" w:color="auto"/>
        <w:bottom w:val="none" w:sz="0" w:space="0" w:color="auto"/>
        <w:right w:val="none" w:sz="0" w:space="0" w:color="auto"/>
      </w:divBdr>
    </w:div>
    <w:div w:id="713778082">
      <w:bodyDiv w:val="1"/>
      <w:marLeft w:val="0"/>
      <w:marRight w:val="0"/>
      <w:marTop w:val="0"/>
      <w:marBottom w:val="0"/>
      <w:divBdr>
        <w:top w:val="none" w:sz="0" w:space="0" w:color="auto"/>
        <w:left w:val="none" w:sz="0" w:space="0" w:color="auto"/>
        <w:bottom w:val="none" w:sz="0" w:space="0" w:color="auto"/>
        <w:right w:val="none" w:sz="0" w:space="0" w:color="auto"/>
      </w:divBdr>
    </w:div>
    <w:div w:id="725685129">
      <w:bodyDiv w:val="1"/>
      <w:marLeft w:val="0"/>
      <w:marRight w:val="0"/>
      <w:marTop w:val="0"/>
      <w:marBottom w:val="0"/>
      <w:divBdr>
        <w:top w:val="none" w:sz="0" w:space="0" w:color="auto"/>
        <w:left w:val="none" w:sz="0" w:space="0" w:color="auto"/>
        <w:bottom w:val="none" w:sz="0" w:space="0" w:color="auto"/>
        <w:right w:val="none" w:sz="0" w:space="0" w:color="auto"/>
      </w:divBdr>
    </w:div>
    <w:div w:id="1050885442">
      <w:bodyDiv w:val="1"/>
      <w:marLeft w:val="0"/>
      <w:marRight w:val="0"/>
      <w:marTop w:val="0"/>
      <w:marBottom w:val="0"/>
      <w:divBdr>
        <w:top w:val="none" w:sz="0" w:space="0" w:color="auto"/>
        <w:left w:val="none" w:sz="0" w:space="0" w:color="auto"/>
        <w:bottom w:val="none" w:sz="0" w:space="0" w:color="auto"/>
        <w:right w:val="none" w:sz="0" w:space="0" w:color="auto"/>
      </w:divBdr>
    </w:div>
    <w:div w:id="1466463057">
      <w:bodyDiv w:val="1"/>
      <w:marLeft w:val="0"/>
      <w:marRight w:val="0"/>
      <w:marTop w:val="0"/>
      <w:marBottom w:val="0"/>
      <w:divBdr>
        <w:top w:val="none" w:sz="0" w:space="0" w:color="auto"/>
        <w:left w:val="none" w:sz="0" w:space="0" w:color="auto"/>
        <w:bottom w:val="none" w:sz="0" w:space="0" w:color="auto"/>
        <w:right w:val="none" w:sz="0" w:space="0" w:color="auto"/>
      </w:divBdr>
    </w:div>
    <w:div w:id="1527907588">
      <w:bodyDiv w:val="1"/>
      <w:marLeft w:val="0"/>
      <w:marRight w:val="0"/>
      <w:marTop w:val="0"/>
      <w:marBottom w:val="0"/>
      <w:divBdr>
        <w:top w:val="none" w:sz="0" w:space="0" w:color="auto"/>
        <w:left w:val="none" w:sz="0" w:space="0" w:color="auto"/>
        <w:bottom w:val="none" w:sz="0" w:space="0" w:color="auto"/>
        <w:right w:val="none" w:sz="0" w:space="0" w:color="auto"/>
      </w:divBdr>
    </w:div>
    <w:div w:id="1547254381">
      <w:bodyDiv w:val="1"/>
      <w:marLeft w:val="0"/>
      <w:marRight w:val="0"/>
      <w:marTop w:val="0"/>
      <w:marBottom w:val="0"/>
      <w:divBdr>
        <w:top w:val="none" w:sz="0" w:space="0" w:color="auto"/>
        <w:left w:val="none" w:sz="0" w:space="0" w:color="auto"/>
        <w:bottom w:val="none" w:sz="0" w:space="0" w:color="auto"/>
        <w:right w:val="none" w:sz="0" w:space="0" w:color="auto"/>
      </w:divBdr>
    </w:div>
    <w:div w:id="1886793612">
      <w:bodyDiv w:val="1"/>
      <w:marLeft w:val="0"/>
      <w:marRight w:val="0"/>
      <w:marTop w:val="0"/>
      <w:marBottom w:val="0"/>
      <w:divBdr>
        <w:top w:val="none" w:sz="0" w:space="0" w:color="auto"/>
        <w:left w:val="none" w:sz="0" w:space="0" w:color="auto"/>
        <w:bottom w:val="none" w:sz="0" w:space="0" w:color="auto"/>
        <w:right w:val="none" w:sz="0" w:space="0" w:color="auto"/>
      </w:divBdr>
    </w:div>
    <w:div w:id="2081293551">
      <w:bodyDiv w:val="1"/>
      <w:marLeft w:val="0"/>
      <w:marRight w:val="0"/>
      <w:marTop w:val="0"/>
      <w:marBottom w:val="0"/>
      <w:divBdr>
        <w:top w:val="none" w:sz="0" w:space="0" w:color="auto"/>
        <w:left w:val="none" w:sz="0" w:space="0" w:color="auto"/>
        <w:bottom w:val="none" w:sz="0" w:space="0" w:color="auto"/>
        <w:right w:val="none" w:sz="0" w:space="0" w:color="auto"/>
      </w:divBdr>
    </w:div>
    <w:div w:id="208721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6D348E0-FFBA-4F24-82E3-F46EBAF93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1097</Words>
  <Characters>7375</Characters>
  <Application>Microsoft Office Word</Application>
  <DocSecurity>0</DocSecurity>
  <Lines>351</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DIAMANTOPOULOS Dimitrios (GROW)</dc:creator>
  <cp:lastModifiedBy>WES PDFC Administrator</cp:lastModifiedBy>
  <cp:revision>8</cp:revision>
  <cp:lastPrinted>2019-09-19T09:41:00Z</cp:lastPrinted>
  <dcterms:created xsi:type="dcterms:W3CDTF">2019-10-15T13:22:00Z</dcterms:created>
  <dcterms:modified xsi:type="dcterms:W3CDTF">2019-10-28T08:33:00Z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First annex">
    <vt:lpwstr>1</vt:lpwstr>
  </property>
  <property fmtid="{D5CDD505-2E9C-101B-9397-08002B2CF9AE}" pid="9" name="Last annex">
    <vt:lpwstr>1</vt:lpwstr>
  </property>
  <property fmtid="{D5CDD505-2E9C-101B-9397-08002B2CF9AE}" pid="10" name="Unique annex">
    <vt:lpwstr>1</vt:lpwstr>
  </property>
  <property fmtid="{D5CDD505-2E9C-101B-9397-08002B2CF9AE}" pid="11" name="CPTemplateID">
    <vt:lpwstr>CP-039</vt:lpwstr>
  </property>
</Properties>
</file>